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5F" w:rsidRPr="00BA1545" w:rsidRDefault="0096175F" w:rsidP="00BF3C58">
      <w:pPr>
        <w:pStyle w:val="NoSpacing"/>
        <w:jc w:val="both"/>
        <w:rPr>
          <w:lang w:val="en-US"/>
        </w:rPr>
      </w:pPr>
      <w:r w:rsidRPr="00BA1545">
        <w:rPr>
          <w:lang w:val="en-US"/>
        </w:rPr>
        <w:t>Press release interim consolidated financial statements TIE KINETIX N.V.</w:t>
      </w:r>
    </w:p>
    <w:p w:rsidR="00665006" w:rsidRPr="00BA1545" w:rsidRDefault="001E149A" w:rsidP="00BF3C58">
      <w:pPr>
        <w:pStyle w:val="NoSpacing"/>
        <w:jc w:val="both"/>
        <w:rPr>
          <w:lang w:val="en-US"/>
        </w:rPr>
      </w:pPr>
      <w:r w:rsidRPr="00BA1545">
        <w:rPr>
          <w:lang w:val="en-US"/>
        </w:rPr>
        <w:t>Financial information in th</w:t>
      </w:r>
      <w:r w:rsidR="008F004D" w:rsidRPr="00BA1545">
        <w:rPr>
          <w:lang w:val="en-US"/>
        </w:rPr>
        <w:t>i</w:t>
      </w:r>
      <w:r w:rsidR="00F064A0" w:rsidRPr="00BA1545">
        <w:rPr>
          <w:lang w:val="en-US"/>
        </w:rPr>
        <w:t>s</w:t>
      </w:r>
      <w:r w:rsidRPr="00BA1545">
        <w:rPr>
          <w:lang w:val="en-US"/>
        </w:rPr>
        <w:t xml:space="preserve"> interim report is unaudited</w:t>
      </w:r>
    </w:p>
    <w:p w:rsidR="0096175F" w:rsidRPr="00BA1545" w:rsidRDefault="0096175F" w:rsidP="00BF3C58">
      <w:pPr>
        <w:pStyle w:val="NoSpacing"/>
        <w:jc w:val="both"/>
        <w:rPr>
          <w:lang w:val="en-US"/>
        </w:rPr>
      </w:pPr>
    </w:p>
    <w:p w:rsidR="008F004D" w:rsidRPr="00BA1545" w:rsidRDefault="008F004D" w:rsidP="00BF3C58">
      <w:pPr>
        <w:pStyle w:val="NoSpacing"/>
        <w:jc w:val="both"/>
        <w:rPr>
          <w:lang w:val="en-US"/>
        </w:rPr>
      </w:pPr>
    </w:p>
    <w:p w:rsidR="0096175F" w:rsidRPr="00BA1545" w:rsidRDefault="0096175F" w:rsidP="00836F82">
      <w:pPr>
        <w:pStyle w:val="NoSpacing"/>
        <w:jc w:val="center"/>
        <w:rPr>
          <w:lang w:val="en-US"/>
        </w:rPr>
      </w:pPr>
      <w:r w:rsidRPr="00BA1545">
        <w:rPr>
          <w:lang w:val="en-US"/>
        </w:rPr>
        <w:t>TIE KINETIX</w:t>
      </w:r>
      <w:r w:rsidR="00836F82" w:rsidRPr="00BA1545">
        <w:rPr>
          <w:lang w:val="en-US"/>
        </w:rPr>
        <w:t xml:space="preserve">: </w:t>
      </w:r>
      <w:r w:rsidR="001329FB">
        <w:rPr>
          <w:lang w:val="en-US"/>
        </w:rPr>
        <w:t>first half year 201</w:t>
      </w:r>
      <w:r w:rsidR="00344D07">
        <w:rPr>
          <w:lang w:val="en-US"/>
        </w:rPr>
        <w:t>7</w:t>
      </w:r>
      <w:r w:rsidR="00C56E97" w:rsidRPr="00BA1545">
        <w:rPr>
          <w:lang w:val="en-US"/>
        </w:rPr>
        <w:t xml:space="preserve">  </w:t>
      </w:r>
    </w:p>
    <w:p w:rsidR="0096175F" w:rsidRPr="00BA1545" w:rsidRDefault="0096175F" w:rsidP="00BF3C58">
      <w:pPr>
        <w:pStyle w:val="NoSpacing"/>
        <w:jc w:val="both"/>
        <w:rPr>
          <w:lang w:val="en-US"/>
        </w:rPr>
      </w:pPr>
    </w:p>
    <w:p w:rsidR="008F004D" w:rsidRPr="00BA1545" w:rsidRDefault="008F004D" w:rsidP="00BF3C58">
      <w:pPr>
        <w:pStyle w:val="NoSpacing"/>
        <w:jc w:val="both"/>
        <w:rPr>
          <w:lang w:val="en-US"/>
        </w:rPr>
      </w:pPr>
      <w:bookmarkStart w:id="0" w:name="_GoBack"/>
      <w:bookmarkEnd w:id="0"/>
    </w:p>
    <w:p w:rsidR="001E149A" w:rsidRPr="00BA1545" w:rsidRDefault="001E149A" w:rsidP="00BF3C58">
      <w:pPr>
        <w:pStyle w:val="NoSpacing"/>
        <w:jc w:val="both"/>
        <w:rPr>
          <w:lang w:val="en-US"/>
        </w:rPr>
      </w:pPr>
      <w:proofErr w:type="spellStart"/>
      <w:r w:rsidRPr="00BA1545">
        <w:rPr>
          <w:lang w:val="en-US"/>
        </w:rPr>
        <w:t>Breukelen</w:t>
      </w:r>
      <w:proofErr w:type="spellEnd"/>
      <w:r w:rsidRPr="00BA1545">
        <w:rPr>
          <w:lang w:val="en-US"/>
        </w:rPr>
        <w:t xml:space="preserve">, </w:t>
      </w:r>
      <w:r w:rsidR="0096175F" w:rsidRPr="00BA1545">
        <w:rPr>
          <w:lang w:val="en-US"/>
        </w:rPr>
        <w:t xml:space="preserve">the Netherlands, </w:t>
      </w:r>
      <w:r w:rsidRPr="00BA1545">
        <w:rPr>
          <w:lang w:val="en-US"/>
        </w:rPr>
        <w:t xml:space="preserve">May </w:t>
      </w:r>
      <w:r w:rsidR="00EC7A05" w:rsidRPr="00BA1545">
        <w:rPr>
          <w:lang w:val="en-US"/>
        </w:rPr>
        <w:t>1</w:t>
      </w:r>
      <w:r w:rsidR="00344D07">
        <w:rPr>
          <w:lang w:val="en-US"/>
        </w:rPr>
        <w:t>7</w:t>
      </w:r>
      <w:r w:rsidR="0096175F" w:rsidRPr="00BA1545">
        <w:rPr>
          <w:vertAlign w:val="superscript"/>
          <w:lang w:val="en-US"/>
        </w:rPr>
        <w:t>th</w:t>
      </w:r>
      <w:r w:rsidRPr="00BA1545">
        <w:rPr>
          <w:lang w:val="en-US"/>
        </w:rPr>
        <w:t>, 201</w:t>
      </w:r>
      <w:r w:rsidR="00344D07">
        <w:rPr>
          <w:lang w:val="en-US"/>
        </w:rPr>
        <w:t>7</w:t>
      </w:r>
    </w:p>
    <w:p w:rsidR="001E149A" w:rsidRPr="00BA1545" w:rsidRDefault="001E149A" w:rsidP="00BF3C58">
      <w:pPr>
        <w:pStyle w:val="NoSpacing"/>
        <w:jc w:val="both"/>
        <w:rPr>
          <w:lang w:val="en-US"/>
        </w:rPr>
      </w:pPr>
    </w:p>
    <w:p w:rsidR="008F004D" w:rsidRPr="00BA1545" w:rsidRDefault="008F004D" w:rsidP="00BF3C58">
      <w:pPr>
        <w:pStyle w:val="NoSpacing"/>
        <w:jc w:val="both"/>
        <w:rPr>
          <w:lang w:val="en-US"/>
        </w:rPr>
      </w:pPr>
    </w:p>
    <w:p w:rsidR="001E149A" w:rsidRPr="00BA1545" w:rsidRDefault="0096175F" w:rsidP="00BF3C58">
      <w:pPr>
        <w:pStyle w:val="NoSpacing"/>
        <w:jc w:val="both"/>
        <w:rPr>
          <w:u w:val="single"/>
          <w:lang w:val="en-US"/>
        </w:rPr>
      </w:pPr>
      <w:r w:rsidRPr="00BA1545">
        <w:rPr>
          <w:u w:val="single"/>
          <w:lang w:val="en-US"/>
        </w:rPr>
        <w:t>First half year results</w:t>
      </w:r>
      <w:r w:rsidR="00584AC8" w:rsidRPr="00BA1545">
        <w:rPr>
          <w:u w:val="single"/>
          <w:lang w:val="en-US"/>
        </w:rPr>
        <w:t xml:space="preserve"> (period Oct, 1, 201</w:t>
      </w:r>
      <w:r w:rsidR="00344D07">
        <w:rPr>
          <w:u w:val="single"/>
          <w:lang w:val="en-US"/>
        </w:rPr>
        <w:t>6</w:t>
      </w:r>
      <w:r w:rsidR="00584AC8" w:rsidRPr="00BA1545">
        <w:rPr>
          <w:u w:val="single"/>
          <w:lang w:val="en-US"/>
        </w:rPr>
        <w:t xml:space="preserve"> – March 31, 201</w:t>
      </w:r>
      <w:r w:rsidR="00344D07">
        <w:rPr>
          <w:u w:val="single"/>
          <w:lang w:val="en-US"/>
        </w:rPr>
        <w:t>7</w:t>
      </w:r>
      <w:r w:rsidR="00584AC8" w:rsidRPr="00BA1545">
        <w:rPr>
          <w:u w:val="single"/>
          <w:lang w:val="en-US"/>
        </w:rPr>
        <w:t>)</w:t>
      </w:r>
      <w:r w:rsidR="00584AC8" w:rsidRPr="00BA1545">
        <w:rPr>
          <w:lang w:val="en-US"/>
        </w:rPr>
        <w:t>.</w:t>
      </w:r>
    </w:p>
    <w:p w:rsidR="008225CF" w:rsidRPr="00BA1545" w:rsidRDefault="008225CF" w:rsidP="008225CF">
      <w:pPr>
        <w:pStyle w:val="NoSpacing"/>
        <w:numPr>
          <w:ilvl w:val="0"/>
          <w:numId w:val="4"/>
        </w:numPr>
        <w:jc w:val="both"/>
        <w:rPr>
          <w:lang w:val="en-US"/>
        </w:rPr>
      </w:pPr>
      <w:r w:rsidRPr="00BA1545">
        <w:rPr>
          <w:lang w:val="en-US"/>
        </w:rPr>
        <w:t xml:space="preserve">SaaS and hosting revenues grow </w:t>
      </w:r>
      <w:r w:rsidR="00947664">
        <w:rPr>
          <w:lang w:val="en-US"/>
        </w:rPr>
        <w:t>5,5</w:t>
      </w:r>
      <w:r w:rsidR="00EC7A05" w:rsidRPr="00BA1545">
        <w:rPr>
          <w:lang w:val="en-US"/>
        </w:rPr>
        <w:t>%</w:t>
      </w:r>
      <w:r w:rsidRPr="00BA1545">
        <w:rPr>
          <w:lang w:val="en-US"/>
        </w:rPr>
        <w:t xml:space="preserve"> to € </w:t>
      </w:r>
      <w:r w:rsidR="00947664">
        <w:rPr>
          <w:lang w:val="en-US"/>
        </w:rPr>
        <w:t>5.078</w:t>
      </w:r>
      <w:r w:rsidRPr="00BA1545">
        <w:rPr>
          <w:lang w:val="en-US"/>
        </w:rPr>
        <w:t>k (H1 201</w:t>
      </w:r>
      <w:r w:rsidR="00344D07">
        <w:rPr>
          <w:lang w:val="en-US"/>
        </w:rPr>
        <w:t>6</w:t>
      </w:r>
      <w:r w:rsidRPr="00BA1545">
        <w:rPr>
          <w:lang w:val="en-US"/>
        </w:rPr>
        <w:t xml:space="preserve">: € </w:t>
      </w:r>
      <w:r w:rsidR="00EC7A05" w:rsidRPr="00BA1545">
        <w:rPr>
          <w:lang w:val="en-US"/>
        </w:rPr>
        <w:t>4.</w:t>
      </w:r>
      <w:r w:rsidR="00344D07">
        <w:rPr>
          <w:lang w:val="en-US"/>
        </w:rPr>
        <w:t>812</w:t>
      </w:r>
      <w:r w:rsidRPr="00BA1545">
        <w:rPr>
          <w:lang w:val="en-US"/>
        </w:rPr>
        <w:t>k)</w:t>
      </w:r>
    </w:p>
    <w:p w:rsidR="00A43BF7" w:rsidRPr="00BA1545" w:rsidRDefault="00EC7A05" w:rsidP="00A43BF7">
      <w:pPr>
        <w:pStyle w:val="NoSpacing"/>
        <w:numPr>
          <w:ilvl w:val="0"/>
          <w:numId w:val="4"/>
        </w:numPr>
        <w:jc w:val="both"/>
        <w:rPr>
          <w:lang w:val="en-US"/>
        </w:rPr>
      </w:pPr>
      <w:r w:rsidRPr="00BA1545">
        <w:rPr>
          <w:lang w:val="en-US"/>
        </w:rPr>
        <w:t xml:space="preserve">Consultancy revenue </w:t>
      </w:r>
      <w:r w:rsidR="00947664">
        <w:rPr>
          <w:lang w:val="en-US"/>
        </w:rPr>
        <w:t>declines</w:t>
      </w:r>
      <w:r w:rsidRPr="00BA1545">
        <w:rPr>
          <w:lang w:val="en-US"/>
        </w:rPr>
        <w:t xml:space="preserve"> </w:t>
      </w:r>
      <w:r w:rsidR="00947664">
        <w:rPr>
          <w:lang w:val="en-US"/>
        </w:rPr>
        <w:t>15,3</w:t>
      </w:r>
      <w:r w:rsidRPr="00BA1545">
        <w:rPr>
          <w:lang w:val="en-US"/>
        </w:rPr>
        <w:t xml:space="preserve">% to € </w:t>
      </w:r>
      <w:r w:rsidR="00947664">
        <w:rPr>
          <w:lang w:val="en-US"/>
        </w:rPr>
        <w:t>2.711</w:t>
      </w:r>
      <w:r w:rsidRPr="00BA1545">
        <w:rPr>
          <w:lang w:val="en-US"/>
        </w:rPr>
        <w:t>k (H1 201</w:t>
      </w:r>
      <w:r w:rsidR="00344D07">
        <w:rPr>
          <w:lang w:val="en-US"/>
        </w:rPr>
        <w:t>6</w:t>
      </w:r>
      <w:r w:rsidRPr="00BA1545">
        <w:rPr>
          <w:lang w:val="en-US"/>
        </w:rPr>
        <w:t>: € 3.</w:t>
      </w:r>
      <w:r w:rsidR="00344D07">
        <w:rPr>
          <w:lang w:val="en-US"/>
        </w:rPr>
        <w:t>202</w:t>
      </w:r>
      <w:r w:rsidRPr="00BA1545">
        <w:rPr>
          <w:lang w:val="en-US"/>
        </w:rPr>
        <w:t>)</w:t>
      </w:r>
      <w:r w:rsidR="009B4515" w:rsidRPr="00BA1545">
        <w:rPr>
          <w:lang w:val="en-US"/>
        </w:rPr>
        <w:t xml:space="preserve"> </w:t>
      </w:r>
    </w:p>
    <w:p w:rsidR="00E37C48" w:rsidRPr="00BA1545" w:rsidRDefault="00E37C48" w:rsidP="00BF3C58">
      <w:pPr>
        <w:pStyle w:val="NoSpacing"/>
        <w:numPr>
          <w:ilvl w:val="0"/>
          <w:numId w:val="4"/>
        </w:numPr>
        <w:jc w:val="both"/>
        <w:rPr>
          <w:lang w:val="en-US"/>
        </w:rPr>
      </w:pPr>
      <w:r w:rsidRPr="00BA1545">
        <w:rPr>
          <w:lang w:val="en-US"/>
        </w:rPr>
        <w:t>Total revenue</w:t>
      </w:r>
      <w:r w:rsidR="009B4515" w:rsidRPr="00BA1545">
        <w:rPr>
          <w:lang w:val="en-US"/>
        </w:rPr>
        <w:t xml:space="preserve"> </w:t>
      </w:r>
      <w:r w:rsidR="00947664">
        <w:rPr>
          <w:lang w:val="en-US"/>
        </w:rPr>
        <w:t>declines</w:t>
      </w:r>
      <w:r w:rsidR="00536EC6" w:rsidRPr="00BA1545">
        <w:rPr>
          <w:lang w:val="en-US"/>
        </w:rPr>
        <w:t xml:space="preserve"> </w:t>
      </w:r>
      <w:r w:rsidR="005751D4">
        <w:rPr>
          <w:lang w:val="en-US"/>
        </w:rPr>
        <w:t>4,4</w:t>
      </w:r>
      <w:r w:rsidR="00AD1815" w:rsidRPr="00BA1545">
        <w:rPr>
          <w:lang w:val="en-US"/>
        </w:rPr>
        <w:t>% to € 9.</w:t>
      </w:r>
      <w:r w:rsidR="005751D4">
        <w:rPr>
          <w:lang w:val="en-US"/>
        </w:rPr>
        <w:t>720</w:t>
      </w:r>
      <w:r w:rsidR="00AD1815" w:rsidRPr="00BA1545">
        <w:rPr>
          <w:lang w:val="en-US"/>
        </w:rPr>
        <w:t>k</w:t>
      </w:r>
      <w:r w:rsidRPr="00BA1545">
        <w:rPr>
          <w:lang w:val="en-US"/>
        </w:rPr>
        <w:t xml:space="preserve"> (H1 201</w:t>
      </w:r>
      <w:r w:rsidR="00344D07">
        <w:rPr>
          <w:lang w:val="en-US"/>
        </w:rPr>
        <w:t>6</w:t>
      </w:r>
      <w:r w:rsidRPr="00BA1545">
        <w:rPr>
          <w:lang w:val="en-US"/>
        </w:rPr>
        <w:t xml:space="preserve">: </w:t>
      </w:r>
      <w:r w:rsidR="00AD1815" w:rsidRPr="00BA1545">
        <w:rPr>
          <w:lang w:val="en-US"/>
        </w:rPr>
        <w:t xml:space="preserve">€ </w:t>
      </w:r>
      <w:r w:rsidR="005751D4">
        <w:rPr>
          <w:lang w:val="en-US"/>
        </w:rPr>
        <w:t>10.174</w:t>
      </w:r>
      <w:r w:rsidR="00AD1815" w:rsidRPr="00BA1545">
        <w:rPr>
          <w:lang w:val="en-US"/>
        </w:rPr>
        <w:t>k</w:t>
      </w:r>
      <w:r w:rsidRPr="00BA1545">
        <w:rPr>
          <w:lang w:val="en-US"/>
        </w:rPr>
        <w:t>)</w:t>
      </w:r>
    </w:p>
    <w:p w:rsidR="003A1014" w:rsidRPr="00BA1545" w:rsidRDefault="00584AC8" w:rsidP="00BF3C58">
      <w:pPr>
        <w:pStyle w:val="NoSpacing"/>
        <w:numPr>
          <w:ilvl w:val="0"/>
          <w:numId w:val="4"/>
        </w:numPr>
        <w:jc w:val="both"/>
        <w:rPr>
          <w:lang w:val="en-US"/>
        </w:rPr>
      </w:pPr>
      <w:r w:rsidRPr="00BA1545">
        <w:rPr>
          <w:lang w:val="en-US"/>
        </w:rPr>
        <w:t>EBITDA</w:t>
      </w:r>
      <w:r w:rsidR="005958DC">
        <w:rPr>
          <w:lang w:val="en-US"/>
        </w:rPr>
        <w:t xml:space="preserve"> amounts to € </w:t>
      </w:r>
      <w:r w:rsidR="00947664">
        <w:rPr>
          <w:lang w:val="en-US"/>
        </w:rPr>
        <w:t>837</w:t>
      </w:r>
      <w:r w:rsidR="003A1014" w:rsidRPr="00BA1545">
        <w:rPr>
          <w:lang w:val="en-US"/>
        </w:rPr>
        <w:t>k</w:t>
      </w:r>
      <w:r w:rsidR="00476029" w:rsidRPr="00BA1545">
        <w:rPr>
          <w:lang w:val="en-US"/>
        </w:rPr>
        <w:t xml:space="preserve"> (</w:t>
      </w:r>
      <w:r w:rsidR="003A1014" w:rsidRPr="00BA1545">
        <w:rPr>
          <w:lang w:val="en-US"/>
        </w:rPr>
        <w:t>H1 201</w:t>
      </w:r>
      <w:r w:rsidR="00344D07">
        <w:rPr>
          <w:lang w:val="en-US"/>
        </w:rPr>
        <w:t>6</w:t>
      </w:r>
      <w:r w:rsidR="003A1014" w:rsidRPr="00BA1545">
        <w:rPr>
          <w:lang w:val="en-US"/>
        </w:rPr>
        <w:t xml:space="preserve">: € </w:t>
      </w:r>
      <w:r w:rsidR="00344D07">
        <w:rPr>
          <w:lang w:val="en-US"/>
        </w:rPr>
        <w:t>70</w:t>
      </w:r>
      <w:r w:rsidR="0092153F">
        <w:rPr>
          <w:lang w:val="en-US"/>
        </w:rPr>
        <w:t>6</w:t>
      </w:r>
      <w:r w:rsidR="003A1014" w:rsidRPr="00BA1545">
        <w:rPr>
          <w:lang w:val="en-US"/>
        </w:rPr>
        <w:t>k)</w:t>
      </w:r>
      <w:r w:rsidR="00EC7A05" w:rsidRPr="00BA1545">
        <w:rPr>
          <w:lang w:val="en-US"/>
        </w:rPr>
        <w:t xml:space="preserve"> </w:t>
      </w:r>
    </w:p>
    <w:p w:rsidR="00E37C48" w:rsidRPr="00BA1545" w:rsidRDefault="003A1014" w:rsidP="00BF3C58">
      <w:pPr>
        <w:pStyle w:val="NoSpacing"/>
        <w:numPr>
          <w:ilvl w:val="0"/>
          <w:numId w:val="4"/>
        </w:numPr>
        <w:jc w:val="both"/>
        <w:rPr>
          <w:lang w:val="en-US"/>
        </w:rPr>
      </w:pPr>
      <w:r w:rsidRPr="00BA1545">
        <w:rPr>
          <w:lang w:val="en-US"/>
        </w:rPr>
        <w:t>no</w:t>
      </w:r>
      <w:r w:rsidR="00584AC8" w:rsidRPr="00BA1545">
        <w:rPr>
          <w:lang w:val="en-US"/>
        </w:rPr>
        <w:t xml:space="preserve"> one-time costs</w:t>
      </w:r>
      <w:r w:rsidR="00E37C48" w:rsidRPr="00BA1545">
        <w:rPr>
          <w:lang w:val="en-US"/>
        </w:rPr>
        <w:t xml:space="preserve"> </w:t>
      </w:r>
    </w:p>
    <w:p w:rsidR="003A1014" w:rsidRDefault="003A1014" w:rsidP="00BF3C58">
      <w:pPr>
        <w:pStyle w:val="NoSpacing"/>
        <w:numPr>
          <w:ilvl w:val="0"/>
          <w:numId w:val="4"/>
        </w:numPr>
        <w:jc w:val="both"/>
        <w:rPr>
          <w:lang w:val="en-US"/>
        </w:rPr>
      </w:pPr>
      <w:r w:rsidRPr="00BA1545">
        <w:rPr>
          <w:lang w:val="en-US"/>
        </w:rPr>
        <w:t xml:space="preserve">EBIT amounts to € </w:t>
      </w:r>
      <w:r w:rsidR="00947664">
        <w:rPr>
          <w:lang w:val="en-US"/>
        </w:rPr>
        <w:t>125</w:t>
      </w:r>
      <w:r w:rsidRPr="00BA1545">
        <w:rPr>
          <w:lang w:val="en-US"/>
        </w:rPr>
        <w:t>k (H1 201</w:t>
      </w:r>
      <w:r w:rsidR="00344D07">
        <w:rPr>
          <w:lang w:val="en-US"/>
        </w:rPr>
        <w:t>6</w:t>
      </w:r>
      <w:r w:rsidRPr="00BA1545">
        <w:rPr>
          <w:lang w:val="en-US"/>
        </w:rPr>
        <w:t xml:space="preserve">: € </w:t>
      </w:r>
      <w:r w:rsidR="0092153F">
        <w:rPr>
          <w:lang w:val="en-US"/>
        </w:rPr>
        <w:t>98</w:t>
      </w:r>
      <w:r w:rsidR="000F7F82">
        <w:rPr>
          <w:lang w:val="en-US"/>
        </w:rPr>
        <w:t>k</w:t>
      </w:r>
      <w:r w:rsidRPr="00BA1545">
        <w:rPr>
          <w:lang w:val="en-US"/>
        </w:rPr>
        <w:t>)</w:t>
      </w:r>
    </w:p>
    <w:p w:rsidR="00344D07" w:rsidRPr="00BA1545" w:rsidRDefault="00344D07" w:rsidP="00BF3C58">
      <w:pPr>
        <w:pStyle w:val="NoSpacing"/>
        <w:numPr>
          <w:ilvl w:val="0"/>
          <w:numId w:val="4"/>
        </w:numPr>
        <w:jc w:val="both"/>
        <w:rPr>
          <w:lang w:val="en-US"/>
        </w:rPr>
      </w:pPr>
      <w:r>
        <w:rPr>
          <w:lang w:val="en-US"/>
        </w:rPr>
        <w:t xml:space="preserve">Order Intake amounts to € </w:t>
      </w:r>
      <w:r w:rsidR="00947664">
        <w:rPr>
          <w:lang w:val="en-US"/>
        </w:rPr>
        <w:t>6.715k</w:t>
      </w:r>
      <w:r>
        <w:rPr>
          <w:lang w:val="en-US"/>
        </w:rPr>
        <w:t xml:space="preserve"> (H1 2016: € </w:t>
      </w:r>
      <w:r w:rsidR="00947664">
        <w:rPr>
          <w:lang w:val="en-US"/>
        </w:rPr>
        <w:t>7.085</w:t>
      </w:r>
      <w:r>
        <w:rPr>
          <w:lang w:val="en-US"/>
        </w:rPr>
        <w:t>k)</w:t>
      </w:r>
    </w:p>
    <w:p w:rsidR="00E37C48" w:rsidRPr="00BA1545" w:rsidRDefault="00E37C48" w:rsidP="00BF3C58">
      <w:pPr>
        <w:pStyle w:val="NoSpacing"/>
        <w:jc w:val="both"/>
        <w:rPr>
          <w:lang w:val="en-US"/>
        </w:rPr>
      </w:pPr>
    </w:p>
    <w:p w:rsidR="001E149A" w:rsidRPr="00BA1545" w:rsidRDefault="001E149A" w:rsidP="00BF3C58">
      <w:pPr>
        <w:pStyle w:val="NoSpacing"/>
        <w:jc w:val="both"/>
        <w:rPr>
          <w:lang w:val="en-US"/>
        </w:rPr>
      </w:pPr>
    </w:p>
    <w:p w:rsidR="001E149A" w:rsidRPr="00BA1545" w:rsidRDefault="001E149A" w:rsidP="00BF3C58">
      <w:pPr>
        <w:pStyle w:val="NoSpacing"/>
        <w:jc w:val="both"/>
        <w:rPr>
          <w:lang w:val="en-US"/>
        </w:rPr>
      </w:pPr>
      <w:r w:rsidRPr="00BA1545">
        <w:rPr>
          <w:lang w:val="en-US"/>
        </w:rPr>
        <w:t>Highlights:</w:t>
      </w:r>
    </w:p>
    <w:p w:rsidR="00420DD5" w:rsidRPr="00BA1545" w:rsidRDefault="00420DD5" w:rsidP="00BF3C58">
      <w:pPr>
        <w:pStyle w:val="NoSpacing"/>
        <w:jc w:val="both"/>
        <w:rPr>
          <w:noProof/>
          <w:lang w:val="en-US" w:eastAsia="ja-JP"/>
        </w:rPr>
      </w:pPr>
    </w:p>
    <w:p w:rsidR="00A50B88" w:rsidRDefault="00A50B88" w:rsidP="00BF3C58">
      <w:pPr>
        <w:pStyle w:val="NoSpacing"/>
        <w:jc w:val="both"/>
        <w:rPr>
          <w:noProof/>
          <w:lang w:val="en-US" w:eastAsia="ja-JP"/>
        </w:rPr>
      </w:pPr>
      <w:r w:rsidRPr="00BA1545">
        <w:rPr>
          <w:noProof/>
          <w:lang w:val="en-US" w:eastAsia="ja-JP"/>
        </w:rPr>
        <w:t>Table 1: Operational performance</w:t>
      </w:r>
    </w:p>
    <w:p w:rsidR="004F0299" w:rsidRPr="00BA1545" w:rsidRDefault="004F0299" w:rsidP="00BF3C58">
      <w:pPr>
        <w:pStyle w:val="NoSpacing"/>
        <w:jc w:val="both"/>
        <w:rPr>
          <w:noProof/>
          <w:lang w:val="en-US" w:eastAsia="ja-JP"/>
        </w:rPr>
      </w:pPr>
    </w:p>
    <w:p w:rsidR="00A50B88" w:rsidRPr="00BA1545" w:rsidRDefault="002629D6">
      <w:pPr>
        <w:spacing w:after="200" w:line="276" w:lineRule="auto"/>
        <w:rPr>
          <w:rFonts w:asciiTheme="minorHAnsi" w:eastAsiaTheme="minorHAnsi" w:hAnsiTheme="minorHAnsi" w:cstheme="minorBidi"/>
          <w:bCs/>
          <w:sz w:val="22"/>
          <w:szCs w:val="22"/>
        </w:rPr>
      </w:pPr>
      <w:r w:rsidRPr="002629D6">
        <w:rPr>
          <w:noProof/>
        </w:rPr>
        <w:drawing>
          <wp:inline distT="0" distB="0" distL="0" distR="0" wp14:anchorId="260DF154" wp14:editId="7FEFFCE7">
            <wp:extent cx="5760720" cy="3802475"/>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02475"/>
                    </a:xfrm>
                    <a:prstGeom prst="rect">
                      <a:avLst/>
                    </a:prstGeom>
                    <a:noFill/>
                    <a:ln>
                      <a:noFill/>
                    </a:ln>
                  </pic:spPr>
                </pic:pic>
              </a:graphicData>
            </a:graphic>
          </wp:inline>
        </w:drawing>
      </w:r>
      <w:r w:rsidR="00A50B88" w:rsidRPr="00BA1545">
        <w:rPr>
          <w:rFonts w:asciiTheme="minorHAnsi" w:hAnsiTheme="minorHAnsi"/>
          <w:bCs/>
          <w:sz w:val="22"/>
          <w:szCs w:val="22"/>
        </w:rPr>
        <w:br w:type="page"/>
      </w:r>
    </w:p>
    <w:p w:rsidR="00A50B88" w:rsidRPr="00BA1545" w:rsidRDefault="00A50B88" w:rsidP="00BF3C58">
      <w:pPr>
        <w:pStyle w:val="NoSpacing"/>
        <w:jc w:val="both"/>
        <w:rPr>
          <w:bCs/>
          <w:lang w:val="en-US"/>
        </w:rPr>
      </w:pPr>
      <w:r w:rsidRPr="00BA1545">
        <w:rPr>
          <w:bCs/>
          <w:lang w:val="en-US"/>
        </w:rPr>
        <w:lastRenderedPageBreak/>
        <w:t>Table 2: EU projects and total performance</w:t>
      </w:r>
    </w:p>
    <w:p w:rsidR="00A50B88" w:rsidRPr="00BA1545" w:rsidRDefault="00A50B88" w:rsidP="00BF3C58">
      <w:pPr>
        <w:pStyle w:val="NoSpacing"/>
        <w:jc w:val="both"/>
        <w:rPr>
          <w:bCs/>
          <w:lang w:val="en-US"/>
        </w:rPr>
      </w:pPr>
    </w:p>
    <w:p w:rsidR="00535A1F" w:rsidRDefault="002629D6" w:rsidP="00BF3C58">
      <w:pPr>
        <w:pStyle w:val="NoSpacing"/>
        <w:jc w:val="both"/>
        <w:rPr>
          <w:bCs/>
          <w:lang w:val="en-US"/>
        </w:rPr>
      </w:pPr>
      <w:r w:rsidRPr="002629D6">
        <w:rPr>
          <w:noProof/>
          <w:lang w:val="en-US"/>
        </w:rPr>
        <w:drawing>
          <wp:inline distT="0" distB="0" distL="0" distR="0">
            <wp:extent cx="4830146" cy="3976254"/>
            <wp:effectExtent l="0" t="0" r="889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195" cy="3976294"/>
                    </a:xfrm>
                    <a:prstGeom prst="rect">
                      <a:avLst/>
                    </a:prstGeom>
                    <a:noFill/>
                    <a:ln>
                      <a:noFill/>
                    </a:ln>
                  </pic:spPr>
                </pic:pic>
              </a:graphicData>
            </a:graphic>
          </wp:inline>
        </w:drawing>
      </w:r>
    </w:p>
    <w:p w:rsidR="00BD3E85" w:rsidRPr="00BA1545" w:rsidRDefault="00BD3E85" w:rsidP="00BF3C58">
      <w:pPr>
        <w:pStyle w:val="NoSpacing"/>
        <w:jc w:val="both"/>
        <w:rPr>
          <w:bCs/>
          <w:lang w:val="en-US"/>
        </w:rPr>
      </w:pPr>
    </w:p>
    <w:p w:rsidR="00BF3C58" w:rsidRPr="00BA1545" w:rsidRDefault="00934F20" w:rsidP="00BF3C58">
      <w:pPr>
        <w:pStyle w:val="NoSpacing"/>
        <w:jc w:val="both"/>
        <w:rPr>
          <w:bCs/>
          <w:lang w:val="en-US"/>
        </w:rPr>
      </w:pPr>
      <w:r w:rsidRPr="00BA1545">
        <w:rPr>
          <w:bCs/>
          <w:lang w:val="en-US"/>
        </w:rPr>
        <w:t xml:space="preserve">TIE </w:t>
      </w:r>
      <w:proofErr w:type="spellStart"/>
      <w:r w:rsidRPr="00BA1545">
        <w:rPr>
          <w:bCs/>
          <w:lang w:val="en-US"/>
        </w:rPr>
        <w:t>Kinetix</w:t>
      </w:r>
      <w:proofErr w:type="spellEnd"/>
      <w:r w:rsidR="00584AC8" w:rsidRPr="00BA1545">
        <w:rPr>
          <w:bCs/>
          <w:lang w:val="en-US"/>
        </w:rPr>
        <w:t xml:space="preserve">, the </w:t>
      </w:r>
      <w:r w:rsidR="00702866" w:rsidRPr="00BA1545">
        <w:rPr>
          <w:bCs/>
          <w:lang w:val="en-US"/>
        </w:rPr>
        <w:t xml:space="preserve">leading </w:t>
      </w:r>
      <w:r w:rsidR="006C125B" w:rsidRPr="00BA1545">
        <w:rPr>
          <w:bCs/>
          <w:lang w:val="en-US"/>
        </w:rPr>
        <w:t xml:space="preserve">provider of </w:t>
      </w:r>
      <w:r w:rsidR="00473560">
        <w:rPr>
          <w:bCs/>
          <w:lang w:val="en-US"/>
        </w:rPr>
        <w:t xml:space="preserve">Software as a Service </w:t>
      </w:r>
      <w:r w:rsidR="006C125B" w:rsidRPr="00BA1545">
        <w:rPr>
          <w:bCs/>
          <w:lang w:val="en-US"/>
        </w:rPr>
        <w:t xml:space="preserve">managed </w:t>
      </w:r>
      <w:r w:rsidR="00473560">
        <w:rPr>
          <w:bCs/>
          <w:lang w:val="en-US"/>
        </w:rPr>
        <w:t xml:space="preserve">solutions for </w:t>
      </w:r>
      <w:r w:rsidR="006C125B" w:rsidRPr="00BA1545">
        <w:rPr>
          <w:bCs/>
          <w:lang w:val="en-US"/>
        </w:rPr>
        <w:t xml:space="preserve">Integration, Analytics, Demand Generation and E-Commerce today released interim results for </w:t>
      </w:r>
      <w:r w:rsidR="00E11ACB" w:rsidRPr="00BA1545">
        <w:rPr>
          <w:bCs/>
          <w:lang w:val="en-US"/>
        </w:rPr>
        <w:t>the first half year of its fiscal</w:t>
      </w:r>
      <w:r w:rsidR="009D4ECB">
        <w:rPr>
          <w:bCs/>
          <w:lang w:val="en-US"/>
        </w:rPr>
        <w:t xml:space="preserve"> year</w:t>
      </w:r>
      <w:r w:rsidR="00E11ACB" w:rsidRPr="00BA1545">
        <w:rPr>
          <w:bCs/>
          <w:lang w:val="en-US"/>
        </w:rPr>
        <w:t xml:space="preserve"> </w:t>
      </w:r>
      <w:r w:rsidR="006C125B" w:rsidRPr="00BA1545">
        <w:rPr>
          <w:bCs/>
          <w:lang w:val="en-US"/>
        </w:rPr>
        <w:t>201</w:t>
      </w:r>
      <w:r w:rsidR="00344D07">
        <w:rPr>
          <w:bCs/>
          <w:lang w:val="en-US"/>
        </w:rPr>
        <w:t>7</w:t>
      </w:r>
      <w:r w:rsidR="00E91943" w:rsidRPr="00BA1545">
        <w:rPr>
          <w:bCs/>
          <w:lang w:val="en-US"/>
        </w:rPr>
        <w:t>, covering the period October 1, 201</w:t>
      </w:r>
      <w:r w:rsidR="00344D07">
        <w:rPr>
          <w:bCs/>
          <w:lang w:val="en-US"/>
        </w:rPr>
        <w:t>6</w:t>
      </w:r>
      <w:r w:rsidR="00E91943" w:rsidRPr="00BA1545">
        <w:rPr>
          <w:bCs/>
          <w:lang w:val="en-US"/>
        </w:rPr>
        <w:t xml:space="preserve"> – March 31, 201</w:t>
      </w:r>
      <w:r w:rsidR="00344D07">
        <w:rPr>
          <w:bCs/>
          <w:lang w:val="en-US"/>
        </w:rPr>
        <w:t>7</w:t>
      </w:r>
      <w:r w:rsidR="00E91943" w:rsidRPr="00BA1545">
        <w:rPr>
          <w:bCs/>
          <w:lang w:val="en-US"/>
        </w:rPr>
        <w:t xml:space="preserve">. </w:t>
      </w:r>
    </w:p>
    <w:p w:rsidR="002A51B8" w:rsidRPr="00BA1545" w:rsidRDefault="002A51B8" w:rsidP="00BF3C58">
      <w:pPr>
        <w:pStyle w:val="NoSpacing"/>
        <w:jc w:val="both"/>
        <w:rPr>
          <w:bCs/>
          <w:lang w:val="en-US"/>
        </w:rPr>
      </w:pPr>
    </w:p>
    <w:p w:rsidR="00B35711" w:rsidRPr="00103214" w:rsidRDefault="00B35711" w:rsidP="00BF3C58">
      <w:pPr>
        <w:pStyle w:val="NoSpacing"/>
        <w:jc w:val="both"/>
        <w:rPr>
          <w:b/>
          <w:bCs/>
          <w:lang w:val="en-US"/>
        </w:rPr>
      </w:pPr>
      <w:r w:rsidRPr="00103214">
        <w:rPr>
          <w:b/>
          <w:bCs/>
          <w:lang w:val="en-US"/>
        </w:rPr>
        <w:t>Revenue</w:t>
      </w:r>
      <w:r w:rsidR="005045F5" w:rsidRPr="00103214">
        <w:rPr>
          <w:b/>
          <w:bCs/>
          <w:lang w:val="en-US"/>
        </w:rPr>
        <w:t xml:space="preserve"> (excl</w:t>
      </w:r>
      <w:r w:rsidR="00103214" w:rsidRPr="00103214">
        <w:rPr>
          <w:b/>
          <w:bCs/>
          <w:lang w:val="en-US"/>
        </w:rPr>
        <w:t>.</w:t>
      </w:r>
      <w:r w:rsidR="005045F5" w:rsidRPr="00103214">
        <w:rPr>
          <w:b/>
          <w:bCs/>
          <w:lang w:val="en-US"/>
        </w:rPr>
        <w:t xml:space="preserve"> EU </w:t>
      </w:r>
      <w:r w:rsidR="00103214" w:rsidRPr="00103214">
        <w:rPr>
          <w:b/>
          <w:bCs/>
          <w:lang w:val="en-US"/>
        </w:rPr>
        <w:t>projects</w:t>
      </w:r>
      <w:r w:rsidR="005045F5" w:rsidRPr="00103214">
        <w:rPr>
          <w:b/>
          <w:bCs/>
          <w:lang w:val="en-US"/>
        </w:rPr>
        <w:t>)</w:t>
      </w:r>
    </w:p>
    <w:p w:rsidR="00850271" w:rsidRPr="00BA1545" w:rsidRDefault="00103214" w:rsidP="00BF3C58">
      <w:pPr>
        <w:pStyle w:val="NoSpacing"/>
        <w:jc w:val="both"/>
        <w:rPr>
          <w:bCs/>
          <w:lang w:val="en-US"/>
        </w:rPr>
      </w:pPr>
      <w:r>
        <w:rPr>
          <w:bCs/>
          <w:lang w:val="en-US"/>
        </w:rPr>
        <w:t>R</w:t>
      </w:r>
      <w:r w:rsidR="00BE4892" w:rsidRPr="00BA1545">
        <w:rPr>
          <w:bCs/>
          <w:lang w:val="en-US"/>
        </w:rPr>
        <w:t xml:space="preserve">evenue </w:t>
      </w:r>
      <w:r w:rsidR="00473560">
        <w:rPr>
          <w:bCs/>
          <w:lang w:val="en-US"/>
        </w:rPr>
        <w:t xml:space="preserve">- </w:t>
      </w:r>
      <w:r w:rsidR="00473560" w:rsidRPr="00BA1545">
        <w:rPr>
          <w:bCs/>
          <w:lang w:val="en-US"/>
        </w:rPr>
        <w:t xml:space="preserve">including a </w:t>
      </w:r>
      <w:r w:rsidR="00473560">
        <w:rPr>
          <w:bCs/>
          <w:lang w:val="en-US"/>
        </w:rPr>
        <w:t xml:space="preserve">positive </w:t>
      </w:r>
      <w:r w:rsidR="00473560" w:rsidRPr="00BA1545">
        <w:rPr>
          <w:bCs/>
          <w:lang w:val="en-US"/>
        </w:rPr>
        <w:t xml:space="preserve">currency effect of € </w:t>
      </w:r>
      <w:r w:rsidR="00473560">
        <w:rPr>
          <w:bCs/>
          <w:lang w:val="en-US"/>
        </w:rPr>
        <w:t>88</w:t>
      </w:r>
      <w:r w:rsidR="00473560" w:rsidRPr="00BA1545">
        <w:rPr>
          <w:bCs/>
          <w:lang w:val="en-US"/>
        </w:rPr>
        <w:t>k</w:t>
      </w:r>
      <w:r w:rsidR="00473560">
        <w:rPr>
          <w:bCs/>
          <w:lang w:val="en-US"/>
        </w:rPr>
        <w:t xml:space="preserve"> -</w:t>
      </w:r>
      <w:proofErr w:type="gramStart"/>
      <w:r w:rsidR="00473560">
        <w:rPr>
          <w:bCs/>
          <w:lang w:val="en-US"/>
        </w:rPr>
        <w:t xml:space="preserve">,  </w:t>
      </w:r>
      <w:r w:rsidR="00336642">
        <w:rPr>
          <w:bCs/>
          <w:lang w:val="en-US"/>
        </w:rPr>
        <w:t>declined</w:t>
      </w:r>
      <w:proofErr w:type="gramEnd"/>
      <w:r w:rsidR="00BE4892" w:rsidRPr="00BA1545">
        <w:rPr>
          <w:bCs/>
          <w:lang w:val="en-US"/>
        </w:rPr>
        <w:t xml:space="preserve"> with </w:t>
      </w:r>
      <w:r w:rsidR="005045F5" w:rsidRPr="00BA1545">
        <w:rPr>
          <w:bCs/>
          <w:lang w:val="en-US"/>
        </w:rPr>
        <w:t xml:space="preserve">€ </w:t>
      </w:r>
      <w:r w:rsidR="00336642">
        <w:rPr>
          <w:bCs/>
          <w:lang w:val="en-US"/>
        </w:rPr>
        <w:t>235</w:t>
      </w:r>
      <w:r w:rsidR="005045F5" w:rsidRPr="00BA1545">
        <w:rPr>
          <w:bCs/>
          <w:lang w:val="en-US"/>
        </w:rPr>
        <w:t xml:space="preserve">k or </w:t>
      </w:r>
      <w:r w:rsidR="00336642">
        <w:rPr>
          <w:bCs/>
          <w:lang w:val="en-US"/>
        </w:rPr>
        <w:t>2</w:t>
      </w:r>
      <w:r>
        <w:rPr>
          <w:bCs/>
          <w:lang w:val="en-US"/>
        </w:rPr>
        <w:t>,</w:t>
      </w:r>
      <w:r w:rsidR="00336642">
        <w:rPr>
          <w:bCs/>
          <w:lang w:val="en-US"/>
        </w:rPr>
        <w:t>4</w:t>
      </w:r>
      <w:r w:rsidR="00BE4892" w:rsidRPr="00BA1545">
        <w:rPr>
          <w:bCs/>
          <w:lang w:val="en-US"/>
        </w:rPr>
        <w:t xml:space="preserve">% to € </w:t>
      </w:r>
      <w:r>
        <w:rPr>
          <w:bCs/>
          <w:lang w:val="en-US"/>
        </w:rPr>
        <w:t>9.</w:t>
      </w:r>
      <w:r w:rsidR="00336642">
        <w:rPr>
          <w:bCs/>
          <w:lang w:val="en-US"/>
        </w:rPr>
        <w:t>605</w:t>
      </w:r>
      <w:r w:rsidR="00BE4892" w:rsidRPr="00BA1545">
        <w:rPr>
          <w:bCs/>
          <w:lang w:val="en-US"/>
        </w:rPr>
        <w:t>k (H1 201</w:t>
      </w:r>
      <w:r w:rsidR="00344D07">
        <w:rPr>
          <w:bCs/>
          <w:lang w:val="en-US"/>
        </w:rPr>
        <w:t>6</w:t>
      </w:r>
      <w:r w:rsidR="00BE4892" w:rsidRPr="00BA1545">
        <w:rPr>
          <w:bCs/>
          <w:lang w:val="en-US"/>
        </w:rPr>
        <w:t xml:space="preserve">: € </w:t>
      </w:r>
      <w:r>
        <w:rPr>
          <w:bCs/>
          <w:lang w:val="en-US"/>
        </w:rPr>
        <w:t>9.</w:t>
      </w:r>
      <w:r w:rsidR="00A93985">
        <w:rPr>
          <w:bCs/>
          <w:lang w:val="en-US"/>
        </w:rPr>
        <w:t>842</w:t>
      </w:r>
      <w:r w:rsidR="00BE4892" w:rsidRPr="00BA1545">
        <w:rPr>
          <w:bCs/>
          <w:lang w:val="en-US"/>
        </w:rPr>
        <w:t>k)</w:t>
      </w:r>
      <w:r w:rsidR="005045F5" w:rsidRPr="00BA1545">
        <w:rPr>
          <w:bCs/>
          <w:lang w:val="en-US"/>
        </w:rPr>
        <w:t xml:space="preserve">, </w:t>
      </w:r>
      <w:r w:rsidR="00336642">
        <w:rPr>
          <w:bCs/>
          <w:lang w:val="en-US"/>
        </w:rPr>
        <w:t xml:space="preserve">primarily caused by a decline in </w:t>
      </w:r>
      <w:r w:rsidR="00336642" w:rsidRPr="00BA1545">
        <w:rPr>
          <w:bCs/>
          <w:lang w:val="en-US"/>
        </w:rPr>
        <w:t xml:space="preserve">Consultancy revenue with € </w:t>
      </w:r>
      <w:r w:rsidR="00336642">
        <w:rPr>
          <w:bCs/>
          <w:lang w:val="en-US"/>
        </w:rPr>
        <w:t>49</w:t>
      </w:r>
      <w:r w:rsidR="0092153F">
        <w:rPr>
          <w:bCs/>
          <w:lang w:val="en-US"/>
        </w:rPr>
        <w:t>1</w:t>
      </w:r>
      <w:r w:rsidR="00336642" w:rsidRPr="00BA1545">
        <w:rPr>
          <w:bCs/>
          <w:lang w:val="en-US"/>
        </w:rPr>
        <w:t xml:space="preserve">k or </w:t>
      </w:r>
      <w:r w:rsidR="00336642">
        <w:rPr>
          <w:bCs/>
          <w:lang w:val="en-US"/>
        </w:rPr>
        <w:t>15,3</w:t>
      </w:r>
      <w:r w:rsidR="00336642" w:rsidRPr="00BA1545">
        <w:rPr>
          <w:bCs/>
          <w:lang w:val="en-US"/>
        </w:rPr>
        <w:t xml:space="preserve">% to € </w:t>
      </w:r>
      <w:r w:rsidR="00336642">
        <w:rPr>
          <w:bCs/>
          <w:lang w:val="en-US"/>
        </w:rPr>
        <w:t>2.711</w:t>
      </w:r>
      <w:r w:rsidR="00336642" w:rsidRPr="00BA1545">
        <w:rPr>
          <w:bCs/>
          <w:lang w:val="en-US"/>
        </w:rPr>
        <w:t>k (H1 201</w:t>
      </w:r>
      <w:r w:rsidR="00336642">
        <w:rPr>
          <w:bCs/>
          <w:lang w:val="en-US"/>
        </w:rPr>
        <w:t>6</w:t>
      </w:r>
      <w:r w:rsidR="00336642" w:rsidRPr="00BA1545">
        <w:rPr>
          <w:bCs/>
          <w:lang w:val="en-US"/>
        </w:rPr>
        <w:t>: € 3.</w:t>
      </w:r>
      <w:r w:rsidR="00336642">
        <w:rPr>
          <w:bCs/>
          <w:lang w:val="en-US"/>
        </w:rPr>
        <w:t>202</w:t>
      </w:r>
      <w:r w:rsidR="00336642" w:rsidRPr="00BA1545">
        <w:rPr>
          <w:bCs/>
          <w:lang w:val="en-US"/>
        </w:rPr>
        <w:t xml:space="preserve">k). </w:t>
      </w:r>
      <w:r w:rsidR="00336642">
        <w:rPr>
          <w:bCs/>
          <w:lang w:val="en-US"/>
        </w:rPr>
        <w:t xml:space="preserve">The underlying </w:t>
      </w:r>
      <w:r w:rsidR="003926E6" w:rsidRPr="00BA1545">
        <w:rPr>
          <w:bCs/>
          <w:lang w:val="en-US"/>
        </w:rPr>
        <w:t xml:space="preserve">SaaS revenue grew with € </w:t>
      </w:r>
      <w:r w:rsidR="00336642">
        <w:rPr>
          <w:bCs/>
          <w:lang w:val="en-US"/>
        </w:rPr>
        <w:t>26</w:t>
      </w:r>
      <w:r w:rsidR="0092153F">
        <w:rPr>
          <w:bCs/>
          <w:lang w:val="en-US"/>
        </w:rPr>
        <w:t>6</w:t>
      </w:r>
      <w:r w:rsidR="003926E6" w:rsidRPr="00BA1545">
        <w:rPr>
          <w:bCs/>
          <w:lang w:val="en-US"/>
        </w:rPr>
        <w:t xml:space="preserve">k or </w:t>
      </w:r>
      <w:r w:rsidR="00336642">
        <w:rPr>
          <w:bCs/>
          <w:lang w:val="en-US"/>
        </w:rPr>
        <w:t>5</w:t>
      </w:r>
      <w:proofErr w:type="gramStart"/>
      <w:r w:rsidR="00336642">
        <w:rPr>
          <w:bCs/>
          <w:lang w:val="en-US"/>
        </w:rPr>
        <w:t>,5</w:t>
      </w:r>
      <w:proofErr w:type="gramEnd"/>
      <w:r w:rsidR="003926E6" w:rsidRPr="00BA1545">
        <w:rPr>
          <w:bCs/>
          <w:lang w:val="en-US"/>
        </w:rPr>
        <w:t xml:space="preserve">% to € </w:t>
      </w:r>
      <w:r w:rsidR="00336642">
        <w:rPr>
          <w:bCs/>
          <w:lang w:val="en-US"/>
        </w:rPr>
        <w:t>5.07</w:t>
      </w:r>
      <w:r w:rsidR="00945547">
        <w:rPr>
          <w:bCs/>
          <w:lang w:val="en-US"/>
        </w:rPr>
        <w:t>8</w:t>
      </w:r>
      <w:r>
        <w:rPr>
          <w:bCs/>
          <w:lang w:val="en-US"/>
        </w:rPr>
        <w:t>k (H1 201</w:t>
      </w:r>
      <w:r w:rsidR="00A93985">
        <w:rPr>
          <w:bCs/>
          <w:lang w:val="en-US"/>
        </w:rPr>
        <w:t>6</w:t>
      </w:r>
      <w:r w:rsidR="003926E6" w:rsidRPr="00BA1545">
        <w:rPr>
          <w:bCs/>
          <w:lang w:val="en-US"/>
        </w:rPr>
        <w:t xml:space="preserve">: € </w:t>
      </w:r>
      <w:r>
        <w:rPr>
          <w:bCs/>
          <w:lang w:val="en-US"/>
        </w:rPr>
        <w:t>4.</w:t>
      </w:r>
      <w:r w:rsidR="00945547">
        <w:rPr>
          <w:bCs/>
          <w:lang w:val="en-US"/>
        </w:rPr>
        <w:t>81</w:t>
      </w:r>
      <w:r w:rsidR="0092153F">
        <w:rPr>
          <w:bCs/>
          <w:lang w:val="en-US"/>
        </w:rPr>
        <w:t>2</w:t>
      </w:r>
      <w:r w:rsidR="003926E6" w:rsidRPr="00BA1545">
        <w:rPr>
          <w:bCs/>
          <w:lang w:val="en-US"/>
        </w:rPr>
        <w:t>k)</w:t>
      </w:r>
      <w:r w:rsidR="00336642">
        <w:rPr>
          <w:bCs/>
          <w:lang w:val="en-US"/>
        </w:rPr>
        <w:t>.</w:t>
      </w:r>
    </w:p>
    <w:p w:rsidR="00850271" w:rsidRPr="00BA1545" w:rsidRDefault="00850271" w:rsidP="00BF3C58">
      <w:pPr>
        <w:pStyle w:val="NoSpacing"/>
        <w:jc w:val="both"/>
        <w:rPr>
          <w:bCs/>
          <w:lang w:val="en-US"/>
        </w:rPr>
      </w:pPr>
    </w:p>
    <w:p w:rsidR="00206D84" w:rsidRPr="00BA1545" w:rsidRDefault="00206D84" w:rsidP="00BF3C58">
      <w:pPr>
        <w:pStyle w:val="NoSpacing"/>
        <w:jc w:val="both"/>
        <w:rPr>
          <w:bCs/>
          <w:lang w:val="en-US"/>
        </w:rPr>
      </w:pPr>
      <w:r w:rsidRPr="00BA1545">
        <w:rPr>
          <w:bCs/>
          <w:lang w:val="en-US"/>
        </w:rPr>
        <w:t>The following highlights the developments in our four business lines:</w:t>
      </w:r>
    </w:p>
    <w:p w:rsidR="00206D84" w:rsidRPr="00BA1545" w:rsidRDefault="003509C7" w:rsidP="00BF3C58">
      <w:pPr>
        <w:pStyle w:val="NoSpacing"/>
        <w:numPr>
          <w:ilvl w:val="0"/>
          <w:numId w:val="5"/>
        </w:numPr>
        <w:jc w:val="both"/>
        <w:rPr>
          <w:bCs/>
          <w:lang w:val="en-US"/>
        </w:rPr>
      </w:pPr>
      <w:r w:rsidRPr="00BA1545">
        <w:rPr>
          <w:bCs/>
          <w:lang w:val="en-US"/>
        </w:rPr>
        <w:t>Business Integration</w:t>
      </w:r>
      <w:r w:rsidR="00891F45" w:rsidRPr="00BA1545">
        <w:rPr>
          <w:bCs/>
          <w:lang w:val="en-US"/>
        </w:rPr>
        <w:t>:</w:t>
      </w:r>
      <w:r w:rsidRPr="00BA1545">
        <w:rPr>
          <w:bCs/>
          <w:lang w:val="en-US"/>
        </w:rPr>
        <w:t xml:space="preserve"> </w:t>
      </w:r>
      <w:r w:rsidR="00B006F2">
        <w:rPr>
          <w:bCs/>
          <w:lang w:val="en-US"/>
        </w:rPr>
        <w:t xml:space="preserve">we continue to see a strong demand for our offering particularly in the Netherlands and in the US. </w:t>
      </w:r>
      <w:r w:rsidR="00336642">
        <w:rPr>
          <w:bCs/>
          <w:lang w:val="en-US"/>
        </w:rPr>
        <w:t xml:space="preserve">In France, an upgrade program to our latest integration suite of products </w:t>
      </w:r>
      <w:proofErr w:type="spellStart"/>
      <w:r w:rsidR="00336642">
        <w:rPr>
          <w:bCs/>
          <w:lang w:val="en-US"/>
        </w:rPr>
        <w:t>fuelled</w:t>
      </w:r>
      <w:proofErr w:type="spellEnd"/>
      <w:r w:rsidR="00336642">
        <w:rPr>
          <w:bCs/>
          <w:lang w:val="en-US"/>
        </w:rPr>
        <w:t xml:space="preserve"> our sales.</w:t>
      </w:r>
      <w:r w:rsidR="00B006F2">
        <w:rPr>
          <w:bCs/>
          <w:lang w:val="en-US"/>
        </w:rPr>
        <w:t xml:space="preserve"> </w:t>
      </w:r>
      <w:r w:rsidR="00AA2FFE" w:rsidRPr="00BA1545">
        <w:rPr>
          <w:bCs/>
          <w:lang w:val="en-US"/>
        </w:rPr>
        <w:t xml:space="preserve">In the first six months, our Business Integration revenue </w:t>
      </w:r>
      <w:r w:rsidR="00B006F2">
        <w:rPr>
          <w:bCs/>
          <w:lang w:val="en-US"/>
        </w:rPr>
        <w:t>increased</w:t>
      </w:r>
      <w:r w:rsidR="00AA2FFE" w:rsidRPr="00BA1545">
        <w:rPr>
          <w:bCs/>
          <w:lang w:val="en-US"/>
        </w:rPr>
        <w:t xml:space="preserve"> </w:t>
      </w:r>
      <w:r w:rsidR="00F867A3" w:rsidRPr="00BA1545">
        <w:rPr>
          <w:bCs/>
          <w:lang w:val="en-US"/>
        </w:rPr>
        <w:t xml:space="preserve">with </w:t>
      </w:r>
      <w:r w:rsidR="00336642">
        <w:rPr>
          <w:bCs/>
          <w:lang w:val="en-US"/>
        </w:rPr>
        <w:t>4</w:t>
      </w:r>
      <w:proofErr w:type="gramStart"/>
      <w:r w:rsidR="00336642">
        <w:rPr>
          <w:bCs/>
          <w:lang w:val="en-US"/>
        </w:rPr>
        <w:t>,7</w:t>
      </w:r>
      <w:proofErr w:type="gramEnd"/>
      <w:r w:rsidR="00F867A3" w:rsidRPr="00BA1545">
        <w:rPr>
          <w:bCs/>
          <w:lang w:val="en-US"/>
        </w:rPr>
        <w:t xml:space="preserve">% </w:t>
      </w:r>
      <w:r w:rsidR="0023333D" w:rsidRPr="00BA1545">
        <w:rPr>
          <w:bCs/>
          <w:lang w:val="en-US"/>
        </w:rPr>
        <w:t xml:space="preserve">to </w:t>
      </w:r>
      <w:r w:rsidR="0023333D" w:rsidRPr="00BA1545">
        <w:rPr>
          <w:lang w:val="en-US"/>
        </w:rPr>
        <w:t xml:space="preserve">€ </w:t>
      </w:r>
      <w:r w:rsidR="00B006F2">
        <w:rPr>
          <w:lang w:val="en-US"/>
        </w:rPr>
        <w:t>5.5</w:t>
      </w:r>
      <w:r w:rsidR="00336642">
        <w:rPr>
          <w:lang w:val="en-US"/>
        </w:rPr>
        <w:t>1</w:t>
      </w:r>
      <w:r w:rsidR="00B006F2">
        <w:rPr>
          <w:lang w:val="en-US"/>
        </w:rPr>
        <w:t>2</w:t>
      </w:r>
      <w:r w:rsidR="0023333D" w:rsidRPr="00BA1545">
        <w:rPr>
          <w:bCs/>
          <w:lang w:val="en-US"/>
        </w:rPr>
        <w:t>k (H1 201</w:t>
      </w:r>
      <w:r w:rsidR="00336642">
        <w:rPr>
          <w:bCs/>
          <w:lang w:val="en-US"/>
        </w:rPr>
        <w:t>6</w:t>
      </w:r>
      <w:r w:rsidR="0023333D" w:rsidRPr="00BA1545">
        <w:rPr>
          <w:bCs/>
          <w:lang w:val="en-US"/>
        </w:rPr>
        <w:t xml:space="preserve">: </w:t>
      </w:r>
      <w:r w:rsidR="00DB67AA" w:rsidRPr="00BA1545">
        <w:rPr>
          <w:lang w:val="en-US"/>
        </w:rPr>
        <w:t xml:space="preserve">€ </w:t>
      </w:r>
      <w:r w:rsidR="00336642">
        <w:rPr>
          <w:lang w:val="en-US"/>
        </w:rPr>
        <w:t>5.264</w:t>
      </w:r>
      <w:r w:rsidR="003574C1" w:rsidRPr="00BA1545">
        <w:rPr>
          <w:bCs/>
          <w:lang w:val="en-US"/>
        </w:rPr>
        <w:t xml:space="preserve">), </w:t>
      </w:r>
      <w:r w:rsidR="00336642">
        <w:rPr>
          <w:bCs/>
          <w:lang w:val="en-US"/>
        </w:rPr>
        <w:t xml:space="preserve">driven by 15% </w:t>
      </w:r>
      <w:r w:rsidR="00B006F2">
        <w:rPr>
          <w:bCs/>
          <w:lang w:val="en-US"/>
        </w:rPr>
        <w:t>higher</w:t>
      </w:r>
      <w:r w:rsidR="003574C1" w:rsidRPr="00BA1545">
        <w:rPr>
          <w:bCs/>
          <w:lang w:val="en-US"/>
        </w:rPr>
        <w:t xml:space="preserve"> SaaS revenue </w:t>
      </w:r>
      <w:r w:rsidR="00B006F2">
        <w:rPr>
          <w:bCs/>
          <w:lang w:val="en-US"/>
        </w:rPr>
        <w:t>at</w:t>
      </w:r>
      <w:r w:rsidR="003574C1" w:rsidRPr="00BA1545">
        <w:rPr>
          <w:bCs/>
          <w:lang w:val="en-US"/>
        </w:rPr>
        <w:t xml:space="preserve"> € </w:t>
      </w:r>
      <w:r w:rsidR="00B006F2">
        <w:rPr>
          <w:bCs/>
          <w:lang w:val="en-US"/>
        </w:rPr>
        <w:t>2.</w:t>
      </w:r>
      <w:r w:rsidR="00336642">
        <w:rPr>
          <w:bCs/>
          <w:lang w:val="en-US"/>
        </w:rPr>
        <w:t>512</w:t>
      </w:r>
      <w:r w:rsidR="003574C1" w:rsidRPr="00BA1545">
        <w:rPr>
          <w:bCs/>
          <w:lang w:val="en-US"/>
        </w:rPr>
        <w:t>k (H1 201</w:t>
      </w:r>
      <w:r w:rsidR="00336642">
        <w:rPr>
          <w:bCs/>
          <w:lang w:val="en-US"/>
        </w:rPr>
        <w:t>6</w:t>
      </w:r>
      <w:r w:rsidR="003574C1" w:rsidRPr="00BA1545">
        <w:rPr>
          <w:bCs/>
          <w:lang w:val="en-US"/>
        </w:rPr>
        <w:t xml:space="preserve">: € </w:t>
      </w:r>
      <w:r w:rsidR="00336642">
        <w:rPr>
          <w:bCs/>
          <w:lang w:val="en-US"/>
        </w:rPr>
        <w:t>2</w:t>
      </w:r>
      <w:r w:rsidR="00B006F2">
        <w:rPr>
          <w:bCs/>
          <w:lang w:val="en-US"/>
        </w:rPr>
        <w:t>.</w:t>
      </w:r>
      <w:r w:rsidR="00336642">
        <w:rPr>
          <w:bCs/>
          <w:lang w:val="en-US"/>
        </w:rPr>
        <w:t>185</w:t>
      </w:r>
      <w:r w:rsidR="003574C1" w:rsidRPr="00BA1545">
        <w:rPr>
          <w:bCs/>
          <w:lang w:val="en-US"/>
        </w:rPr>
        <w:t>k).</w:t>
      </w:r>
    </w:p>
    <w:p w:rsidR="00206D84" w:rsidRPr="00BA1545" w:rsidRDefault="00891F45" w:rsidP="00BF3C58">
      <w:pPr>
        <w:pStyle w:val="NoSpacing"/>
        <w:numPr>
          <w:ilvl w:val="0"/>
          <w:numId w:val="5"/>
        </w:numPr>
        <w:jc w:val="both"/>
        <w:rPr>
          <w:bCs/>
          <w:lang w:val="en-US"/>
        </w:rPr>
      </w:pPr>
      <w:r w:rsidRPr="00BA1545">
        <w:rPr>
          <w:bCs/>
          <w:lang w:val="en-US"/>
        </w:rPr>
        <w:t xml:space="preserve">E-commerce: </w:t>
      </w:r>
      <w:r w:rsidR="00AA2FFE" w:rsidRPr="00BA1545">
        <w:rPr>
          <w:bCs/>
          <w:lang w:val="en-US"/>
        </w:rPr>
        <w:t xml:space="preserve">our E-commerce proposition delivers </w:t>
      </w:r>
      <w:proofErr w:type="spellStart"/>
      <w:r w:rsidR="00AA2FFE" w:rsidRPr="00BA1545">
        <w:rPr>
          <w:bCs/>
          <w:lang w:val="en-US"/>
        </w:rPr>
        <w:t>webshop</w:t>
      </w:r>
      <w:proofErr w:type="spellEnd"/>
      <w:r w:rsidR="00AA2FFE" w:rsidRPr="00BA1545">
        <w:rPr>
          <w:bCs/>
          <w:lang w:val="en-US"/>
        </w:rPr>
        <w:t xml:space="preserve"> back-end solutions with full back office integrations. Our </w:t>
      </w:r>
      <w:r w:rsidR="00336642">
        <w:rPr>
          <w:bCs/>
          <w:lang w:val="en-US"/>
        </w:rPr>
        <w:t xml:space="preserve">largest customer is T-Mobile, for who we deliver various </w:t>
      </w:r>
      <w:proofErr w:type="spellStart"/>
      <w:r w:rsidR="00336642">
        <w:rPr>
          <w:bCs/>
          <w:lang w:val="en-US"/>
        </w:rPr>
        <w:t>webshop</w:t>
      </w:r>
      <w:proofErr w:type="spellEnd"/>
      <w:r w:rsidR="00336642">
        <w:rPr>
          <w:bCs/>
          <w:lang w:val="en-US"/>
        </w:rPr>
        <w:t xml:space="preserve"> integrations in the Netherlands. </w:t>
      </w:r>
      <w:r w:rsidR="005C7820">
        <w:rPr>
          <w:bCs/>
          <w:lang w:val="en-US"/>
        </w:rPr>
        <w:t>O</w:t>
      </w:r>
      <w:r w:rsidR="00057BD0" w:rsidRPr="00BA1545">
        <w:rPr>
          <w:bCs/>
          <w:lang w:val="en-US"/>
        </w:rPr>
        <w:t xml:space="preserve">ur </w:t>
      </w:r>
      <w:r w:rsidR="00C075BF" w:rsidRPr="00BA1545">
        <w:rPr>
          <w:bCs/>
          <w:lang w:val="en-US"/>
        </w:rPr>
        <w:t>E-commerce</w:t>
      </w:r>
      <w:r w:rsidR="00057BD0" w:rsidRPr="00BA1545">
        <w:rPr>
          <w:bCs/>
          <w:lang w:val="en-US"/>
        </w:rPr>
        <w:t xml:space="preserve"> revenue </w:t>
      </w:r>
      <w:r w:rsidR="00336642">
        <w:rPr>
          <w:bCs/>
          <w:lang w:val="en-US"/>
        </w:rPr>
        <w:t xml:space="preserve">stabilized at </w:t>
      </w:r>
      <w:r w:rsidR="0023333D" w:rsidRPr="00BA1545">
        <w:rPr>
          <w:lang w:val="en-US"/>
        </w:rPr>
        <w:t xml:space="preserve">€ </w:t>
      </w:r>
      <w:r w:rsidR="00336642">
        <w:rPr>
          <w:lang w:val="en-US"/>
        </w:rPr>
        <w:t>1.012</w:t>
      </w:r>
      <w:r w:rsidR="0023333D" w:rsidRPr="00BA1545">
        <w:rPr>
          <w:bCs/>
          <w:lang w:val="en-US"/>
        </w:rPr>
        <w:t>k (H1 201</w:t>
      </w:r>
      <w:r w:rsidR="00336642">
        <w:rPr>
          <w:bCs/>
          <w:lang w:val="en-US"/>
        </w:rPr>
        <w:t>6</w:t>
      </w:r>
      <w:r w:rsidR="0023333D" w:rsidRPr="00BA1545">
        <w:rPr>
          <w:bCs/>
          <w:lang w:val="en-US"/>
        </w:rPr>
        <w:t>:</w:t>
      </w:r>
      <w:r w:rsidR="00057BD0" w:rsidRPr="00BA1545">
        <w:rPr>
          <w:bCs/>
          <w:lang w:val="en-US"/>
        </w:rPr>
        <w:t xml:space="preserve"> </w:t>
      </w:r>
      <w:r w:rsidR="00DB67AA" w:rsidRPr="00BA1545">
        <w:rPr>
          <w:lang w:val="en-US"/>
        </w:rPr>
        <w:t xml:space="preserve">€ </w:t>
      </w:r>
      <w:r w:rsidR="00420DD5" w:rsidRPr="00BA1545">
        <w:rPr>
          <w:bCs/>
          <w:lang w:val="en-US"/>
        </w:rPr>
        <w:t>1.</w:t>
      </w:r>
      <w:r w:rsidR="00336642">
        <w:rPr>
          <w:bCs/>
          <w:lang w:val="en-US"/>
        </w:rPr>
        <w:t>096</w:t>
      </w:r>
      <w:r w:rsidR="00DB67AA" w:rsidRPr="00BA1545">
        <w:rPr>
          <w:bCs/>
          <w:lang w:val="en-US"/>
        </w:rPr>
        <w:t>k</w:t>
      </w:r>
      <w:r w:rsidR="00057BD0" w:rsidRPr="00BA1545">
        <w:rPr>
          <w:bCs/>
          <w:lang w:val="en-US"/>
        </w:rPr>
        <w:t>).</w:t>
      </w:r>
    </w:p>
    <w:p w:rsidR="00891F45" w:rsidRPr="00BA1545" w:rsidRDefault="00DF70AD" w:rsidP="00470485">
      <w:pPr>
        <w:pStyle w:val="NoSpacing"/>
        <w:numPr>
          <w:ilvl w:val="0"/>
          <w:numId w:val="5"/>
        </w:numPr>
        <w:jc w:val="both"/>
        <w:rPr>
          <w:lang w:val="en-US"/>
        </w:rPr>
      </w:pPr>
      <w:r w:rsidRPr="00BA1545">
        <w:rPr>
          <w:lang w:val="en-US"/>
        </w:rPr>
        <w:t>Demand Generation</w:t>
      </w:r>
      <w:r w:rsidR="005958DC">
        <w:rPr>
          <w:lang w:val="en-US"/>
        </w:rPr>
        <w:t xml:space="preserve">: </w:t>
      </w:r>
      <w:r w:rsidR="007B667C">
        <w:rPr>
          <w:lang w:val="en-US"/>
        </w:rPr>
        <w:t xml:space="preserve">winning new customer business remains challenging in Demand Generation, even though the Google </w:t>
      </w:r>
      <w:proofErr w:type="spellStart"/>
      <w:r w:rsidR="007B667C">
        <w:rPr>
          <w:lang w:val="en-US"/>
        </w:rPr>
        <w:t>Adwords</w:t>
      </w:r>
      <w:proofErr w:type="spellEnd"/>
      <w:r w:rsidR="007B667C">
        <w:rPr>
          <w:lang w:val="en-US"/>
        </w:rPr>
        <w:t xml:space="preserve"> proposition looks promising. In addition, the termination of various German portals caused further erosion of the Demand Generation revenue base. </w:t>
      </w:r>
      <w:r w:rsidR="00C075BF" w:rsidRPr="00BA1545">
        <w:rPr>
          <w:bCs/>
          <w:lang w:val="en-US"/>
        </w:rPr>
        <w:t xml:space="preserve">In the first six months, our </w:t>
      </w:r>
      <w:r w:rsidR="002E5855" w:rsidRPr="00BA1545">
        <w:rPr>
          <w:bCs/>
          <w:lang w:val="en-US"/>
        </w:rPr>
        <w:t>Demand Generation</w:t>
      </w:r>
      <w:r w:rsidR="00420DD5" w:rsidRPr="00BA1545">
        <w:rPr>
          <w:bCs/>
          <w:lang w:val="en-US"/>
        </w:rPr>
        <w:t xml:space="preserve"> revenue</w:t>
      </w:r>
      <w:r w:rsidR="00473560">
        <w:rPr>
          <w:bCs/>
          <w:lang w:val="en-US"/>
        </w:rPr>
        <w:t>, therefore,</w:t>
      </w:r>
      <w:r w:rsidR="00420DD5" w:rsidRPr="00BA1545">
        <w:rPr>
          <w:bCs/>
          <w:lang w:val="en-US"/>
        </w:rPr>
        <w:t xml:space="preserve"> </w:t>
      </w:r>
      <w:r w:rsidR="007B667C">
        <w:rPr>
          <w:bCs/>
          <w:lang w:val="en-US"/>
        </w:rPr>
        <w:t>de</w:t>
      </w:r>
      <w:r w:rsidR="00E56B50" w:rsidRPr="00BA1545">
        <w:rPr>
          <w:bCs/>
          <w:lang w:val="en-US"/>
        </w:rPr>
        <w:t>creased</w:t>
      </w:r>
      <w:r w:rsidR="00F867A3" w:rsidRPr="00BA1545">
        <w:rPr>
          <w:bCs/>
          <w:lang w:val="en-US"/>
        </w:rPr>
        <w:t xml:space="preserve"> w</w:t>
      </w:r>
      <w:r w:rsidR="007B667C">
        <w:rPr>
          <w:bCs/>
          <w:lang w:val="en-US"/>
        </w:rPr>
        <w:t xml:space="preserve">ith almost 20% </w:t>
      </w:r>
      <w:r w:rsidR="0023333D" w:rsidRPr="00BA1545">
        <w:rPr>
          <w:lang w:val="en-US"/>
        </w:rPr>
        <w:t xml:space="preserve">€ </w:t>
      </w:r>
      <w:r w:rsidR="007B667C">
        <w:rPr>
          <w:lang w:val="en-US"/>
        </w:rPr>
        <w:t>1.790</w:t>
      </w:r>
      <w:r w:rsidR="0023333D" w:rsidRPr="00BA1545">
        <w:rPr>
          <w:bCs/>
          <w:lang w:val="en-US"/>
        </w:rPr>
        <w:t>k (H1 201</w:t>
      </w:r>
      <w:r w:rsidR="00523B38">
        <w:rPr>
          <w:bCs/>
          <w:lang w:val="en-US"/>
        </w:rPr>
        <w:t>6</w:t>
      </w:r>
      <w:r w:rsidR="00420DD5" w:rsidRPr="00BA1545">
        <w:rPr>
          <w:bCs/>
          <w:lang w:val="en-US"/>
        </w:rPr>
        <w:t xml:space="preserve"> </w:t>
      </w:r>
      <w:r w:rsidR="00420DD5" w:rsidRPr="00BA1545">
        <w:rPr>
          <w:lang w:val="en-US"/>
        </w:rPr>
        <w:t xml:space="preserve">€ </w:t>
      </w:r>
      <w:r w:rsidR="005958DC">
        <w:rPr>
          <w:lang w:val="en-US"/>
        </w:rPr>
        <w:t>2.105</w:t>
      </w:r>
      <w:r w:rsidR="00420DD5" w:rsidRPr="00BA1545">
        <w:rPr>
          <w:bCs/>
          <w:lang w:val="en-US"/>
        </w:rPr>
        <w:t>k</w:t>
      </w:r>
      <w:r w:rsidR="00C075BF" w:rsidRPr="00BA1545">
        <w:rPr>
          <w:bCs/>
          <w:lang w:val="en-US"/>
        </w:rPr>
        <w:t>).</w:t>
      </w:r>
      <w:r w:rsidR="0023333D" w:rsidRPr="00BA1545">
        <w:rPr>
          <w:bCs/>
          <w:lang w:val="en-US"/>
        </w:rPr>
        <w:t xml:space="preserve"> </w:t>
      </w:r>
    </w:p>
    <w:p w:rsidR="003509C7" w:rsidRPr="00BA1545" w:rsidRDefault="00E56B50" w:rsidP="00BF3C58">
      <w:pPr>
        <w:pStyle w:val="NoSpacing"/>
        <w:numPr>
          <w:ilvl w:val="0"/>
          <w:numId w:val="5"/>
        </w:numPr>
        <w:jc w:val="both"/>
        <w:rPr>
          <w:bCs/>
          <w:lang w:val="en-US"/>
        </w:rPr>
      </w:pPr>
      <w:r w:rsidRPr="00BA1545">
        <w:rPr>
          <w:bCs/>
          <w:lang w:val="en-US"/>
        </w:rPr>
        <w:lastRenderedPageBreak/>
        <w:t xml:space="preserve">Business </w:t>
      </w:r>
      <w:r w:rsidR="007A5AAC" w:rsidRPr="00BA1545">
        <w:rPr>
          <w:bCs/>
          <w:lang w:val="en-US"/>
        </w:rPr>
        <w:t xml:space="preserve">Analytics: </w:t>
      </w:r>
      <w:r w:rsidR="007B667C">
        <w:rPr>
          <w:bCs/>
          <w:lang w:val="en-US"/>
        </w:rPr>
        <w:t xml:space="preserve">in FY 2016 Google decided to discontinue selling Google search appliance in the license model, which obviously negatively impacted revenue plans at TIE </w:t>
      </w:r>
      <w:proofErr w:type="spellStart"/>
      <w:r w:rsidR="007B667C">
        <w:rPr>
          <w:bCs/>
          <w:lang w:val="en-US"/>
        </w:rPr>
        <w:t>Kinetix</w:t>
      </w:r>
      <w:proofErr w:type="spellEnd"/>
      <w:r w:rsidR="007B667C">
        <w:rPr>
          <w:bCs/>
          <w:lang w:val="en-US"/>
        </w:rPr>
        <w:t xml:space="preserve"> in the second half of 2016 and in Q1, 2017. However, the Analytics business picked up nicely in the second quarter of the first half year 2017, following the launch of the new Google suite of products ‘analytics 360’ early 2017. Order intake is growing and promises further strengthening of this business in the next quarters.</w:t>
      </w:r>
      <w:r w:rsidR="005958DC">
        <w:rPr>
          <w:bCs/>
          <w:lang w:val="en-US"/>
        </w:rPr>
        <w:t xml:space="preserve"> </w:t>
      </w:r>
      <w:r w:rsidR="007B667C">
        <w:rPr>
          <w:bCs/>
          <w:lang w:val="en-US"/>
        </w:rPr>
        <w:t xml:space="preserve">The </w:t>
      </w:r>
      <w:r w:rsidR="005958DC">
        <w:rPr>
          <w:bCs/>
          <w:lang w:val="en-US"/>
        </w:rPr>
        <w:t xml:space="preserve">Analytics </w:t>
      </w:r>
      <w:r w:rsidR="007B667C">
        <w:rPr>
          <w:bCs/>
          <w:lang w:val="en-US"/>
        </w:rPr>
        <w:t xml:space="preserve">reported revenue came in at </w:t>
      </w:r>
      <w:r w:rsidR="0023333D" w:rsidRPr="00BA1545">
        <w:rPr>
          <w:lang w:val="en-US"/>
        </w:rPr>
        <w:t xml:space="preserve">€ </w:t>
      </w:r>
      <w:r w:rsidR="005958DC">
        <w:rPr>
          <w:lang w:val="en-US"/>
        </w:rPr>
        <w:t>1.</w:t>
      </w:r>
      <w:r w:rsidR="007B667C">
        <w:rPr>
          <w:lang w:val="en-US"/>
        </w:rPr>
        <w:t>648</w:t>
      </w:r>
      <w:r w:rsidR="00E07FEF" w:rsidRPr="00BA1545">
        <w:rPr>
          <w:bCs/>
          <w:lang w:val="en-US"/>
        </w:rPr>
        <w:t>k (H1 201</w:t>
      </w:r>
      <w:r w:rsidR="007B667C">
        <w:rPr>
          <w:bCs/>
          <w:lang w:val="en-US"/>
        </w:rPr>
        <w:t>6</w:t>
      </w:r>
      <w:r w:rsidR="0023333D" w:rsidRPr="00BA1545">
        <w:rPr>
          <w:bCs/>
          <w:lang w:val="en-US"/>
        </w:rPr>
        <w:t>:</w:t>
      </w:r>
      <w:r w:rsidR="00F867A3" w:rsidRPr="00BA1545">
        <w:rPr>
          <w:bCs/>
          <w:lang w:val="en-US"/>
        </w:rPr>
        <w:t xml:space="preserve"> </w:t>
      </w:r>
      <w:r w:rsidR="00F867A3" w:rsidRPr="00BA1545">
        <w:rPr>
          <w:lang w:val="en-US"/>
        </w:rPr>
        <w:t xml:space="preserve">€ </w:t>
      </w:r>
      <w:r w:rsidR="00E07FEF" w:rsidRPr="00BA1545">
        <w:rPr>
          <w:lang w:val="en-US"/>
        </w:rPr>
        <w:t>1.</w:t>
      </w:r>
      <w:r w:rsidR="007B667C">
        <w:rPr>
          <w:lang w:val="en-US"/>
        </w:rPr>
        <w:t>807</w:t>
      </w:r>
      <w:r w:rsidR="00F867A3" w:rsidRPr="00BA1545">
        <w:rPr>
          <w:bCs/>
          <w:lang w:val="en-US"/>
        </w:rPr>
        <w:t>k</w:t>
      </w:r>
      <w:r w:rsidR="00E96005" w:rsidRPr="00BA1545">
        <w:rPr>
          <w:bCs/>
          <w:lang w:val="en-US"/>
        </w:rPr>
        <w:t>).</w:t>
      </w:r>
    </w:p>
    <w:p w:rsidR="00BF3C58" w:rsidRPr="00BA1545" w:rsidRDefault="00BF3C58" w:rsidP="00BF3C58">
      <w:pPr>
        <w:pStyle w:val="NoSpacing"/>
        <w:jc w:val="both"/>
        <w:rPr>
          <w:bCs/>
          <w:lang w:val="en-US"/>
        </w:rPr>
      </w:pPr>
    </w:p>
    <w:p w:rsidR="002E5855" w:rsidRPr="00BA1545" w:rsidRDefault="00E96005" w:rsidP="00BF3C58">
      <w:pPr>
        <w:pStyle w:val="NoSpacing"/>
        <w:jc w:val="both"/>
        <w:rPr>
          <w:lang w:val="en-US"/>
        </w:rPr>
      </w:pPr>
      <w:r w:rsidRPr="00BA1545">
        <w:rPr>
          <w:bCs/>
          <w:lang w:val="en-US"/>
        </w:rPr>
        <w:t xml:space="preserve">Jan </w:t>
      </w:r>
      <w:proofErr w:type="spellStart"/>
      <w:r w:rsidRPr="00BA1545">
        <w:rPr>
          <w:bCs/>
          <w:lang w:val="en-US"/>
        </w:rPr>
        <w:t>Sundelin</w:t>
      </w:r>
      <w:proofErr w:type="spellEnd"/>
      <w:r w:rsidRPr="00BA1545">
        <w:rPr>
          <w:bCs/>
          <w:lang w:val="en-US"/>
        </w:rPr>
        <w:t xml:space="preserve"> (CEO) said: </w:t>
      </w:r>
      <w:r w:rsidR="002E5855" w:rsidRPr="00BA1545">
        <w:rPr>
          <w:lang w:val="en-US"/>
        </w:rPr>
        <w:t>“</w:t>
      </w:r>
      <w:r w:rsidR="007B667C">
        <w:rPr>
          <w:lang w:val="en-US"/>
        </w:rPr>
        <w:t xml:space="preserve">with the introduction of FLOW, TIE </w:t>
      </w:r>
      <w:proofErr w:type="spellStart"/>
      <w:r w:rsidR="007B667C">
        <w:rPr>
          <w:lang w:val="en-US"/>
        </w:rPr>
        <w:t>Kinetix</w:t>
      </w:r>
      <w:proofErr w:type="spellEnd"/>
      <w:r w:rsidR="007B667C">
        <w:rPr>
          <w:lang w:val="en-US"/>
        </w:rPr>
        <w:t xml:space="preserve"> made the strategic choice to fully focus on the development, and sales and marketing of FLOW applications. No investments will be made in customers that have no potential to become users of our FLOW platform. At the same time, TIE is freeing up resources to further invest in strategic accounts. Certain non-strategic customers may be terminated and/or not extended. During a temporary transition period, sales mix changes may cause top line revenue decline. The development of FLOW is on track and we are starting to get commercial traction with our FLOW platform. Our sales organization is completely focused on selling FLOW and customers are reacting positively toward</w:t>
      </w:r>
      <w:r w:rsidR="009C6F11">
        <w:rPr>
          <w:lang w:val="en-US"/>
        </w:rPr>
        <w:t>s</w:t>
      </w:r>
      <w:r w:rsidR="007B667C">
        <w:rPr>
          <w:lang w:val="en-US"/>
        </w:rPr>
        <w:t xml:space="preserve"> our proposition. We expect to be able to land more sizable FLOW sales in the subsequent quarters.” </w:t>
      </w:r>
    </w:p>
    <w:p w:rsidR="00987A15" w:rsidRDefault="00987A15" w:rsidP="00BF3C58">
      <w:pPr>
        <w:pStyle w:val="NoSpacing"/>
        <w:jc w:val="both"/>
        <w:rPr>
          <w:bCs/>
          <w:lang w:val="en-US"/>
        </w:rPr>
      </w:pPr>
    </w:p>
    <w:p w:rsidR="007B667C" w:rsidRPr="00BA1545" w:rsidRDefault="007B667C" w:rsidP="00BF3C58">
      <w:pPr>
        <w:pStyle w:val="NoSpacing"/>
        <w:jc w:val="both"/>
        <w:rPr>
          <w:bCs/>
          <w:lang w:val="en-US"/>
        </w:rPr>
      </w:pPr>
    </w:p>
    <w:p w:rsidR="00B35711" w:rsidRPr="007B667C" w:rsidRDefault="00B35711" w:rsidP="00BF3C58">
      <w:pPr>
        <w:pStyle w:val="NoSpacing"/>
        <w:jc w:val="both"/>
        <w:rPr>
          <w:b/>
          <w:bCs/>
          <w:lang w:val="en-US"/>
        </w:rPr>
      </w:pPr>
      <w:r w:rsidRPr="007B667C">
        <w:rPr>
          <w:b/>
          <w:bCs/>
          <w:lang w:val="en-US"/>
        </w:rPr>
        <w:t>Operating margin</w:t>
      </w:r>
    </w:p>
    <w:p w:rsidR="00893AAF" w:rsidRPr="00BA1545" w:rsidRDefault="00893AAF" w:rsidP="00BF3C58">
      <w:pPr>
        <w:pStyle w:val="NoSpacing"/>
        <w:jc w:val="both"/>
        <w:rPr>
          <w:bCs/>
          <w:lang w:val="en-US"/>
        </w:rPr>
      </w:pPr>
    </w:p>
    <w:p w:rsidR="009124FD" w:rsidRPr="00BA1545" w:rsidRDefault="002629D6" w:rsidP="00BF3C58">
      <w:pPr>
        <w:pStyle w:val="NoSpacing"/>
        <w:jc w:val="both"/>
        <w:rPr>
          <w:bCs/>
          <w:lang w:val="en-US"/>
        </w:rPr>
      </w:pPr>
      <w:r w:rsidRPr="002629D6">
        <w:rPr>
          <w:noProof/>
          <w:lang w:val="en-US"/>
        </w:rPr>
        <w:drawing>
          <wp:inline distT="0" distB="0" distL="0" distR="0">
            <wp:extent cx="3172460" cy="2507615"/>
            <wp:effectExtent l="0" t="0" r="889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460" cy="2507615"/>
                    </a:xfrm>
                    <a:prstGeom prst="rect">
                      <a:avLst/>
                    </a:prstGeom>
                    <a:noFill/>
                    <a:ln>
                      <a:noFill/>
                    </a:ln>
                  </pic:spPr>
                </pic:pic>
              </a:graphicData>
            </a:graphic>
          </wp:inline>
        </w:drawing>
      </w:r>
    </w:p>
    <w:p w:rsidR="009124FD" w:rsidRPr="00BA1545" w:rsidRDefault="009124FD" w:rsidP="00BF3C58">
      <w:pPr>
        <w:pStyle w:val="NoSpacing"/>
        <w:jc w:val="both"/>
        <w:rPr>
          <w:bCs/>
          <w:lang w:val="en-US"/>
        </w:rPr>
      </w:pPr>
    </w:p>
    <w:p w:rsidR="00C368EC" w:rsidRDefault="00483EB3"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Pr>
          <w:rFonts w:asciiTheme="minorHAnsi" w:hAnsiTheme="minorHAnsi"/>
          <w:color w:val="auto"/>
          <w:sz w:val="22"/>
          <w:szCs w:val="22"/>
        </w:rPr>
        <w:t>A</w:t>
      </w:r>
      <w:r w:rsidR="00C368EC" w:rsidRPr="00BA1545">
        <w:rPr>
          <w:rFonts w:asciiTheme="minorHAnsi" w:hAnsiTheme="minorHAnsi"/>
          <w:color w:val="auto"/>
          <w:sz w:val="22"/>
          <w:szCs w:val="22"/>
        </w:rPr>
        <w:t>ll employee expenses related to consultants are included as direct costs in the business line in which the consultant performs its activity</w:t>
      </w:r>
      <w:r>
        <w:rPr>
          <w:rFonts w:asciiTheme="minorHAnsi" w:hAnsiTheme="minorHAnsi"/>
          <w:color w:val="auto"/>
          <w:sz w:val="22"/>
          <w:szCs w:val="22"/>
        </w:rPr>
        <w:t>.</w:t>
      </w:r>
      <w:r w:rsidR="00D065B0" w:rsidRPr="00BA1545">
        <w:rPr>
          <w:rFonts w:asciiTheme="minorHAnsi" w:hAnsiTheme="minorHAnsi"/>
          <w:color w:val="auto"/>
          <w:sz w:val="22"/>
          <w:szCs w:val="22"/>
        </w:rPr>
        <w:t xml:space="preserve"> O</w:t>
      </w:r>
      <w:r w:rsidR="00C368EC"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C368EC" w:rsidRPr="00BA1545">
        <w:rPr>
          <w:rFonts w:asciiTheme="minorHAnsi" w:hAnsiTheme="minorHAnsi"/>
          <w:color w:val="auto"/>
          <w:sz w:val="22"/>
          <w:szCs w:val="22"/>
        </w:rPr>
        <w:t>xpenses only reflect indirect costs (including sales costs, SG&amp;A</w:t>
      </w:r>
      <w:r w:rsidR="001C3749">
        <w:rPr>
          <w:rFonts w:asciiTheme="minorHAnsi" w:hAnsiTheme="minorHAnsi"/>
          <w:color w:val="auto"/>
          <w:sz w:val="22"/>
          <w:szCs w:val="22"/>
        </w:rPr>
        <w:t>,</w:t>
      </w:r>
      <w:r w:rsidR="00C368EC" w:rsidRPr="00BA1545">
        <w:rPr>
          <w:rFonts w:asciiTheme="minorHAnsi" w:hAnsiTheme="minorHAnsi"/>
          <w:color w:val="auto"/>
          <w:sz w:val="22"/>
          <w:szCs w:val="22"/>
        </w:rPr>
        <w:t xml:space="preserve"> </w:t>
      </w:r>
      <w:r w:rsidR="001C3749">
        <w:rPr>
          <w:rFonts w:asciiTheme="minorHAnsi" w:hAnsiTheme="minorHAnsi"/>
          <w:color w:val="auto"/>
          <w:sz w:val="22"/>
          <w:szCs w:val="22"/>
        </w:rPr>
        <w:t xml:space="preserve">non-allocated consultancy hours </w:t>
      </w:r>
      <w:r w:rsidR="00C368EC" w:rsidRPr="00BA1545">
        <w:rPr>
          <w:rFonts w:asciiTheme="minorHAnsi" w:hAnsiTheme="minorHAnsi"/>
          <w:color w:val="auto"/>
          <w:sz w:val="22"/>
          <w:szCs w:val="22"/>
        </w:rPr>
        <w:t xml:space="preserve">and management overhead). </w:t>
      </w:r>
    </w:p>
    <w:p w:rsidR="007B667C" w:rsidRPr="00BA1545" w:rsidRDefault="007B667C"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p>
    <w:p w:rsidR="00BA0D22" w:rsidRDefault="003249B7"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sidRPr="00BA1545">
        <w:rPr>
          <w:rFonts w:asciiTheme="minorHAnsi" w:hAnsiTheme="minorHAnsi"/>
          <w:color w:val="auto"/>
          <w:sz w:val="22"/>
          <w:szCs w:val="22"/>
        </w:rPr>
        <w:t>T</w:t>
      </w:r>
      <w:r w:rsidR="00BA0D22" w:rsidRPr="00BA1545">
        <w:rPr>
          <w:rFonts w:asciiTheme="minorHAnsi" w:hAnsiTheme="minorHAnsi"/>
          <w:color w:val="auto"/>
          <w:sz w:val="22"/>
          <w:szCs w:val="22"/>
        </w:rPr>
        <w:t xml:space="preserve">he following table provides a breakdown of the </w:t>
      </w:r>
      <w:r w:rsidR="00D065B0" w:rsidRPr="00BA1545">
        <w:rPr>
          <w:rFonts w:asciiTheme="minorHAnsi" w:hAnsiTheme="minorHAnsi"/>
          <w:color w:val="auto"/>
          <w:sz w:val="22"/>
          <w:szCs w:val="22"/>
        </w:rPr>
        <w:t>T</w:t>
      </w:r>
      <w:r w:rsidR="00BA0D22" w:rsidRPr="00BA1545">
        <w:rPr>
          <w:rFonts w:asciiTheme="minorHAnsi" w:hAnsiTheme="minorHAnsi"/>
          <w:color w:val="auto"/>
          <w:sz w:val="22"/>
          <w:szCs w:val="22"/>
        </w:rPr>
        <w:t xml:space="preserve">otal </w:t>
      </w:r>
      <w:r w:rsidR="00D065B0" w:rsidRPr="00BA1545">
        <w:rPr>
          <w:rFonts w:asciiTheme="minorHAnsi" w:hAnsiTheme="minorHAnsi"/>
          <w:color w:val="auto"/>
          <w:sz w:val="22"/>
          <w:szCs w:val="22"/>
        </w:rPr>
        <w:t>O</w:t>
      </w:r>
      <w:r w:rsidR="00BA0D22"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BA0D22" w:rsidRPr="00BA1545">
        <w:rPr>
          <w:rFonts w:asciiTheme="minorHAnsi" w:hAnsiTheme="minorHAnsi"/>
          <w:color w:val="auto"/>
          <w:sz w:val="22"/>
          <w:szCs w:val="22"/>
        </w:rPr>
        <w:t>xpenses</w:t>
      </w:r>
      <w:r w:rsidR="00D065B0" w:rsidRPr="00BA1545">
        <w:rPr>
          <w:rFonts w:asciiTheme="minorHAnsi" w:hAnsiTheme="minorHAnsi"/>
          <w:color w:val="auto"/>
          <w:sz w:val="22"/>
          <w:szCs w:val="22"/>
        </w:rPr>
        <w:t>:</w:t>
      </w:r>
    </w:p>
    <w:p w:rsidR="00D27737" w:rsidRPr="00BA1545" w:rsidRDefault="002629D6"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r w:rsidRPr="002629D6">
        <w:rPr>
          <w:noProof/>
          <w:lang w:eastAsia="en-US"/>
        </w:rPr>
        <w:drawing>
          <wp:inline distT="0" distB="0" distL="0" distR="0">
            <wp:extent cx="3588385" cy="1108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8385" cy="1108075"/>
                    </a:xfrm>
                    <a:prstGeom prst="rect">
                      <a:avLst/>
                    </a:prstGeom>
                    <a:noFill/>
                    <a:ln>
                      <a:noFill/>
                    </a:ln>
                  </pic:spPr>
                </pic:pic>
              </a:graphicData>
            </a:graphic>
          </wp:inline>
        </w:drawing>
      </w:r>
    </w:p>
    <w:p w:rsidR="001E5136" w:rsidRPr="00BA1545" w:rsidRDefault="001E5136" w:rsidP="00BA0D22">
      <w:pPr>
        <w:pStyle w:val="BodyText"/>
        <w:tabs>
          <w:tab w:val="left" w:pos="180"/>
          <w:tab w:val="right" w:pos="5040"/>
          <w:tab w:val="right" w:pos="6120"/>
          <w:tab w:val="right" w:pos="7200"/>
          <w:tab w:val="right" w:pos="8280"/>
        </w:tabs>
        <w:jc w:val="both"/>
        <w:rPr>
          <w:rFonts w:asciiTheme="minorHAnsi" w:hAnsiTheme="minorHAnsi"/>
          <w:color w:val="auto"/>
          <w:sz w:val="22"/>
          <w:szCs w:val="22"/>
        </w:rPr>
      </w:pPr>
    </w:p>
    <w:p w:rsidR="00BA0D22" w:rsidRPr="00BA1545" w:rsidRDefault="00C368EC" w:rsidP="00BA0D22">
      <w:pPr>
        <w:pStyle w:val="BodyText"/>
        <w:spacing w:before="0" w:after="0"/>
        <w:jc w:val="both"/>
        <w:rPr>
          <w:rFonts w:asciiTheme="minorHAnsi" w:eastAsia="MS Mincho" w:hAnsiTheme="minorHAnsi" w:cs="Trebuchet MS"/>
          <w:color w:val="000000"/>
          <w:sz w:val="22"/>
          <w:szCs w:val="22"/>
          <w:lang w:eastAsia="zh-CN"/>
        </w:rPr>
      </w:pPr>
      <w:r w:rsidRPr="00BA1545">
        <w:rPr>
          <w:rFonts w:asciiTheme="minorHAnsi" w:hAnsiTheme="minorHAnsi"/>
          <w:color w:val="auto"/>
          <w:sz w:val="22"/>
          <w:szCs w:val="22"/>
        </w:rPr>
        <w:lastRenderedPageBreak/>
        <w:t>O</w:t>
      </w:r>
      <w:r w:rsidR="00BA0D22" w:rsidRPr="00BA1545">
        <w:rPr>
          <w:rFonts w:asciiTheme="minorHAnsi" w:hAnsiTheme="minorHAnsi"/>
          <w:color w:val="auto"/>
          <w:sz w:val="22"/>
          <w:szCs w:val="22"/>
        </w:rPr>
        <w:t xml:space="preserve">perating </w:t>
      </w:r>
      <w:r w:rsidR="00D065B0" w:rsidRPr="00BA1545">
        <w:rPr>
          <w:rFonts w:asciiTheme="minorHAnsi" w:hAnsiTheme="minorHAnsi"/>
          <w:color w:val="auto"/>
          <w:sz w:val="22"/>
          <w:szCs w:val="22"/>
        </w:rPr>
        <w:t>E</w:t>
      </w:r>
      <w:r w:rsidR="00BA0D22" w:rsidRPr="00BA1545">
        <w:rPr>
          <w:rFonts w:asciiTheme="minorHAnsi" w:hAnsiTheme="minorHAnsi"/>
          <w:color w:val="auto"/>
          <w:sz w:val="22"/>
          <w:szCs w:val="22"/>
        </w:rPr>
        <w:t xml:space="preserve">xpenses </w:t>
      </w:r>
      <w:r w:rsidR="00BA0D22" w:rsidRPr="00BA1545">
        <w:rPr>
          <w:rFonts w:asciiTheme="minorHAnsi" w:eastAsia="MS Mincho" w:hAnsiTheme="minorHAnsi" w:cs="Trebuchet MS"/>
          <w:color w:val="000000"/>
          <w:sz w:val="22"/>
          <w:szCs w:val="22"/>
          <w:lang w:eastAsia="zh-CN"/>
        </w:rPr>
        <w:t xml:space="preserve">for </w:t>
      </w:r>
      <w:r w:rsidR="009F4C45">
        <w:rPr>
          <w:rFonts w:asciiTheme="minorHAnsi" w:eastAsia="MS Mincho" w:hAnsiTheme="minorHAnsi" w:cs="Trebuchet MS"/>
          <w:color w:val="000000"/>
          <w:sz w:val="22"/>
          <w:szCs w:val="22"/>
          <w:lang w:eastAsia="zh-CN"/>
        </w:rPr>
        <w:t>HY1 of FY 2017</w:t>
      </w:r>
      <w:r w:rsidR="00D065B0" w:rsidRPr="00BA1545">
        <w:rPr>
          <w:rFonts w:asciiTheme="minorHAnsi" w:eastAsia="MS Mincho" w:hAnsiTheme="minorHAnsi" w:cs="Trebuchet MS"/>
          <w:color w:val="000000"/>
          <w:sz w:val="22"/>
          <w:szCs w:val="22"/>
          <w:lang w:eastAsia="zh-CN"/>
        </w:rPr>
        <w:t xml:space="preserve"> </w:t>
      </w:r>
      <w:r w:rsidR="007B667C">
        <w:rPr>
          <w:rFonts w:asciiTheme="minorHAnsi" w:eastAsia="MS Mincho" w:hAnsiTheme="minorHAnsi" w:cs="Trebuchet MS"/>
          <w:color w:val="000000"/>
          <w:sz w:val="22"/>
          <w:szCs w:val="22"/>
          <w:lang w:eastAsia="zh-CN"/>
        </w:rPr>
        <w:t xml:space="preserve">stabilized at </w:t>
      </w:r>
      <w:r w:rsidR="002148DB" w:rsidRPr="00BA1545">
        <w:rPr>
          <w:rFonts w:asciiTheme="minorHAnsi" w:eastAsia="MS Mincho" w:hAnsiTheme="minorHAnsi" w:cs="Trebuchet MS"/>
          <w:color w:val="000000"/>
          <w:sz w:val="22"/>
          <w:szCs w:val="22"/>
          <w:lang w:eastAsia="zh-CN"/>
        </w:rPr>
        <w:t xml:space="preserve">€ </w:t>
      </w:r>
      <w:r w:rsidR="007B667C">
        <w:rPr>
          <w:rFonts w:asciiTheme="minorHAnsi" w:eastAsia="MS Mincho" w:hAnsiTheme="minorHAnsi" w:cs="Trebuchet MS"/>
          <w:color w:val="000000"/>
          <w:sz w:val="22"/>
          <w:szCs w:val="22"/>
          <w:lang w:eastAsia="zh-CN"/>
        </w:rPr>
        <w:t>5</w:t>
      </w:r>
      <w:r w:rsidR="006B7D50">
        <w:rPr>
          <w:rFonts w:asciiTheme="minorHAnsi" w:eastAsia="MS Mincho" w:hAnsiTheme="minorHAnsi" w:cs="Trebuchet MS"/>
          <w:color w:val="000000"/>
          <w:sz w:val="22"/>
          <w:szCs w:val="22"/>
          <w:lang w:eastAsia="zh-CN"/>
        </w:rPr>
        <w:t>.</w:t>
      </w:r>
      <w:r w:rsidR="007B667C">
        <w:rPr>
          <w:rFonts w:asciiTheme="minorHAnsi" w:eastAsia="MS Mincho" w:hAnsiTheme="minorHAnsi" w:cs="Trebuchet MS"/>
          <w:color w:val="000000"/>
          <w:sz w:val="22"/>
          <w:szCs w:val="22"/>
          <w:lang w:eastAsia="zh-CN"/>
        </w:rPr>
        <w:t>1</w:t>
      </w:r>
      <w:r w:rsidR="00945547">
        <w:rPr>
          <w:rFonts w:asciiTheme="minorHAnsi" w:eastAsia="MS Mincho" w:hAnsiTheme="minorHAnsi" w:cs="Trebuchet MS"/>
          <w:color w:val="000000"/>
          <w:sz w:val="22"/>
          <w:szCs w:val="22"/>
          <w:lang w:eastAsia="zh-CN"/>
        </w:rPr>
        <w:t>90</w:t>
      </w:r>
      <w:r w:rsidR="002148DB" w:rsidRPr="00BA1545">
        <w:rPr>
          <w:rFonts w:asciiTheme="minorHAnsi" w:eastAsia="MS Mincho" w:hAnsiTheme="minorHAnsi" w:cs="Trebuchet MS"/>
          <w:color w:val="000000"/>
          <w:sz w:val="22"/>
          <w:szCs w:val="22"/>
          <w:lang w:eastAsia="zh-CN"/>
        </w:rPr>
        <w:t xml:space="preserve">k </w:t>
      </w:r>
      <w:r w:rsidR="00BA0D22" w:rsidRPr="00BA1545">
        <w:rPr>
          <w:rFonts w:asciiTheme="minorHAnsi" w:eastAsia="MS Mincho" w:hAnsiTheme="minorHAnsi" w:cs="Trebuchet MS"/>
          <w:color w:val="000000"/>
          <w:sz w:val="22"/>
          <w:szCs w:val="22"/>
          <w:lang w:eastAsia="zh-CN"/>
        </w:rPr>
        <w:t>(H1 201</w:t>
      </w:r>
      <w:r w:rsidR="007B667C">
        <w:rPr>
          <w:rFonts w:asciiTheme="minorHAnsi" w:eastAsia="MS Mincho" w:hAnsiTheme="minorHAnsi" w:cs="Trebuchet MS"/>
          <w:color w:val="000000"/>
          <w:sz w:val="22"/>
          <w:szCs w:val="22"/>
          <w:lang w:eastAsia="zh-CN"/>
        </w:rPr>
        <w:t>6</w:t>
      </w:r>
      <w:r w:rsidR="00C90FD4" w:rsidRPr="00BA1545">
        <w:rPr>
          <w:rFonts w:asciiTheme="minorHAnsi" w:eastAsia="MS Mincho" w:hAnsiTheme="minorHAnsi" w:cs="Trebuchet MS"/>
          <w:color w:val="000000"/>
          <w:sz w:val="22"/>
          <w:szCs w:val="22"/>
          <w:lang w:eastAsia="zh-CN"/>
        </w:rPr>
        <w:t>:</w:t>
      </w:r>
      <w:r w:rsidR="00BA0D22" w:rsidRPr="00BA1545">
        <w:rPr>
          <w:rFonts w:asciiTheme="minorHAnsi" w:eastAsia="MS Mincho" w:hAnsiTheme="minorHAnsi" w:cs="Trebuchet MS"/>
          <w:color w:val="000000"/>
          <w:sz w:val="22"/>
          <w:szCs w:val="22"/>
          <w:lang w:eastAsia="zh-CN"/>
        </w:rPr>
        <w:t xml:space="preserve"> € </w:t>
      </w:r>
      <w:r w:rsidR="007B667C">
        <w:rPr>
          <w:rFonts w:asciiTheme="minorHAnsi" w:eastAsia="MS Mincho" w:hAnsiTheme="minorHAnsi" w:cs="Trebuchet MS"/>
          <w:color w:val="000000"/>
          <w:sz w:val="22"/>
          <w:szCs w:val="22"/>
          <w:lang w:eastAsia="zh-CN"/>
        </w:rPr>
        <w:t>5</w:t>
      </w:r>
      <w:r w:rsidR="00D7500B">
        <w:rPr>
          <w:rFonts w:asciiTheme="minorHAnsi" w:eastAsia="MS Mincho" w:hAnsiTheme="minorHAnsi" w:cs="Trebuchet MS"/>
          <w:color w:val="000000"/>
          <w:sz w:val="22"/>
          <w:szCs w:val="22"/>
          <w:lang w:eastAsia="zh-CN"/>
        </w:rPr>
        <w:t>.</w:t>
      </w:r>
      <w:r w:rsidR="007B667C">
        <w:rPr>
          <w:rFonts w:asciiTheme="minorHAnsi" w:eastAsia="MS Mincho" w:hAnsiTheme="minorHAnsi" w:cs="Trebuchet MS"/>
          <w:color w:val="000000"/>
          <w:sz w:val="22"/>
          <w:szCs w:val="22"/>
          <w:lang w:eastAsia="zh-CN"/>
        </w:rPr>
        <w:t>154</w:t>
      </w:r>
      <w:r w:rsidR="00D7500B">
        <w:rPr>
          <w:rFonts w:asciiTheme="minorHAnsi" w:eastAsia="MS Mincho" w:hAnsiTheme="minorHAnsi" w:cs="Trebuchet MS"/>
          <w:color w:val="000000"/>
          <w:sz w:val="22"/>
          <w:szCs w:val="22"/>
          <w:lang w:eastAsia="zh-CN"/>
        </w:rPr>
        <w:t>k)</w:t>
      </w:r>
      <w:r w:rsidR="007B667C">
        <w:rPr>
          <w:rFonts w:asciiTheme="minorHAnsi" w:eastAsia="MS Mincho" w:hAnsiTheme="minorHAnsi" w:cs="Trebuchet MS"/>
          <w:color w:val="000000"/>
          <w:sz w:val="22"/>
          <w:szCs w:val="22"/>
          <w:lang w:eastAsia="zh-CN"/>
        </w:rPr>
        <w:t>; lower employee costs were set off against higher costs of amortization, higher professional fees and higher IT costs</w:t>
      </w:r>
      <w:r w:rsidR="00945547">
        <w:rPr>
          <w:rFonts w:asciiTheme="minorHAnsi" w:eastAsia="MS Mincho" w:hAnsiTheme="minorHAnsi" w:cs="Trebuchet MS"/>
          <w:color w:val="000000"/>
          <w:sz w:val="22"/>
          <w:szCs w:val="22"/>
          <w:lang w:eastAsia="zh-CN"/>
        </w:rPr>
        <w:t xml:space="preserve"> for replacing and upgrading certain business applications.</w:t>
      </w:r>
    </w:p>
    <w:p w:rsidR="00AA1D29" w:rsidRPr="00BA1545" w:rsidRDefault="00AA1D29" w:rsidP="00BA0D22">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p>
    <w:p w:rsidR="00844794" w:rsidRPr="007B667C" w:rsidRDefault="00844794" w:rsidP="00844794">
      <w:pPr>
        <w:pStyle w:val="BodyText"/>
        <w:tabs>
          <w:tab w:val="left" w:pos="180"/>
          <w:tab w:val="right" w:pos="5040"/>
          <w:tab w:val="right" w:pos="6120"/>
          <w:tab w:val="right" w:pos="7200"/>
          <w:tab w:val="right" w:pos="8280"/>
        </w:tabs>
        <w:spacing w:before="0" w:after="0"/>
        <w:jc w:val="both"/>
        <w:rPr>
          <w:rFonts w:asciiTheme="minorHAnsi" w:hAnsiTheme="minorHAnsi"/>
          <w:b/>
          <w:color w:val="auto"/>
          <w:sz w:val="22"/>
          <w:szCs w:val="22"/>
        </w:rPr>
      </w:pPr>
      <w:r w:rsidRPr="007B667C">
        <w:rPr>
          <w:rFonts w:asciiTheme="minorHAnsi" w:hAnsiTheme="minorHAnsi"/>
          <w:b/>
          <w:color w:val="auto"/>
          <w:sz w:val="22"/>
          <w:szCs w:val="22"/>
        </w:rPr>
        <w:t>EU projects</w:t>
      </w:r>
    </w:p>
    <w:p w:rsidR="00844794" w:rsidRPr="00BA1545" w:rsidRDefault="00106078" w:rsidP="00844794">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Pr>
          <w:rFonts w:asciiTheme="minorHAnsi" w:hAnsiTheme="minorHAnsi"/>
          <w:color w:val="auto"/>
          <w:sz w:val="22"/>
          <w:szCs w:val="22"/>
        </w:rPr>
        <w:t>‘</w:t>
      </w:r>
      <w:r w:rsidRPr="00BA1545">
        <w:rPr>
          <w:rFonts w:asciiTheme="minorHAnsi" w:hAnsiTheme="minorHAnsi"/>
          <w:color w:val="auto"/>
          <w:sz w:val="22"/>
          <w:szCs w:val="22"/>
        </w:rPr>
        <w:t>EU project</w:t>
      </w:r>
      <w:r>
        <w:rPr>
          <w:rFonts w:asciiTheme="minorHAnsi" w:hAnsiTheme="minorHAnsi"/>
          <w:color w:val="auto"/>
          <w:sz w:val="22"/>
          <w:szCs w:val="22"/>
        </w:rPr>
        <w:t>s’</w:t>
      </w:r>
      <w:r w:rsidRPr="00BA1545">
        <w:rPr>
          <w:rFonts w:asciiTheme="minorHAnsi" w:hAnsiTheme="minorHAnsi"/>
          <w:color w:val="auto"/>
          <w:sz w:val="22"/>
          <w:szCs w:val="22"/>
        </w:rPr>
        <w:t xml:space="preserve"> are projects for which TIE </w:t>
      </w:r>
      <w:proofErr w:type="spellStart"/>
      <w:r w:rsidRPr="00BA1545">
        <w:rPr>
          <w:rFonts w:asciiTheme="minorHAnsi" w:hAnsiTheme="minorHAnsi"/>
          <w:color w:val="auto"/>
          <w:sz w:val="22"/>
          <w:szCs w:val="22"/>
        </w:rPr>
        <w:t>Kinetix</w:t>
      </w:r>
      <w:proofErr w:type="spellEnd"/>
      <w:r w:rsidRPr="00BA1545">
        <w:rPr>
          <w:rFonts w:asciiTheme="minorHAnsi" w:hAnsiTheme="minorHAnsi"/>
          <w:color w:val="auto"/>
          <w:sz w:val="22"/>
          <w:szCs w:val="22"/>
        </w:rPr>
        <w:t xml:space="preserve"> claims, and periodically receives</w:t>
      </w:r>
      <w:r w:rsidR="00E9215C" w:rsidRPr="00BA1545">
        <w:rPr>
          <w:rFonts w:asciiTheme="minorHAnsi" w:hAnsiTheme="minorHAnsi"/>
          <w:color w:val="auto"/>
          <w:sz w:val="22"/>
          <w:szCs w:val="22"/>
        </w:rPr>
        <w:t>,</w:t>
      </w:r>
      <w:r w:rsidR="00844794" w:rsidRPr="00BA1545">
        <w:rPr>
          <w:rFonts w:asciiTheme="minorHAnsi" w:hAnsiTheme="minorHAnsi"/>
          <w:color w:val="auto"/>
          <w:sz w:val="22"/>
          <w:szCs w:val="22"/>
        </w:rPr>
        <w:t xml:space="preserve"> EU Development grants. Depending of the Development Grant Regime in which the projects are executed, these grants are intended to cover direct staff costs incurred plus a </w:t>
      </w:r>
      <w:r w:rsidR="00FA22DD" w:rsidRPr="00BA1545">
        <w:rPr>
          <w:rFonts w:asciiTheme="minorHAnsi" w:hAnsiTheme="minorHAnsi"/>
          <w:color w:val="auto"/>
          <w:sz w:val="22"/>
          <w:szCs w:val="22"/>
        </w:rPr>
        <w:t>limited compensation for</w:t>
      </w:r>
      <w:r w:rsidR="00844794" w:rsidRPr="00BA1545">
        <w:rPr>
          <w:rFonts w:asciiTheme="minorHAnsi" w:hAnsiTheme="minorHAnsi"/>
          <w:color w:val="auto"/>
          <w:sz w:val="22"/>
          <w:szCs w:val="22"/>
        </w:rPr>
        <w:t xml:space="preserve"> overhead</w:t>
      </w:r>
      <w:r w:rsidR="004329F8">
        <w:rPr>
          <w:rFonts w:asciiTheme="minorHAnsi" w:hAnsiTheme="minorHAnsi"/>
          <w:color w:val="auto"/>
          <w:sz w:val="22"/>
          <w:szCs w:val="22"/>
        </w:rPr>
        <w:t>. A</w:t>
      </w:r>
      <w:r w:rsidR="00844794" w:rsidRPr="00BA1545">
        <w:rPr>
          <w:rFonts w:asciiTheme="minorHAnsi" w:hAnsiTheme="minorHAnsi"/>
          <w:color w:val="auto"/>
          <w:sz w:val="22"/>
          <w:szCs w:val="22"/>
        </w:rPr>
        <w:t>ll costs incurred and development grants claimed are separated out from the ordinary operations and reflected under ‘EU Projects’.</w:t>
      </w:r>
    </w:p>
    <w:p w:rsidR="00844794" w:rsidRPr="00BA1545" w:rsidRDefault="00844794" w:rsidP="00844794">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p>
    <w:p w:rsidR="007B667C" w:rsidRDefault="008D17C7" w:rsidP="00DE314A">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sidRPr="00BA1545">
        <w:rPr>
          <w:rFonts w:asciiTheme="minorHAnsi" w:hAnsiTheme="minorHAnsi"/>
          <w:color w:val="auto"/>
          <w:sz w:val="22"/>
          <w:szCs w:val="22"/>
        </w:rPr>
        <w:t>In the first half year of 201</w:t>
      </w:r>
      <w:r w:rsidR="007B667C">
        <w:rPr>
          <w:rFonts w:asciiTheme="minorHAnsi" w:hAnsiTheme="minorHAnsi"/>
          <w:color w:val="auto"/>
          <w:sz w:val="22"/>
          <w:szCs w:val="22"/>
        </w:rPr>
        <w:t>7</w:t>
      </w:r>
      <w:r w:rsidRPr="00BA1545">
        <w:rPr>
          <w:rFonts w:asciiTheme="minorHAnsi" w:hAnsiTheme="minorHAnsi"/>
          <w:color w:val="auto"/>
          <w:sz w:val="22"/>
          <w:szCs w:val="22"/>
        </w:rPr>
        <w:t xml:space="preserve"> EU projects </w:t>
      </w:r>
      <w:r w:rsidR="00596007" w:rsidRPr="00BA1545">
        <w:rPr>
          <w:rFonts w:asciiTheme="minorHAnsi" w:hAnsiTheme="minorHAnsi"/>
          <w:color w:val="auto"/>
          <w:sz w:val="22"/>
          <w:szCs w:val="22"/>
        </w:rPr>
        <w:t>generate</w:t>
      </w:r>
      <w:r w:rsidR="00DE314A">
        <w:rPr>
          <w:rFonts w:asciiTheme="minorHAnsi" w:hAnsiTheme="minorHAnsi"/>
          <w:color w:val="auto"/>
          <w:sz w:val="22"/>
          <w:szCs w:val="22"/>
        </w:rPr>
        <w:t xml:space="preserve">d </w:t>
      </w:r>
      <w:proofErr w:type="gramStart"/>
      <w:r w:rsidR="00DE314A">
        <w:rPr>
          <w:rFonts w:asciiTheme="minorHAnsi" w:hAnsiTheme="minorHAnsi"/>
          <w:color w:val="auto"/>
          <w:sz w:val="22"/>
          <w:szCs w:val="22"/>
        </w:rPr>
        <w:t>a revenue</w:t>
      </w:r>
      <w:proofErr w:type="gramEnd"/>
      <w:r w:rsidR="00DE314A">
        <w:rPr>
          <w:rFonts w:asciiTheme="minorHAnsi" w:hAnsiTheme="minorHAnsi"/>
          <w:color w:val="auto"/>
          <w:sz w:val="22"/>
          <w:szCs w:val="22"/>
        </w:rPr>
        <w:t xml:space="preserve"> of €</w:t>
      </w:r>
      <w:r w:rsidR="004329F8">
        <w:rPr>
          <w:rFonts w:asciiTheme="minorHAnsi" w:hAnsiTheme="minorHAnsi"/>
          <w:color w:val="auto"/>
          <w:sz w:val="22"/>
          <w:szCs w:val="22"/>
        </w:rPr>
        <w:t xml:space="preserve"> </w:t>
      </w:r>
      <w:r w:rsidR="007B667C">
        <w:rPr>
          <w:rFonts w:asciiTheme="minorHAnsi" w:hAnsiTheme="minorHAnsi"/>
          <w:color w:val="auto"/>
          <w:sz w:val="22"/>
          <w:szCs w:val="22"/>
        </w:rPr>
        <w:t>115</w:t>
      </w:r>
      <w:r w:rsidR="00596007" w:rsidRPr="00BA1545">
        <w:rPr>
          <w:rFonts w:asciiTheme="minorHAnsi" w:hAnsiTheme="minorHAnsi"/>
          <w:color w:val="auto"/>
          <w:sz w:val="22"/>
          <w:szCs w:val="22"/>
        </w:rPr>
        <w:t>k (H1 201</w:t>
      </w:r>
      <w:r w:rsidR="007B667C">
        <w:rPr>
          <w:rFonts w:asciiTheme="minorHAnsi" w:hAnsiTheme="minorHAnsi"/>
          <w:color w:val="auto"/>
          <w:sz w:val="22"/>
          <w:szCs w:val="22"/>
        </w:rPr>
        <w:t>6</w:t>
      </w:r>
      <w:r w:rsidR="00596007" w:rsidRPr="00BA1545">
        <w:rPr>
          <w:rFonts w:asciiTheme="minorHAnsi" w:hAnsiTheme="minorHAnsi"/>
          <w:color w:val="auto"/>
          <w:sz w:val="22"/>
          <w:szCs w:val="22"/>
        </w:rPr>
        <w:t>: €</w:t>
      </w:r>
      <w:r w:rsidR="007B667C">
        <w:rPr>
          <w:rFonts w:asciiTheme="minorHAnsi" w:hAnsiTheme="minorHAnsi"/>
          <w:color w:val="auto"/>
          <w:sz w:val="22"/>
          <w:szCs w:val="22"/>
        </w:rPr>
        <w:t>333</w:t>
      </w:r>
      <w:r w:rsidR="00596007" w:rsidRPr="00BA1545">
        <w:rPr>
          <w:rFonts w:asciiTheme="minorHAnsi" w:hAnsiTheme="minorHAnsi"/>
          <w:color w:val="auto"/>
          <w:sz w:val="22"/>
          <w:szCs w:val="22"/>
        </w:rPr>
        <w:t>k)</w:t>
      </w:r>
      <w:r w:rsidR="009C6F11">
        <w:rPr>
          <w:rFonts w:asciiTheme="minorHAnsi" w:hAnsiTheme="minorHAnsi"/>
          <w:color w:val="auto"/>
          <w:sz w:val="22"/>
          <w:szCs w:val="22"/>
        </w:rPr>
        <w:t>.</w:t>
      </w:r>
    </w:p>
    <w:p w:rsidR="00DE314A" w:rsidRDefault="007B667C" w:rsidP="00DE314A">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r>
        <w:rPr>
          <w:rFonts w:asciiTheme="minorHAnsi" w:hAnsiTheme="minorHAnsi"/>
          <w:color w:val="auto"/>
          <w:sz w:val="22"/>
          <w:szCs w:val="22"/>
        </w:rPr>
        <w:t xml:space="preserve"> </w:t>
      </w:r>
    </w:p>
    <w:p w:rsidR="00A93985" w:rsidRPr="00103214" w:rsidRDefault="00A93985" w:rsidP="00A93985">
      <w:pPr>
        <w:pStyle w:val="NoSpacing"/>
        <w:jc w:val="both"/>
        <w:rPr>
          <w:b/>
          <w:bCs/>
          <w:lang w:val="en-US"/>
        </w:rPr>
      </w:pPr>
      <w:r w:rsidRPr="00103214">
        <w:rPr>
          <w:b/>
          <w:bCs/>
          <w:lang w:val="en-US"/>
        </w:rPr>
        <w:t>EU subsidies repayment</w:t>
      </w:r>
    </w:p>
    <w:p w:rsidR="00A93985" w:rsidRDefault="00A93985" w:rsidP="00A93985">
      <w:r>
        <w:rPr>
          <w:rFonts w:asciiTheme="minorHAnsi" w:eastAsiaTheme="minorHAnsi" w:hAnsiTheme="minorHAnsi" w:cstheme="minorBidi"/>
          <w:bCs/>
          <w:sz w:val="22"/>
          <w:szCs w:val="22"/>
        </w:rPr>
        <w:t>N</w:t>
      </w:r>
      <w:r w:rsidRPr="006A67C8">
        <w:rPr>
          <w:rFonts w:asciiTheme="minorHAnsi" w:eastAsiaTheme="minorHAnsi" w:hAnsiTheme="minorHAnsi" w:cstheme="minorBidi"/>
          <w:bCs/>
          <w:sz w:val="22"/>
          <w:szCs w:val="22"/>
        </w:rPr>
        <w:t xml:space="preserve">o further claims have been received. </w:t>
      </w:r>
    </w:p>
    <w:p w:rsidR="00A93985" w:rsidRDefault="00A93985" w:rsidP="00DE314A">
      <w:pPr>
        <w:pStyle w:val="BodyText"/>
        <w:tabs>
          <w:tab w:val="left" w:pos="180"/>
          <w:tab w:val="right" w:pos="5040"/>
          <w:tab w:val="right" w:pos="6120"/>
          <w:tab w:val="right" w:pos="7200"/>
          <w:tab w:val="right" w:pos="8280"/>
        </w:tabs>
        <w:spacing w:before="0" w:after="0"/>
        <w:jc w:val="both"/>
        <w:rPr>
          <w:rFonts w:asciiTheme="minorHAnsi" w:hAnsiTheme="minorHAnsi"/>
          <w:color w:val="auto"/>
          <w:sz w:val="22"/>
          <w:szCs w:val="22"/>
        </w:rPr>
      </w:pPr>
    </w:p>
    <w:p w:rsidR="00972EE2" w:rsidRPr="007B667C" w:rsidRDefault="00972EE2" w:rsidP="00BF3C58">
      <w:pPr>
        <w:pStyle w:val="NoSpacing"/>
        <w:jc w:val="both"/>
        <w:rPr>
          <w:rFonts w:eastAsia="MS Mincho" w:cs="Trebuchet MS"/>
          <w:b/>
          <w:color w:val="000000"/>
          <w:lang w:val="en-US" w:eastAsia="zh-CN"/>
        </w:rPr>
      </w:pPr>
      <w:r w:rsidRPr="007B667C">
        <w:rPr>
          <w:rFonts w:eastAsia="MS Mincho" w:cs="Trebuchet MS"/>
          <w:b/>
          <w:color w:val="000000"/>
          <w:lang w:val="en-US" w:eastAsia="zh-CN"/>
        </w:rPr>
        <w:t>Corporate income tax</w:t>
      </w:r>
    </w:p>
    <w:p w:rsidR="00972EE2" w:rsidRPr="00BA1545" w:rsidRDefault="00972EE2" w:rsidP="00BF3C58">
      <w:pPr>
        <w:pStyle w:val="NoSpacing"/>
        <w:jc w:val="both"/>
        <w:rPr>
          <w:rFonts w:eastAsia="MS Mincho" w:cs="Trebuchet MS"/>
          <w:color w:val="000000"/>
          <w:lang w:val="en-US" w:eastAsia="zh-CN"/>
        </w:rPr>
      </w:pPr>
      <w:r w:rsidRPr="00BA1545">
        <w:rPr>
          <w:rFonts w:eastAsia="MS Mincho" w:cs="Trebuchet MS"/>
          <w:color w:val="000000"/>
          <w:lang w:val="en-US" w:eastAsia="zh-CN"/>
        </w:rPr>
        <w:t xml:space="preserve">The deferred tax movements represent non-cash movements of temporary differences </w:t>
      </w:r>
      <w:r w:rsidR="00062069" w:rsidRPr="00BA1545">
        <w:rPr>
          <w:rFonts w:eastAsia="MS Mincho" w:cs="Trebuchet MS"/>
          <w:color w:val="000000"/>
          <w:lang w:val="en-US" w:eastAsia="zh-CN"/>
        </w:rPr>
        <w:t>predominantly</w:t>
      </w:r>
      <w:r w:rsidRPr="00BA1545">
        <w:rPr>
          <w:rFonts w:eastAsia="MS Mincho" w:cs="Trebuchet MS"/>
          <w:color w:val="000000"/>
          <w:lang w:val="en-US" w:eastAsia="zh-CN"/>
        </w:rPr>
        <w:t xml:space="preserve"> for goodwill and deferred revenue between commercial books (in accordance with IFRS) and the US tax books. As at the end of March 201</w:t>
      </w:r>
      <w:r w:rsidR="007B667C">
        <w:rPr>
          <w:rFonts w:eastAsia="MS Mincho" w:cs="Trebuchet MS"/>
          <w:color w:val="000000"/>
          <w:lang w:val="en-US" w:eastAsia="zh-CN"/>
        </w:rPr>
        <w:t>7</w:t>
      </w:r>
      <w:r w:rsidRPr="00BA1545">
        <w:rPr>
          <w:rFonts w:eastAsia="MS Mincho" w:cs="Trebuchet MS"/>
          <w:color w:val="000000"/>
          <w:lang w:val="en-US" w:eastAsia="zh-CN"/>
        </w:rPr>
        <w:t xml:space="preserve">, the deferred tax position has not been recalculated at its actual value as the US tax position will only be recalculated at year end. Taxes are paid in </w:t>
      </w:r>
      <w:r w:rsidR="00062069" w:rsidRPr="00BA1545">
        <w:rPr>
          <w:rFonts w:eastAsia="MS Mincho" w:cs="Trebuchet MS"/>
          <w:color w:val="000000"/>
          <w:lang w:val="en-US" w:eastAsia="zh-CN"/>
        </w:rPr>
        <w:t>F</w:t>
      </w:r>
      <w:r w:rsidRPr="00BA1545">
        <w:rPr>
          <w:rFonts w:eastAsia="MS Mincho" w:cs="Trebuchet MS"/>
          <w:color w:val="000000"/>
          <w:lang w:val="en-US" w:eastAsia="zh-CN"/>
        </w:rPr>
        <w:t>rance and in the US. The income tax charge relates to normal taxes paid on local profitable income.</w:t>
      </w:r>
    </w:p>
    <w:p w:rsidR="00C65187" w:rsidRPr="00BA1545" w:rsidRDefault="00C65187" w:rsidP="00BF3C58">
      <w:pPr>
        <w:pStyle w:val="NoSpacing"/>
        <w:jc w:val="both"/>
        <w:rPr>
          <w:bCs/>
          <w:lang w:val="en-US"/>
        </w:rPr>
      </w:pPr>
    </w:p>
    <w:p w:rsidR="00B35711" w:rsidRPr="007B667C" w:rsidRDefault="00B35711" w:rsidP="00BF3C58">
      <w:pPr>
        <w:pStyle w:val="NoSpacing"/>
        <w:jc w:val="both"/>
        <w:rPr>
          <w:b/>
          <w:bCs/>
          <w:lang w:val="en-US"/>
        </w:rPr>
      </w:pPr>
      <w:r w:rsidRPr="007B667C">
        <w:rPr>
          <w:b/>
          <w:bCs/>
          <w:lang w:val="en-US"/>
        </w:rPr>
        <w:t>Net profit</w:t>
      </w:r>
    </w:p>
    <w:p w:rsidR="004101A3" w:rsidRPr="00BA1545" w:rsidRDefault="002629D6" w:rsidP="00BF3C58">
      <w:pPr>
        <w:pStyle w:val="NoSpacing"/>
        <w:jc w:val="both"/>
        <w:rPr>
          <w:bCs/>
          <w:u w:val="single"/>
          <w:lang w:val="en-US"/>
        </w:rPr>
      </w:pPr>
      <w:r w:rsidRPr="002629D6">
        <w:rPr>
          <w:noProof/>
          <w:lang w:val="en-US"/>
        </w:rPr>
        <w:drawing>
          <wp:inline distT="0" distB="0" distL="0" distR="0">
            <wp:extent cx="4738370" cy="2286000"/>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8370" cy="2286000"/>
                    </a:xfrm>
                    <a:prstGeom prst="rect">
                      <a:avLst/>
                    </a:prstGeom>
                    <a:noFill/>
                    <a:ln>
                      <a:noFill/>
                    </a:ln>
                  </pic:spPr>
                </pic:pic>
              </a:graphicData>
            </a:graphic>
          </wp:inline>
        </w:drawing>
      </w:r>
    </w:p>
    <w:p w:rsidR="001657A0" w:rsidRPr="00BA1545" w:rsidRDefault="001657A0" w:rsidP="00BF3C58">
      <w:pPr>
        <w:pStyle w:val="NoSpacing"/>
        <w:jc w:val="both"/>
        <w:rPr>
          <w:bCs/>
          <w:lang w:val="en-US"/>
        </w:rPr>
      </w:pPr>
    </w:p>
    <w:p w:rsidR="001657A0" w:rsidRPr="00BA1545" w:rsidRDefault="001657A0" w:rsidP="00BF3C58">
      <w:pPr>
        <w:pStyle w:val="NoSpacing"/>
        <w:jc w:val="both"/>
        <w:rPr>
          <w:bCs/>
          <w:lang w:val="en-US"/>
        </w:rPr>
      </w:pPr>
      <w:r w:rsidRPr="00BA1545">
        <w:rPr>
          <w:bCs/>
          <w:lang w:val="en-US"/>
        </w:rPr>
        <w:t xml:space="preserve">Net </w:t>
      </w:r>
      <w:r w:rsidR="001D778F" w:rsidRPr="00BA1545">
        <w:rPr>
          <w:bCs/>
          <w:lang w:val="en-US"/>
        </w:rPr>
        <w:t>income</w:t>
      </w:r>
      <w:r w:rsidRPr="00BA1545">
        <w:rPr>
          <w:bCs/>
          <w:lang w:val="en-US"/>
        </w:rPr>
        <w:t xml:space="preserve"> </w:t>
      </w:r>
      <w:r w:rsidR="002210BC">
        <w:rPr>
          <w:bCs/>
          <w:lang w:val="en-US"/>
        </w:rPr>
        <w:t>increased</w:t>
      </w:r>
      <w:r w:rsidRPr="00BA1545">
        <w:rPr>
          <w:bCs/>
          <w:lang w:val="en-US"/>
        </w:rPr>
        <w:t xml:space="preserve"> to </w:t>
      </w:r>
      <w:r w:rsidR="00DB67AA" w:rsidRPr="00BA1545">
        <w:rPr>
          <w:lang w:val="en-US"/>
        </w:rPr>
        <w:t xml:space="preserve">€ </w:t>
      </w:r>
      <w:r w:rsidR="007B667C">
        <w:rPr>
          <w:lang w:val="en-US"/>
        </w:rPr>
        <w:t>1</w:t>
      </w:r>
      <w:r w:rsidR="00945547">
        <w:rPr>
          <w:lang w:val="en-US"/>
        </w:rPr>
        <w:t>41</w:t>
      </w:r>
      <w:r w:rsidR="00DB67AA" w:rsidRPr="00BA1545">
        <w:rPr>
          <w:bCs/>
          <w:lang w:val="en-US"/>
        </w:rPr>
        <w:t>k</w:t>
      </w:r>
      <w:r w:rsidRPr="00BA1545">
        <w:rPr>
          <w:bCs/>
          <w:lang w:val="en-US"/>
        </w:rPr>
        <w:t xml:space="preserve"> (H1 201</w:t>
      </w:r>
      <w:r w:rsidR="007B667C">
        <w:rPr>
          <w:bCs/>
          <w:lang w:val="en-US"/>
        </w:rPr>
        <w:t>6</w:t>
      </w:r>
      <w:r w:rsidRPr="00BA1545">
        <w:rPr>
          <w:bCs/>
          <w:lang w:val="en-US"/>
        </w:rPr>
        <w:t xml:space="preserve">: </w:t>
      </w:r>
      <w:r w:rsidR="00DB67AA" w:rsidRPr="00BA1545">
        <w:rPr>
          <w:lang w:val="en-US"/>
        </w:rPr>
        <w:t xml:space="preserve">€ </w:t>
      </w:r>
      <w:r w:rsidR="002210BC">
        <w:rPr>
          <w:lang w:val="en-US"/>
        </w:rPr>
        <w:t>-</w:t>
      </w:r>
      <w:r w:rsidR="002629D6">
        <w:rPr>
          <w:lang w:val="en-US"/>
        </w:rPr>
        <w:t>65</w:t>
      </w:r>
      <w:r w:rsidR="00DB67AA" w:rsidRPr="00BA1545">
        <w:rPr>
          <w:bCs/>
          <w:lang w:val="en-US"/>
        </w:rPr>
        <w:t>k</w:t>
      </w:r>
      <w:r w:rsidRPr="00BA1545">
        <w:rPr>
          <w:bCs/>
          <w:lang w:val="en-US"/>
        </w:rPr>
        <w:t>)</w:t>
      </w:r>
      <w:r w:rsidR="002210BC">
        <w:rPr>
          <w:bCs/>
          <w:lang w:val="en-US"/>
        </w:rPr>
        <w:t>.</w:t>
      </w:r>
    </w:p>
    <w:p w:rsidR="001657A0" w:rsidRPr="00BA1545" w:rsidRDefault="001657A0" w:rsidP="00BF3C58">
      <w:pPr>
        <w:pStyle w:val="NoSpacing"/>
        <w:jc w:val="both"/>
        <w:rPr>
          <w:bCs/>
          <w:lang w:val="en-US"/>
        </w:rPr>
      </w:pPr>
    </w:p>
    <w:p w:rsidR="005C18B0" w:rsidRPr="007B667C" w:rsidRDefault="005C18B0" w:rsidP="00BF3C58">
      <w:pPr>
        <w:pStyle w:val="NoSpacing"/>
        <w:jc w:val="both"/>
        <w:rPr>
          <w:b/>
          <w:bCs/>
          <w:lang w:val="en-US"/>
        </w:rPr>
      </w:pPr>
      <w:r w:rsidRPr="007B667C">
        <w:rPr>
          <w:b/>
          <w:bCs/>
          <w:lang w:val="en-US"/>
        </w:rPr>
        <w:t>Development activities</w:t>
      </w:r>
    </w:p>
    <w:p w:rsidR="007B667C" w:rsidRDefault="005C18B0" w:rsidP="00BF3C58">
      <w:pPr>
        <w:pStyle w:val="NoSpacing"/>
        <w:jc w:val="both"/>
        <w:rPr>
          <w:rFonts w:eastAsia="MS Mincho" w:cs="Trebuchet MS"/>
          <w:color w:val="000000"/>
          <w:lang w:val="en-US" w:eastAsia="zh-CN"/>
        </w:rPr>
      </w:pPr>
      <w:r w:rsidRPr="00BA1545">
        <w:rPr>
          <w:bCs/>
          <w:lang w:val="en-US"/>
        </w:rPr>
        <w:t>In H1, 201</w:t>
      </w:r>
      <w:r w:rsidR="007B667C">
        <w:rPr>
          <w:bCs/>
          <w:lang w:val="en-US"/>
        </w:rPr>
        <w:t>7</w:t>
      </w:r>
      <w:r w:rsidRPr="00BA1545">
        <w:rPr>
          <w:bCs/>
          <w:lang w:val="en-US"/>
        </w:rPr>
        <w:t xml:space="preserve"> the company capitalized </w:t>
      </w:r>
      <w:r w:rsidRPr="00BA1545">
        <w:rPr>
          <w:rFonts w:eastAsia="MS Mincho" w:cs="Trebuchet MS"/>
          <w:color w:val="000000"/>
          <w:lang w:val="en-US" w:eastAsia="zh-CN"/>
        </w:rPr>
        <w:t xml:space="preserve">€ </w:t>
      </w:r>
      <w:r w:rsidR="007B667C">
        <w:rPr>
          <w:rFonts w:eastAsia="MS Mincho" w:cs="Trebuchet MS"/>
          <w:color w:val="000000"/>
          <w:lang w:val="en-US" w:eastAsia="zh-CN"/>
        </w:rPr>
        <w:t>561</w:t>
      </w:r>
      <w:r w:rsidRPr="00BA1545">
        <w:rPr>
          <w:rFonts w:eastAsia="MS Mincho" w:cs="Trebuchet MS"/>
          <w:color w:val="000000"/>
          <w:lang w:val="en-US" w:eastAsia="zh-CN"/>
        </w:rPr>
        <w:t>k (H1 201</w:t>
      </w:r>
      <w:r w:rsidR="007B667C">
        <w:rPr>
          <w:rFonts w:eastAsia="MS Mincho" w:cs="Trebuchet MS"/>
          <w:color w:val="000000"/>
          <w:lang w:val="en-US" w:eastAsia="zh-CN"/>
        </w:rPr>
        <w:t>6</w:t>
      </w:r>
      <w:r w:rsidR="00C90FD4" w:rsidRPr="00BA1545">
        <w:rPr>
          <w:rFonts w:eastAsia="MS Mincho" w:cs="Trebuchet MS"/>
          <w:color w:val="000000"/>
          <w:lang w:val="en-US" w:eastAsia="zh-CN"/>
        </w:rPr>
        <w:t>:</w:t>
      </w:r>
      <w:r w:rsidRPr="00BA1545">
        <w:rPr>
          <w:rFonts w:eastAsia="MS Mincho" w:cs="Trebuchet MS"/>
          <w:color w:val="000000"/>
          <w:lang w:val="en-US" w:eastAsia="zh-CN"/>
        </w:rPr>
        <w:t xml:space="preserve"> € </w:t>
      </w:r>
      <w:r w:rsidR="007B667C">
        <w:rPr>
          <w:rFonts w:eastAsia="MS Mincho" w:cs="Trebuchet MS"/>
          <w:color w:val="000000"/>
          <w:lang w:val="en-US" w:eastAsia="zh-CN"/>
        </w:rPr>
        <w:t>419</w:t>
      </w:r>
      <w:r w:rsidRPr="00BA1545">
        <w:rPr>
          <w:rFonts w:eastAsia="MS Mincho" w:cs="Trebuchet MS"/>
          <w:color w:val="000000"/>
          <w:lang w:val="en-US" w:eastAsia="zh-CN"/>
        </w:rPr>
        <w:t>k)</w:t>
      </w:r>
      <w:r w:rsidR="007B667C">
        <w:rPr>
          <w:rFonts w:eastAsia="MS Mincho" w:cs="Trebuchet MS"/>
          <w:color w:val="000000"/>
          <w:lang w:val="en-US" w:eastAsia="zh-CN"/>
        </w:rPr>
        <w:t xml:space="preserve"> on the further development of the FLOW applications and FLOW portal and € 139k on the self-service onboarding tool ‘validator’. </w:t>
      </w:r>
    </w:p>
    <w:p w:rsidR="007B667C" w:rsidRDefault="007B667C" w:rsidP="00BF3C58">
      <w:pPr>
        <w:pStyle w:val="NoSpacing"/>
        <w:jc w:val="both"/>
        <w:rPr>
          <w:rFonts w:eastAsia="MS Mincho" w:cs="Trebuchet MS"/>
          <w:color w:val="000000"/>
          <w:lang w:val="en-US" w:eastAsia="zh-CN"/>
        </w:rPr>
      </w:pPr>
    </w:p>
    <w:p w:rsidR="001657A0" w:rsidRPr="007B667C" w:rsidRDefault="001657A0" w:rsidP="00BF3C58">
      <w:pPr>
        <w:pStyle w:val="NoSpacing"/>
        <w:jc w:val="both"/>
        <w:rPr>
          <w:b/>
          <w:bCs/>
          <w:lang w:val="en-US"/>
        </w:rPr>
      </w:pPr>
      <w:r w:rsidRPr="007B667C">
        <w:rPr>
          <w:b/>
          <w:bCs/>
          <w:lang w:val="en-US"/>
        </w:rPr>
        <w:t>Liquidity and cash flow</w:t>
      </w:r>
    </w:p>
    <w:p w:rsidR="00EC7A20" w:rsidRPr="00BA1545" w:rsidRDefault="00945547" w:rsidP="00BF3C58">
      <w:pPr>
        <w:pStyle w:val="NoSpacing"/>
        <w:jc w:val="both"/>
        <w:rPr>
          <w:bCs/>
          <w:lang w:val="en-US"/>
        </w:rPr>
      </w:pPr>
      <w:r>
        <w:rPr>
          <w:bCs/>
          <w:lang w:val="en-US"/>
        </w:rPr>
        <w:t>Operating cash flow in HY1 of FY 2017 amounted to € 93</w:t>
      </w:r>
      <w:r w:rsidR="0092153F">
        <w:rPr>
          <w:bCs/>
          <w:lang w:val="en-US"/>
        </w:rPr>
        <w:t>2</w:t>
      </w:r>
      <w:r>
        <w:rPr>
          <w:bCs/>
          <w:lang w:val="en-US"/>
        </w:rPr>
        <w:t xml:space="preserve">k, and strongly improved </w:t>
      </w:r>
      <w:r w:rsidR="0092153F">
        <w:rPr>
          <w:bCs/>
          <w:lang w:val="en-US"/>
        </w:rPr>
        <w:t xml:space="preserve">compared to </w:t>
      </w:r>
      <w:r>
        <w:rPr>
          <w:bCs/>
          <w:lang w:val="en-US"/>
        </w:rPr>
        <w:t>HY1 FY 2016 (€ - 5</w:t>
      </w:r>
      <w:r w:rsidR="0092153F">
        <w:rPr>
          <w:bCs/>
          <w:lang w:val="en-US"/>
        </w:rPr>
        <w:t>93</w:t>
      </w:r>
      <w:r>
        <w:rPr>
          <w:bCs/>
          <w:lang w:val="en-US"/>
        </w:rPr>
        <w:t xml:space="preserve">k), caused by improved operational performance, positive working capital movements </w:t>
      </w:r>
      <w:r w:rsidR="0092153F">
        <w:rPr>
          <w:bCs/>
          <w:lang w:val="en-US"/>
        </w:rPr>
        <w:t xml:space="preserve">and </w:t>
      </w:r>
      <w:r>
        <w:rPr>
          <w:bCs/>
          <w:lang w:val="en-US"/>
        </w:rPr>
        <w:t xml:space="preserve">lower interest costs. </w:t>
      </w:r>
      <w:proofErr w:type="gramStart"/>
      <w:r>
        <w:rPr>
          <w:bCs/>
          <w:lang w:val="en-US"/>
        </w:rPr>
        <w:t>Part of these improvements have</w:t>
      </w:r>
      <w:proofErr w:type="gramEnd"/>
      <w:r>
        <w:rPr>
          <w:bCs/>
          <w:lang w:val="en-US"/>
        </w:rPr>
        <w:t xml:space="preserve"> been applied in investing in the further development of FLOW. </w:t>
      </w:r>
      <w:r w:rsidR="00EC7A20" w:rsidRPr="00BA1545">
        <w:rPr>
          <w:bCs/>
          <w:lang w:val="en-US"/>
        </w:rPr>
        <w:t>The cash position at the end of March 201</w:t>
      </w:r>
      <w:r w:rsidR="007B667C">
        <w:rPr>
          <w:bCs/>
          <w:lang w:val="en-US"/>
        </w:rPr>
        <w:t>7</w:t>
      </w:r>
      <w:r w:rsidR="00EC7A20" w:rsidRPr="00BA1545">
        <w:rPr>
          <w:bCs/>
          <w:lang w:val="en-US"/>
        </w:rPr>
        <w:t xml:space="preserve"> was positive </w:t>
      </w:r>
      <w:r w:rsidR="007B667C">
        <w:rPr>
          <w:bCs/>
          <w:lang w:val="en-US"/>
        </w:rPr>
        <w:t>€ 2.070</w:t>
      </w:r>
      <w:r w:rsidR="00523B38">
        <w:rPr>
          <w:bCs/>
          <w:lang w:val="en-US"/>
        </w:rPr>
        <w:t>k</w:t>
      </w:r>
      <w:r w:rsidR="007B667C">
        <w:rPr>
          <w:bCs/>
          <w:lang w:val="en-US"/>
        </w:rPr>
        <w:t xml:space="preserve"> (March 2016: </w:t>
      </w:r>
      <w:r w:rsidR="00DB67AA" w:rsidRPr="00BA1545">
        <w:rPr>
          <w:lang w:val="en-US"/>
        </w:rPr>
        <w:t xml:space="preserve">€ </w:t>
      </w:r>
      <w:r w:rsidR="008B6991">
        <w:rPr>
          <w:lang w:val="en-US"/>
        </w:rPr>
        <w:t>1.791</w:t>
      </w:r>
      <w:r w:rsidR="00DB67AA" w:rsidRPr="00BA1545">
        <w:rPr>
          <w:bCs/>
          <w:lang w:val="en-US"/>
        </w:rPr>
        <w:t>k</w:t>
      </w:r>
      <w:r w:rsidR="007B667C">
        <w:rPr>
          <w:bCs/>
          <w:lang w:val="en-US"/>
        </w:rPr>
        <w:t>)</w:t>
      </w:r>
      <w:r w:rsidR="004101A3" w:rsidRPr="00BA1545">
        <w:rPr>
          <w:bCs/>
          <w:lang w:val="en-US"/>
        </w:rPr>
        <w:t>.</w:t>
      </w:r>
      <w:r w:rsidR="00EC7A20" w:rsidRPr="00BA1545">
        <w:rPr>
          <w:bCs/>
          <w:lang w:val="en-US"/>
        </w:rPr>
        <w:t xml:space="preserve"> </w:t>
      </w:r>
    </w:p>
    <w:p w:rsidR="005C18B0" w:rsidRDefault="005C18B0" w:rsidP="00BF3C58">
      <w:pPr>
        <w:pStyle w:val="NoSpacing"/>
        <w:jc w:val="both"/>
        <w:rPr>
          <w:bCs/>
          <w:u w:val="single"/>
          <w:lang w:val="en-US"/>
        </w:rPr>
      </w:pPr>
    </w:p>
    <w:p w:rsidR="00945547" w:rsidRDefault="00945547" w:rsidP="00BF3C58">
      <w:pPr>
        <w:pStyle w:val="NoSpacing"/>
        <w:jc w:val="both"/>
        <w:rPr>
          <w:bCs/>
          <w:u w:val="single"/>
          <w:lang w:val="en-US"/>
        </w:rPr>
      </w:pPr>
    </w:p>
    <w:p w:rsidR="00945547" w:rsidRDefault="00945547" w:rsidP="00BF3C58">
      <w:pPr>
        <w:pStyle w:val="NoSpacing"/>
        <w:jc w:val="both"/>
        <w:rPr>
          <w:bCs/>
          <w:u w:val="single"/>
          <w:lang w:val="en-US"/>
        </w:rPr>
      </w:pPr>
    </w:p>
    <w:p w:rsidR="00945547" w:rsidRDefault="00945547" w:rsidP="00BF3C58">
      <w:pPr>
        <w:pStyle w:val="NoSpacing"/>
        <w:jc w:val="both"/>
        <w:rPr>
          <w:bCs/>
          <w:u w:val="single"/>
          <w:lang w:val="en-US"/>
        </w:rPr>
      </w:pPr>
    </w:p>
    <w:p w:rsidR="00945547" w:rsidRPr="00BA1545" w:rsidRDefault="00945547" w:rsidP="00BF3C58">
      <w:pPr>
        <w:pStyle w:val="NoSpacing"/>
        <w:jc w:val="both"/>
        <w:rPr>
          <w:bCs/>
          <w:u w:val="single"/>
          <w:lang w:val="en-US"/>
        </w:rPr>
      </w:pPr>
    </w:p>
    <w:p w:rsidR="0050533C" w:rsidRPr="00C57699" w:rsidRDefault="0050533C" w:rsidP="0050533C">
      <w:pPr>
        <w:pStyle w:val="NoSpacing"/>
        <w:jc w:val="both"/>
        <w:rPr>
          <w:b/>
          <w:bCs/>
          <w:lang w:val="en-US"/>
        </w:rPr>
      </w:pPr>
      <w:r w:rsidRPr="00C57699">
        <w:rPr>
          <w:b/>
          <w:bCs/>
          <w:lang w:val="en-US"/>
        </w:rPr>
        <w:t>First half year Order Intake/ ‘ISP’</w:t>
      </w:r>
    </w:p>
    <w:p w:rsidR="0050533C" w:rsidRDefault="0050533C" w:rsidP="0050533C">
      <w:pPr>
        <w:pStyle w:val="NoSpacing"/>
        <w:jc w:val="both"/>
        <w:rPr>
          <w:lang w:val="en-US"/>
        </w:rPr>
      </w:pPr>
    </w:p>
    <w:p w:rsidR="0050533C" w:rsidRDefault="007B667C" w:rsidP="0050533C">
      <w:pPr>
        <w:pStyle w:val="NoSpacing"/>
        <w:jc w:val="both"/>
        <w:rPr>
          <w:lang w:val="en-US"/>
        </w:rPr>
      </w:pPr>
      <w:r w:rsidRPr="007B667C">
        <w:rPr>
          <w:noProof/>
          <w:lang w:val="en-US"/>
        </w:rPr>
        <w:drawing>
          <wp:inline distT="0" distB="0" distL="0" distR="0" wp14:anchorId="29033B75" wp14:editId="7C0CBF5B">
            <wp:extent cx="5760720" cy="66918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69186"/>
                    </a:xfrm>
                    <a:prstGeom prst="rect">
                      <a:avLst/>
                    </a:prstGeom>
                    <a:noFill/>
                    <a:ln>
                      <a:noFill/>
                    </a:ln>
                  </pic:spPr>
                </pic:pic>
              </a:graphicData>
            </a:graphic>
          </wp:inline>
        </w:drawing>
      </w:r>
    </w:p>
    <w:p w:rsidR="0050533C" w:rsidRDefault="0050533C" w:rsidP="0050533C">
      <w:pPr>
        <w:pStyle w:val="NoSpacing"/>
        <w:jc w:val="both"/>
        <w:rPr>
          <w:lang w:val="en-US"/>
        </w:rPr>
      </w:pPr>
    </w:p>
    <w:p w:rsidR="0050533C" w:rsidRPr="006B4450" w:rsidRDefault="0050533C" w:rsidP="0050533C">
      <w:pPr>
        <w:pStyle w:val="NoSpacing"/>
        <w:jc w:val="both"/>
        <w:rPr>
          <w:lang w:val="en-US"/>
        </w:rPr>
      </w:pPr>
      <w:r>
        <w:rPr>
          <w:lang w:val="en-US"/>
        </w:rPr>
        <w:t>The company focuses on long term value creation and strives to increase the % of SaaS ISP in its total ISP. In the first half of FY 2017 total ISP</w:t>
      </w:r>
      <w:r w:rsidRPr="006B4450">
        <w:rPr>
          <w:lang w:val="en-US"/>
        </w:rPr>
        <w:t xml:space="preserve"> amounted to € </w:t>
      </w:r>
      <w:r>
        <w:rPr>
          <w:lang w:val="en-US"/>
        </w:rPr>
        <w:t>6.715k, with 53% SaaS</w:t>
      </w:r>
      <w:r w:rsidRPr="006B4450">
        <w:rPr>
          <w:lang w:val="en-US"/>
        </w:rPr>
        <w:t xml:space="preserve"> (201</w:t>
      </w:r>
      <w:r>
        <w:rPr>
          <w:lang w:val="en-US"/>
        </w:rPr>
        <w:t>6</w:t>
      </w:r>
      <w:r w:rsidRPr="006B4450">
        <w:rPr>
          <w:lang w:val="en-US"/>
        </w:rPr>
        <w:t xml:space="preserve">: </w:t>
      </w:r>
      <w:r>
        <w:rPr>
          <w:lang w:val="en-US"/>
        </w:rPr>
        <w:t>€ 7.085</w:t>
      </w:r>
      <w:r w:rsidRPr="006B4450">
        <w:rPr>
          <w:lang w:val="en-US"/>
        </w:rPr>
        <w:t>k</w:t>
      </w:r>
      <w:r>
        <w:rPr>
          <w:lang w:val="en-US"/>
        </w:rPr>
        <w:t xml:space="preserve"> with 56% SaaS</w:t>
      </w:r>
      <w:r w:rsidRPr="006B4450">
        <w:rPr>
          <w:lang w:val="en-US"/>
        </w:rPr>
        <w:t>)</w:t>
      </w:r>
      <w:r>
        <w:rPr>
          <w:lang w:val="en-US"/>
        </w:rPr>
        <w:t xml:space="preserve">, </w:t>
      </w:r>
      <w:r w:rsidR="00473560">
        <w:rPr>
          <w:lang w:val="en-US"/>
        </w:rPr>
        <w:t xml:space="preserve">following a reduction of non-core strategic </w:t>
      </w:r>
      <w:r w:rsidR="00474EAB">
        <w:rPr>
          <w:lang w:val="en-US"/>
        </w:rPr>
        <w:t>orders</w:t>
      </w:r>
      <w:r w:rsidR="00473560">
        <w:rPr>
          <w:lang w:val="en-US"/>
        </w:rPr>
        <w:t xml:space="preserve">. The company was able to replace these orders with more high-margin </w:t>
      </w:r>
      <w:r w:rsidR="00474EAB">
        <w:rPr>
          <w:lang w:val="en-US"/>
        </w:rPr>
        <w:t>business</w:t>
      </w:r>
      <w:r w:rsidR="00473560">
        <w:rPr>
          <w:lang w:val="en-US"/>
        </w:rPr>
        <w:t xml:space="preserve"> from its core business lines, stabilizing the first half year SaaS order intake. </w:t>
      </w:r>
      <w:r>
        <w:rPr>
          <w:lang w:val="en-US"/>
        </w:rPr>
        <w:t>This was a solid achievement taking into account the reduction of volumes for T-Mobile, the discontinuation of bespoke portals in TIE-Germany, and further reduction of EU projects and the company’s decision not to engage in EU projects anymore</w:t>
      </w:r>
      <w:r w:rsidR="00473560">
        <w:rPr>
          <w:lang w:val="en-US"/>
        </w:rPr>
        <w:t>, and aligns with our SaaS ISP growth strategy.</w:t>
      </w:r>
      <w:r>
        <w:rPr>
          <w:lang w:val="en-US"/>
        </w:rPr>
        <w:t xml:space="preserve"> </w:t>
      </w:r>
    </w:p>
    <w:p w:rsidR="0050533C" w:rsidRDefault="0050533C" w:rsidP="002148DB">
      <w:pPr>
        <w:pStyle w:val="NoSpacing"/>
        <w:jc w:val="both"/>
        <w:rPr>
          <w:bCs/>
          <w:lang w:val="en-US"/>
        </w:rPr>
      </w:pPr>
    </w:p>
    <w:p w:rsidR="00B35711" w:rsidRPr="00C57699" w:rsidRDefault="00C57699" w:rsidP="002148DB">
      <w:pPr>
        <w:pStyle w:val="NoSpacing"/>
        <w:jc w:val="both"/>
        <w:rPr>
          <w:b/>
          <w:bCs/>
          <w:lang w:val="en-US"/>
        </w:rPr>
      </w:pPr>
      <w:r w:rsidRPr="00C57699">
        <w:rPr>
          <w:b/>
          <w:bCs/>
          <w:lang w:val="en-US"/>
        </w:rPr>
        <w:t>H</w:t>
      </w:r>
      <w:r w:rsidR="00B35711" w:rsidRPr="00C57699">
        <w:rPr>
          <w:b/>
          <w:bCs/>
          <w:lang w:val="en-US"/>
        </w:rPr>
        <w:t>ighlights</w:t>
      </w:r>
      <w:r w:rsidRPr="00C57699">
        <w:rPr>
          <w:b/>
          <w:bCs/>
          <w:lang w:val="en-US"/>
        </w:rPr>
        <w:t xml:space="preserve"> annou</w:t>
      </w:r>
      <w:r>
        <w:rPr>
          <w:b/>
          <w:bCs/>
          <w:lang w:val="en-US"/>
        </w:rPr>
        <w:t>n</w:t>
      </w:r>
      <w:r w:rsidRPr="00C57699">
        <w:rPr>
          <w:b/>
          <w:bCs/>
          <w:lang w:val="en-US"/>
        </w:rPr>
        <w:t>ced</w:t>
      </w:r>
    </w:p>
    <w:p w:rsidR="00C57699" w:rsidRDefault="00C57699" w:rsidP="002148DB">
      <w:pPr>
        <w:pStyle w:val="NoSpacing"/>
        <w:jc w:val="both"/>
        <w:rPr>
          <w:bCs/>
          <w:lang w:val="en-US"/>
        </w:rPr>
      </w:pPr>
    </w:p>
    <w:p w:rsidR="001138B0" w:rsidRPr="00BA1545" w:rsidRDefault="008507B6" w:rsidP="002148DB">
      <w:pPr>
        <w:pStyle w:val="NoSpacing"/>
        <w:jc w:val="both"/>
        <w:rPr>
          <w:bCs/>
          <w:lang w:val="en-US"/>
        </w:rPr>
      </w:pPr>
      <w:r w:rsidRPr="00BA1545">
        <w:rPr>
          <w:bCs/>
          <w:lang w:val="en-US"/>
        </w:rPr>
        <w:t>As from October 1, 201</w:t>
      </w:r>
      <w:r w:rsidR="00C57699">
        <w:rPr>
          <w:bCs/>
          <w:lang w:val="en-US"/>
        </w:rPr>
        <w:t>6</w:t>
      </w:r>
      <w:r w:rsidR="00C3043B" w:rsidRPr="00BA1545">
        <w:rPr>
          <w:bCs/>
          <w:lang w:val="en-US"/>
        </w:rPr>
        <w:t xml:space="preserve"> </w:t>
      </w:r>
      <w:r w:rsidR="00A77807" w:rsidRPr="00BA1545">
        <w:rPr>
          <w:bCs/>
          <w:lang w:val="en-US"/>
        </w:rPr>
        <w:t>up to</w:t>
      </w:r>
      <w:r w:rsidRPr="00BA1545">
        <w:rPr>
          <w:bCs/>
          <w:lang w:val="en-US"/>
        </w:rPr>
        <w:t xml:space="preserve"> now, </w:t>
      </w:r>
      <w:r w:rsidR="00934F20" w:rsidRPr="00BA1545">
        <w:rPr>
          <w:bCs/>
          <w:lang w:val="en-US"/>
        </w:rPr>
        <w:t xml:space="preserve">TIE </w:t>
      </w:r>
      <w:proofErr w:type="spellStart"/>
      <w:r w:rsidR="00934F20" w:rsidRPr="00BA1545">
        <w:rPr>
          <w:bCs/>
          <w:lang w:val="en-US"/>
        </w:rPr>
        <w:t>Kinetix</w:t>
      </w:r>
      <w:proofErr w:type="spellEnd"/>
      <w:r w:rsidRPr="00BA1545">
        <w:rPr>
          <w:bCs/>
          <w:lang w:val="en-US"/>
        </w:rPr>
        <w:t xml:space="preserve"> has reported the following highlights:</w:t>
      </w:r>
    </w:p>
    <w:p w:rsidR="00BF3C58" w:rsidRPr="00BA1545" w:rsidRDefault="00BF3C58" w:rsidP="002148DB">
      <w:pPr>
        <w:pStyle w:val="NoSpacing"/>
        <w:jc w:val="both"/>
        <w:rPr>
          <w:bCs/>
          <w:lang w:val="en-US"/>
        </w:rPr>
      </w:pPr>
    </w:p>
    <w:p w:rsidR="00C57699" w:rsidRPr="00BA1545" w:rsidRDefault="00EF3B3C" w:rsidP="00C57699">
      <w:pPr>
        <w:pStyle w:val="NoSpacing"/>
        <w:jc w:val="both"/>
        <w:rPr>
          <w:bCs/>
          <w:lang w:val="en-US"/>
        </w:rPr>
      </w:pPr>
      <w:r>
        <w:rPr>
          <w:bCs/>
          <w:lang w:val="en-US"/>
        </w:rPr>
        <w:t>0</w:t>
      </w:r>
      <w:r w:rsidR="00C57699">
        <w:rPr>
          <w:bCs/>
          <w:lang w:val="en-US"/>
        </w:rPr>
        <w:t>4</w:t>
      </w:r>
      <w:r w:rsidR="00C61FFA" w:rsidRPr="00BA1545">
        <w:rPr>
          <w:bCs/>
          <w:lang w:val="en-US"/>
        </w:rPr>
        <w:t>-10-201</w:t>
      </w:r>
      <w:r w:rsidR="00C57699">
        <w:rPr>
          <w:bCs/>
          <w:lang w:val="en-US"/>
        </w:rPr>
        <w:t>6</w:t>
      </w:r>
      <w:r w:rsidR="00C61FFA" w:rsidRPr="00BA1545">
        <w:rPr>
          <w:bCs/>
          <w:lang w:val="en-US"/>
        </w:rPr>
        <w:t xml:space="preserve">: </w:t>
      </w:r>
      <w:r w:rsidR="00C57699">
        <w:rPr>
          <w:bCs/>
          <w:lang w:val="en-US"/>
        </w:rPr>
        <w:t>Order Intake in excess of € 1 million</w:t>
      </w:r>
      <w:r w:rsidR="00C57699" w:rsidRPr="00BA1545">
        <w:rPr>
          <w:bCs/>
          <w:lang w:val="en-US"/>
        </w:rPr>
        <w:t>;</w:t>
      </w:r>
    </w:p>
    <w:p w:rsidR="00C61FFA" w:rsidRPr="00BA1545" w:rsidRDefault="00C61FFA" w:rsidP="002148DB">
      <w:pPr>
        <w:pStyle w:val="NoSpacing"/>
        <w:jc w:val="both"/>
        <w:rPr>
          <w:bCs/>
          <w:lang w:val="en-US"/>
        </w:rPr>
      </w:pPr>
    </w:p>
    <w:p w:rsidR="00C61FFA" w:rsidRPr="00BA1545" w:rsidRDefault="00C57699" w:rsidP="002148DB">
      <w:pPr>
        <w:pStyle w:val="NoSpacing"/>
        <w:jc w:val="both"/>
        <w:rPr>
          <w:bCs/>
          <w:lang w:val="en-US"/>
        </w:rPr>
      </w:pPr>
      <w:r>
        <w:rPr>
          <w:bCs/>
          <w:lang w:val="en-US"/>
        </w:rPr>
        <w:t>02</w:t>
      </w:r>
      <w:r w:rsidR="00C61FFA" w:rsidRPr="00BA1545">
        <w:rPr>
          <w:bCs/>
          <w:lang w:val="en-US"/>
        </w:rPr>
        <w:t>-11-201</w:t>
      </w:r>
      <w:r>
        <w:rPr>
          <w:bCs/>
          <w:lang w:val="en-US"/>
        </w:rPr>
        <w:t>6</w:t>
      </w:r>
      <w:r w:rsidR="00C61FFA" w:rsidRPr="00BA1545">
        <w:rPr>
          <w:bCs/>
          <w:lang w:val="en-US"/>
        </w:rPr>
        <w:t xml:space="preserve">: </w:t>
      </w:r>
      <w:r>
        <w:rPr>
          <w:bCs/>
          <w:lang w:val="en-US"/>
        </w:rPr>
        <w:t>Private Offer for the business received</w:t>
      </w:r>
      <w:r w:rsidR="00C61FFA" w:rsidRPr="00BA1545">
        <w:rPr>
          <w:bCs/>
          <w:lang w:val="en-US"/>
        </w:rPr>
        <w:t>;</w:t>
      </w:r>
    </w:p>
    <w:p w:rsidR="00C61FFA" w:rsidRPr="00BA1545" w:rsidRDefault="00C61FFA" w:rsidP="002148DB">
      <w:pPr>
        <w:pStyle w:val="NoSpacing"/>
        <w:jc w:val="both"/>
        <w:rPr>
          <w:bCs/>
          <w:lang w:val="en-US"/>
        </w:rPr>
      </w:pPr>
    </w:p>
    <w:p w:rsidR="00C61FFA" w:rsidRPr="00BA1545" w:rsidRDefault="00C57699" w:rsidP="002148DB">
      <w:pPr>
        <w:pStyle w:val="NoSpacing"/>
        <w:jc w:val="both"/>
        <w:rPr>
          <w:bCs/>
          <w:lang w:val="en-US"/>
        </w:rPr>
      </w:pPr>
      <w:r>
        <w:rPr>
          <w:bCs/>
          <w:lang w:val="en-US"/>
        </w:rPr>
        <w:t>16</w:t>
      </w:r>
      <w:r w:rsidR="00C83236" w:rsidRPr="00BA1545">
        <w:rPr>
          <w:bCs/>
          <w:lang w:val="en-US"/>
        </w:rPr>
        <w:t>-1</w:t>
      </w:r>
      <w:r>
        <w:rPr>
          <w:bCs/>
          <w:lang w:val="en-US"/>
        </w:rPr>
        <w:t>1</w:t>
      </w:r>
      <w:r w:rsidR="00C83236" w:rsidRPr="00BA1545">
        <w:rPr>
          <w:bCs/>
          <w:lang w:val="en-US"/>
        </w:rPr>
        <w:t>-201</w:t>
      </w:r>
      <w:r>
        <w:rPr>
          <w:bCs/>
          <w:lang w:val="en-US"/>
        </w:rPr>
        <w:t>6</w:t>
      </w:r>
      <w:r w:rsidR="00C83236" w:rsidRPr="00BA1545">
        <w:rPr>
          <w:bCs/>
          <w:lang w:val="en-US"/>
        </w:rPr>
        <w:t xml:space="preserve">: </w:t>
      </w:r>
      <w:r>
        <w:rPr>
          <w:bCs/>
          <w:lang w:val="en-US"/>
        </w:rPr>
        <w:t xml:space="preserve">TIE </w:t>
      </w:r>
      <w:proofErr w:type="spellStart"/>
      <w:r>
        <w:rPr>
          <w:bCs/>
          <w:lang w:val="en-US"/>
        </w:rPr>
        <w:t>Kinetix</w:t>
      </w:r>
      <w:proofErr w:type="spellEnd"/>
      <w:r>
        <w:rPr>
          <w:bCs/>
          <w:lang w:val="en-US"/>
        </w:rPr>
        <w:t xml:space="preserve"> closed Profitable 2016</w:t>
      </w:r>
      <w:r w:rsidR="00C61FFA" w:rsidRPr="00BA1545">
        <w:rPr>
          <w:bCs/>
          <w:lang w:val="en-US"/>
        </w:rPr>
        <w:t>;</w:t>
      </w:r>
    </w:p>
    <w:p w:rsidR="00C61FFA" w:rsidRPr="00BA1545" w:rsidRDefault="00C61FFA" w:rsidP="002148DB">
      <w:pPr>
        <w:pStyle w:val="NoSpacing"/>
        <w:jc w:val="both"/>
        <w:rPr>
          <w:bCs/>
          <w:lang w:val="en-US"/>
        </w:rPr>
      </w:pPr>
    </w:p>
    <w:p w:rsidR="00C61FFA" w:rsidRPr="00BA1545" w:rsidRDefault="00C57699" w:rsidP="002148DB">
      <w:pPr>
        <w:pStyle w:val="NoSpacing"/>
        <w:jc w:val="both"/>
        <w:rPr>
          <w:bCs/>
          <w:lang w:val="en-US"/>
        </w:rPr>
      </w:pPr>
      <w:r>
        <w:rPr>
          <w:bCs/>
          <w:lang w:val="en-US"/>
        </w:rPr>
        <w:t>16-11-</w:t>
      </w:r>
      <w:r w:rsidR="00C61FFA" w:rsidRPr="00BA1545">
        <w:rPr>
          <w:bCs/>
          <w:lang w:val="en-US"/>
        </w:rPr>
        <w:t>201</w:t>
      </w:r>
      <w:r>
        <w:rPr>
          <w:bCs/>
          <w:lang w:val="en-US"/>
        </w:rPr>
        <w:t>6</w:t>
      </w:r>
      <w:r w:rsidR="00C61FFA" w:rsidRPr="00BA1545">
        <w:rPr>
          <w:bCs/>
          <w:lang w:val="en-US"/>
        </w:rPr>
        <w:t xml:space="preserve">: </w:t>
      </w:r>
      <w:r>
        <w:rPr>
          <w:bCs/>
          <w:lang w:val="en-US"/>
        </w:rPr>
        <w:t xml:space="preserve">TIE </w:t>
      </w:r>
      <w:proofErr w:type="spellStart"/>
      <w:r>
        <w:rPr>
          <w:bCs/>
          <w:lang w:val="en-US"/>
        </w:rPr>
        <w:t>Kinetix</w:t>
      </w:r>
      <w:proofErr w:type="spellEnd"/>
      <w:r>
        <w:rPr>
          <w:bCs/>
          <w:lang w:val="en-US"/>
        </w:rPr>
        <w:t xml:space="preserve"> rejects Private Offer for the business</w:t>
      </w:r>
      <w:r w:rsidR="00C61FFA" w:rsidRPr="00BA1545">
        <w:rPr>
          <w:bCs/>
          <w:lang w:val="en-US"/>
        </w:rPr>
        <w:t>;</w:t>
      </w:r>
    </w:p>
    <w:p w:rsidR="00C61FFA" w:rsidRPr="00BA1545" w:rsidRDefault="00C61FFA" w:rsidP="002148DB">
      <w:pPr>
        <w:pStyle w:val="NoSpacing"/>
        <w:jc w:val="both"/>
        <w:rPr>
          <w:bCs/>
          <w:lang w:val="en-US"/>
        </w:rPr>
      </w:pPr>
    </w:p>
    <w:p w:rsidR="00C83236" w:rsidRPr="00BA1545" w:rsidRDefault="00C57699" w:rsidP="002148DB">
      <w:pPr>
        <w:pStyle w:val="NoSpacing"/>
        <w:jc w:val="both"/>
        <w:rPr>
          <w:bCs/>
          <w:lang w:val="en-US"/>
        </w:rPr>
      </w:pPr>
      <w:r>
        <w:rPr>
          <w:bCs/>
          <w:lang w:val="en-US"/>
        </w:rPr>
        <w:t>07</w:t>
      </w:r>
      <w:r w:rsidR="00EF3B3C">
        <w:rPr>
          <w:bCs/>
          <w:lang w:val="en-US"/>
        </w:rPr>
        <w:t>-12-201</w:t>
      </w:r>
      <w:r>
        <w:rPr>
          <w:bCs/>
          <w:lang w:val="en-US"/>
        </w:rPr>
        <w:t>6</w:t>
      </w:r>
      <w:r w:rsidR="00C83236" w:rsidRPr="00BA1545">
        <w:rPr>
          <w:bCs/>
          <w:lang w:val="en-US"/>
        </w:rPr>
        <w:t xml:space="preserve">: </w:t>
      </w:r>
      <w:r>
        <w:rPr>
          <w:bCs/>
          <w:lang w:val="en-US"/>
        </w:rPr>
        <w:t xml:space="preserve">TIE </w:t>
      </w:r>
      <w:proofErr w:type="spellStart"/>
      <w:r>
        <w:rPr>
          <w:bCs/>
          <w:lang w:val="en-US"/>
        </w:rPr>
        <w:t>Kinetix</w:t>
      </w:r>
      <w:proofErr w:type="spellEnd"/>
      <w:r>
        <w:rPr>
          <w:bCs/>
          <w:lang w:val="en-US"/>
        </w:rPr>
        <w:t xml:space="preserve"> filed lawsuit against </w:t>
      </w:r>
      <w:proofErr w:type="spellStart"/>
      <w:r>
        <w:rPr>
          <w:bCs/>
          <w:lang w:val="en-US"/>
        </w:rPr>
        <w:t>Plusserver</w:t>
      </w:r>
      <w:proofErr w:type="spellEnd"/>
      <w:r>
        <w:rPr>
          <w:bCs/>
          <w:lang w:val="en-US"/>
        </w:rPr>
        <w:t xml:space="preserve"> in the Netherland and Germany</w:t>
      </w:r>
      <w:r w:rsidR="00C83236" w:rsidRPr="00BA1545">
        <w:rPr>
          <w:bCs/>
          <w:lang w:val="en-US"/>
        </w:rPr>
        <w:t>;</w:t>
      </w:r>
    </w:p>
    <w:p w:rsidR="00C83236" w:rsidRPr="00BA1545" w:rsidRDefault="00C83236" w:rsidP="002148DB">
      <w:pPr>
        <w:pStyle w:val="NoSpacing"/>
        <w:jc w:val="both"/>
        <w:rPr>
          <w:bCs/>
          <w:lang w:val="en-US"/>
        </w:rPr>
      </w:pPr>
    </w:p>
    <w:p w:rsidR="00C83236" w:rsidRPr="00BA1545" w:rsidRDefault="00C57699" w:rsidP="002148DB">
      <w:pPr>
        <w:pStyle w:val="NoSpacing"/>
        <w:jc w:val="both"/>
        <w:rPr>
          <w:bCs/>
          <w:lang w:val="en-US"/>
        </w:rPr>
      </w:pPr>
      <w:r>
        <w:rPr>
          <w:bCs/>
          <w:lang w:val="en-US"/>
        </w:rPr>
        <w:t>04-01-2017</w:t>
      </w:r>
      <w:r w:rsidR="00C83236" w:rsidRPr="00BA1545">
        <w:rPr>
          <w:bCs/>
          <w:lang w:val="en-US"/>
        </w:rPr>
        <w:t xml:space="preserve">: </w:t>
      </w:r>
      <w:r>
        <w:rPr>
          <w:bCs/>
          <w:lang w:val="en-US"/>
        </w:rPr>
        <w:t>Order Intake in excess of € 1 million</w:t>
      </w:r>
      <w:r w:rsidR="00C83236" w:rsidRPr="00BA1545">
        <w:rPr>
          <w:bCs/>
          <w:lang w:val="en-US"/>
        </w:rPr>
        <w:t>;</w:t>
      </w:r>
    </w:p>
    <w:p w:rsidR="00C83236" w:rsidRPr="00BA1545" w:rsidRDefault="00C83236" w:rsidP="002148DB">
      <w:pPr>
        <w:pStyle w:val="NoSpacing"/>
        <w:jc w:val="both"/>
        <w:rPr>
          <w:bCs/>
          <w:lang w:val="en-US"/>
        </w:rPr>
      </w:pPr>
    </w:p>
    <w:p w:rsidR="00C83236" w:rsidRDefault="00C57699" w:rsidP="002148DB">
      <w:pPr>
        <w:pStyle w:val="NoSpacing"/>
        <w:jc w:val="both"/>
        <w:rPr>
          <w:bCs/>
          <w:lang w:val="en-US"/>
        </w:rPr>
      </w:pPr>
      <w:r>
        <w:rPr>
          <w:bCs/>
          <w:lang w:val="en-US"/>
        </w:rPr>
        <w:t>11</w:t>
      </w:r>
      <w:r w:rsidR="00EF3B3C">
        <w:rPr>
          <w:bCs/>
          <w:lang w:val="en-US"/>
        </w:rPr>
        <w:t>-01-201</w:t>
      </w:r>
      <w:r>
        <w:rPr>
          <w:bCs/>
          <w:lang w:val="en-US"/>
        </w:rPr>
        <w:t>7</w:t>
      </w:r>
      <w:r w:rsidR="00C83236" w:rsidRPr="00BA1545">
        <w:rPr>
          <w:bCs/>
          <w:lang w:val="en-US"/>
        </w:rPr>
        <w:t xml:space="preserve">: </w:t>
      </w:r>
      <w:r>
        <w:rPr>
          <w:bCs/>
          <w:lang w:val="en-US"/>
        </w:rPr>
        <w:t>publication of Annual Report 2016</w:t>
      </w:r>
      <w:r w:rsidR="00EF3B3C" w:rsidRPr="00BA1545">
        <w:rPr>
          <w:bCs/>
          <w:lang w:val="en-US"/>
        </w:rPr>
        <w:t>;</w:t>
      </w:r>
    </w:p>
    <w:p w:rsidR="00EF3B3C" w:rsidRPr="00BA1545" w:rsidRDefault="00EF3B3C" w:rsidP="002148DB">
      <w:pPr>
        <w:pStyle w:val="NoSpacing"/>
        <w:jc w:val="both"/>
        <w:rPr>
          <w:bCs/>
          <w:lang w:val="en-US"/>
        </w:rPr>
      </w:pPr>
    </w:p>
    <w:p w:rsidR="00C83236" w:rsidRPr="00BA1545" w:rsidRDefault="00EF3B3C" w:rsidP="002148DB">
      <w:pPr>
        <w:pStyle w:val="NoSpacing"/>
        <w:jc w:val="both"/>
        <w:rPr>
          <w:bCs/>
          <w:lang w:val="en-US"/>
        </w:rPr>
      </w:pPr>
      <w:r>
        <w:rPr>
          <w:bCs/>
          <w:lang w:val="en-US"/>
        </w:rPr>
        <w:t>0</w:t>
      </w:r>
      <w:r w:rsidR="00C57699">
        <w:rPr>
          <w:bCs/>
          <w:lang w:val="en-US"/>
        </w:rPr>
        <w:t>2</w:t>
      </w:r>
      <w:r>
        <w:rPr>
          <w:bCs/>
          <w:lang w:val="en-US"/>
        </w:rPr>
        <w:t>-02-201</w:t>
      </w:r>
      <w:r w:rsidR="00C57699">
        <w:rPr>
          <w:bCs/>
          <w:lang w:val="en-US"/>
        </w:rPr>
        <w:t>7</w:t>
      </w:r>
      <w:r w:rsidR="00C83236" w:rsidRPr="00BA1545">
        <w:rPr>
          <w:bCs/>
          <w:lang w:val="en-US"/>
        </w:rPr>
        <w:t xml:space="preserve">: </w:t>
      </w:r>
      <w:r w:rsidR="00C57699">
        <w:rPr>
          <w:bCs/>
          <w:lang w:val="en-US"/>
        </w:rPr>
        <w:t xml:space="preserve">TIE </w:t>
      </w:r>
      <w:proofErr w:type="spellStart"/>
      <w:r w:rsidR="00C57699">
        <w:rPr>
          <w:bCs/>
          <w:lang w:val="en-US"/>
        </w:rPr>
        <w:t>Kinetix</w:t>
      </w:r>
      <w:proofErr w:type="spellEnd"/>
      <w:r w:rsidR="00C57699">
        <w:rPr>
          <w:bCs/>
          <w:lang w:val="en-US"/>
        </w:rPr>
        <w:t xml:space="preserve"> becomes Certified Google Analytics 360 Partner</w:t>
      </w:r>
      <w:r w:rsidR="00C83236" w:rsidRPr="00BA1545">
        <w:rPr>
          <w:bCs/>
          <w:lang w:val="en-US"/>
        </w:rPr>
        <w:t xml:space="preserve">; </w:t>
      </w:r>
    </w:p>
    <w:p w:rsidR="00C83236" w:rsidRPr="00BA1545" w:rsidRDefault="00C83236" w:rsidP="002148DB">
      <w:pPr>
        <w:pStyle w:val="NoSpacing"/>
        <w:jc w:val="both"/>
        <w:rPr>
          <w:bCs/>
          <w:lang w:val="en-US"/>
        </w:rPr>
      </w:pPr>
    </w:p>
    <w:p w:rsidR="00EF3B3C" w:rsidRDefault="00C57699" w:rsidP="002148DB">
      <w:pPr>
        <w:pStyle w:val="NoSpacing"/>
        <w:jc w:val="both"/>
        <w:rPr>
          <w:bCs/>
          <w:lang w:val="en-US"/>
        </w:rPr>
      </w:pPr>
      <w:r>
        <w:rPr>
          <w:bCs/>
          <w:lang w:val="en-US"/>
        </w:rPr>
        <w:t>03-</w:t>
      </w:r>
      <w:r w:rsidR="00C83236" w:rsidRPr="00BA1545">
        <w:rPr>
          <w:bCs/>
          <w:lang w:val="en-US"/>
        </w:rPr>
        <w:t>0</w:t>
      </w:r>
      <w:r w:rsidR="00EF3B3C">
        <w:rPr>
          <w:bCs/>
          <w:lang w:val="en-US"/>
        </w:rPr>
        <w:t>2</w:t>
      </w:r>
      <w:r w:rsidR="00C83236" w:rsidRPr="00BA1545">
        <w:rPr>
          <w:bCs/>
          <w:lang w:val="en-US"/>
        </w:rPr>
        <w:t>-201</w:t>
      </w:r>
      <w:r>
        <w:rPr>
          <w:bCs/>
          <w:lang w:val="en-US"/>
        </w:rPr>
        <w:t>7</w:t>
      </w:r>
      <w:r w:rsidR="00C83236" w:rsidRPr="00BA1545">
        <w:rPr>
          <w:bCs/>
          <w:lang w:val="en-US"/>
        </w:rPr>
        <w:t xml:space="preserve">: </w:t>
      </w:r>
      <w:r>
        <w:rPr>
          <w:bCs/>
          <w:lang w:val="en-US"/>
        </w:rPr>
        <w:t>Order Intake in excess of € 1 million</w:t>
      </w:r>
      <w:r w:rsidR="00EF3B3C">
        <w:rPr>
          <w:bCs/>
          <w:lang w:val="en-US"/>
        </w:rPr>
        <w:t>;</w:t>
      </w:r>
    </w:p>
    <w:p w:rsidR="00EF3B3C" w:rsidRDefault="00EF3B3C" w:rsidP="002148DB">
      <w:pPr>
        <w:pStyle w:val="NoSpacing"/>
        <w:jc w:val="both"/>
        <w:rPr>
          <w:bCs/>
          <w:lang w:val="en-US"/>
        </w:rPr>
      </w:pPr>
    </w:p>
    <w:p w:rsidR="00EF3B3C" w:rsidRDefault="00C57699" w:rsidP="002148DB">
      <w:pPr>
        <w:pStyle w:val="NoSpacing"/>
        <w:jc w:val="both"/>
        <w:rPr>
          <w:bCs/>
          <w:lang w:val="en-US"/>
        </w:rPr>
      </w:pPr>
      <w:r>
        <w:rPr>
          <w:bCs/>
          <w:lang w:val="en-US"/>
        </w:rPr>
        <w:t>15</w:t>
      </w:r>
      <w:r w:rsidR="00EF3B3C">
        <w:rPr>
          <w:bCs/>
          <w:lang w:val="en-US"/>
        </w:rPr>
        <w:t>-02-201</w:t>
      </w:r>
      <w:r>
        <w:rPr>
          <w:bCs/>
          <w:lang w:val="en-US"/>
        </w:rPr>
        <w:t>7</w:t>
      </w:r>
      <w:r w:rsidR="00C83236" w:rsidRPr="00BA1545">
        <w:rPr>
          <w:bCs/>
          <w:lang w:val="en-US"/>
        </w:rPr>
        <w:t xml:space="preserve">: </w:t>
      </w:r>
      <w:r>
        <w:rPr>
          <w:bCs/>
          <w:lang w:val="en-US"/>
        </w:rPr>
        <w:t>Q1 results: phasing out non-core products, focus on SaaS and subscription revenue</w:t>
      </w:r>
      <w:r w:rsidR="00EF3B3C">
        <w:rPr>
          <w:bCs/>
          <w:lang w:val="en-US"/>
        </w:rPr>
        <w:t>;</w:t>
      </w:r>
    </w:p>
    <w:p w:rsidR="00C83236" w:rsidRPr="00BA1545" w:rsidRDefault="00EF3B3C" w:rsidP="002148DB">
      <w:pPr>
        <w:pStyle w:val="NoSpacing"/>
        <w:jc w:val="both"/>
        <w:rPr>
          <w:bCs/>
          <w:lang w:val="en-US"/>
        </w:rPr>
      </w:pPr>
      <w:r w:rsidRPr="00BA1545">
        <w:rPr>
          <w:bCs/>
          <w:lang w:val="en-US"/>
        </w:rPr>
        <w:t xml:space="preserve"> </w:t>
      </w:r>
    </w:p>
    <w:p w:rsidR="00C61FFA" w:rsidRDefault="00EF3B3C" w:rsidP="00C57699">
      <w:pPr>
        <w:pStyle w:val="NoSpacing"/>
        <w:rPr>
          <w:bCs/>
          <w:lang w:val="en-US"/>
        </w:rPr>
      </w:pPr>
      <w:r>
        <w:rPr>
          <w:bCs/>
          <w:lang w:val="en-US"/>
        </w:rPr>
        <w:t>1</w:t>
      </w:r>
      <w:r w:rsidR="00C57699">
        <w:rPr>
          <w:bCs/>
          <w:lang w:val="en-US"/>
        </w:rPr>
        <w:t>6</w:t>
      </w:r>
      <w:r>
        <w:rPr>
          <w:bCs/>
          <w:lang w:val="en-US"/>
        </w:rPr>
        <w:t>-02-201</w:t>
      </w:r>
      <w:r w:rsidR="00C57699">
        <w:rPr>
          <w:bCs/>
          <w:lang w:val="en-US"/>
        </w:rPr>
        <w:t xml:space="preserve">7: TIE </w:t>
      </w:r>
      <w:proofErr w:type="spellStart"/>
      <w:r w:rsidR="00C57699">
        <w:rPr>
          <w:bCs/>
          <w:lang w:val="en-US"/>
        </w:rPr>
        <w:t>Kinetix</w:t>
      </w:r>
      <w:proofErr w:type="spellEnd"/>
      <w:r w:rsidR="00C57699">
        <w:rPr>
          <w:bCs/>
          <w:lang w:val="en-US"/>
        </w:rPr>
        <w:t xml:space="preserve"> recertified for ISO 27001:2013 certifications for Information Security Management</w:t>
      </w:r>
      <w:r>
        <w:rPr>
          <w:bCs/>
          <w:lang w:val="en-US"/>
        </w:rPr>
        <w:t>;</w:t>
      </w:r>
    </w:p>
    <w:p w:rsidR="00C83236" w:rsidRPr="00BA1545" w:rsidRDefault="00C83236" w:rsidP="002148DB">
      <w:pPr>
        <w:pStyle w:val="NoSpacing"/>
        <w:jc w:val="both"/>
        <w:rPr>
          <w:bCs/>
          <w:lang w:val="en-US"/>
        </w:rPr>
      </w:pPr>
    </w:p>
    <w:p w:rsidR="00C83236" w:rsidRDefault="00C57699" w:rsidP="002148DB">
      <w:pPr>
        <w:pStyle w:val="NoSpacing"/>
        <w:jc w:val="both"/>
        <w:rPr>
          <w:bCs/>
          <w:lang w:val="en-US"/>
        </w:rPr>
      </w:pPr>
      <w:r>
        <w:rPr>
          <w:bCs/>
          <w:lang w:val="en-US"/>
        </w:rPr>
        <w:t>17</w:t>
      </w:r>
      <w:r w:rsidR="00EF3B3C">
        <w:rPr>
          <w:bCs/>
          <w:lang w:val="en-US"/>
        </w:rPr>
        <w:t>-0</w:t>
      </w:r>
      <w:r>
        <w:rPr>
          <w:bCs/>
          <w:lang w:val="en-US"/>
        </w:rPr>
        <w:t>2</w:t>
      </w:r>
      <w:r w:rsidR="00EF3B3C">
        <w:rPr>
          <w:bCs/>
          <w:lang w:val="en-US"/>
        </w:rPr>
        <w:t>-201</w:t>
      </w:r>
      <w:r>
        <w:rPr>
          <w:bCs/>
          <w:lang w:val="en-US"/>
        </w:rPr>
        <w:t>7</w:t>
      </w:r>
      <w:r w:rsidR="00C83236" w:rsidRPr="00BA1545">
        <w:rPr>
          <w:bCs/>
          <w:lang w:val="en-US"/>
        </w:rPr>
        <w:t xml:space="preserve">: </w:t>
      </w:r>
      <w:r>
        <w:rPr>
          <w:bCs/>
          <w:lang w:val="en-US"/>
        </w:rPr>
        <w:t>Convocation Annual General Meeting of Shareholders</w:t>
      </w:r>
      <w:r w:rsidR="00C83236" w:rsidRPr="00BA1545">
        <w:rPr>
          <w:bCs/>
          <w:lang w:val="en-US"/>
        </w:rPr>
        <w:t>;</w:t>
      </w:r>
    </w:p>
    <w:p w:rsidR="00EF3B3C" w:rsidRDefault="00EF3B3C" w:rsidP="002148DB">
      <w:pPr>
        <w:pStyle w:val="NoSpacing"/>
        <w:jc w:val="both"/>
        <w:rPr>
          <w:bCs/>
          <w:lang w:val="en-US"/>
        </w:rPr>
      </w:pPr>
    </w:p>
    <w:p w:rsidR="00EF3B3C" w:rsidRDefault="00EF3B3C" w:rsidP="002148DB">
      <w:pPr>
        <w:pStyle w:val="NoSpacing"/>
        <w:jc w:val="both"/>
        <w:rPr>
          <w:bCs/>
          <w:lang w:val="en-US"/>
        </w:rPr>
      </w:pPr>
      <w:r>
        <w:rPr>
          <w:bCs/>
          <w:lang w:val="en-US"/>
        </w:rPr>
        <w:t>2</w:t>
      </w:r>
      <w:r w:rsidR="00C57699">
        <w:rPr>
          <w:bCs/>
          <w:lang w:val="en-US"/>
        </w:rPr>
        <w:t>3</w:t>
      </w:r>
      <w:r>
        <w:rPr>
          <w:bCs/>
          <w:lang w:val="en-US"/>
        </w:rPr>
        <w:t>-0</w:t>
      </w:r>
      <w:r w:rsidR="00C57699">
        <w:rPr>
          <w:bCs/>
          <w:lang w:val="en-US"/>
        </w:rPr>
        <w:t>2-2017</w:t>
      </w:r>
      <w:r>
        <w:rPr>
          <w:bCs/>
          <w:lang w:val="en-US"/>
        </w:rPr>
        <w:t xml:space="preserve">: </w:t>
      </w:r>
      <w:r w:rsidR="00C57699">
        <w:rPr>
          <w:bCs/>
          <w:lang w:val="en-US"/>
        </w:rPr>
        <w:t xml:space="preserve">Partnership with </w:t>
      </w:r>
      <w:proofErr w:type="spellStart"/>
      <w:r w:rsidR="00C57699">
        <w:rPr>
          <w:bCs/>
          <w:lang w:val="en-US"/>
        </w:rPr>
        <w:t>Trustweaver</w:t>
      </w:r>
      <w:proofErr w:type="spellEnd"/>
      <w:r w:rsidR="00C57699">
        <w:rPr>
          <w:bCs/>
          <w:lang w:val="en-US"/>
        </w:rPr>
        <w:t xml:space="preserve"> for Worldwide standardized paperless invoicing;</w:t>
      </w:r>
    </w:p>
    <w:p w:rsidR="00EF3B3C" w:rsidRDefault="00EF3B3C" w:rsidP="002148DB">
      <w:pPr>
        <w:pStyle w:val="NoSpacing"/>
        <w:jc w:val="both"/>
        <w:rPr>
          <w:bCs/>
          <w:lang w:val="en-US"/>
        </w:rPr>
      </w:pPr>
    </w:p>
    <w:p w:rsidR="00EF3B3C" w:rsidRDefault="00C57699" w:rsidP="002148DB">
      <w:pPr>
        <w:pStyle w:val="NoSpacing"/>
        <w:jc w:val="both"/>
        <w:rPr>
          <w:bCs/>
          <w:lang w:val="en-US"/>
        </w:rPr>
      </w:pPr>
      <w:r>
        <w:rPr>
          <w:bCs/>
          <w:lang w:val="en-US"/>
        </w:rPr>
        <w:t>08</w:t>
      </w:r>
      <w:r w:rsidR="00EF3B3C">
        <w:rPr>
          <w:bCs/>
          <w:lang w:val="en-US"/>
        </w:rPr>
        <w:t>-0</w:t>
      </w:r>
      <w:r>
        <w:rPr>
          <w:bCs/>
          <w:lang w:val="en-US"/>
        </w:rPr>
        <w:t>3</w:t>
      </w:r>
      <w:r w:rsidR="00EF3B3C">
        <w:rPr>
          <w:bCs/>
          <w:lang w:val="en-US"/>
        </w:rPr>
        <w:t>-201</w:t>
      </w:r>
      <w:r>
        <w:rPr>
          <w:bCs/>
          <w:lang w:val="en-US"/>
        </w:rPr>
        <w:t>7</w:t>
      </w:r>
      <w:r w:rsidR="00EF3B3C">
        <w:rPr>
          <w:bCs/>
          <w:lang w:val="en-US"/>
        </w:rPr>
        <w:t xml:space="preserve">: </w:t>
      </w:r>
      <w:r>
        <w:rPr>
          <w:bCs/>
          <w:lang w:val="en-US"/>
        </w:rPr>
        <w:t xml:space="preserve">TIE </w:t>
      </w:r>
      <w:proofErr w:type="spellStart"/>
      <w:r>
        <w:rPr>
          <w:bCs/>
          <w:lang w:val="en-US"/>
        </w:rPr>
        <w:t>Kinetix</w:t>
      </w:r>
      <w:proofErr w:type="spellEnd"/>
      <w:r>
        <w:rPr>
          <w:bCs/>
          <w:lang w:val="en-US"/>
        </w:rPr>
        <w:t>’ FLOW Partner Automation Platform recognized by Gartner</w:t>
      </w:r>
      <w:r w:rsidR="00EF3B3C">
        <w:rPr>
          <w:bCs/>
          <w:lang w:val="en-US"/>
        </w:rPr>
        <w:t>;</w:t>
      </w:r>
    </w:p>
    <w:p w:rsidR="00EF3B3C" w:rsidRDefault="00EF3B3C" w:rsidP="002148DB">
      <w:pPr>
        <w:pStyle w:val="NoSpacing"/>
        <w:jc w:val="both"/>
        <w:rPr>
          <w:bCs/>
          <w:lang w:val="en-US"/>
        </w:rPr>
      </w:pPr>
    </w:p>
    <w:p w:rsidR="00C57699" w:rsidRDefault="00C57699" w:rsidP="002148DB">
      <w:pPr>
        <w:pStyle w:val="NoSpacing"/>
        <w:jc w:val="both"/>
        <w:rPr>
          <w:bCs/>
          <w:lang w:val="en-US"/>
        </w:rPr>
      </w:pPr>
      <w:r>
        <w:rPr>
          <w:bCs/>
          <w:lang w:val="en-US"/>
        </w:rPr>
        <w:lastRenderedPageBreak/>
        <w:t>14</w:t>
      </w:r>
      <w:r w:rsidR="00EF3B3C">
        <w:rPr>
          <w:bCs/>
          <w:lang w:val="en-US"/>
        </w:rPr>
        <w:t>-0</w:t>
      </w:r>
      <w:r>
        <w:rPr>
          <w:bCs/>
          <w:lang w:val="en-US"/>
        </w:rPr>
        <w:t>3-2017</w:t>
      </w:r>
      <w:r w:rsidR="00EF3B3C">
        <w:rPr>
          <w:bCs/>
          <w:lang w:val="en-US"/>
        </w:rPr>
        <w:t>:</w:t>
      </w:r>
      <w:r>
        <w:rPr>
          <w:bCs/>
          <w:lang w:val="en-US"/>
        </w:rPr>
        <w:t xml:space="preserve"> Strategy Update;</w:t>
      </w:r>
    </w:p>
    <w:p w:rsidR="00C57699" w:rsidRDefault="00C57699" w:rsidP="002148DB">
      <w:pPr>
        <w:pStyle w:val="NoSpacing"/>
        <w:jc w:val="both"/>
        <w:rPr>
          <w:bCs/>
          <w:lang w:val="en-US"/>
        </w:rPr>
      </w:pPr>
    </w:p>
    <w:p w:rsidR="00EF3B3C" w:rsidRDefault="00C57699" w:rsidP="002148DB">
      <w:pPr>
        <w:pStyle w:val="NoSpacing"/>
        <w:jc w:val="both"/>
        <w:rPr>
          <w:bCs/>
          <w:lang w:val="en-US"/>
        </w:rPr>
      </w:pPr>
      <w:r>
        <w:rPr>
          <w:bCs/>
          <w:lang w:val="en-US"/>
        </w:rPr>
        <w:t>31-03-2017: V</w:t>
      </w:r>
      <w:r w:rsidR="00EF3B3C">
        <w:rPr>
          <w:bCs/>
          <w:lang w:val="en-US"/>
        </w:rPr>
        <w:t>oting results Annual General Meeting of Shareholders;</w:t>
      </w:r>
    </w:p>
    <w:p w:rsidR="00BD3E85" w:rsidRDefault="00BD3E85" w:rsidP="002148DB">
      <w:pPr>
        <w:pStyle w:val="NoSpacing"/>
        <w:jc w:val="both"/>
        <w:rPr>
          <w:b/>
          <w:lang w:val="en-US"/>
        </w:rPr>
      </w:pPr>
    </w:p>
    <w:p w:rsidR="00BD3E85" w:rsidRDefault="00BD3E85" w:rsidP="002148DB">
      <w:pPr>
        <w:pStyle w:val="NoSpacing"/>
        <w:jc w:val="both"/>
        <w:rPr>
          <w:b/>
          <w:lang w:val="en-US"/>
        </w:rPr>
      </w:pPr>
    </w:p>
    <w:p w:rsidR="0031049A" w:rsidRPr="00C57699" w:rsidRDefault="00C57699" w:rsidP="002148DB">
      <w:pPr>
        <w:pStyle w:val="NoSpacing"/>
        <w:jc w:val="both"/>
        <w:rPr>
          <w:b/>
          <w:lang w:val="en-US"/>
        </w:rPr>
      </w:pPr>
      <w:r w:rsidRPr="00C57699">
        <w:rPr>
          <w:b/>
          <w:lang w:val="en-US"/>
        </w:rPr>
        <w:t>M</w:t>
      </w:r>
      <w:r w:rsidR="0031049A" w:rsidRPr="00C57699">
        <w:rPr>
          <w:b/>
          <w:lang w:val="en-US"/>
        </w:rPr>
        <w:t>anagement Board Responsibility statement</w:t>
      </w:r>
    </w:p>
    <w:p w:rsidR="0031049A" w:rsidRPr="00BA1545" w:rsidRDefault="0031049A" w:rsidP="002148DB">
      <w:pPr>
        <w:pStyle w:val="NoSpacing"/>
        <w:jc w:val="both"/>
        <w:rPr>
          <w:lang w:val="en-US"/>
        </w:rPr>
      </w:pPr>
      <w:r w:rsidRPr="00BA1545">
        <w:rPr>
          <w:lang w:val="en-US"/>
        </w:rPr>
        <w:t xml:space="preserve">The </w:t>
      </w:r>
      <w:r w:rsidR="00C57699">
        <w:rPr>
          <w:lang w:val="en-US"/>
        </w:rPr>
        <w:t>Executive</w:t>
      </w:r>
      <w:r w:rsidRPr="00BA1545">
        <w:rPr>
          <w:lang w:val="en-US"/>
        </w:rPr>
        <w:t xml:space="preserve"> Board hereby declares that, to the best of their knowledge:</w:t>
      </w:r>
    </w:p>
    <w:p w:rsidR="0031049A" w:rsidRPr="00BA1545" w:rsidRDefault="0031049A" w:rsidP="002148DB">
      <w:pPr>
        <w:pStyle w:val="NoSpacing"/>
        <w:jc w:val="both"/>
        <w:rPr>
          <w:lang w:val="en-US"/>
        </w:rPr>
      </w:pPr>
      <w:r w:rsidRPr="00BA1545">
        <w:rPr>
          <w:lang w:val="en-US"/>
        </w:rPr>
        <w:t>The half year financial statements give a true and fair view of the assets, liabilities, financial position as per March 31, 201</w:t>
      </w:r>
      <w:r w:rsidR="00C57699">
        <w:rPr>
          <w:lang w:val="en-US"/>
        </w:rPr>
        <w:t>7</w:t>
      </w:r>
      <w:r w:rsidRPr="00BA1545">
        <w:rPr>
          <w:lang w:val="en-US"/>
        </w:rPr>
        <w:t xml:space="preserve"> and the profit for the half-year ended March 31, 201</w:t>
      </w:r>
      <w:r w:rsidR="00C57699">
        <w:rPr>
          <w:lang w:val="en-US"/>
        </w:rPr>
        <w:t>7</w:t>
      </w:r>
      <w:r w:rsidRPr="00BA1545">
        <w:rPr>
          <w:lang w:val="en-US"/>
        </w:rPr>
        <w:t xml:space="preserve"> of the Compan</w:t>
      </w:r>
      <w:r w:rsidR="0092153F">
        <w:rPr>
          <w:lang w:val="en-US"/>
        </w:rPr>
        <w:t xml:space="preserve">y and its consolidated entities. </w:t>
      </w:r>
      <w:r w:rsidRPr="00BA1545">
        <w:rPr>
          <w:lang w:val="en-US"/>
        </w:rPr>
        <w:t xml:space="preserve">The half year </w:t>
      </w:r>
      <w:r w:rsidR="00C57699">
        <w:rPr>
          <w:lang w:val="en-US"/>
        </w:rPr>
        <w:t>Executive</w:t>
      </w:r>
      <w:r w:rsidRPr="00BA1545">
        <w:rPr>
          <w:lang w:val="en-US"/>
        </w:rPr>
        <w:t xml:space="preserve"> Board report for the first six months of the financial year 201</w:t>
      </w:r>
      <w:r w:rsidR="00C57699">
        <w:rPr>
          <w:lang w:val="en-US"/>
        </w:rPr>
        <w:t>7</w:t>
      </w:r>
      <w:r w:rsidRPr="00BA1545">
        <w:rPr>
          <w:lang w:val="en-US"/>
        </w:rPr>
        <w:t xml:space="preserve"> includes a true and fair review of the position as per March 31, 201</w:t>
      </w:r>
      <w:r w:rsidR="00C57699">
        <w:rPr>
          <w:lang w:val="en-US"/>
        </w:rPr>
        <w:t>7</w:t>
      </w:r>
      <w:r w:rsidRPr="00BA1545">
        <w:rPr>
          <w:lang w:val="en-US"/>
        </w:rPr>
        <w:t xml:space="preserve"> and of the development and performance during the first six months ended March 31, 201</w:t>
      </w:r>
      <w:r w:rsidR="00C57699">
        <w:rPr>
          <w:lang w:val="en-US"/>
        </w:rPr>
        <w:t>7</w:t>
      </w:r>
      <w:r w:rsidRPr="00BA1545">
        <w:rPr>
          <w:lang w:val="en-US"/>
        </w:rPr>
        <w:t xml:space="preserve"> of the Company and its consolidated entities, of which the information is included in the interim financial statements. In addition, the interim report gives a true and fair review of the expected developments, investments and circumstances of which the development of revenue and profitability depend.</w:t>
      </w:r>
    </w:p>
    <w:p w:rsidR="0031049A" w:rsidRPr="00BA1545" w:rsidRDefault="0031049A" w:rsidP="002148DB">
      <w:pPr>
        <w:pStyle w:val="NoSpacing"/>
        <w:jc w:val="both"/>
        <w:rPr>
          <w:lang w:val="en-US"/>
        </w:rPr>
      </w:pPr>
    </w:p>
    <w:p w:rsidR="0031049A" w:rsidRPr="00C57699" w:rsidRDefault="0031049A" w:rsidP="002148DB">
      <w:pPr>
        <w:pStyle w:val="NoSpacing"/>
        <w:jc w:val="both"/>
        <w:rPr>
          <w:b/>
          <w:lang w:val="en-US"/>
        </w:rPr>
      </w:pPr>
      <w:r w:rsidRPr="00C57699">
        <w:rPr>
          <w:b/>
          <w:lang w:val="en-US"/>
        </w:rPr>
        <w:t>Forward looking statement/Guidance</w:t>
      </w:r>
    </w:p>
    <w:p w:rsidR="0031049A" w:rsidRPr="00BA1545" w:rsidRDefault="0031049A" w:rsidP="002148DB">
      <w:pPr>
        <w:pStyle w:val="NoSpacing"/>
        <w:jc w:val="both"/>
        <w:rPr>
          <w:lang w:val="en-US"/>
        </w:rPr>
      </w:pPr>
      <w:r w:rsidRPr="00BA1545">
        <w:rPr>
          <w:lang w:val="en-US"/>
        </w:rPr>
        <w:t xml:space="preserve">This report contains information as referred to in the articles 5.59 </w:t>
      </w:r>
      <w:proofErr w:type="gramStart"/>
      <w:r w:rsidRPr="00BA1545">
        <w:rPr>
          <w:lang w:val="en-US"/>
        </w:rPr>
        <w:t>jo</w:t>
      </w:r>
      <w:proofErr w:type="gramEnd"/>
      <w:r w:rsidRPr="00BA1545">
        <w:rPr>
          <w:lang w:val="en-US"/>
        </w:rPr>
        <w:t xml:space="preserve">. </w:t>
      </w:r>
      <w:proofErr w:type="gramStart"/>
      <w:r w:rsidRPr="00BA1545">
        <w:rPr>
          <w:lang w:val="en-US"/>
        </w:rPr>
        <w:t xml:space="preserve">5:53, 5:25d and 5:25 w of the Dutch Financial Supervision Act (Wet op het </w:t>
      </w:r>
      <w:proofErr w:type="spellStart"/>
      <w:r w:rsidRPr="00BA1545">
        <w:rPr>
          <w:lang w:val="en-US"/>
        </w:rPr>
        <w:t>financieel</w:t>
      </w:r>
      <w:proofErr w:type="spellEnd"/>
      <w:r w:rsidRPr="00BA1545">
        <w:rPr>
          <w:lang w:val="en-US"/>
        </w:rPr>
        <w:t xml:space="preserve"> </w:t>
      </w:r>
      <w:proofErr w:type="spellStart"/>
      <w:r w:rsidRPr="00BA1545">
        <w:rPr>
          <w:lang w:val="en-US"/>
        </w:rPr>
        <w:t>toezicht</w:t>
      </w:r>
      <w:proofErr w:type="spellEnd"/>
      <w:r w:rsidRPr="00BA1545">
        <w:rPr>
          <w:lang w:val="en-US"/>
        </w:rPr>
        <w:t>).</w:t>
      </w:r>
      <w:proofErr w:type="gramEnd"/>
      <w:r w:rsidRPr="00BA1545">
        <w:rPr>
          <w:lang w:val="en-US"/>
        </w:rPr>
        <w:t xml:space="preserve"> Forward looking statements, which can form a part of this report refer to future events and may be expressed in a variety of ways, such as ‘expects’, ‘projects’, ‘anticipates’, ‘intends’ or similar words. The Company has based these forward looking statements on its current expectations and projections about future events. </w:t>
      </w:r>
    </w:p>
    <w:p w:rsidR="005C18B0" w:rsidRPr="00BA1545" w:rsidRDefault="005C18B0" w:rsidP="002148DB">
      <w:pPr>
        <w:pStyle w:val="NoSpacing"/>
        <w:jc w:val="both"/>
        <w:rPr>
          <w:lang w:val="en-US"/>
        </w:rPr>
      </w:pPr>
    </w:p>
    <w:p w:rsidR="00AB3A8D" w:rsidRPr="00C57699" w:rsidRDefault="00AB3A8D" w:rsidP="002148DB">
      <w:pPr>
        <w:pStyle w:val="NoSpacing"/>
        <w:jc w:val="both"/>
        <w:rPr>
          <w:b/>
          <w:lang w:val="en-US"/>
        </w:rPr>
      </w:pPr>
      <w:r w:rsidRPr="00C57699">
        <w:rPr>
          <w:b/>
          <w:lang w:val="en-US"/>
        </w:rPr>
        <w:t>Risks and uncertainties</w:t>
      </w:r>
    </w:p>
    <w:p w:rsidR="00AB3A8D" w:rsidRPr="00BA1545" w:rsidRDefault="00AB3A8D" w:rsidP="002148DB">
      <w:pPr>
        <w:pStyle w:val="NoSpacing"/>
        <w:jc w:val="both"/>
        <w:rPr>
          <w:lang w:val="en-US"/>
        </w:rPr>
      </w:pPr>
      <w:r w:rsidRPr="00BA1545">
        <w:rPr>
          <w:lang w:val="en-US"/>
        </w:rPr>
        <w:t xml:space="preserve">Risks and </w:t>
      </w:r>
      <w:r w:rsidR="00934F20" w:rsidRPr="00BA1545">
        <w:rPr>
          <w:lang w:val="en-US"/>
        </w:rPr>
        <w:t xml:space="preserve">TIE </w:t>
      </w:r>
      <w:proofErr w:type="spellStart"/>
      <w:r w:rsidR="00934F20" w:rsidRPr="00BA1545">
        <w:rPr>
          <w:lang w:val="en-US"/>
        </w:rPr>
        <w:t>Kinetix</w:t>
      </w:r>
      <w:r w:rsidRPr="00BA1545">
        <w:rPr>
          <w:lang w:val="en-US"/>
        </w:rPr>
        <w:t>’s</w:t>
      </w:r>
      <w:proofErr w:type="spellEnd"/>
      <w:r w:rsidRPr="00BA1545">
        <w:rPr>
          <w:lang w:val="en-US"/>
        </w:rPr>
        <w:t xml:space="preserve"> risk management strategy are detailed in the 201</w:t>
      </w:r>
      <w:r w:rsidR="00C57699">
        <w:rPr>
          <w:lang w:val="en-US"/>
        </w:rPr>
        <w:t>6</w:t>
      </w:r>
      <w:r w:rsidRPr="00BA1545">
        <w:rPr>
          <w:lang w:val="en-US"/>
        </w:rPr>
        <w:t xml:space="preserve"> annual report and have not changed during the first half of 201</w:t>
      </w:r>
      <w:r w:rsidR="00C57699">
        <w:rPr>
          <w:lang w:val="en-US"/>
        </w:rPr>
        <w:t>7</w:t>
      </w:r>
      <w:r w:rsidRPr="00BA1545">
        <w:rPr>
          <w:lang w:val="en-US"/>
        </w:rPr>
        <w:t>.</w:t>
      </w:r>
    </w:p>
    <w:p w:rsidR="000A4F9D" w:rsidRPr="00BA1545" w:rsidRDefault="000A4F9D" w:rsidP="002148DB">
      <w:pPr>
        <w:pStyle w:val="NoSpacing"/>
        <w:jc w:val="both"/>
        <w:rPr>
          <w:lang w:val="en-US"/>
        </w:rPr>
      </w:pPr>
    </w:p>
    <w:p w:rsidR="004D02F3" w:rsidRPr="00BA1545" w:rsidRDefault="000A4F9D" w:rsidP="002148DB">
      <w:pPr>
        <w:pStyle w:val="NoSpacing"/>
        <w:jc w:val="both"/>
        <w:rPr>
          <w:i/>
          <w:lang w:val="en-US"/>
        </w:rPr>
      </w:pPr>
      <w:r w:rsidRPr="00BA1545">
        <w:rPr>
          <w:i/>
          <w:lang w:val="en-US"/>
        </w:rPr>
        <w:t xml:space="preserve">This document may contain expectations about the financial state of affairs and results of the activities of </w:t>
      </w:r>
      <w:r w:rsidR="00934F20" w:rsidRPr="00BA1545">
        <w:rPr>
          <w:i/>
          <w:lang w:val="en-US"/>
        </w:rPr>
        <w:t xml:space="preserve">TIE </w:t>
      </w:r>
      <w:proofErr w:type="spellStart"/>
      <w:r w:rsidR="00934F20" w:rsidRPr="00BA1545">
        <w:rPr>
          <w:i/>
          <w:lang w:val="en-US"/>
        </w:rPr>
        <w:t>Kinetix</w:t>
      </w:r>
      <w:proofErr w:type="spellEnd"/>
      <w:r w:rsidRPr="00BA1545">
        <w:rPr>
          <w:i/>
          <w:lang w:val="en-US"/>
        </w:rPr>
        <w:t xml:space="preserve"> as well as certain related plans and objectives. Such expectations for the future are naturally associated with risks and uncertainties because they relate to future events, and as such depend on certain circumstanc</w:t>
      </w:r>
      <w:r w:rsidR="00AB5F72" w:rsidRPr="00BA1545">
        <w:rPr>
          <w:i/>
          <w:lang w:val="en-US"/>
        </w:rPr>
        <w:t>es that</w:t>
      </w:r>
      <w:r w:rsidRPr="00BA1545">
        <w:rPr>
          <w:i/>
          <w:lang w:val="en-US"/>
        </w:rPr>
        <w:t xml:space="preserve"> may not arise in future. Various factors may cause real results and developments to deviate considerably from explicitly or implicitly made statements about future expectations. Such factors may for instance be changes in expenditure by companies in important markets, in statutory changes and changes in financial markets, in the EU grant regime, in the salary levels of employees, in future borrowing costs, in future take-overs or divestitures and the pace of technological developments.</w:t>
      </w:r>
      <w:r w:rsidR="00BB1B34" w:rsidRPr="00BA1545">
        <w:rPr>
          <w:i/>
          <w:lang w:val="en-US"/>
        </w:rPr>
        <w:t xml:space="preserve"> </w:t>
      </w:r>
      <w:r w:rsidR="00934F20" w:rsidRPr="00BA1545">
        <w:rPr>
          <w:i/>
          <w:lang w:val="en-US"/>
        </w:rPr>
        <w:t xml:space="preserve">TIE </w:t>
      </w:r>
      <w:proofErr w:type="spellStart"/>
      <w:r w:rsidR="00934F20" w:rsidRPr="00BA1545">
        <w:rPr>
          <w:i/>
          <w:lang w:val="en-US"/>
        </w:rPr>
        <w:t>Kinetix</w:t>
      </w:r>
      <w:proofErr w:type="spellEnd"/>
      <w:r w:rsidR="00893742" w:rsidRPr="00BA1545">
        <w:rPr>
          <w:i/>
          <w:lang w:val="en-US"/>
        </w:rPr>
        <w:t xml:space="preserve"> therefore cannot guarantee that the expectations will be realized. </w:t>
      </w:r>
      <w:r w:rsidR="00934F20" w:rsidRPr="00BA1545">
        <w:rPr>
          <w:i/>
          <w:lang w:val="en-US"/>
        </w:rPr>
        <w:t xml:space="preserve">TIE </w:t>
      </w:r>
      <w:proofErr w:type="spellStart"/>
      <w:r w:rsidR="00934F20" w:rsidRPr="00BA1545">
        <w:rPr>
          <w:i/>
          <w:lang w:val="en-US"/>
        </w:rPr>
        <w:t>Kinetix</w:t>
      </w:r>
      <w:proofErr w:type="spellEnd"/>
      <w:r w:rsidR="00893742" w:rsidRPr="00BA1545">
        <w:rPr>
          <w:i/>
          <w:lang w:val="en-US"/>
        </w:rPr>
        <w:t xml:space="preserve"> </w:t>
      </w:r>
      <w:proofErr w:type="spellStart"/>
      <w:proofErr w:type="gramStart"/>
      <w:r w:rsidR="00893742" w:rsidRPr="00BA1545">
        <w:rPr>
          <w:i/>
          <w:lang w:val="en-US"/>
        </w:rPr>
        <w:t>als</w:t>
      </w:r>
      <w:proofErr w:type="spellEnd"/>
      <w:proofErr w:type="gramEnd"/>
      <w:r w:rsidR="00893742" w:rsidRPr="00BA1545">
        <w:rPr>
          <w:i/>
          <w:lang w:val="en-US"/>
        </w:rPr>
        <w:t xml:space="preserve"> refuses to accept any obligation to update statements made in this document.</w:t>
      </w:r>
    </w:p>
    <w:p w:rsidR="00893742" w:rsidRPr="00BA1545" w:rsidRDefault="00893742" w:rsidP="002148DB">
      <w:pPr>
        <w:pStyle w:val="NoSpacing"/>
        <w:jc w:val="both"/>
        <w:rPr>
          <w:lang w:val="en-US"/>
        </w:rPr>
      </w:pPr>
    </w:p>
    <w:p w:rsidR="00893742" w:rsidRPr="00BA1545" w:rsidRDefault="00893742" w:rsidP="002148DB">
      <w:pPr>
        <w:pStyle w:val="NoSpacing"/>
        <w:jc w:val="both"/>
        <w:rPr>
          <w:lang w:val="en-US"/>
        </w:rPr>
      </w:pPr>
      <w:r w:rsidRPr="00BA1545">
        <w:rPr>
          <w:lang w:val="en-US"/>
        </w:rPr>
        <w:t>For further information, please contact:</w:t>
      </w:r>
    </w:p>
    <w:p w:rsidR="00893742" w:rsidRPr="00BA1545" w:rsidRDefault="00934F20" w:rsidP="002148DB">
      <w:pPr>
        <w:pStyle w:val="NoSpacing"/>
        <w:jc w:val="both"/>
        <w:rPr>
          <w:lang w:val="en-US"/>
        </w:rPr>
      </w:pPr>
      <w:r w:rsidRPr="00BA1545">
        <w:rPr>
          <w:lang w:val="en-US"/>
        </w:rPr>
        <w:t xml:space="preserve">TIE </w:t>
      </w:r>
      <w:proofErr w:type="spellStart"/>
      <w:r w:rsidRPr="00BA1545">
        <w:rPr>
          <w:lang w:val="en-US"/>
        </w:rPr>
        <w:t>Kinetix</w:t>
      </w:r>
      <w:proofErr w:type="spellEnd"/>
      <w:r w:rsidR="00893742" w:rsidRPr="00BA1545">
        <w:rPr>
          <w:lang w:val="en-US"/>
        </w:rPr>
        <w:t xml:space="preserve"> N.V.</w:t>
      </w:r>
    </w:p>
    <w:p w:rsidR="00893742" w:rsidRPr="00BA1545" w:rsidRDefault="00893742" w:rsidP="002148DB">
      <w:pPr>
        <w:pStyle w:val="NoSpacing"/>
        <w:jc w:val="both"/>
        <w:rPr>
          <w:lang w:val="en-US"/>
        </w:rPr>
      </w:pPr>
      <w:r w:rsidRPr="00BA1545">
        <w:rPr>
          <w:lang w:val="en-US"/>
        </w:rPr>
        <w:t xml:space="preserve">Jan </w:t>
      </w:r>
      <w:proofErr w:type="spellStart"/>
      <w:r w:rsidRPr="00BA1545">
        <w:rPr>
          <w:lang w:val="en-US"/>
        </w:rPr>
        <w:t>Sundelin</w:t>
      </w:r>
      <w:proofErr w:type="spellEnd"/>
      <w:r w:rsidRPr="00BA1545">
        <w:rPr>
          <w:lang w:val="en-US"/>
        </w:rPr>
        <w:t xml:space="preserve"> CEO or </w:t>
      </w:r>
      <w:proofErr w:type="spellStart"/>
      <w:r w:rsidRPr="00BA1545">
        <w:rPr>
          <w:lang w:val="en-US"/>
        </w:rPr>
        <w:t>Michiel</w:t>
      </w:r>
      <w:proofErr w:type="spellEnd"/>
      <w:r w:rsidRPr="00BA1545">
        <w:rPr>
          <w:lang w:val="en-US"/>
        </w:rPr>
        <w:t xml:space="preserve"> </w:t>
      </w:r>
      <w:proofErr w:type="spellStart"/>
      <w:r w:rsidRPr="00BA1545">
        <w:rPr>
          <w:lang w:val="en-US"/>
        </w:rPr>
        <w:t>Wolfswinkel</w:t>
      </w:r>
      <w:proofErr w:type="spellEnd"/>
      <w:r w:rsidRPr="00BA1545">
        <w:rPr>
          <w:lang w:val="en-US"/>
        </w:rPr>
        <w:t xml:space="preserve"> CFO</w:t>
      </w:r>
    </w:p>
    <w:p w:rsidR="00893742" w:rsidRPr="00BA1545" w:rsidRDefault="00893742" w:rsidP="002148DB">
      <w:pPr>
        <w:pStyle w:val="NoSpacing"/>
        <w:jc w:val="both"/>
        <w:rPr>
          <w:lang w:val="en-US"/>
        </w:rPr>
      </w:pPr>
      <w:r w:rsidRPr="00BA1545">
        <w:rPr>
          <w:lang w:val="en-US"/>
        </w:rPr>
        <w:t>Phone: +31 (0) 88 3698060</w:t>
      </w:r>
    </w:p>
    <w:p w:rsidR="00893742" w:rsidRPr="00BA1545" w:rsidRDefault="00893742" w:rsidP="002148DB">
      <w:pPr>
        <w:pStyle w:val="NoSpacing"/>
        <w:jc w:val="both"/>
        <w:rPr>
          <w:lang w:val="de-DE"/>
        </w:rPr>
      </w:pPr>
      <w:r w:rsidRPr="00BA1545">
        <w:rPr>
          <w:lang w:val="de-DE"/>
        </w:rPr>
        <w:t xml:space="preserve">e-mail: </w:t>
      </w:r>
      <w:r w:rsidR="00F037EC">
        <w:fldChar w:fldCharType="begin"/>
      </w:r>
      <w:r w:rsidR="00F037EC">
        <w:instrText xml:space="preserve"> HYPERLINK "mailto:michiel.wolfswinkel@tiekinetix.com" </w:instrText>
      </w:r>
      <w:r w:rsidR="00F037EC">
        <w:fldChar w:fldCharType="separate"/>
      </w:r>
      <w:r w:rsidRPr="00BA1545">
        <w:rPr>
          <w:rStyle w:val="Hyperlink"/>
          <w:bCs/>
          <w:lang w:val="de-DE"/>
        </w:rPr>
        <w:t>michiel.wolfswinkel@tiekinetix.com</w:t>
      </w:r>
      <w:r w:rsidR="00F037EC">
        <w:rPr>
          <w:rStyle w:val="Hyperlink"/>
          <w:bCs/>
          <w:lang w:val="de-DE"/>
        </w:rPr>
        <w:fldChar w:fldCharType="end"/>
      </w:r>
    </w:p>
    <w:p w:rsidR="00893742" w:rsidRPr="00BA1545" w:rsidRDefault="00893742" w:rsidP="002148DB">
      <w:pPr>
        <w:pStyle w:val="NoSpacing"/>
        <w:jc w:val="both"/>
        <w:rPr>
          <w:lang w:val="de-DE"/>
        </w:rPr>
      </w:pPr>
    </w:p>
    <w:p w:rsidR="00893742" w:rsidRPr="00BA1545" w:rsidRDefault="00893742" w:rsidP="002148DB">
      <w:pPr>
        <w:pStyle w:val="NoSpacing"/>
        <w:jc w:val="both"/>
        <w:rPr>
          <w:lang w:val="en-US"/>
        </w:rPr>
      </w:pPr>
      <w:r w:rsidRPr="00BA1545">
        <w:rPr>
          <w:lang w:val="en-US"/>
        </w:rPr>
        <w:t xml:space="preserve">About </w:t>
      </w:r>
      <w:r w:rsidR="00934F20" w:rsidRPr="00BA1545">
        <w:rPr>
          <w:lang w:val="en-US"/>
        </w:rPr>
        <w:t xml:space="preserve">TIE </w:t>
      </w:r>
      <w:proofErr w:type="spellStart"/>
      <w:r w:rsidR="00934F20" w:rsidRPr="00BA1545">
        <w:rPr>
          <w:lang w:val="en-US"/>
        </w:rPr>
        <w:t>Kinetix</w:t>
      </w:r>
      <w:proofErr w:type="spellEnd"/>
    </w:p>
    <w:p w:rsidR="00893742" w:rsidRPr="00BA1545" w:rsidRDefault="00893742" w:rsidP="002148DB">
      <w:pPr>
        <w:spacing w:before="24" w:line="235" w:lineRule="exact"/>
        <w:jc w:val="both"/>
        <w:rPr>
          <w:rFonts w:asciiTheme="minorHAnsi" w:eastAsiaTheme="minorHAnsi" w:hAnsiTheme="minorHAnsi" w:cstheme="minorBidi"/>
          <w:bCs/>
          <w:sz w:val="22"/>
          <w:szCs w:val="22"/>
        </w:rPr>
      </w:pPr>
      <w:r w:rsidRPr="00BA1545">
        <w:rPr>
          <w:rFonts w:asciiTheme="minorHAnsi" w:eastAsiaTheme="minorHAnsi" w:hAnsiTheme="minorHAnsi" w:cstheme="minorBidi"/>
          <w:bCs/>
          <w:sz w:val="22"/>
          <w:szCs w:val="22"/>
        </w:rPr>
        <w:t xml:space="preserve">TIE </w:t>
      </w:r>
      <w:proofErr w:type="spellStart"/>
      <w:r w:rsidRPr="00BA1545">
        <w:rPr>
          <w:rFonts w:asciiTheme="minorHAnsi" w:eastAsiaTheme="minorHAnsi" w:hAnsiTheme="minorHAnsi" w:cstheme="minorBidi"/>
          <w:bCs/>
          <w:sz w:val="22"/>
          <w:szCs w:val="22"/>
        </w:rPr>
        <w:t>Kinetix</w:t>
      </w:r>
      <w:proofErr w:type="spellEnd"/>
      <w:r w:rsidRPr="00BA1545">
        <w:rPr>
          <w:rFonts w:asciiTheme="minorHAnsi" w:eastAsiaTheme="minorHAnsi" w:hAnsiTheme="minorHAnsi" w:cstheme="minorBidi"/>
          <w:bCs/>
          <w:sz w:val="22"/>
          <w:szCs w:val="22"/>
        </w:rPr>
        <w:t xml:space="preserve"> transforms the digital supply chain by providing Total Integrated E-commerce solutions. These solutions maximize revenue opportunities by minimizing the energy required to market, sell and deliver online. Customers and partners of TIE </w:t>
      </w:r>
      <w:proofErr w:type="spellStart"/>
      <w:r w:rsidRPr="00BA1545">
        <w:rPr>
          <w:rFonts w:asciiTheme="minorHAnsi" w:eastAsiaTheme="minorHAnsi" w:hAnsiTheme="minorHAnsi" w:cstheme="minorBidi"/>
          <w:bCs/>
          <w:sz w:val="22"/>
          <w:szCs w:val="22"/>
        </w:rPr>
        <w:t>Kinetix</w:t>
      </w:r>
      <w:proofErr w:type="spellEnd"/>
      <w:r w:rsidRPr="00BA1545">
        <w:rPr>
          <w:rFonts w:asciiTheme="minorHAnsi" w:eastAsiaTheme="minorHAnsi" w:hAnsiTheme="minorHAnsi" w:cstheme="minorBidi"/>
          <w:bCs/>
          <w:sz w:val="22"/>
          <w:szCs w:val="22"/>
        </w:rPr>
        <w:t xml:space="preserve"> constantly benefit from innovative, field tested, state-of-the-art technologies, which are backed by over 25 years of experience and prestigious awards. TIE </w:t>
      </w:r>
      <w:proofErr w:type="spellStart"/>
      <w:r w:rsidRPr="00BA1545">
        <w:rPr>
          <w:rFonts w:asciiTheme="minorHAnsi" w:eastAsiaTheme="minorHAnsi" w:hAnsiTheme="minorHAnsi" w:cstheme="minorBidi"/>
          <w:bCs/>
          <w:sz w:val="22"/>
          <w:szCs w:val="22"/>
        </w:rPr>
        <w:t>Kinetix</w:t>
      </w:r>
      <w:proofErr w:type="spellEnd"/>
      <w:r w:rsidRPr="00BA1545">
        <w:rPr>
          <w:rFonts w:asciiTheme="minorHAnsi" w:eastAsiaTheme="minorHAnsi" w:hAnsiTheme="minorHAnsi" w:cstheme="minorBidi"/>
          <w:bCs/>
          <w:sz w:val="22"/>
          <w:szCs w:val="22"/>
        </w:rPr>
        <w:t xml:space="preserve"> makes technology to perform, such that customers and partners can focus on their core business.</w:t>
      </w:r>
    </w:p>
    <w:p w:rsidR="00893742" w:rsidRPr="00BA1545" w:rsidRDefault="00893742" w:rsidP="002148DB">
      <w:pPr>
        <w:spacing w:before="24" w:line="235" w:lineRule="exact"/>
        <w:jc w:val="both"/>
        <w:rPr>
          <w:rFonts w:asciiTheme="minorHAnsi" w:eastAsiaTheme="minorHAnsi" w:hAnsiTheme="minorHAnsi" w:cstheme="minorBidi"/>
          <w:bCs/>
          <w:sz w:val="22"/>
          <w:szCs w:val="22"/>
        </w:rPr>
      </w:pPr>
    </w:p>
    <w:p w:rsidR="00893742" w:rsidRPr="00BA1545" w:rsidRDefault="00893742" w:rsidP="002148DB">
      <w:pPr>
        <w:spacing w:before="24" w:line="235" w:lineRule="exact"/>
        <w:jc w:val="both"/>
        <w:rPr>
          <w:rFonts w:asciiTheme="minorHAnsi" w:eastAsiaTheme="minorHAnsi" w:hAnsiTheme="minorHAnsi" w:cstheme="minorBidi"/>
          <w:bCs/>
          <w:sz w:val="22"/>
          <w:szCs w:val="22"/>
        </w:rPr>
      </w:pPr>
      <w:r w:rsidRPr="00BA1545">
        <w:rPr>
          <w:rFonts w:asciiTheme="minorHAnsi" w:eastAsiaTheme="minorHAnsi" w:hAnsiTheme="minorHAnsi" w:cstheme="minorBidi"/>
          <w:bCs/>
          <w:sz w:val="22"/>
          <w:szCs w:val="22"/>
        </w:rPr>
        <w:lastRenderedPageBreak/>
        <w:t xml:space="preserve">TIE </w:t>
      </w:r>
      <w:proofErr w:type="spellStart"/>
      <w:r w:rsidRPr="00BA1545">
        <w:rPr>
          <w:rFonts w:asciiTheme="minorHAnsi" w:eastAsiaTheme="minorHAnsi" w:hAnsiTheme="minorHAnsi" w:cstheme="minorBidi"/>
          <w:bCs/>
          <w:sz w:val="22"/>
          <w:szCs w:val="22"/>
        </w:rPr>
        <w:t>Kinetix</w:t>
      </w:r>
      <w:proofErr w:type="spellEnd"/>
      <w:r w:rsidRPr="00BA1545">
        <w:rPr>
          <w:rFonts w:asciiTheme="minorHAnsi" w:eastAsiaTheme="minorHAnsi" w:hAnsiTheme="minorHAnsi" w:cstheme="minorBidi"/>
          <w:bCs/>
          <w:sz w:val="22"/>
          <w:szCs w:val="22"/>
        </w:rPr>
        <w:t xml:space="preserve"> is a public company (NYSE Euronext: TIE </w:t>
      </w:r>
      <w:proofErr w:type="spellStart"/>
      <w:r w:rsidRPr="00BA1545">
        <w:rPr>
          <w:rFonts w:asciiTheme="minorHAnsi" w:eastAsiaTheme="minorHAnsi" w:hAnsiTheme="minorHAnsi" w:cstheme="minorBidi"/>
          <w:bCs/>
          <w:sz w:val="22"/>
          <w:szCs w:val="22"/>
        </w:rPr>
        <w:t>Kinetix</w:t>
      </w:r>
      <w:proofErr w:type="spellEnd"/>
      <w:r w:rsidRPr="00BA1545">
        <w:rPr>
          <w:rFonts w:asciiTheme="minorHAnsi" w:eastAsiaTheme="minorHAnsi" w:hAnsiTheme="minorHAnsi" w:cstheme="minorBidi"/>
          <w:bCs/>
          <w:sz w:val="22"/>
          <w:szCs w:val="22"/>
        </w:rPr>
        <w:t>), and has offices in the United States, the Netherlands, France, Australia, UK, Spain, Germany, Austria and Switzerland.</w:t>
      </w:r>
    </w:p>
    <w:p w:rsidR="006F2122" w:rsidRPr="00BA1545" w:rsidRDefault="006F2122">
      <w:pPr>
        <w:spacing w:after="200" w:line="276" w:lineRule="auto"/>
        <w:rPr>
          <w:rFonts w:asciiTheme="minorHAnsi" w:hAnsiTheme="minorHAnsi"/>
          <w:bCs/>
          <w:sz w:val="22"/>
          <w:szCs w:val="22"/>
        </w:rPr>
      </w:pPr>
      <w:r w:rsidRPr="00BA1545">
        <w:rPr>
          <w:rFonts w:asciiTheme="minorHAnsi" w:hAnsiTheme="minorHAnsi"/>
          <w:bCs/>
          <w:sz w:val="22"/>
          <w:szCs w:val="22"/>
        </w:rPr>
        <w:br w:type="page"/>
      </w:r>
    </w:p>
    <w:p w:rsidR="006F2122" w:rsidRPr="00BA1545" w:rsidRDefault="006F2122" w:rsidP="006F2122">
      <w:pPr>
        <w:pStyle w:val="NoSpacing"/>
        <w:rPr>
          <w:lang w:val="en-US"/>
        </w:rPr>
      </w:pPr>
      <w:r w:rsidRPr="00BA1545">
        <w:rPr>
          <w:lang w:val="en-US"/>
        </w:rPr>
        <w:lastRenderedPageBreak/>
        <w:t>Unaudited interim condensed</w:t>
      </w:r>
    </w:p>
    <w:p w:rsidR="006F2122" w:rsidRPr="00BA1545" w:rsidRDefault="006F2122" w:rsidP="006F2122">
      <w:pPr>
        <w:pStyle w:val="NoSpacing"/>
        <w:rPr>
          <w:lang w:val="en-US"/>
        </w:rPr>
      </w:pPr>
      <w:r w:rsidRPr="00BA1545">
        <w:rPr>
          <w:lang w:val="en-US"/>
        </w:rPr>
        <w:t>Consolidated financial statements</w:t>
      </w:r>
    </w:p>
    <w:p w:rsidR="006F2122" w:rsidRPr="00BA1545" w:rsidRDefault="006F2122" w:rsidP="006F2122">
      <w:pPr>
        <w:pStyle w:val="NoSpacing"/>
        <w:rPr>
          <w:lang w:val="en-US"/>
        </w:rPr>
      </w:pPr>
    </w:p>
    <w:p w:rsidR="006F2122" w:rsidRPr="00BA1545" w:rsidRDefault="00947CC0" w:rsidP="006F2122">
      <w:pPr>
        <w:pStyle w:val="NoSpacing"/>
      </w:pPr>
      <w:r>
        <w:t>March</w:t>
      </w:r>
      <w:r w:rsidR="00523B38">
        <w:t xml:space="preserve"> 31,</w:t>
      </w:r>
      <w:r>
        <w:t xml:space="preserve"> 201</w:t>
      </w:r>
      <w:r w:rsidR="0050533C">
        <w:t>7</w:t>
      </w:r>
    </w:p>
    <w:p w:rsidR="00947CC0" w:rsidRDefault="00947CC0">
      <w:pPr>
        <w:spacing w:after="200" w:line="276" w:lineRule="auto"/>
        <w:rPr>
          <w:rFonts w:asciiTheme="minorHAnsi" w:hAnsiTheme="minorHAnsi"/>
          <w:bCs/>
          <w:sz w:val="22"/>
          <w:szCs w:val="22"/>
        </w:rPr>
      </w:pPr>
      <w:r>
        <w:rPr>
          <w:rFonts w:asciiTheme="minorHAnsi" w:hAnsiTheme="minorHAnsi"/>
          <w:bCs/>
          <w:sz w:val="22"/>
          <w:szCs w:val="22"/>
        </w:rPr>
        <w:br w:type="page"/>
      </w:r>
    </w:p>
    <w:p w:rsidR="005D5E81" w:rsidRPr="00BA1545" w:rsidRDefault="005D5E81" w:rsidP="005D5E81">
      <w:pPr>
        <w:pStyle w:val="NoSpacing"/>
        <w:numPr>
          <w:ilvl w:val="0"/>
          <w:numId w:val="10"/>
        </w:numPr>
        <w:jc w:val="both"/>
        <w:rPr>
          <w:bCs/>
          <w:lang w:val="en-US"/>
        </w:rPr>
      </w:pPr>
      <w:r w:rsidRPr="00BA1545">
        <w:rPr>
          <w:bCs/>
          <w:lang w:val="en-US"/>
        </w:rPr>
        <w:lastRenderedPageBreak/>
        <w:t>Interim consolidated statement of financial position</w:t>
      </w:r>
      <w:r w:rsidR="00E53BA7" w:rsidRPr="00BA1545">
        <w:rPr>
          <w:bCs/>
          <w:lang w:val="en-US"/>
        </w:rPr>
        <w:t>.</w:t>
      </w:r>
    </w:p>
    <w:p w:rsidR="005D5E81" w:rsidRPr="00BA1545" w:rsidRDefault="005D5E81" w:rsidP="005D5E81">
      <w:pPr>
        <w:pStyle w:val="NoSpacing"/>
        <w:jc w:val="both"/>
        <w:rPr>
          <w:bCs/>
          <w:lang w:val="en-US"/>
        </w:rPr>
      </w:pPr>
      <w:r w:rsidRPr="00BA1545">
        <w:rPr>
          <w:bCs/>
          <w:lang w:val="en-US"/>
        </w:rPr>
        <w:t>As at March 3</w:t>
      </w:r>
      <w:r w:rsidR="000B76DF" w:rsidRPr="00BA1545">
        <w:rPr>
          <w:bCs/>
          <w:lang w:val="en-US"/>
        </w:rPr>
        <w:t>1</w:t>
      </w:r>
      <w:r w:rsidRPr="00BA1545">
        <w:rPr>
          <w:bCs/>
          <w:lang w:val="en-US"/>
        </w:rPr>
        <w:t>, 201</w:t>
      </w:r>
      <w:r w:rsidR="0050533C">
        <w:rPr>
          <w:bCs/>
          <w:lang w:val="en-US"/>
        </w:rPr>
        <w:t>7</w:t>
      </w:r>
    </w:p>
    <w:p w:rsidR="005D5E81" w:rsidRPr="00BA1545" w:rsidRDefault="005D5E81" w:rsidP="005D5E81">
      <w:pPr>
        <w:pStyle w:val="NoSpacing"/>
        <w:jc w:val="both"/>
        <w:rPr>
          <w:bCs/>
          <w:lang w:val="en-US"/>
        </w:rPr>
      </w:pPr>
    </w:p>
    <w:p w:rsidR="005D5E81" w:rsidRPr="00BA1545" w:rsidRDefault="005D5E81" w:rsidP="005D5E81">
      <w:pPr>
        <w:pStyle w:val="NoSpacing"/>
        <w:jc w:val="both"/>
        <w:rPr>
          <w:bCs/>
          <w:lang w:val="en-US"/>
        </w:rPr>
      </w:pPr>
    </w:p>
    <w:p w:rsidR="005D5E81" w:rsidRPr="00BA1545" w:rsidRDefault="002629D6" w:rsidP="005D5E81">
      <w:pPr>
        <w:spacing w:after="200" w:line="276" w:lineRule="auto"/>
        <w:rPr>
          <w:rFonts w:asciiTheme="minorHAnsi" w:hAnsiTheme="minorHAnsi"/>
          <w:bCs/>
          <w:sz w:val="22"/>
          <w:szCs w:val="22"/>
        </w:rPr>
      </w:pPr>
      <w:r w:rsidRPr="002629D6">
        <w:rPr>
          <w:noProof/>
        </w:rPr>
        <w:drawing>
          <wp:inline distT="0" distB="0" distL="0" distR="0" wp14:anchorId="4E334738" wp14:editId="204001AC">
            <wp:extent cx="5760720" cy="317574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175745"/>
                    </a:xfrm>
                    <a:prstGeom prst="rect">
                      <a:avLst/>
                    </a:prstGeom>
                    <a:noFill/>
                    <a:ln>
                      <a:noFill/>
                    </a:ln>
                  </pic:spPr>
                </pic:pic>
              </a:graphicData>
            </a:graphic>
          </wp:inline>
        </w:drawing>
      </w:r>
    </w:p>
    <w:p w:rsidR="005D5E81" w:rsidRPr="00BA1545" w:rsidRDefault="005D5E81" w:rsidP="005D5E81">
      <w:pPr>
        <w:spacing w:after="200" w:line="276" w:lineRule="auto"/>
        <w:rPr>
          <w:rFonts w:asciiTheme="minorHAnsi" w:hAnsiTheme="minorHAnsi"/>
          <w:bCs/>
          <w:sz w:val="22"/>
          <w:szCs w:val="22"/>
        </w:rPr>
      </w:pPr>
      <w:r w:rsidRPr="00BA1545">
        <w:rPr>
          <w:rFonts w:asciiTheme="minorHAnsi" w:hAnsiTheme="minorHAnsi"/>
          <w:bCs/>
          <w:sz w:val="22"/>
          <w:szCs w:val="22"/>
        </w:rPr>
        <w:br w:type="page"/>
      </w:r>
    </w:p>
    <w:p w:rsidR="005D5E81" w:rsidRPr="00BA1545" w:rsidRDefault="002629D6" w:rsidP="005D5E81">
      <w:pPr>
        <w:spacing w:after="200" w:line="276" w:lineRule="auto"/>
        <w:rPr>
          <w:rFonts w:asciiTheme="minorHAnsi" w:hAnsiTheme="minorHAnsi"/>
          <w:bCs/>
          <w:sz w:val="22"/>
          <w:szCs w:val="22"/>
        </w:rPr>
      </w:pPr>
      <w:r w:rsidRPr="002629D6">
        <w:rPr>
          <w:noProof/>
        </w:rPr>
        <w:lastRenderedPageBreak/>
        <w:drawing>
          <wp:inline distT="0" distB="0" distL="0" distR="0" wp14:anchorId="0F28BDED" wp14:editId="290AF315">
            <wp:extent cx="5760720" cy="34953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495355"/>
                    </a:xfrm>
                    <a:prstGeom prst="rect">
                      <a:avLst/>
                    </a:prstGeom>
                    <a:noFill/>
                    <a:ln>
                      <a:noFill/>
                    </a:ln>
                  </pic:spPr>
                </pic:pic>
              </a:graphicData>
            </a:graphic>
          </wp:inline>
        </w:drawing>
      </w:r>
    </w:p>
    <w:p w:rsidR="005D5E81" w:rsidRPr="00BA1545" w:rsidRDefault="005D5E81" w:rsidP="005D5E81">
      <w:pPr>
        <w:spacing w:after="200" w:line="276" w:lineRule="auto"/>
        <w:rPr>
          <w:rFonts w:asciiTheme="minorHAnsi" w:hAnsiTheme="minorHAnsi"/>
          <w:bCs/>
          <w:sz w:val="22"/>
          <w:szCs w:val="22"/>
        </w:rPr>
      </w:pPr>
    </w:p>
    <w:p w:rsidR="005D5E81" w:rsidRPr="00BA1545" w:rsidRDefault="005D5E81" w:rsidP="005D5E81">
      <w:pPr>
        <w:spacing w:after="200" w:line="276" w:lineRule="auto"/>
        <w:rPr>
          <w:rFonts w:asciiTheme="minorHAnsi" w:eastAsiaTheme="minorHAnsi" w:hAnsiTheme="minorHAnsi" w:cstheme="minorBidi"/>
          <w:bCs/>
          <w:sz w:val="22"/>
          <w:szCs w:val="22"/>
        </w:rPr>
      </w:pPr>
      <w:r w:rsidRPr="00BA1545">
        <w:rPr>
          <w:rFonts w:asciiTheme="minorHAnsi" w:hAnsiTheme="minorHAnsi"/>
          <w:bCs/>
          <w:sz w:val="22"/>
          <w:szCs w:val="22"/>
        </w:rPr>
        <w:br w:type="page"/>
      </w:r>
    </w:p>
    <w:p w:rsidR="004D02F3" w:rsidRPr="00BA1545" w:rsidRDefault="006F2122" w:rsidP="005D5E81">
      <w:pPr>
        <w:pStyle w:val="NoSpacing"/>
        <w:numPr>
          <w:ilvl w:val="0"/>
          <w:numId w:val="10"/>
        </w:numPr>
        <w:jc w:val="both"/>
        <w:rPr>
          <w:bCs/>
          <w:lang w:val="en-US"/>
        </w:rPr>
      </w:pPr>
      <w:r w:rsidRPr="00BA1545">
        <w:rPr>
          <w:bCs/>
          <w:lang w:val="en-US"/>
        </w:rPr>
        <w:lastRenderedPageBreak/>
        <w:t>Interim consolidated income statement</w:t>
      </w:r>
      <w:r w:rsidR="00E53BA7" w:rsidRPr="00BA1545">
        <w:rPr>
          <w:bCs/>
          <w:lang w:val="en-US"/>
        </w:rPr>
        <w:t>.</w:t>
      </w:r>
    </w:p>
    <w:p w:rsidR="006F2122" w:rsidRPr="00BA1545" w:rsidRDefault="006F2122" w:rsidP="006F2122">
      <w:pPr>
        <w:pStyle w:val="NoSpacing"/>
        <w:jc w:val="both"/>
        <w:rPr>
          <w:bCs/>
          <w:lang w:val="en-US"/>
        </w:rPr>
      </w:pPr>
      <w:r w:rsidRPr="00BA1545">
        <w:rPr>
          <w:bCs/>
          <w:lang w:val="en-US"/>
        </w:rPr>
        <w:t>For the 6 month period ending March 3</w:t>
      </w:r>
      <w:r w:rsidR="000B76DF" w:rsidRPr="00BA1545">
        <w:rPr>
          <w:bCs/>
          <w:lang w:val="en-US"/>
        </w:rPr>
        <w:t>1</w:t>
      </w:r>
      <w:r w:rsidRPr="00BA1545">
        <w:rPr>
          <w:bCs/>
          <w:lang w:val="en-US"/>
        </w:rPr>
        <w:t>, 201</w:t>
      </w:r>
      <w:r w:rsidR="00592E55">
        <w:rPr>
          <w:bCs/>
          <w:lang w:val="en-US"/>
        </w:rPr>
        <w:t>7</w:t>
      </w:r>
    </w:p>
    <w:p w:rsidR="006F2122" w:rsidRPr="00BA1545" w:rsidRDefault="006F2122" w:rsidP="00BF3C58">
      <w:pPr>
        <w:pStyle w:val="NoSpacing"/>
        <w:jc w:val="both"/>
        <w:rPr>
          <w:bCs/>
          <w:lang w:val="en-US"/>
        </w:rPr>
      </w:pPr>
    </w:p>
    <w:p w:rsidR="00893742" w:rsidRPr="00BA1545" w:rsidRDefault="00537076" w:rsidP="00BF3C58">
      <w:pPr>
        <w:pStyle w:val="NoSpacing"/>
        <w:jc w:val="both"/>
        <w:rPr>
          <w:bCs/>
          <w:lang w:val="en-US"/>
        </w:rPr>
      </w:pPr>
      <w:r w:rsidRPr="00537076">
        <w:rPr>
          <w:noProof/>
          <w:lang w:val="en-US"/>
        </w:rPr>
        <w:drawing>
          <wp:inline distT="0" distB="0" distL="0" distR="0" wp14:anchorId="2FFE7254" wp14:editId="4F74CAEB">
            <wp:extent cx="5760720" cy="61089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6108936"/>
                    </a:xfrm>
                    <a:prstGeom prst="rect">
                      <a:avLst/>
                    </a:prstGeom>
                    <a:noFill/>
                    <a:ln>
                      <a:noFill/>
                    </a:ln>
                  </pic:spPr>
                </pic:pic>
              </a:graphicData>
            </a:graphic>
          </wp:inline>
        </w:drawing>
      </w:r>
    </w:p>
    <w:p w:rsidR="006F2122" w:rsidRPr="00BA1545" w:rsidRDefault="006F2122" w:rsidP="00BF3C58">
      <w:pPr>
        <w:pStyle w:val="NoSpacing"/>
        <w:jc w:val="both"/>
        <w:rPr>
          <w:bCs/>
          <w:lang w:val="en-US"/>
        </w:rPr>
      </w:pPr>
    </w:p>
    <w:p w:rsidR="006F2122" w:rsidRPr="00BA1545" w:rsidRDefault="006F2122" w:rsidP="00BF3C58">
      <w:pPr>
        <w:pStyle w:val="NoSpacing"/>
        <w:jc w:val="both"/>
        <w:rPr>
          <w:bCs/>
          <w:lang w:val="en-US"/>
        </w:rPr>
      </w:pPr>
    </w:p>
    <w:p w:rsidR="006F2122" w:rsidRPr="00BA1545" w:rsidRDefault="006F2122" w:rsidP="00BF3C58">
      <w:pPr>
        <w:pStyle w:val="NoSpacing"/>
        <w:jc w:val="both"/>
        <w:rPr>
          <w:bCs/>
          <w:lang w:val="en-US"/>
        </w:rPr>
      </w:pPr>
    </w:p>
    <w:p w:rsidR="006F2122" w:rsidRDefault="006F2122" w:rsidP="00BF3C58">
      <w:pPr>
        <w:pStyle w:val="NoSpacing"/>
        <w:jc w:val="both"/>
        <w:rPr>
          <w:bCs/>
          <w:lang w:val="en-US"/>
        </w:rPr>
      </w:pPr>
    </w:p>
    <w:p w:rsidR="008C6F15" w:rsidRDefault="008C6F15" w:rsidP="00BF3C58">
      <w:pPr>
        <w:pStyle w:val="NoSpacing"/>
        <w:jc w:val="both"/>
        <w:rPr>
          <w:bCs/>
          <w:lang w:val="en-US"/>
        </w:rPr>
      </w:pPr>
    </w:p>
    <w:p w:rsidR="008C6F15" w:rsidRDefault="008C6F15" w:rsidP="00BF3C58">
      <w:pPr>
        <w:pStyle w:val="NoSpacing"/>
        <w:jc w:val="both"/>
        <w:rPr>
          <w:bCs/>
          <w:lang w:val="en-US"/>
        </w:rPr>
      </w:pPr>
    </w:p>
    <w:p w:rsidR="008C6F15" w:rsidRDefault="008C6F15" w:rsidP="00BF3C58">
      <w:pPr>
        <w:pStyle w:val="NoSpacing"/>
        <w:jc w:val="both"/>
        <w:rPr>
          <w:bCs/>
          <w:lang w:val="en-US"/>
        </w:rPr>
      </w:pPr>
    </w:p>
    <w:p w:rsidR="008C6F15" w:rsidRDefault="008C6F15" w:rsidP="00BF3C58">
      <w:pPr>
        <w:pStyle w:val="NoSpacing"/>
        <w:jc w:val="both"/>
        <w:rPr>
          <w:bCs/>
          <w:lang w:val="en-US"/>
        </w:rPr>
      </w:pPr>
    </w:p>
    <w:p w:rsidR="00592E55" w:rsidRDefault="00592E55" w:rsidP="00BF3C58">
      <w:pPr>
        <w:pStyle w:val="NoSpacing"/>
        <w:jc w:val="both"/>
        <w:rPr>
          <w:bCs/>
          <w:lang w:val="en-US"/>
        </w:rPr>
      </w:pPr>
    </w:p>
    <w:p w:rsidR="00BD3E85" w:rsidRDefault="00BD3E85" w:rsidP="00BF3C58">
      <w:pPr>
        <w:pStyle w:val="NoSpacing"/>
        <w:jc w:val="both"/>
        <w:rPr>
          <w:bCs/>
          <w:lang w:val="en-US"/>
        </w:rPr>
      </w:pPr>
    </w:p>
    <w:p w:rsidR="00592E55" w:rsidRDefault="00592E55" w:rsidP="00BF3C58">
      <w:pPr>
        <w:pStyle w:val="NoSpacing"/>
        <w:jc w:val="both"/>
        <w:rPr>
          <w:bCs/>
          <w:lang w:val="en-US"/>
        </w:rPr>
      </w:pPr>
    </w:p>
    <w:p w:rsidR="00537076" w:rsidRDefault="00537076" w:rsidP="00BF3C58">
      <w:pPr>
        <w:pStyle w:val="NoSpacing"/>
        <w:jc w:val="both"/>
        <w:rPr>
          <w:bCs/>
          <w:lang w:val="en-US"/>
        </w:rPr>
      </w:pPr>
    </w:p>
    <w:p w:rsidR="00537076" w:rsidRPr="00BA1545" w:rsidRDefault="00537076" w:rsidP="00BF3C58">
      <w:pPr>
        <w:pStyle w:val="NoSpacing"/>
        <w:jc w:val="both"/>
        <w:rPr>
          <w:bCs/>
          <w:lang w:val="en-US"/>
        </w:rPr>
      </w:pPr>
    </w:p>
    <w:p w:rsidR="006F2122" w:rsidRPr="00BA1545" w:rsidRDefault="006F2122" w:rsidP="00BF3C58">
      <w:pPr>
        <w:pStyle w:val="NoSpacing"/>
        <w:jc w:val="both"/>
        <w:rPr>
          <w:bCs/>
          <w:lang w:val="en-US"/>
        </w:rPr>
      </w:pPr>
    </w:p>
    <w:p w:rsidR="00A41024" w:rsidRPr="00BA1545" w:rsidRDefault="00A41024" w:rsidP="006F2122">
      <w:pPr>
        <w:pStyle w:val="NoSpacing"/>
        <w:numPr>
          <w:ilvl w:val="0"/>
          <w:numId w:val="10"/>
        </w:numPr>
        <w:jc w:val="both"/>
        <w:rPr>
          <w:bCs/>
          <w:lang w:val="en-US"/>
        </w:rPr>
      </w:pPr>
      <w:r w:rsidRPr="00BA1545">
        <w:rPr>
          <w:bCs/>
          <w:lang w:val="en-US"/>
        </w:rPr>
        <w:lastRenderedPageBreak/>
        <w:t>Interim consolidated statement of changes in equity</w:t>
      </w:r>
      <w:r w:rsidR="00E53BA7" w:rsidRPr="00BA1545">
        <w:rPr>
          <w:bCs/>
          <w:lang w:val="en-US"/>
        </w:rPr>
        <w:t>.</w:t>
      </w:r>
    </w:p>
    <w:p w:rsidR="00A41024" w:rsidRPr="00BA1545" w:rsidRDefault="00A41024" w:rsidP="006F2122">
      <w:pPr>
        <w:pStyle w:val="NoSpacing"/>
        <w:jc w:val="both"/>
        <w:rPr>
          <w:bCs/>
          <w:lang w:val="en-US"/>
        </w:rPr>
      </w:pPr>
      <w:r w:rsidRPr="00BA1545">
        <w:rPr>
          <w:bCs/>
          <w:lang w:val="en-US"/>
        </w:rPr>
        <w:t>For the 6-month period ending March 3</w:t>
      </w:r>
      <w:r w:rsidR="000B76DF" w:rsidRPr="00BA1545">
        <w:rPr>
          <w:bCs/>
          <w:lang w:val="en-US"/>
        </w:rPr>
        <w:t>1</w:t>
      </w:r>
      <w:r w:rsidRPr="00BA1545">
        <w:rPr>
          <w:bCs/>
          <w:lang w:val="en-US"/>
        </w:rPr>
        <w:t>, 201</w:t>
      </w:r>
      <w:r w:rsidR="00592E55">
        <w:rPr>
          <w:bCs/>
          <w:lang w:val="en-US"/>
        </w:rPr>
        <w:t>7</w:t>
      </w:r>
    </w:p>
    <w:p w:rsidR="006F2122" w:rsidRPr="00BA1545" w:rsidRDefault="006F2122" w:rsidP="00BD4333">
      <w:pPr>
        <w:pStyle w:val="NoSpacing"/>
        <w:jc w:val="both"/>
        <w:rPr>
          <w:bCs/>
          <w:lang w:val="en-US"/>
        </w:rPr>
      </w:pPr>
    </w:p>
    <w:p w:rsidR="00A41024" w:rsidRPr="00BA1545" w:rsidRDefault="002629D6" w:rsidP="00A41024">
      <w:pPr>
        <w:spacing w:after="200" w:line="276" w:lineRule="auto"/>
        <w:rPr>
          <w:rFonts w:asciiTheme="minorHAnsi" w:eastAsiaTheme="minorHAnsi" w:hAnsiTheme="minorHAnsi" w:cstheme="minorBidi"/>
          <w:bCs/>
          <w:sz w:val="22"/>
          <w:szCs w:val="22"/>
        </w:rPr>
      </w:pPr>
      <w:r w:rsidRPr="002629D6">
        <w:rPr>
          <w:noProof/>
        </w:rPr>
        <w:drawing>
          <wp:inline distT="0" distB="0" distL="0" distR="0" wp14:anchorId="1BA35109" wp14:editId="6368873B">
            <wp:extent cx="5760720" cy="1961004"/>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961004"/>
                    </a:xfrm>
                    <a:prstGeom prst="rect">
                      <a:avLst/>
                    </a:prstGeom>
                    <a:noFill/>
                    <a:ln>
                      <a:noFill/>
                    </a:ln>
                  </pic:spPr>
                </pic:pic>
              </a:graphicData>
            </a:graphic>
          </wp:inline>
        </w:drawing>
      </w:r>
      <w:r w:rsidR="00A41024" w:rsidRPr="00BA1545">
        <w:rPr>
          <w:rFonts w:asciiTheme="minorHAnsi" w:hAnsiTheme="minorHAnsi"/>
          <w:bCs/>
          <w:sz w:val="22"/>
          <w:szCs w:val="22"/>
        </w:rPr>
        <w:br w:type="page"/>
      </w:r>
    </w:p>
    <w:p w:rsidR="00A41024" w:rsidRPr="00BA1545" w:rsidRDefault="00A41024" w:rsidP="006F2122">
      <w:pPr>
        <w:pStyle w:val="NoSpacing"/>
        <w:numPr>
          <w:ilvl w:val="0"/>
          <w:numId w:val="10"/>
        </w:numPr>
        <w:jc w:val="both"/>
        <w:rPr>
          <w:bCs/>
          <w:lang w:val="en-US"/>
        </w:rPr>
      </w:pPr>
      <w:r w:rsidRPr="00BA1545">
        <w:rPr>
          <w:bCs/>
          <w:lang w:val="en-US"/>
        </w:rPr>
        <w:lastRenderedPageBreak/>
        <w:t>Interim consolidated statement of cash flows</w:t>
      </w:r>
      <w:r w:rsidR="00E53BA7" w:rsidRPr="00BA1545">
        <w:rPr>
          <w:bCs/>
          <w:lang w:val="en-US"/>
        </w:rPr>
        <w:t>.</w:t>
      </w:r>
    </w:p>
    <w:p w:rsidR="00A41024" w:rsidRPr="00BA1545" w:rsidRDefault="00A41024" w:rsidP="006C0362">
      <w:pPr>
        <w:pStyle w:val="NoSpacing"/>
        <w:jc w:val="both"/>
        <w:rPr>
          <w:bCs/>
          <w:lang w:val="en-US"/>
        </w:rPr>
      </w:pPr>
      <w:r w:rsidRPr="00BA1545">
        <w:rPr>
          <w:bCs/>
          <w:lang w:val="en-US"/>
        </w:rPr>
        <w:t>For the 6-month period ending March 3</w:t>
      </w:r>
      <w:r w:rsidR="000B76DF" w:rsidRPr="00BA1545">
        <w:rPr>
          <w:bCs/>
          <w:lang w:val="en-US"/>
        </w:rPr>
        <w:t>1</w:t>
      </w:r>
      <w:r w:rsidRPr="00BA1545">
        <w:rPr>
          <w:bCs/>
          <w:lang w:val="en-US"/>
        </w:rPr>
        <w:t>, 201</w:t>
      </w:r>
      <w:r w:rsidR="00C15F1E">
        <w:rPr>
          <w:bCs/>
          <w:lang w:val="en-US"/>
        </w:rPr>
        <w:t>6</w:t>
      </w:r>
      <w:r w:rsidRPr="00BA1545">
        <w:rPr>
          <w:bCs/>
          <w:lang w:val="en-US"/>
        </w:rPr>
        <w:t xml:space="preserve"> </w:t>
      </w:r>
    </w:p>
    <w:p w:rsidR="00A41024" w:rsidRPr="00BA1545" w:rsidRDefault="00A41024" w:rsidP="00A41024">
      <w:pPr>
        <w:pStyle w:val="NoSpacing"/>
        <w:jc w:val="both"/>
        <w:rPr>
          <w:bCs/>
          <w:lang w:val="en-US"/>
        </w:rPr>
      </w:pPr>
    </w:p>
    <w:p w:rsidR="00A41024" w:rsidRPr="003F75A3" w:rsidRDefault="00A41024" w:rsidP="00A41024">
      <w:pPr>
        <w:pStyle w:val="NoSpacing"/>
        <w:jc w:val="both"/>
        <w:rPr>
          <w:lang w:val="en-US"/>
        </w:rPr>
      </w:pPr>
    </w:p>
    <w:p w:rsidR="000A77DD" w:rsidRPr="00BA1545" w:rsidRDefault="00537076">
      <w:pPr>
        <w:spacing w:after="200" w:line="276" w:lineRule="auto"/>
        <w:rPr>
          <w:rFonts w:asciiTheme="minorHAnsi" w:eastAsiaTheme="minorHAnsi" w:hAnsiTheme="minorHAnsi" w:cstheme="minorBidi"/>
          <w:sz w:val="22"/>
          <w:szCs w:val="22"/>
        </w:rPr>
      </w:pPr>
      <w:r w:rsidRPr="00537076">
        <w:rPr>
          <w:noProof/>
        </w:rPr>
        <w:drawing>
          <wp:inline distT="0" distB="0" distL="0" distR="0">
            <wp:extent cx="5735955" cy="5805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5955" cy="5805170"/>
                    </a:xfrm>
                    <a:prstGeom prst="rect">
                      <a:avLst/>
                    </a:prstGeom>
                    <a:noFill/>
                    <a:ln>
                      <a:noFill/>
                    </a:ln>
                  </pic:spPr>
                </pic:pic>
              </a:graphicData>
            </a:graphic>
          </wp:inline>
        </w:drawing>
      </w:r>
      <w:r w:rsidR="000A77DD" w:rsidRPr="00BA1545">
        <w:rPr>
          <w:rFonts w:asciiTheme="minorHAnsi" w:hAnsiTheme="minorHAnsi"/>
          <w:sz w:val="22"/>
          <w:szCs w:val="22"/>
        </w:rPr>
        <w:br w:type="page"/>
      </w:r>
    </w:p>
    <w:p w:rsidR="001E149A" w:rsidRPr="00BA1545" w:rsidRDefault="00E3444D" w:rsidP="00BF3C58">
      <w:pPr>
        <w:pStyle w:val="NoSpacing"/>
        <w:jc w:val="both"/>
        <w:rPr>
          <w:lang w:val="en-US"/>
        </w:rPr>
      </w:pPr>
      <w:r w:rsidRPr="00BA1545">
        <w:rPr>
          <w:lang w:val="en-US"/>
        </w:rPr>
        <w:lastRenderedPageBreak/>
        <w:t xml:space="preserve">Notes to the interim consolidated financial </w:t>
      </w:r>
      <w:r w:rsidR="00224DD7" w:rsidRPr="00BA1545">
        <w:rPr>
          <w:lang w:val="en-US"/>
        </w:rPr>
        <w:t>report</w:t>
      </w:r>
    </w:p>
    <w:p w:rsidR="00224DD7" w:rsidRPr="00BA1545" w:rsidRDefault="00224DD7" w:rsidP="00BF3C58">
      <w:pPr>
        <w:pStyle w:val="NoSpacing"/>
        <w:jc w:val="both"/>
        <w:rPr>
          <w:lang w:val="en-US"/>
        </w:rPr>
      </w:pPr>
    </w:p>
    <w:p w:rsidR="00224DD7" w:rsidRPr="007B667C" w:rsidRDefault="00224DD7" w:rsidP="00DE6F62">
      <w:pPr>
        <w:pStyle w:val="NoSpacing"/>
        <w:jc w:val="both"/>
        <w:rPr>
          <w:b/>
          <w:i/>
          <w:lang w:val="en-US" w:eastAsia="zh-CN"/>
        </w:rPr>
      </w:pPr>
      <w:r w:rsidRPr="007B667C">
        <w:rPr>
          <w:b/>
          <w:lang w:val="en-US" w:eastAsia="zh-CN"/>
        </w:rPr>
        <w:t>General Information</w:t>
      </w:r>
    </w:p>
    <w:p w:rsidR="00224DD7" w:rsidRPr="00BA1545" w:rsidRDefault="00224DD7" w:rsidP="00DE6F62">
      <w:pPr>
        <w:pStyle w:val="NoSpacing"/>
        <w:jc w:val="both"/>
        <w:rPr>
          <w:noProof/>
          <w:lang w:val="en-US"/>
        </w:rPr>
      </w:pPr>
      <w:r w:rsidRPr="00BA1545">
        <w:rPr>
          <w:noProof/>
          <w:lang w:val="en-US"/>
        </w:rPr>
        <w:t>TIE Kinetix N.V. is a public limited company established and domiciled in the Netherlands, with its registered office and headquarters at De Corridor 5d, 3621 ZA in Breukelen. The Interim Consolidated Financial report of the company for the half year ended on March 31, 201</w:t>
      </w:r>
      <w:r w:rsidR="007B667C">
        <w:rPr>
          <w:noProof/>
          <w:lang w:val="en-US"/>
        </w:rPr>
        <w:t>7</w:t>
      </w:r>
      <w:r w:rsidRPr="00BA1545">
        <w:rPr>
          <w:noProof/>
          <w:lang w:val="en-US"/>
        </w:rPr>
        <w:t xml:space="preserve"> include the company and all its subsidiaries (jointly called “</w:t>
      </w:r>
      <w:r w:rsidR="00934F20" w:rsidRPr="00BA1545">
        <w:rPr>
          <w:noProof/>
          <w:lang w:val="en-US"/>
        </w:rPr>
        <w:t>TIE Kinetix</w:t>
      </w:r>
      <w:r w:rsidRPr="00BA1545">
        <w:rPr>
          <w:noProof/>
          <w:lang w:val="en-US"/>
        </w:rPr>
        <w:t xml:space="preserve">”). The financial year of </w:t>
      </w:r>
      <w:r w:rsidR="00934F20" w:rsidRPr="00BA1545">
        <w:rPr>
          <w:noProof/>
          <w:lang w:val="en-US"/>
        </w:rPr>
        <w:t>TIE Kinetix</w:t>
      </w:r>
      <w:r w:rsidRPr="00BA1545">
        <w:rPr>
          <w:noProof/>
          <w:lang w:val="en-US"/>
        </w:rPr>
        <w:t xml:space="preserve"> commences on October 1 and closes on September 30. The Interim Consolidated Financial report for the six months has been authorized for issue by both the Supervisory Board and the Management Board on May </w:t>
      </w:r>
      <w:r w:rsidR="00DF1146" w:rsidRPr="00BA1545">
        <w:rPr>
          <w:noProof/>
          <w:lang w:val="en-US"/>
        </w:rPr>
        <w:t>1</w:t>
      </w:r>
      <w:r w:rsidR="007B667C">
        <w:rPr>
          <w:noProof/>
          <w:lang w:val="en-US"/>
        </w:rPr>
        <w:t>5</w:t>
      </w:r>
      <w:r w:rsidRPr="00BA1545">
        <w:rPr>
          <w:noProof/>
          <w:lang w:val="en-US"/>
        </w:rPr>
        <w:t>, 201</w:t>
      </w:r>
      <w:r w:rsidR="00B265A6">
        <w:rPr>
          <w:noProof/>
          <w:lang w:val="en-US"/>
        </w:rPr>
        <w:t>6</w:t>
      </w:r>
      <w:r w:rsidRPr="00BA1545">
        <w:rPr>
          <w:noProof/>
          <w:lang w:val="en-US"/>
        </w:rPr>
        <w:t>.</w:t>
      </w:r>
    </w:p>
    <w:p w:rsidR="00224DD7" w:rsidRPr="00BA1545" w:rsidRDefault="00224DD7" w:rsidP="00DE6F62">
      <w:pPr>
        <w:pStyle w:val="NoSpacing"/>
        <w:jc w:val="both"/>
        <w:rPr>
          <w:noProof/>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Auditor’s Involvement</w:t>
      </w:r>
    </w:p>
    <w:p w:rsidR="00224DD7" w:rsidRPr="00BA1545" w:rsidRDefault="00224DD7" w:rsidP="00DE6F62">
      <w:pPr>
        <w:pStyle w:val="NoSpacing"/>
        <w:jc w:val="both"/>
        <w:rPr>
          <w:lang w:val="en-US"/>
        </w:rPr>
      </w:pPr>
      <w:r w:rsidRPr="00BA1545">
        <w:rPr>
          <w:lang w:val="en-US"/>
        </w:rPr>
        <w:t xml:space="preserve">The interim financial report has not been audited by our external auditors. The Annual General Meeting of shareholders has appointed BDO on March </w:t>
      </w:r>
      <w:r w:rsidR="00B265A6">
        <w:rPr>
          <w:lang w:val="en-US"/>
        </w:rPr>
        <w:t>3</w:t>
      </w:r>
      <w:r w:rsidR="00B17719">
        <w:rPr>
          <w:lang w:val="en-US"/>
        </w:rPr>
        <w:t>1</w:t>
      </w:r>
      <w:r w:rsidR="00B17719" w:rsidRPr="00B17719">
        <w:rPr>
          <w:vertAlign w:val="superscript"/>
          <w:lang w:val="en-US"/>
        </w:rPr>
        <w:t>st</w:t>
      </w:r>
      <w:r w:rsidRPr="00BA1545">
        <w:rPr>
          <w:lang w:val="en-US"/>
        </w:rPr>
        <w:t>, 201</w:t>
      </w:r>
      <w:r w:rsidR="007B667C">
        <w:rPr>
          <w:lang w:val="en-US"/>
        </w:rPr>
        <w:t>7</w:t>
      </w:r>
      <w:r w:rsidRPr="00BA1545">
        <w:rPr>
          <w:lang w:val="en-US"/>
        </w:rPr>
        <w:t xml:space="preserve"> as external auditor for the year commencing on October 1, 201</w:t>
      </w:r>
      <w:r w:rsidR="007B667C">
        <w:rPr>
          <w:lang w:val="en-US"/>
        </w:rPr>
        <w:t>6</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Statement of Compliance</w:t>
      </w:r>
    </w:p>
    <w:p w:rsidR="00224DD7" w:rsidRPr="00BA1545" w:rsidRDefault="00224DD7" w:rsidP="00DE6F62">
      <w:pPr>
        <w:pStyle w:val="NoSpacing"/>
        <w:jc w:val="both"/>
        <w:rPr>
          <w:lang w:val="en-US"/>
        </w:rPr>
      </w:pPr>
      <w:r w:rsidRPr="00BA1545">
        <w:rPr>
          <w:lang w:val="en-US"/>
        </w:rPr>
        <w:t xml:space="preserve">The </w:t>
      </w:r>
      <w:r w:rsidR="007B667C">
        <w:rPr>
          <w:lang w:val="en-US"/>
        </w:rPr>
        <w:t>Executive</w:t>
      </w:r>
      <w:r w:rsidRPr="00BA1545">
        <w:rPr>
          <w:lang w:val="en-US"/>
        </w:rPr>
        <w:t xml:space="preserve"> Board has considered and approved the interim condensed consolidated financial statements for the period October 1, 201</w:t>
      </w:r>
      <w:r w:rsidR="007B667C">
        <w:rPr>
          <w:lang w:val="en-US"/>
        </w:rPr>
        <w:t>6</w:t>
      </w:r>
      <w:r w:rsidRPr="00BA1545">
        <w:rPr>
          <w:lang w:val="en-US"/>
        </w:rPr>
        <w:t xml:space="preserve"> – March 31, 201</w:t>
      </w:r>
      <w:r w:rsidR="007B667C">
        <w:rPr>
          <w:lang w:val="en-US"/>
        </w:rPr>
        <w:t>7</w:t>
      </w:r>
      <w:r w:rsidRPr="00BA1545">
        <w:rPr>
          <w:lang w:val="en-US"/>
        </w:rPr>
        <w:t>.</w:t>
      </w:r>
    </w:p>
    <w:p w:rsidR="00224DD7" w:rsidRPr="00BA1545" w:rsidRDefault="00224DD7" w:rsidP="00DE6F62">
      <w:pPr>
        <w:pStyle w:val="NoSpacing"/>
        <w:jc w:val="both"/>
        <w:rPr>
          <w:lang w:val="en-US"/>
        </w:rPr>
      </w:pPr>
      <w:r w:rsidRPr="00BA1545">
        <w:rPr>
          <w:noProof/>
          <w:lang w:val="en-US"/>
        </w:rPr>
        <w:t>The Interim Consolidated Financial report</w:t>
      </w:r>
      <w:r w:rsidRPr="00BA1545">
        <w:rPr>
          <w:lang w:val="en-US"/>
        </w:rPr>
        <w:t xml:space="preserve"> has been prepared in accordance with IAS 34 “Interim Financial Reporting” as adopted by the EU. </w:t>
      </w:r>
      <w:r w:rsidRPr="00BA1545">
        <w:rPr>
          <w:noProof/>
          <w:lang w:val="en-US"/>
        </w:rPr>
        <w:t>The Interim Consolidated Financial report does not include all the information and disclosures required in the annual financial statements and should be read in conjunction with the annual financial statements as at September 30, 201</w:t>
      </w:r>
      <w:r w:rsidR="007B667C">
        <w:rPr>
          <w:noProof/>
          <w:lang w:val="en-US"/>
        </w:rPr>
        <w:t>6</w:t>
      </w:r>
      <w:r w:rsidRPr="00BA1545">
        <w:rPr>
          <w:noProof/>
          <w:lang w:val="en-US"/>
        </w:rPr>
        <w:t>.</w:t>
      </w:r>
    </w:p>
    <w:p w:rsidR="00224DD7" w:rsidRPr="00BA1545" w:rsidRDefault="00224DD7" w:rsidP="00DE6F62">
      <w:pPr>
        <w:pStyle w:val="NoSpacing"/>
        <w:jc w:val="both"/>
        <w:rPr>
          <w:lang w:val="en-US"/>
        </w:rPr>
      </w:pPr>
      <w:r w:rsidRPr="00BA1545">
        <w:rPr>
          <w:lang w:val="en-US"/>
        </w:rPr>
        <w:t>We consider the accounting policies applied to the effect that the interim condensed consolidated financial statements give a true and fair view of the Group’s assets, liabilities and financial position as at March 31, 201</w:t>
      </w:r>
      <w:r w:rsidR="007B667C">
        <w:rPr>
          <w:lang w:val="en-US"/>
        </w:rPr>
        <w:t>7</w:t>
      </w:r>
      <w:r w:rsidRPr="00BA1545">
        <w:rPr>
          <w:lang w:val="en-US"/>
        </w:rPr>
        <w:t xml:space="preserve"> and of the results of the Group’s operations and cash flow in the period October 1, 201</w:t>
      </w:r>
      <w:r w:rsidR="007B667C">
        <w:rPr>
          <w:lang w:val="en-US"/>
        </w:rPr>
        <w:t>6</w:t>
      </w:r>
      <w:r w:rsidR="00DF1146" w:rsidRPr="00BA1545">
        <w:rPr>
          <w:lang w:val="en-US"/>
        </w:rPr>
        <w:t xml:space="preserve"> – March 31, 201</w:t>
      </w:r>
      <w:r w:rsidR="007B667C">
        <w:rPr>
          <w:lang w:val="en-US"/>
        </w:rPr>
        <w:t>7</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General Accounting Principles</w:t>
      </w:r>
    </w:p>
    <w:p w:rsidR="00224DD7" w:rsidRPr="00BA1545" w:rsidRDefault="00224DD7" w:rsidP="00DE6F62">
      <w:pPr>
        <w:pStyle w:val="NoSpacing"/>
        <w:jc w:val="both"/>
        <w:rPr>
          <w:lang w:val="en-US"/>
        </w:rPr>
      </w:pPr>
      <w:r w:rsidRPr="00BA1545">
        <w:rPr>
          <w:lang w:val="en-US"/>
        </w:rPr>
        <w:t xml:space="preserve">The accounting policies used in the preparation of the </w:t>
      </w:r>
      <w:r w:rsidRPr="00BA1545">
        <w:rPr>
          <w:noProof/>
          <w:lang w:val="en-US"/>
        </w:rPr>
        <w:t xml:space="preserve">Interim Consolidated Financial report </w:t>
      </w:r>
      <w:r w:rsidRPr="00BA1545">
        <w:rPr>
          <w:lang w:val="en-US"/>
        </w:rPr>
        <w:t>are consistent with those followed in the preparation of the Group’s annual financial statements for the year ended September 30, 201</w:t>
      </w:r>
      <w:r w:rsidR="007B667C">
        <w:rPr>
          <w:lang w:val="en-US"/>
        </w:rPr>
        <w:t>6</w:t>
      </w:r>
      <w:r w:rsidRPr="00BA1545">
        <w:rPr>
          <w:lang w:val="en-US"/>
        </w:rPr>
        <w:t xml:space="preserve">. </w:t>
      </w:r>
      <w:r w:rsidRPr="00BA1545">
        <w:rPr>
          <w:noProof/>
          <w:lang w:val="en-US"/>
        </w:rPr>
        <w:t>The Interim Consolidated Financial report is presented in € x 1.000 unless otherwise indicated.</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Accounting Estimates</w:t>
      </w:r>
    </w:p>
    <w:p w:rsidR="00224DD7" w:rsidRPr="00BA1545" w:rsidRDefault="00224DD7" w:rsidP="00DE6F62">
      <w:pPr>
        <w:pStyle w:val="NoSpacing"/>
        <w:jc w:val="both"/>
        <w:rPr>
          <w:lang w:val="en-US"/>
        </w:rPr>
      </w:pPr>
      <w:r w:rsidRPr="00BA1545">
        <w:rPr>
          <w:lang w:val="en-US"/>
        </w:rPr>
        <w:t>The preparation of the financial statements in accordance with IFRS requires management to make judgments, estimates and assumptions that affect the reported amounts of assets and liabilities, the determination of results and the reported contingent assets and liabilities. For a list of the judgments, estimates and assumptions, reference is made to the financial statements for 201</w:t>
      </w:r>
      <w:r w:rsidR="007B667C">
        <w:rPr>
          <w:lang w:val="en-US"/>
        </w:rPr>
        <w:t>6</w:t>
      </w:r>
      <w:r w:rsidRPr="00BA1545">
        <w:rPr>
          <w:lang w:val="en-US"/>
        </w:rPr>
        <w:t xml:space="preserve">. No important changes occurred in the first six months of </w:t>
      </w:r>
      <w:r w:rsidR="00E53BA7" w:rsidRPr="00BA1545">
        <w:rPr>
          <w:lang w:val="en-US"/>
        </w:rPr>
        <w:t xml:space="preserve">financial year </w:t>
      </w:r>
      <w:r w:rsidRPr="00BA1545">
        <w:rPr>
          <w:lang w:val="en-US"/>
        </w:rPr>
        <w:t>201</w:t>
      </w:r>
      <w:r w:rsidR="007B667C">
        <w:rPr>
          <w:lang w:val="en-US"/>
        </w:rPr>
        <w:t>7</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Segment Information</w:t>
      </w:r>
    </w:p>
    <w:p w:rsidR="00DF1146" w:rsidRPr="00BA1545" w:rsidRDefault="00DF1146" w:rsidP="00DF1146">
      <w:pPr>
        <w:jc w:val="both"/>
        <w:rPr>
          <w:rFonts w:asciiTheme="minorHAnsi" w:eastAsiaTheme="minorHAnsi" w:hAnsiTheme="minorHAnsi" w:cstheme="minorBidi"/>
          <w:sz w:val="22"/>
          <w:szCs w:val="22"/>
        </w:rPr>
      </w:pPr>
      <w:r w:rsidRPr="00BA1545">
        <w:rPr>
          <w:rFonts w:asciiTheme="minorHAnsi" w:eastAsiaTheme="minorHAnsi" w:hAnsiTheme="minorHAnsi" w:cstheme="minorBidi"/>
          <w:sz w:val="22"/>
          <w:szCs w:val="22"/>
        </w:rPr>
        <w:t xml:space="preserve">The segment reporting in these Interim consolidated Financial Statements are aligned with the internal reporting to the Executive Board as Chief Operating Decision Maker in the Company. Reporting is </w:t>
      </w:r>
      <w:r w:rsidR="00BD7620" w:rsidRPr="00BA1545">
        <w:rPr>
          <w:rFonts w:asciiTheme="minorHAnsi" w:eastAsiaTheme="minorHAnsi" w:hAnsiTheme="minorHAnsi" w:cstheme="minorBidi"/>
          <w:sz w:val="22"/>
          <w:szCs w:val="22"/>
        </w:rPr>
        <w:t xml:space="preserve">primarily </w:t>
      </w:r>
      <w:r w:rsidRPr="00BA1545">
        <w:rPr>
          <w:rFonts w:asciiTheme="minorHAnsi" w:eastAsiaTheme="minorHAnsi" w:hAnsiTheme="minorHAnsi" w:cstheme="minorBidi"/>
          <w:sz w:val="22"/>
          <w:szCs w:val="22"/>
        </w:rPr>
        <w:t xml:space="preserve">based on business line segments. All revenue, direct costs and fee earning staff are allocated to business lines. To avoid arbitrary and volatile allocation, indirect costs and non-free earning staff are not allocated directly to business lines, but rather allocated to country operations (or holding functions). </w:t>
      </w:r>
    </w:p>
    <w:p w:rsidR="00DF1146" w:rsidRPr="00BA1545" w:rsidRDefault="00DF1146" w:rsidP="004B4621">
      <w:pPr>
        <w:autoSpaceDE w:val="0"/>
        <w:autoSpaceDN w:val="0"/>
        <w:adjustRightInd w:val="0"/>
        <w:jc w:val="both"/>
        <w:rPr>
          <w:rFonts w:asciiTheme="minorHAnsi" w:eastAsiaTheme="minorHAnsi" w:hAnsiTheme="minorHAnsi" w:cstheme="minorBidi"/>
          <w:sz w:val="22"/>
          <w:szCs w:val="22"/>
        </w:rPr>
      </w:pPr>
      <w:r w:rsidRPr="00BA1545">
        <w:rPr>
          <w:rFonts w:asciiTheme="minorHAnsi" w:eastAsiaTheme="minorHAnsi" w:hAnsiTheme="minorHAnsi" w:cstheme="minorBidi"/>
          <w:sz w:val="22"/>
          <w:szCs w:val="22"/>
        </w:rPr>
        <w:t xml:space="preserve">TIE has four business lines: Integration, E-Commerce, Demand Generation and Analytics &amp;Optimization and operations in the Netherlands, in the US, in Germany, and in France. The business lines are primary reporting segment for both internal and external reporting. Country operations are secondary reporting segment for internal reporting and </w:t>
      </w:r>
      <w:r w:rsidR="004B4621" w:rsidRPr="00BA1545">
        <w:rPr>
          <w:rFonts w:asciiTheme="minorHAnsi" w:eastAsiaTheme="minorHAnsi" w:hAnsiTheme="minorHAnsi" w:cstheme="minorBidi"/>
          <w:sz w:val="22"/>
          <w:szCs w:val="22"/>
        </w:rPr>
        <w:t xml:space="preserve">externally for </w:t>
      </w:r>
      <w:r w:rsidRPr="00BA1545">
        <w:rPr>
          <w:rFonts w:asciiTheme="minorHAnsi" w:eastAsiaTheme="minorHAnsi" w:hAnsiTheme="minorHAnsi" w:cstheme="minorBidi"/>
          <w:sz w:val="22"/>
          <w:szCs w:val="22"/>
        </w:rPr>
        <w:t xml:space="preserve">statutory reporting purposes </w:t>
      </w:r>
      <w:r w:rsidRPr="00BA1545">
        <w:rPr>
          <w:rFonts w:asciiTheme="minorHAnsi" w:eastAsiaTheme="minorHAnsi" w:hAnsiTheme="minorHAnsi" w:cstheme="minorBidi"/>
          <w:sz w:val="22"/>
          <w:szCs w:val="22"/>
        </w:rPr>
        <w:lastRenderedPageBreak/>
        <w:t>only. In preparing this segment information, the accounting principles applied reflect the same as those in the preparation of the Consolidated Statement of Financial Position and Consolidated Statement of Income. Any transactions between reporting segments are accounted for at cost. These items are adjusted for the segment information presented under Eliminations.</w:t>
      </w:r>
    </w:p>
    <w:p w:rsidR="00224DD7" w:rsidRPr="00BA1545" w:rsidRDefault="00224DD7" w:rsidP="00DF1146">
      <w:pPr>
        <w:pStyle w:val="NoSpacing"/>
        <w:jc w:val="both"/>
        <w:rPr>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Risks and Risk Management</w:t>
      </w:r>
    </w:p>
    <w:p w:rsidR="00224DD7" w:rsidRPr="00BA1545" w:rsidRDefault="00224DD7" w:rsidP="00DE6F62">
      <w:pPr>
        <w:pStyle w:val="NoSpacing"/>
        <w:jc w:val="both"/>
        <w:rPr>
          <w:lang w:val="en-US"/>
        </w:rPr>
      </w:pPr>
      <w:r w:rsidRPr="00BA1545">
        <w:rPr>
          <w:lang w:val="en-US"/>
        </w:rPr>
        <w:t xml:space="preserve">In </w:t>
      </w:r>
      <w:r w:rsidR="007B667C">
        <w:rPr>
          <w:lang w:val="en-US"/>
        </w:rPr>
        <w:t>our</w:t>
      </w:r>
      <w:r w:rsidRPr="00BA1545">
        <w:rPr>
          <w:lang w:val="en-US"/>
        </w:rPr>
        <w:t xml:space="preserve"> Annual Report 201</w:t>
      </w:r>
      <w:r w:rsidR="007B667C">
        <w:rPr>
          <w:lang w:val="en-US"/>
        </w:rPr>
        <w:t>6</w:t>
      </w:r>
      <w:r w:rsidRPr="00BA1545">
        <w:rPr>
          <w:lang w:val="en-US"/>
        </w:rPr>
        <w:t xml:space="preserve"> (pages </w:t>
      </w:r>
      <w:r w:rsidR="00B1643F" w:rsidRPr="00BA1545">
        <w:rPr>
          <w:lang w:val="en-US"/>
        </w:rPr>
        <w:t>5</w:t>
      </w:r>
      <w:r w:rsidR="007B667C">
        <w:rPr>
          <w:lang w:val="en-US"/>
        </w:rPr>
        <w:t>4</w:t>
      </w:r>
      <w:r w:rsidR="00473A27" w:rsidRPr="00BA1545">
        <w:rPr>
          <w:lang w:val="en-US"/>
        </w:rPr>
        <w:t>-</w:t>
      </w:r>
      <w:r w:rsidR="00B1643F" w:rsidRPr="00BA1545">
        <w:rPr>
          <w:lang w:val="en-US"/>
        </w:rPr>
        <w:t>5</w:t>
      </w:r>
      <w:r w:rsidR="007B667C">
        <w:rPr>
          <w:lang w:val="en-US"/>
        </w:rPr>
        <w:t>5</w:t>
      </w:r>
      <w:r w:rsidR="00D43882" w:rsidRPr="00BA1545">
        <w:rPr>
          <w:lang w:val="en-US"/>
        </w:rPr>
        <w:t>)</w:t>
      </w:r>
      <w:r w:rsidRPr="00BA1545">
        <w:rPr>
          <w:lang w:val="en-US"/>
        </w:rPr>
        <w:t xml:space="preserve"> we have outlined the strategic, operational and financial risks we face; the risk management and control mechanisms we have in place; and the risk analysis and assessments we conduct regularly. We believe that the nature and potential impact of these risks have not materially changed in the first half of 201</w:t>
      </w:r>
      <w:r w:rsidR="007B667C">
        <w:rPr>
          <w:lang w:val="en-US"/>
        </w:rPr>
        <w:t>7</w:t>
      </w:r>
      <w:r w:rsidRPr="00BA1545">
        <w:rPr>
          <w:lang w:val="en-US"/>
        </w:rPr>
        <w:t>. We will continue to monitor the key risks closely and manage our internal control systems as new risks may emerge and current risks may change in the second half of 201</w:t>
      </w:r>
      <w:r w:rsidR="007B667C">
        <w:rPr>
          <w:lang w:val="en-US"/>
        </w:rPr>
        <w:t>7</w:t>
      </w:r>
      <w:r w:rsidRPr="00BA1545">
        <w:rPr>
          <w:lang w:val="en-US"/>
        </w:rPr>
        <w:t>.</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Seasonal Effects</w:t>
      </w:r>
    </w:p>
    <w:p w:rsidR="00224DD7" w:rsidRPr="00BA1545" w:rsidRDefault="00224DD7" w:rsidP="00DE6F62">
      <w:pPr>
        <w:pStyle w:val="NoSpacing"/>
        <w:jc w:val="both"/>
        <w:rPr>
          <w:lang w:val="en-US"/>
        </w:rPr>
      </w:pPr>
      <w:r w:rsidRPr="00BA1545">
        <w:rPr>
          <w:lang w:val="en-US"/>
        </w:rPr>
        <w:t>There are little seasonal effects on the operations and therefore the results of the Company. Despite the holiday season, the second half year (April-September) sales have proven to be strong during this period over the last few years. Due to the increased importance of SaaS, the company’s revenue and results have become less vulnerable for seasonal effects. However there may be some effect on Consultancy and R&amp;D development as a result of the holiday’s season. Therefore the Company may face some impact on the results of the second half year.</w:t>
      </w:r>
    </w:p>
    <w:p w:rsidR="00D43882" w:rsidRPr="00BA1545" w:rsidRDefault="00D43882" w:rsidP="00DE6F62">
      <w:pPr>
        <w:pStyle w:val="NoSpacing"/>
        <w:jc w:val="both"/>
        <w:rPr>
          <w:color w:val="000000" w:themeColor="text1"/>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Intangible Assets</w:t>
      </w:r>
    </w:p>
    <w:p w:rsidR="00224DD7" w:rsidRPr="00BA1545" w:rsidRDefault="00CB06A4" w:rsidP="00DE6F62">
      <w:pPr>
        <w:pStyle w:val="NoSpacing"/>
        <w:jc w:val="both"/>
        <w:rPr>
          <w:lang w:val="en-US"/>
        </w:rPr>
      </w:pPr>
      <w:r w:rsidRPr="00BA1545">
        <w:rPr>
          <w:lang w:val="en-US"/>
        </w:rPr>
        <w:t>The capitalization of development costs amount</w:t>
      </w:r>
      <w:r w:rsidR="00D3097D" w:rsidRPr="00BA1545">
        <w:rPr>
          <w:lang w:val="en-US"/>
        </w:rPr>
        <w:t>s to</w:t>
      </w:r>
      <w:r w:rsidRPr="00BA1545">
        <w:rPr>
          <w:lang w:val="en-US"/>
        </w:rPr>
        <w:t xml:space="preserve"> </w:t>
      </w:r>
      <w:r w:rsidR="00DA6297" w:rsidRPr="00BA1545">
        <w:rPr>
          <w:lang w:val="en-US"/>
        </w:rPr>
        <w:t xml:space="preserve">€ </w:t>
      </w:r>
      <w:r w:rsidR="007B667C">
        <w:rPr>
          <w:lang w:val="en-US"/>
        </w:rPr>
        <w:t>700</w:t>
      </w:r>
      <w:r w:rsidR="00DA6297" w:rsidRPr="00BA1545">
        <w:rPr>
          <w:lang w:val="en-US"/>
        </w:rPr>
        <w:t>k</w:t>
      </w:r>
      <w:r w:rsidR="00B17719">
        <w:rPr>
          <w:lang w:val="en-US"/>
        </w:rPr>
        <w:t xml:space="preserve"> (H1 201</w:t>
      </w:r>
      <w:r w:rsidR="007B667C">
        <w:rPr>
          <w:lang w:val="en-US"/>
        </w:rPr>
        <w:t>6</w:t>
      </w:r>
      <w:r w:rsidR="00B17719">
        <w:rPr>
          <w:lang w:val="en-US"/>
        </w:rPr>
        <w:t xml:space="preserve">: € </w:t>
      </w:r>
      <w:r w:rsidR="007B667C">
        <w:rPr>
          <w:lang w:val="en-US"/>
        </w:rPr>
        <w:t>419</w:t>
      </w:r>
      <w:r w:rsidR="00B17719">
        <w:rPr>
          <w:lang w:val="en-US"/>
        </w:rPr>
        <w:t>k)</w:t>
      </w:r>
      <w:r w:rsidR="00DA6297" w:rsidRPr="00BA1545">
        <w:rPr>
          <w:lang w:val="en-US"/>
        </w:rPr>
        <w:t>.</w:t>
      </w:r>
    </w:p>
    <w:p w:rsidR="00224DD7" w:rsidRPr="00BA1545" w:rsidRDefault="00224DD7" w:rsidP="00DE6F62">
      <w:pPr>
        <w:pStyle w:val="NoSpacing"/>
        <w:jc w:val="both"/>
        <w:rPr>
          <w:lang w:val="en-US"/>
        </w:rPr>
      </w:pPr>
      <w:r w:rsidRPr="00BA1545">
        <w:rPr>
          <w:lang w:val="en-US"/>
        </w:rPr>
        <w:t xml:space="preserve"> </w:t>
      </w: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Tangible Assets</w:t>
      </w:r>
    </w:p>
    <w:p w:rsidR="00224DD7" w:rsidRPr="00BA1545" w:rsidRDefault="00224DD7" w:rsidP="00DE6F62">
      <w:pPr>
        <w:pStyle w:val="NoSpacing"/>
        <w:jc w:val="both"/>
        <w:rPr>
          <w:color w:val="002060"/>
          <w:lang w:val="en-US"/>
        </w:rPr>
      </w:pPr>
      <w:r w:rsidRPr="00BA1545">
        <w:rPr>
          <w:lang w:val="en-US"/>
        </w:rPr>
        <w:t xml:space="preserve">The </w:t>
      </w:r>
      <w:r w:rsidR="00D3097D" w:rsidRPr="00BA1545">
        <w:rPr>
          <w:lang w:val="en-US"/>
        </w:rPr>
        <w:t xml:space="preserve">investment </w:t>
      </w:r>
      <w:r w:rsidR="002414CB" w:rsidRPr="00BA1545">
        <w:rPr>
          <w:lang w:val="en-US"/>
        </w:rPr>
        <w:t>in tangib</w:t>
      </w:r>
      <w:r w:rsidR="00D43882" w:rsidRPr="00BA1545">
        <w:rPr>
          <w:lang w:val="en-US"/>
        </w:rPr>
        <w:t xml:space="preserve">le assets </w:t>
      </w:r>
      <w:r w:rsidR="001E6799" w:rsidRPr="00BA1545">
        <w:rPr>
          <w:lang w:val="en-US"/>
        </w:rPr>
        <w:t xml:space="preserve">amounts to </w:t>
      </w:r>
      <w:r w:rsidR="00DA6297" w:rsidRPr="00523B38">
        <w:rPr>
          <w:lang w:val="en-US"/>
        </w:rPr>
        <w:t xml:space="preserve">€ </w:t>
      </w:r>
      <w:r w:rsidR="00D3097D" w:rsidRPr="00523B38">
        <w:rPr>
          <w:lang w:val="en-US"/>
        </w:rPr>
        <w:t>40</w:t>
      </w:r>
      <w:r w:rsidR="00DA6297" w:rsidRPr="00523B38">
        <w:rPr>
          <w:lang w:val="en-US"/>
        </w:rPr>
        <w:t>K</w:t>
      </w:r>
      <w:r w:rsidR="00B17719">
        <w:rPr>
          <w:lang w:val="en-US"/>
        </w:rPr>
        <w:t xml:space="preserve"> (H1 201</w:t>
      </w:r>
      <w:r w:rsidR="007B667C">
        <w:rPr>
          <w:lang w:val="en-US"/>
        </w:rPr>
        <w:t>6</w:t>
      </w:r>
      <w:r w:rsidR="00B17719">
        <w:rPr>
          <w:lang w:val="en-US"/>
        </w:rPr>
        <w:t>: € 40k)</w:t>
      </w:r>
      <w:r w:rsidR="00DA6297" w:rsidRPr="00BA1545">
        <w:rPr>
          <w:lang w:val="en-US"/>
        </w:rPr>
        <w:t>.</w:t>
      </w:r>
      <w:r w:rsidR="00F11B04" w:rsidRPr="00BA1545">
        <w:rPr>
          <w:lang w:val="en-US"/>
        </w:rPr>
        <w:t xml:space="preserve"> </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Cash</w:t>
      </w:r>
    </w:p>
    <w:p w:rsidR="006F3065" w:rsidRPr="00BA1545" w:rsidRDefault="00224DD7" w:rsidP="00DE6F62">
      <w:pPr>
        <w:pStyle w:val="NoSpacing"/>
        <w:jc w:val="both"/>
        <w:rPr>
          <w:lang w:val="en-US"/>
        </w:rPr>
      </w:pPr>
      <w:r w:rsidRPr="00BA1545">
        <w:rPr>
          <w:lang w:val="en-US"/>
        </w:rPr>
        <w:t>On March 31, 201</w:t>
      </w:r>
      <w:r w:rsidR="007B667C">
        <w:rPr>
          <w:lang w:val="en-US"/>
        </w:rPr>
        <w:t>7</w:t>
      </w:r>
      <w:r w:rsidRPr="00BA1545">
        <w:rPr>
          <w:lang w:val="en-US"/>
        </w:rPr>
        <w:t xml:space="preserve"> the Company held a net positive cash position of € </w:t>
      </w:r>
      <w:r w:rsidR="007B667C">
        <w:rPr>
          <w:lang w:val="en-US"/>
        </w:rPr>
        <w:t>2.070</w:t>
      </w:r>
      <w:r w:rsidRPr="00BA1545">
        <w:rPr>
          <w:lang w:val="en-US"/>
        </w:rPr>
        <w:t>k (September 30, 201</w:t>
      </w:r>
      <w:r w:rsidR="007B667C">
        <w:rPr>
          <w:lang w:val="en-US"/>
        </w:rPr>
        <w:t>6</w:t>
      </w:r>
      <w:r w:rsidRPr="00BA1545">
        <w:rPr>
          <w:lang w:val="en-US"/>
        </w:rPr>
        <w:t xml:space="preserve"> € </w:t>
      </w:r>
      <w:r w:rsidR="007B667C">
        <w:rPr>
          <w:lang w:val="en-US"/>
        </w:rPr>
        <w:t>1.791</w:t>
      </w:r>
      <w:r w:rsidR="00493E72" w:rsidRPr="00BA1545">
        <w:rPr>
          <w:lang w:val="en-US"/>
        </w:rPr>
        <w:t>k) as follows:</w:t>
      </w:r>
    </w:p>
    <w:p w:rsidR="006F3065" w:rsidRPr="00BA1545" w:rsidRDefault="006F3065" w:rsidP="00DE6F62">
      <w:pPr>
        <w:pStyle w:val="NoSpacing"/>
        <w:jc w:val="both"/>
        <w:rPr>
          <w:lang w:val="en-US"/>
        </w:rPr>
      </w:pPr>
    </w:p>
    <w:p w:rsidR="00493E72" w:rsidRPr="007B667C" w:rsidRDefault="007B667C" w:rsidP="00DE6F62">
      <w:pPr>
        <w:pStyle w:val="NoSpacing"/>
        <w:jc w:val="both"/>
        <w:rPr>
          <w:lang w:val="en-US"/>
        </w:rPr>
      </w:pPr>
      <w:r w:rsidRPr="007B667C">
        <w:rPr>
          <w:noProof/>
          <w:lang w:val="en-US"/>
        </w:rPr>
        <w:drawing>
          <wp:inline distT="0" distB="0" distL="0" distR="0">
            <wp:extent cx="4391660" cy="741045"/>
            <wp:effectExtent l="0" t="0" r="889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660" cy="741045"/>
                    </a:xfrm>
                    <a:prstGeom prst="rect">
                      <a:avLst/>
                    </a:prstGeom>
                    <a:noFill/>
                    <a:ln>
                      <a:noFill/>
                    </a:ln>
                  </pic:spPr>
                </pic:pic>
              </a:graphicData>
            </a:graphic>
          </wp:inline>
        </w:drawing>
      </w:r>
    </w:p>
    <w:p w:rsidR="00493E72" w:rsidRPr="00BA1545" w:rsidRDefault="00493E72" w:rsidP="00DE6F62">
      <w:pPr>
        <w:pStyle w:val="NoSpacing"/>
        <w:jc w:val="both"/>
        <w:rPr>
          <w:lang w:val="en-US"/>
        </w:rPr>
      </w:pPr>
    </w:p>
    <w:p w:rsidR="00224DD7" w:rsidRPr="00BA1545" w:rsidRDefault="00D92505" w:rsidP="00DE6F62">
      <w:pPr>
        <w:pStyle w:val="NoSpacing"/>
        <w:jc w:val="both"/>
        <w:rPr>
          <w:lang w:val="en-US"/>
        </w:rPr>
      </w:pPr>
      <w:r w:rsidRPr="002629D6">
        <w:rPr>
          <w:lang w:val="en-US"/>
        </w:rPr>
        <w:t xml:space="preserve">The net cash flow from operating activities in </w:t>
      </w:r>
      <w:r w:rsidR="002629D6">
        <w:rPr>
          <w:lang w:val="en-US"/>
        </w:rPr>
        <w:t>HY</w:t>
      </w:r>
      <w:r w:rsidR="00523B38">
        <w:rPr>
          <w:lang w:val="en-US"/>
        </w:rPr>
        <w:t>1</w:t>
      </w:r>
      <w:r w:rsidR="002629D6">
        <w:rPr>
          <w:lang w:val="en-US"/>
        </w:rPr>
        <w:t xml:space="preserve"> 2017</w:t>
      </w:r>
      <w:r w:rsidRPr="002629D6">
        <w:rPr>
          <w:lang w:val="en-US"/>
        </w:rPr>
        <w:t xml:space="preserve"> amounted to € </w:t>
      </w:r>
      <w:r w:rsidR="002629D6">
        <w:rPr>
          <w:lang w:val="en-US"/>
        </w:rPr>
        <w:t>932</w:t>
      </w:r>
      <w:r w:rsidRPr="002629D6">
        <w:rPr>
          <w:lang w:val="en-US"/>
        </w:rPr>
        <w:t>k (H1 201</w:t>
      </w:r>
      <w:r w:rsidR="002629D6">
        <w:rPr>
          <w:lang w:val="en-US"/>
        </w:rPr>
        <w:t>6</w:t>
      </w:r>
      <w:r w:rsidR="00C15F1E" w:rsidRPr="002629D6">
        <w:rPr>
          <w:lang w:val="en-US"/>
        </w:rPr>
        <w:t xml:space="preserve">: € </w:t>
      </w:r>
      <w:r w:rsidR="002629D6">
        <w:rPr>
          <w:lang w:val="en-US"/>
        </w:rPr>
        <w:t>- 593</w:t>
      </w:r>
      <w:r w:rsidRPr="002629D6">
        <w:rPr>
          <w:lang w:val="en-US"/>
        </w:rPr>
        <w:t>k).</w:t>
      </w:r>
      <w:r w:rsidR="00224DD7" w:rsidRPr="00BA1545">
        <w:rPr>
          <w:lang w:val="en-US"/>
        </w:rPr>
        <w:t xml:space="preserve"> </w:t>
      </w:r>
    </w:p>
    <w:p w:rsidR="00224DD7" w:rsidRPr="00BA1545" w:rsidRDefault="00224DD7" w:rsidP="00DE6F62">
      <w:pPr>
        <w:pStyle w:val="NoSpacing"/>
        <w:jc w:val="both"/>
        <w:rPr>
          <w:rFonts w:eastAsia="MS Mincho"/>
          <w:bCs/>
          <w:lang w:val="en-US" w:eastAsia="zh-CN"/>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Options</w:t>
      </w:r>
    </w:p>
    <w:p w:rsidR="00224DD7" w:rsidRPr="00BA1545" w:rsidRDefault="00224DD7" w:rsidP="00DE6F62">
      <w:pPr>
        <w:pStyle w:val="NoSpacing"/>
        <w:jc w:val="both"/>
        <w:rPr>
          <w:lang w:val="en-US"/>
        </w:rPr>
      </w:pPr>
      <w:r w:rsidRPr="00BA1545">
        <w:rPr>
          <w:lang w:val="en-US"/>
        </w:rPr>
        <w:t xml:space="preserve">During the reporting period </w:t>
      </w:r>
      <w:r w:rsidR="00211AFF" w:rsidRPr="00BA1545">
        <w:rPr>
          <w:lang w:val="en-US"/>
        </w:rPr>
        <w:t>no movements occurred.</w:t>
      </w:r>
    </w:p>
    <w:p w:rsidR="00224DD7" w:rsidRPr="00BA1545" w:rsidRDefault="00224DD7" w:rsidP="00DE6F62">
      <w:pPr>
        <w:pStyle w:val="NoSpacing"/>
        <w:jc w:val="both"/>
        <w:rPr>
          <w:color w:val="002060"/>
          <w:lang w:val="en-US"/>
        </w:rPr>
      </w:pPr>
    </w:p>
    <w:p w:rsidR="00934F20" w:rsidRPr="00BA1545" w:rsidRDefault="00934F20">
      <w:pPr>
        <w:spacing w:after="200" w:line="276" w:lineRule="auto"/>
        <w:rPr>
          <w:rFonts w:asciiTheme="minorHAnsi" w:eastAsia="MS Mincho" w:hAnsiTheme="minorHAnsi" w:cstheme="minorBidi"/>
          <w:bCs/>
          <w:sz w:val="22"/>
          <w:szCs w:val="22"/>
          <w:lang w:eastAsia="zh-CN"/>
        </w:rPr>
      </w:pPr>
      <w:r w:rsidRPr="00BA1545">
        <w:rPr>
          <w:rFonts w:asciiTheme="minorHAnsi" w:eastAsia="MS Mincho" w:hAnsiTheme="minorHAnsi"/>
          <w:bCs/>
          <w:sz w:val="22"/>
          <w:szCs w:val="22"/>
          <w:lang w:eastAsia="zh-CN"/>
        </w:rPr>
        <w:br w:type="page"/>
      </w: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lastRenderedPageBreak/>
        <w:t>Equity</w:t>
      </w:r>
    </w:p>
    <w:p w:rsidR="00224DD7" w:rsidRPr="00BA1545" w:rsidRDefault="007B667C" w:rsidP="00DE6F62">
      <w:pPr>
        <w:pStyle w:val="NoSpacing"/>
        <w:jc w:val="both"/>
        <w:rPr>
          <w:noProof/>
          <w:lang w:val="en-US"/>
        </w:rPr>
      </w:pPr>
      <w:r w:rsidRPr="007B667C">
        <w:rPr>
          <w:noProof/>
          <w:lang w:val="en-US"/>
        </w:rPr>
        <w:drawing>
          <wp:inline distT="0" distB="0" distL="0" distR="0">
            <wp:extent cx="3678555" cy="74104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8555" cy="741045"/>
                    </a:xfrm>
                    <a:prstGeom prst="rect">
                      <a:avLst/>
                    </a:prstGeom>
                    <a:noFill/>
                    <a:ln>
                      <a:noFill/>
                    </a:ln>
                  </pic:spPr>
                </pic:pic>
              </a:graphicData>
            </a:graphic>
          </wp:inline>
        </w:drawing>
      </w:r>
    </w:p>
    <w:p w:rsidR="00934F20" w:rsidRPr="00BA1545" w:rsidRDefault="00934F20" w:rsidP="00DE6F62">
      <w:pPr>
        <w:pStyle w:val="NoSpacing"/>
        <w:jc w:val="both"/>
        <w:rPr>
          <w:noProof/>
          <w:lang w:val="en-US"/>
        </w:rPr>
      </w:pPr>
    </w:p>
    <w:p w:rsidR="00211AFF" w:rsidRDefault="007B667C" w:rsidP="007B667C">
      <w:pPr>
        <w:pStyle w:val="NoSpacing"/>
        <w:jc w:val="both"/>
        <w:rPr>
          <w:noProof/>
          <w:lang w:val="en-US"/>
        </w:rPr>
      </w:pPr>
      <w:r>
        <w:rPr>
          <w:noProof/>
          <w:lang w:val="en-US"/>
        </w:rPr>
        <w:t xml:space="preserve">In 2017, 16.007 </w:t>
      </w:r>
      <w:r w:rsidR="00934F20" w:rsidRPr="00BA1545">
        <w:rPr>
          <w:noProof/>
          <w:lang w:val="en-US"/>
        </w:rPr>
        <w:t xml:space="preserve">shares </w:t>
      </w:r>
      <w:r>
        <w:rPr>
          <w:noProof/>
          <w:lang w:val="en-US"/>
        </w:rPr>
        <w:t xml:space="preserve">have been issued under the Extended Management Team Stock plan (10 persons). </w:t>
      </w:r>
    </w:p>
    <w:p w:rsidR="007B667C" w:rsidRPr="00BA1545" w:rsidRDefault="007B667C" w:rsidP="007B667C">
      <w:pPr>
        <w:pStyle w:val="NoSpacing"/>
        <w:jc w:val="both"/>
        <w:rPr>
          <w:lang w:val="en-US"/>
        </w:rPr>
      </w:pPr>
    </w:p>
    <w:p w:rsidR="00224DD7" w:rsidRPr="007B667C" w:rsidRDefault="00224DD7" w:rsidP="00DE6F62">
      <w:pPr>
        <w:pStyle w:val="NoSpacing"/>
        <w:jc w:val="both"/>
        <w:rPr>
          <w:rFonts w:eastAsia="MS Mincho"/>
          <w:b/>
          <w:bCs/>
          <w:lang w:val="en-US" w:eastAsia="zh-CN"/>
        </w:rPr>
      </w:pPr>
      <w:r w:rsidRPr="007B667C">
        <w:rPr>
          <w:rFonts w:eastAsia="MS Mincho"/>
          <w:b/>
          <w:bCs/>
          <w:lang w:val="en-US" w:eastAsia="zh-CN"/>
        </w:rPr>
        <w:t xml:space="preserve">Personnel </w:t>
      </w:r>
    </w:p>
    <w:p w:rsidR="00224DD7" w:rsidRPr="00BA1545" w:rsidRDefault="00224DD7" w:rsidP="00DE6F62">
      <w:pPr>
        <w:pStyle w:val="NoSpacing"/>
        <w:jc w:val="both"/>
        <w:rPr>
          <w:lang w:val="en-US"/>
        </w:rPr>
      </w:pPr>
      <w:r w:rsidRPr="00BA1545">
        <w:rPr>
          <w:lang w:val="en-US"/>
        </w:rPr>
        <w:t xml:space="preserve">The total </w:t>
      </w:r>
      <w:proofErr w:type="gramStart"/>
      <w:r w:rsidRPr="00BA1545">
        <w:rPr>
          <w:lang w:val="en-US"/>
        </w:rPr>
        <w:t>number of FTE of the Company by country are</w:t>
      </w:r>
      <w:proofErr w:type="gramEnd"/>
      <w:r w:rsidRPr="00BA1545">
        <w:rPr>
          <w:lang w:val="en-US"/>
        </w:rPr>
        <w:t>:</w:t>
      </w:r>
    </w:p>
    <w:p w:rsidR="00A50B88" w:rsidRPr="00BA1545" w:rsidRDefault="00A50B88" w:rsidP="00DE6F62">
      <w:pPr>
        <w:pStyle w:val="NoSpacing"/>
        <w:jc w:val="both"/>
        <w:rPr>
          <w:lang w:val="en-US"/>
        </w:rPr>
      </w:pPr>
    </w:p>
    <w:p w:rsidR="00746B05" w:rsidRPr="00BA1545" w:rsidRDefault="007B667C" w:rsidP="00DE6F62">
      <w:pPr>
        <w:pStyle w:val="NoSpacing"/>
        <w:jc w:val="both"/>
        <w:rPr>
          <w:lang w:val="en-US"/>
        </w:rPr>
      </w:pPr>
      <w:r w:rsidRPr="007B667C">
        <w:rPr>
          <w:noProof/>
          <w:lang w:val="en-US"/>
        </w:rPr>
        <w:drawing>
          <wp:inline distT="0" distB="0" distL="0" distR="0">
            <wp:extent cx="3567430" cy="1108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7430" cy="1108075"/>
                    </a:xfrm>
                    <a:prstGeom prst="rect">
                      <a:avLst/>
                    </a:prstGeom>
                    <a:noFill/>
                    <a:ln>
                      <a:noFill/>
                    </a:ln>
                  </pic:spPr>
                </pic:pic>
              </a:graphicData>
            </a:graphic>
          </wp:inline>
        </w:drawing>
      </w:r>
    </w:p>
    <w:p w:rsidR="00211AFF" w:rsidRPr="00BA1545" w:rsidRDefault="00211AFF" w:rsidP="00DE6F62">
      <w:pPr>
        <w:pStyle w:val="NoSpacing"/>
        <w:jc w:val="both"/>
        <w:rPr>
          <w:color w:val="002060"/>
          <w:lang w:val="en-US"/>
        </w:rPr>
      </w:pPr>
    </w:p>
    <w:p w:rsidR="00124EC9" w:rsidRPr="00BA1545" w:rsidRDefault="00124EC9" w:rsidP="00DE6F62">
      <w:pPr>
        <w:pStyle w:val="NoSpacing"/>
        <w:jc w:val="both"/>
        <w:rPr>
          <w:color w:val="002060"/>
          <w:lang w:val="en-US"/>
        </w:rPr>
      </w:pPr>
    </w:p>
    <w:p w:rsidR="001A5A42" w:rsidRPr="00BA1545" w:rsidRDefault="001A5A42" w:rsidP="00DE6F62">
      <w:pPr>
        <w:pStyle w:val="NoSpacing"/>
        <w:jc w:val="both"/>
        <w:rPr>
          <w:lang w:val="en-US"/>
        </w:rPr>
      </w:pPr>
    </w:p>
    <w:p w:rsidR="00224DD7" w:rsidRPr="00BA1545" w:rsidRDefault="00224DD7" w:rsidP="00DE6F62">
      <w:pPr>
        <w:pStyle w:val="NoSpacing"/>
        <w:jc w:val="both"/>
        <w:rPr>
          <w:iCs/>
        </w:rPr>
      </w:pPr>
      <w:r w:rsidRPr="00BA1545">
        <w:rPr>
          <w:iCs/>
        </w:rPr>
        <w:t xml:space="preserve">Breukelen, May </w:t>
      </w:r>
      <w:r w:rsidR="00B265A6">
        <w:rPr>
          <w:iCs/>
        </w:rPr>
        <w:t>1</w:t>
      </w:r>
      <w:r w:rsidR="007B667C">
        <w:rPr>
          <w:iCs/>
        </w:rPr>
        <w:t>5</w:t>
      </w:r>
      <w:r w:rsidRPr="00BA1545">
        <w:rPr>
          <w:iCs/>
        </w:rPr>
        <w:t>, 201</w:t>
      </w:r>
      <w:r w:rsidR="007B667C">
        <w:rPr>
          <w:iCs/>
        </w:rPr>
        <w:t>7</w:t>
      </w:r>
    </w:p>
    <w:p w:rsidR="00224DD7" w:rsidRPr="00BA1545" w:rsidRDefault="00224DD7" w:rsidP="00DE6F62">
      <w:pPr>
        <w:pStyle w:val="NoSpacing"/>
        <w:jc w:val="both"/>
        <w:rPr>
          <w:iCs/>
        </w:rPr>
      </w:pPr>
    </w:p>
    <w:p w:rsidR="00211AFF" w:rsidRPr="00BA1545" w:rsidRDefault="00211AFF" w:rsidP="00DE6F62">
      <w:pPr>
        <w:pStyle w:val="NoSpacing"/>
        <w:jc w:val="both"/>
        <w:rPr>
          <w:iCs/>
        </w:rPr>
      </w:pPr>
      <w:r w:rsidRPr="00BA1545">
        <w:rPr>
          <w:iCs/>
        </w:rPr>
        <w:t>M. Wolfswinkel</w:t>
      </w:r>
    </w:p>
    <w:p w:rsidR="001A5A42" w:rsidRPr="00BA1545" w:rsidRDefault="00224DD7" w:rsidP="00DE6F62">
      <w:pPr>
        <w:pStyle w:val="NoSpacing"/>
        <w:jc w:val="both"/>
        <w:rPr>
          <w:iCs/>
        </w:rPr>
      </w:pPr>
      <w:r w:rsidRPr="00BA1545">
        <w:rPr>
          <w:iCs/>
        </w:rPr>
        <w:t>J.B. Sundelin</w:t>
      </w:r>
    </w:p>
    <w:p w:rsidR="00224DD7" w:rsidRPr="00BA1545" w:rsidRDefault="00DE6F62" w:rsidP="00DE6F62">
      <w:pPr>
        <w:pStyle w:val="NoSpacing"/>
        <w:jc w:val="both"/>
        <w:rPr>
          <w:lang w:val="en-US"/>
        </w:rPr>
      </w:pPr>
      <w:r w:rsidRPr="00BA1545">
        <w:rPr>
          <w:lang w:val="en-US"/>
        </w:rPr>
        <w:t>Executive</w:t>
      </w:r>
      <w:r w:rsidR="00224DD7" w:rsidRPr="00BA1545">
        <w:rPr>
          <w:lang w:val="en-US"/>
        </w:rPr>
        <w:t xml:space="preserve"> Board</w:t>
      </w:r>
    </w:p>
    <w:sectPr w:rsidR="00224DD7" w:rsidRPr="00BA1545" w:rsidSect="00420DD5">
      <w:footerReference w:type="default" r:id="rId2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EC" w:rsidRDefault="00F037EC" w:rsidP="001C04E3">
      <w:r>
        <w:separator/>
      </w:r>
    </w:p>
  </w:endnote>
  <w:endnote w:type="continuationSeparator" w:id="0">
    <w:p w:rsidR="00F037EC" w:rsidRDefault="00F037EC" w:rsidP="001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2392"/>
      <w:docPartObj>
        <w:docPartGallery w:val="Page Numbers (Bottom of Page)"/>
        <w:docPartUnique/>
      </w:docPartObj>
    </w:sdtPr>
    <w:sdtEndPr>
      <w:rPr>
        <w:noProof/>
      </w:rPr>
    </w:sdtEndPr>
    <w:sdtContent>
      <w:p w:rsidR="00CE3798" w:rsidRDefault="00CE3798">
        <w:pPr>
          <w:pStyle w:val="Footer"/>
          <w:jc w:val="center"/>
        </w:pPr>
        <w:r>
          <w:fldChar w:fldCharType="begin"/>
        </w:r>
        <w:r>
          <w:instrText xml:space="preserve"> PAGE   \* MERGEFORMAT </w:instrText>
        </w:r>
        <w:r>
          <w:fldChar w:fldCharType="separate"/>
        </w:r>
        <w:r w:rsidR="00D00059">
          <w:rPr>
            <w:noProof/>
          </w:rPr>
          <w:t>1</w:t>
        </w:r>
        <w:r>
          <w:rPr>
            <w:noProof/>
          </w:rPr>
          <w:fldChar w:fldCharType="end"/>
        </w:r>
      </w:p>
    </w:sdtContent>
  </w:sdt>
  <w:p w:rsidR="00CE3798" w:rsidRDefault="00CE3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EC" w:rsidRDefault="00F037EC" w:rsidP="001C04E3">
      <w:r>
        <w:separator/>
      </w:r>
    </w:p>
  </w:footnote>
  <w:footnote w:type="continuationSeparator" w:id="0">
    <w:p w:rsidR="00F037EC" w:rsidRDefault="00F037EC" w:rsidP="001C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568"/>
    <w:multiLevelType w:val="hybridMultilevel"/>
    <w:tmpl w:val="3F90C7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6884FA5"/>
    <w:multiLevelType w:val="hybridMultilevel"/>
    <w:tmpl w:val="C6E82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D06FB"/>
    <w:multiLevelType w:val="hybridMultilevel"/>
    <w:tmpl w:val="1C681BF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
    <w:nsid w:val="23110147"/>
    <w:multiLevelType w:val="hybridMultilevel"/>
    <w:tmpl w:val="4156E594"/>
    <w:lvl w:ilvl="0" w:tplc="50564EE6">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4AD2D36"/>
    <w:multiLevelType w:val="hybridMultilevel"/>
    <w:tmpl w:val="65640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061C40"/>
    <w:multiLevelType w:val="hybridMultilevel"/>
    <w:tmpl w:val="E87EE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EF1D61"/>
    <w:multiLevelType w:val="hybridMultilevel"/>
    <w:tmpl w:val="8C3A281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nsid w:val="43153BD5"/>
    <w:multiLevelType w:val="hybridMultilevel"/>
    <w:tmpl w:val="7E6EE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337DCF"/>
    <w:multiLevelType w:val="hybridMultilevel"/>
    <w:tmpl w:val="8BDAB3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B1D142F"/>
    <w:multiLevelType w:val="hybridMultilevel"/>
    <w:tmpl w:val="E2520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C925CB4"/>
    <w:multiLevelType w:val="hybridMultilevel"/>
    <w:tmpl w:val="ECEEFCD2"/>
    <w:lvl w:ilvl="0" w:tplc="4628DB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E6434E0"/>
    <w:multiLevelType w:val="hybridMultilevel"/>
    <w:tmpl w:val="D6B0C9F8"/>
    <w:lvl w:ilvl="0" w:tplc="EA602A16">
      <w:numFmt w:val="bullet"/>
      <w:lvlText w:val="-"/>
      <w:lvlJc w:val="left"/>
      <w:pPr>
        <w:ind w:left="720" w:hanging="360"/>
      </w:pPr>
      <w:rPr>
        <w:rFonts w:ascii="Calibri" w:eastAsia="Batang"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87E5964"/>
    <w:multiLevelType w:val="hybridMultilevel"/>
    <w:tmpl w:val="35767AE0"/>
    <w:lvl w:ilvl="0" w:tplc="71C87B6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E7F14AF"/>
    <w:multiLevelType w:val="hybridMultilevel"/>
    <w:tmpl w:val="8B7A3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13"/>
  </w:num>
  <w:num w:numId="6">
    <w:abstractNumId w:val="8"/>
  </w:num>
  <w:num w:numId="7">
    <w:abstractNumId w:val="1"/>
  </w:num>
  <w:num w:numId="8">
    <w:abstractNumId w:val="9"/>
  </w:num>
  <w:num w:numId="9">
    <w:abstractNumId w:val="0"/>
  </w:num>
  <w:num w:numId="10">
    <w:abstractNumId w:val="10"/>
  </w:num>
  <w:num w:numId="11">
    <w:abstractNumId w:val="12"/>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9A"/>
    <w:rsid w:val="000111C2"/>
    <w:rsid w:val="000157BA"/>
    <w:rsid w:val="00016D0F"/>
    <w:rsid w:val="00021F46"/>
    <w:rsid w:val="00032BEA"/>
    <w:rsid w:val="00032E5F"/>
    <w:rsid w:val="00035179"/>
    <w:rsid w:val="00037621"/>
    <w:rsid w:val="00057BD0"/>
    <w:rsid w:val="00062069"/>
    <w:rsid w:val="00062B3F"/>
    <w:rsid w:val="000670F1"/>
    <w:rsid w:val="000724FE"/>
    <w:rsid w:val="00085E86"/>
    <w:rsid w:val="00091411"/>
    <w:rsid w:val="000A4F9D"/>
    <w:rsid w:val="000A72ED"/>
    <w:rsid w:val="000A77DD"/>
    <w:rsid w:val="000B0948"/>
    <w:rsid w:val="000B76DF"/>
    <w:rsid w:val="000C3567"/>
    <w:rsid w:val="000D7D09"/>
    <w:rsid w:val="000E0D99"/>
    <w:rsid w:val="000F7F82"/>
    <w:rsid w:val="00100707"/>
    <w:rsid w:val="00103214"/>
    <w:rsid w:val="00106078"/>
    <w:rsid w:val="00110BD4"/>
    <w:rsid w:val="00112749"/>
    <w:rsid w:val="001138B0"/>
    <w:rsid w:val="0012206A"/>
    <w:rsid w:val="00124EC9"/>
    <w:rsid w:val="0012714B"/>
    <w:rsid w:val="001329FB"/>
    <w:rsid w:val="00133961"/>
    <w:rsid w:val="00135081"/>
    <w:rsid w:val="00153438"/>
    <w:rsid w:val="00161A14"/>
    <w:rsid w:val="001657A0"/>
    <w:rsid w:val="001662B6"/>
    <w:rsid w:val="00185952"/>
    <w:rsid w:val="001A0717"/>
    <w:rsid w:val="001A4DFC"/>
    <w:rsid w:val="001A5A42"/>
    <w:rsid w:val="001B0FC7"/>
    <w:rsid w:val="001B660F"/>
    <w:rsid w:val="001C04E3"/>
    <w:rsid w:val="001C1988"/>
    <w:rsid w:val="001C3749"/>
    <w:rsid w:val="001C5942"/>
    <w:rsid w:val="001D778F"/>
    <w:rsid w:val="001E149A"/>
    <w:rsid w:val="001E5136"/>
    <w:rsid w:val="001E6799"/>
    <w:rsid w:val="001F068B"/>
    <w:rsid w:val="001F4540"/>
    <w:rsid w:val="002004C1"/>
    <w:rsid w:val="002008F1"/>
    <w:rsid w:val="00206D84"/>
    <w:rsid w:val="00211AFF"/>
    <w:rsid w:val="002148DB"/>
    <w:rsid w:val="002210BC"/>
    <w:rsid w:val="002222FE"/>
    <w:rsid w:val="00224DD7"/>
    <w:rsid w:val="00227DB7"/>
    <w:rsid w:val="00231D55"/>
    <w:rsid w:val="0023333D"/>
    <w:rsid w:val="00234209"/>
    <w:rsid w:val="002414CB"/>
    <w:rsid w:val="00242620"/>
    <w:rsid w:val="00261050"/>
    <w:rsid w:val="002629D6"/>
    <w:rsid w:val="00263706"/>
    <w:rsid w:val="00264458"/>
    <w:rsid w:val="0027701A"/>
    <w:rsid w:val="00290CD6"/>
    <w:rsid w:val="002959BC"/>
    <w:rsid w:val="002A51B8"/>
    <w:rsid w:val="002C06D0"/>
    <w:rsid w:val="002E5855"/>
    <w:rsid w:val="002F3C75"/>
    <w:rsid w:val="00307A27"/>
    <w:rsid w:val="0031049A"/>
    <w:rsid w:val="00323AD0"/>
    <w:rsid w:val="003249B7"/>
    <w:rsid w:val="00336642"/>
    <w:rsid w:val="00344D07"/>
    <w:rsid w:val="0034587E"/>
    <w:rsid w:val="003509C7"/>
    <w:rsid w:val="00353C04"/>
    <w:rsid w:val="003574C1"/>
    <w:rsid w:val="00370ECE"/>
    <w:rsid w:val="00385850"/>
    <w:rsid w:val="003926E6"/>
    <w:rsid w:val="00392910"/>
    <w:rsid w:val="00393A93"/>
    <w:rsid w:val="00394AC3"/>
    <w:rsid w:val="003A0E94"/>
    <w:rsid w:val="003A0FAD"/>
    <w:rsid w:val="003A1014"/>
    <w:rsid w:val="003A160F"/>
    <w:rsid w:val="003B2E45"/>
    <w:rsid w:val="003E2773"/>
    <w:rsid w:val="003E4379"/>
    <w:rsid w:val="003F75A3"/>
    <w:rsid w:val="004101A3"/>
    <w:rsid w:val="004110AC"/>
    <w:rsid w:val="004143A6"/>
    <w:rsid w:val="004200C1"/>
    <w:rsid w:val="00420DD5"/>
    <w:rsid w:val="00424432"/>
    <w:rsid w:val="00424E4E"/>
    <w:rsid w:val="00432948"/>
    <w:rsid w:val="004329F8"/>
    <w:rsid w:val="004623B2"/>
    <w:rsid w:val="004631C7"/>
    <w:rsid w:val="00464C3E"/>
    <w:rsid w:val="00470485"/>
    <w:rsid w:val="00473560"/>
    <w:rsid w:val="00473A27"/>
    <w:rsid w:val="00474EAB"/>
    <w:rsid w:val="00475699"/>
    <w:rsid w:val="00476029"/>
    <w:rsid w:val="00483EB3"/>
    <w:rsid w:val="00493E72"/>
    <w:rsid w:val="00494DE9"/>
    <w:rsid w:val="004B1C37"/>
    <w:rsid w:val="004B4621"/>
    <w:rsid w:val="004B53A7"/>
    <w:rsid w:val="004B66F7"/>
    <w:rsid w:val="004C0AC0"/>
    <w:rsid w:val="004C573C"/>
    <w:rsid w:val="004D02F3"/>
    <w:rsid w:val="004D0B07"/>
    <w:rsid w:val="004D4081"/>
    <w:rsid w:val="004D7A1D"/>
    <w:rsid w:val="004E6684"/>
    <w:rsid w:val="004F0299"/>
    <w:rsid w:val="004F092F"/>
    <w:rsid w:val="004F455A"/>
    <w:rsid w:val="004F7F70"/>
    <w:rsid w:val="0050101F"/>
    <w:rsid w:val="00503194"/>
    <w:rsid w:val="005045F5"/>
    <w:rsid w:val="0050533C"/>
    <w:rsid w:val="005111E0"/>
    <w:rsid w:val="005132E3"/>
    <w:rsid w:val="00516B48"/>
    <w:rsid w:val="00516EF7"/>
    <w:rsid w:val="0052195F"/>
    <w:rsid w:val="00523B38"/>
    <w:rsid w:val="00530740"/>
    <w:rsid w:val="00535A1F"/>
    <w:rsid w:val="00536EC6"/>
    <w:rsid w:val="00537076"/>
    <w:rsid w:val="00550F54"/>
    <w:rsid w:val="00551165"/>
    <w:rsid w:val="00554F36"/>
    <w:rsid w:val="005550E8"/>
    <w:rsid w:val="00555613"/>
    <w:rsid w:val="00555F76"/>
    <w:rsid w:val="00557473"/>
    <w:rsid w:val="0055759A"/>
    <w:rsid w:val="005654A1"/>
    <w:rsid w:val="00565F0C"/>
    <w:rsid w:val="00566391"/>
    <w:rsid w:val="00572CA8"/>
    <w:rsid w:val="005751D4"/>
    <w:rsid w:val="005844FC"/>
    <w:rsid w:val="00584AC8"/>
    <w:rsid w:val="00592E55"/>
    <w:rsid w:val="00592F70"/>
    <w:rsid w:val="005958DC"/>
    <w:rsid w:val="00596007"/>
    <w:rsid w:val="0059623E"/>
    <w:rsid w:val="005A53E7"/>
    <w:rsid w:val="005C18B0"/>
    <w:rsid w:val="005C4FA3"/>
    <w:rsid w:val="005C5514"/>
    <w:rsid w:val="005C7820"/>
    <w:rsid w:val="005D5E81"/>
    <w:rsid w:val="005D6BD6"/>
    <w:rsid w:val="005E4C46"/>
    <w:rsid w:val="00603634"/>
    <w:rsid w:val="006045C0"/>
    <w:rsid w:val="00612650"/>
    <w:rsid w:val="006151BA"/>
    <w:rsid w:val="006164F1"/>
    <w:rsid w:val="00617FA6"/>
    <w:rsid w:val="0062216A"/>
    <w:rsid w:val="00627B17"/>
    <w:rsid w:val="00634592"/>
    <w:rsid w:val="006600F8"/>
    <w:rsid w:val="00660959"/>
    <w:rsid w:val="00665006"/>
    <w:rsid w:val="0067457E"/>
    <w:rsid w:val="006761C4"/>
    <w:rsid w:val="00686BB8"/>
    <w:rsid w:val="00696493"/>
    <w:rsid w:val="006A67C8"/>
    <w:rsid w:val="006B6375"/>
    <w:rsid w:val="006B7D50"/>
    <w:rsid w:val="006C0362"/>
    <w:rsid w:val="006C125B"/>
    <w:rsid w:val="006D3A10"/>
    <w:rsid w:val="006F2122"/>
    <w:rsid w:val="006F3065"/>
    <w:rsid w:val="00702866"/>
    <w:rsid w:val="00703CD0"/>
    <w:rsid w:val="00746B05"/>
    <w:rsid w:val="007479CB"/>
    <w:rsid w:val="0075142D"/>
    <w:rsid w:val="00776A5F"/>
    <w:rsid w:val="00797AD7"/>
    <w:rsid w:val="007A2B54"/>
    <w:rsid w:val="007A36CF"/>
    <w:rsid w:val="007A3738"/>
    <w:rsid w:val="007A5AAC"/>
    <w:rsid w:val="007B233E"/>
    <w:rsid w:val="007B37DC"/>
    <w:rsid w:val="007B667C"/>
    <w:rsid w:val="007C040A"/>
    <w:rsid w:val="007E159E"/>
    <w:rsid w:val="007E327D"/>
    <w:rsid w:val="00800756"/>
    <w:rsid w:val="008041E0"/>
    <w:rsid w:val="008043E1"/>
    <w:rsid w:val="00805634"/>
    <w:rsid w:val="008070A9"/>
    <w:rsid w:val="0080768A"/>
    <w:rsid w:val="00807A7E"/>
    <w:rsid w:val="00814E6A"/>
    <w:rsid w:val="008225CF"/>
    <w:rsid w:val="00836F82"/>
    <w:rsid w:val="00844794"/>
    <w:rsid w:val="00850271"/>
    <w:rsid w:val="008507B6"/>
    <w:rsid w:val="00853F8E"/>
    <w:rsid w:val="00857A4B"/>
    <w:rsid w:val="00873959"/>
    <w:rsid w:val="008835A6"/>
    <w:rsid w:val="00890455"/>
    <w:rsid w:val="00891F45"/>
    <w:rsid w:val="00892C15"/>
    <w:rsid w:val="00893742"/>
    <w:rsid w:val="00893AAF"/>
    <w:rsid w:val="00896075"/>
    <w:rsid w:val="008B0361"/>
    <w:rsid w:val="008B6991"/>
    <w:rsid w:val="008C6F15"/>
    <w:rsid w:val="008D17C7"/>
    <w:rsid w:val="008D5CA5"/>
    <w:rsid w:val="008E4C86"/>
    <w:rsid w:val="008F004D"/>
    <w:rsid w:val="009014A4"/>
    <w:rsid w:val="009124FD"/>
    <w:rsid w:val="00912E9D"/>
    <w:rsid w:val="00917316"/>
    <w:rsid w:val="00917962"/>
    <w:rsid w:val="0092153F"/>
    <w:rsid w:val="00924B76"/>
    <w:rsid w:val="00927BD9"/>
    <w:rsid w:val="00934F20"/>
    <w:rsid w:val="009428EA"/>
    <w:rsid w:val="00945547"/>
    <w:rsid w:val="00947664"/>
    <w:rsid w:val="00947CC0"/>
    <w:rsid w:val="0096175F"/>
    <w:rsid w:val="009664CA"/>
    <w:rsid w:val="009700E3"/>
    <w:rsid w:val="00972EE2"/>
    <w:rsid w:val="009778B8"/>
    <w:rsid w:val="00982152"/>
    <w:rsid w:val="00987A15"/>
    <w:rsid w:val="00994964"/>
    <w:rsid w:val="009A6833"/>
    <w:rsid w:val="009B4515"/>
    <w:rsid w:val="009C6F11"/>
    <w:rsid w:val="009D4ECB"/>
    <w:rsid w:val="009E51C7"/>
    <w:rsid w:val="009F0F0B"/>
    <w:rsid w:val="009F4C45"/>
    <w:rsid w:val="00A01397"/>
    <w:rsid w:val="00A15316"/>
    <w:rsid w:val="00A20D49"/>
    <w:rsid w:val="00A31DFD"/>
    <w:rsid w:val="00A33D2D"/>
    <w:rsid w:val="00A40D8E"/>
    <w:rsid w:val="00A41024"/>
    <w:rsid w:val="00A43BF7"/>
    <w:rsid w:val="00A50B88"/>
    <w:rsid w:val="00A77807"/>
    <w:rsid w:val="00A9063A"/>
    <w:rsid w:val="00A93985"/>
    <w:rsid w:val="00A96CE3"/>
    <w:rsid w:val="00AA1D29"/>
    <w:rsid w:val="00AA2FFE"/>
    <w:rsid w:val="00AA33B2"/>
    <w:rsid w:val="00AA563C"/>
    <w:rsid w:val="00AA7587"/>
    <w:rsid w:val="00AB3A8D"/>
    <w:rsid w:val="00AB5F72"/>
    <w:rsid w:val="00AB726D"/>
    <w:rsid w:val="00AC1EA3"/>
    <w:rsid w:val="00AC31DA"/>
    <w:rsid w:val="00AD1815"/>
    <w:rsid w:val="00AD3EFE"/>
    <w:rsid w:val="00AE4833"/>
    <w:rsid w:val="00AE68C1"/>
    <w:rsid w:val="00B006F2"/>
    <w:rsid w:val="00B111C9"/>
    <w:rsid w:val="00B1643F"/>
    <w:rsid w:val="00B16B1F"/>
    <w:rsid w:val="00B17719"/>
    <w:rsid w:val="00B265A6"/>
    <w:rsid w:val="00B330EF"/>
    <w:rsid w:val="00B35711"/>
    <w:rsid w:val="00B3780B"/>
    <w:rsid w:val="00B55751"/>
    <w:rsid w:val="00B55AD1"/>
    <w:rsid w:val="00B67AF4"/>
    <w:rsid w:val="00B7646B"/>
    <w:rsid w:val="00BA0D22"/>
    <w:rsid w:val="00BA1545"/>
    <w:rsid w:val="00BB1B34"/>
    <w:rsid w:val="00BB3A5D"/>
    <w:rsid w:val="00BD2A79"/>
    <w:rsid w:val="00BD3E85"/>
    <w:rsid w:val="00BD4333"/>
    <w:rsid w:val="00BD5B85"/>
    <w:rsid w:val="00BD7620"/>
    <w:rsid w:val="00BE1EAE"/>
    <w:rsid w:val="00BE36B0"/>
    <w:rsid w:val="00BE4892"/>
    <w:rsid w:val="00BE66C2"/>
    <w:rsid w:val="00BE6ADF"/>
    <w:rsid w:val="00BF3C58"/>
    <w:rsid w:val="00BF70CD"/>
    <w:rsid w:val="00C075BF"/>
    <w:rsid w:val="00C13ED6"/>
    <w:rsid w:val="00C15F1E"/>
    <w:rsid w:val="00C3043B"/>
    <w:rsid w:val="00C368EC"/>
    <w:rsid w:val="00C51381"/>
    <w:rsid w:val="00C51630"/>
    <w:rsid w:val="00C56E97"/>
    <w:rsid w:val="00C57699"/>
    <w:rsid w:val="00C61FFA"/>
    <w:rsid w:val="00C65187"/>
    <w:rsid w:val="00C70813"/>
    <w:rsid w:val="00C73BF3"/>
    <w:rsid w:val="00C83236"/>
    <w:rsid w:val="00C84972"/>
    <w:rsid w:val="00C90FD4"/>
    <w:rsid w:val="00CA0F8B"/>
    <w:rsid w:val="00CB06A4"/>
    <w:rsid w:val="00CB10FA"/>
    <w:rsid w:val="00CC2308"/>
    <w:rsid w:val="00CD16C9"/>
    <w:rsid w:val="00CE3798"/>
    <w:rsid w:val="00CF03C6"/>
    <w:rsid w:val="00D00059"/>
    <w:rsid w:val="00D05603"/>
    <w:rsid w:val="00D065B0"/>
    <w:rsid w:val="00D100FE"/>
    <w:rsid w:val="00D27737"/>
    <w:rsid w:val="00D3097D"/>
    <w:rsid w:val="00D42A00"/>
    <w:rsid w:val="00D43882"/>
    <w:rsid w:val="00D43EA5"/>
    <w:rsid w:val="00D621F2"/>
    <w:rsid w:val="00D7500B"/>
    <w:rsid w:val="00D90084"/>
    <w:rsid w:val="00D92505"/>
    <w:rsid w:val="00DA26D9"/>
    <w:rsid w:val="00DA6297"/>
    <w:rsid w:val="00DB35C9"/>
    <w:rsid w:val="00DB67AA"/>
    <w:rsid w:val="00DC014D"/>
    <w:rsid w:val="00DC168D"/>
    <w:rsid w:val="00DC68B0"/>
    <w:rsid w:val="00DD0650"/>
    <w:rsid w:val="00DD7115"/>
    <w:rsid w:val="00DE0EC9"/>
    <w:rsid w:val="00DE314A"/>
    <w:rsid w:val="00DE67CE"/>
    <w:rsid w:val="00DE6F62"/>
    <w:rsid w:val="00DF1146"/>
    <w:rsid w:val="00DF13CD"/>
    <w:rsid w:val="00DF70AD"/>
    <w:rsid w:val="00E009F8"/>
    <w:rsid w:val="00E03F41"/>
    <w:rsid w:val="00E07C67"/>
    <w:rsid w:val="00E07FEF"/>
    <w:rsid w:val="00E11ACB"/>
    <w:rsid w:val="00E220B8"/>
    <w:rsid w:val="00E223E2"/>
    <w:rsid w:val="00E3444D"/>
    <w:rsid w:val="00E37456"/>
    <w:rsid w:val="00E37C48"/>
    <w:rsid w:val="00E40C57"/>
    <w:rsid w:val="00E453DE"/>
    <w:rsid w:val="00E45F76"/>
    <w:rsid w:val="00E4681E"/>
    <w:rsid w:val="00E53BA7"/>
    <w:rsid w:val="00E56B50"/>
    <w:rsid w:val="00E57EEE"/>
    <w:rsid w:val="00E6538A"/>
    <w:rsid w:val="00E70372"/>
    <w:rsid w:val="00E7355F"/>
    <w:rsid w:val="00E757E5"/>
    <w:rsid w:val="00E802C8"/>
    <w:rsid w:val="00E86B14"/>
    <w:rsid w:val="00E91943"/>
    <w:rsid w:val="00E9215C"/>
    <w:rsid w:val="00E96005"/>
    <w:rsid w:val="00EB4525"/>
    <w:rsid w:val="00EC7459"/>
    <w:rsid w:val="00EC7A05"/>
    <w:rsid w:val="00EC7A20"/>
    <w:rsid w:val="00EE0F9E"/>
    <w:rsid w:val="00EE4AEB"/>
    <w:rsid w:val="00EF3B3C"/>
    <w:rsid w:val="00F019DA"/>
    <w:rsid w:val="00F0287A"/>
    <w:rsid w:val="00F037EC"/>
    <w:rsid w:val="00F04E96"/>
    <w:rsid w:val="00F064A0"/>
    <w:rsid w:val="00F07526"/>
    <w:rsid w:val="00F11B04"/>
    <w:rsid w:val="00F11E35"/>
    <w:rsid w:val="00F24EF0"/>
    <w:rsid w:val="00F5251A"/>
    <w:rsid w:val="00F66BC5"/>
    <w:rsid w:val="00F765D4"/>
    <w:rsid w:val="00F77658"/>
    <w:rsid w:val="00F867A3"/>
    <w:rsid w:val="00F90A80"/>
    <w:rsid w:val="00F9132C"/>
    <w:rsid w:val="00F93413"/>
    <w:rsid w:val="00FA22DD"/>
    <w:rsid w:val="00FB3043"/>
    <w:rsid w:val="00FD02F1"/>
    <w:rsid w:val="00FF0E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42"/>
    <w:pPr>
      <w:spacing w:after="0" w:line="240" w:lineRule="auto"/>
    </w:pPr>
    <w:rPr>
      <w:rFonts w:ascii="Verdana" w:eastAsia="Times New Roman" w:hAnsi="Verdana" w:cs="Times New Roman"/>
      <w:sz w:val="20"/>
      <w:szCs w:val="24"/>
      <w:lang w:val="en-US"/>
    </w:rPr>
  </w:style>
  <w:style w:type="paragraph" w:styleId="Heading1">
    <w:name w:val="heading 1"/>
    <w:basedOn w:val="Normal"/>
    <w:next w:val="Normal"/>
    <w:link w:val="Heading1Char"/>
    <w:uiPriority w:val="9"/>
    <w:qFormat/>
    <w:rsid w:val="00E3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D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D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DB7"/>
    <w:rPr>
      <w:b/>
      <w:bCs/>
    </w:rPr>
  </w:style>
  <w:style w:type="paragraph" w:styleId="ListParagraph">
    <w:name w:val="List Paragraph"/>
    <w:basedOn w:val="Normal"/>
    <w:uiPriority w:val="34"/>
    <w:qFormat/>
    <w:rsid w:val="00206D84"/>
    <w:pPr>
      <w:ind w:left="720"/>
      <w:contextualSpacing/>
    </w:pPr>
  </w:style>
  <w:style w:type="character" w:styleId="Hyperlink">
    <w:name w:val="Hyperlink"/>
    <w:basedOn w:val="DefaultParagraphFont"/>
    <w:uiPriority w:val="99"/>
    <w:unhideWhenUsed/>
    <w:rsid w:val="008507B6"/>
    <w:rPr>
      <w:color w:val="06508B"/>
      <w:u w:val="single"/>
    </w:rPr>
  </w:style>
  <w:style w:type="paragraph" w:styleId="BalloonText">
    <w:name w:val="Balloon Text"/>
    <w:basedOn w:val="Normal"/>
    <w:link w:val="BalloonTextChar"/>
    <w:uiPriority w:val="99"/>
    <w:semiHidden/>
    <w:unhideWhenUsed/>
    <w:rsid w:val="001F068B"/>
    <w:rPr>
      <w:rFonts w:ascii="Tahoma" w:hAnsi="Tahoma" w:cs="Tahoma"/>
      <w:sz w:val="16"/>
      <w:szCs w:val="16"/>
    </w:rPr>
  </w:style>
  <w:style w:type="character" w:customStyle="1" w:styleId="BalloonTextChar">
    <w:name w:val="Balloon Text Char"/>
    <w:basedOn w:val="DefaultParagraphFont"/>
    <w:link w:val="BalloonText"/>
    <w:uiPriority w:val="99"/>
    <w:semiHidden/>
    <w:rsid w:val="001F068B"/>
    <w:rPr>
      <w:rFonts w:ascii="Tahoma" w:hAnsi="Tahoma" w:cs="Tahoma"/>
      <w:sz w:val="16"/>
      <w:szCs w:val="16"/>
    </w:rPr>
  </w:style>
  <w:style w:type="character" w:customStyle="1" w:styleId="Heading1Char">
    <w:name w:val="Heading 1 Char"/>
    <w:basedOn w:val="DefaultParagraphFont"/>
    <w:link w:val="Heading1"/>
    <w:uiPriority w:val="9"/>
    <w:rsid w:val="00E3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7C48"/>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rsid w:val="00BF3C58"/>
    <w:rPr>
      <w:rFonts w:ascii="Courier New" w:hAnsi="Courier New"/>
      <w:szCs w:val="20"/>
    </w:rPr>
  </w:style>
  <w:style w:type="character" w:customStyle="1" w:styleId="PlainTextChar">
    <w:name w:val="Plain Text Char"/>
    <w:basedOn w:val="DefaultParagraphFont"/>
    <w:link w:val="PlainText"/>
    <w:uiPriority w:val="99"/>
    <w:semiHidden/>
    <w:rsid w:val="00BF3C58"/>
    <w:rPr>
      <w:rFonts w:ascii="Courier New" w:eastAsia="Times New Roman" w:hAnsi="Courier New" w:cs="Times New Roman"/>
      <w:sz w:val="20"/>
      <w:szCs w:val="20"/>
      <w:lang w:val="en-US"/>
    </w:rPr>
  </w:style>
  <w:style w:type="paragraph" w:styleId="NoSpacing">
    <w:name w:val="No Spacing"/>
    <w:uiPriority w:val="1"/>
    <w:qFormat/>
    <w:rsid w:val="00BF3C58"/>
    <w:pPr>
      <w:spacing w:after="0" w:line="240" w:lineRule="auto"/>
    </w:pPr>
  </w:style>
  <w:style w:type="paragraph" w:styleId="BodyText">
    <w:name w:val="Body Text"/>
    <w:basedOn w:val="Normal"/>
    <w:link w:val="BodyTextChar"/>
    <w:rsid w:val="00BA0D22"/>
    <w:pPr>
      <w:spacing w:before="120" w:after="120"/>
    </w:pPr>
    <w:rPr>
      <w:rFonts w:eastAsia="Batang"/>
      <w:color w:val="222222"/>
      <w:sz w:val="18"/>
      <w:szCs w:val="18"/>
      <w:lang w:eastAsia="nl-NL"/>
    </w:rPr>
  </w:style>
  <w:style w:type="character" w:customStyle="1" w:styleId="BodyTextChar">
    <w:name w:val="Body Text Char"/>
    <w:basedOn w:val="DefaultParagraphFont"/>
    <w:link w:val="BodyText"/>
    <w:rsid w:val="00BA0D22"/>
    <w:rPr>
      <w:rFonts w:ascii="Verdana" w:eastAsia="Batang" w:hAnsi="Verdana" w:cs="Times New Roman"/>
      <w:color w:val="222222"/>
      <w:sz w:val="18"/>
      <w:szCs w:val="18"/>
      <w:lang w:val="en-US" w:eastAsia="nl-NL"/>
    </w:rPr>
  </w:style>
  <w:style w:type="paragraph" w:styleId="CommentText">
    <w:name w:val="annotation text"/>
    <w:basedOn w:val="Normal"/>
    <w:link w:val="CommentTextChar"/>
    <w:semiHidden/>
    <w:rsid w:val="00BA0D22"/>
    <w:rPr>
      <w:rFonts w:eastAsia="MS Mincho"/>
      <w:sz w:val="24"/>
      <w:lang w:eastAsia="nl-NL"/>
    </w:rPr>
  </w:style>
  <w:style w:type="character" w:customStyle="1" w:styleId="CommentTextChar">
    <w:name w:val="Comment Text Char"/>
    <w:basedOn w:val="DefaultParagraphFont"/>
    <w:link w:val="CommentText"/>
    <w:semiHidden/>
    <w:rsid w:val="00BA0D22"/>
    <w:rPr>
      <w:rFonts w:ascii="Verdana" w:eastAsia="MS Mincho" w:hAnsi="Verdana" w:cs="Times New Roman"/>
      <w:sz w:val="24"/>
      <w:szCs w:val="24"/>
      <w:lang w:val="en-US" w:eastAsia="nl-NL"/>
    </w:rPr>
  </w:style>
  <w:style w:type="character" w:customStyle="1" w:styleId="Heading3Char">
    <w:name w:val="Heading 3 Char"/>
    <w:basedOn w:val="DefaultParagraphFont"/>
    <w:link w:val="Heading3"/>
    <w:uiPriority w:val="9"/>
    <w:semiHidden/>
    <w:rsid w:val="00224DD7"/>
    <w:rPr>
      <w:rFonts w:asciiTheme="majorHAnsi" w:eastAsiaTheme="majorEastAsia" w:hAnsiTheme="majorHAnsi" w:cstheme="majorBidi"/>
      <w:b/>
      <w:bCs/>
      <w:color w:val="4F81BD" w:themeColor="accent1"/>
      <w:sz w:val="20"/>
      <w:szCs w:val="24"/>
      <w:lang w:val="en-US"/>
    </w:rPr>
  </w:style>
  <w:style w:type="character" w:customStyle="1" w:styleId="Heading4Char">
    <w:name w:val="Heading 4 Char"/>
    <w:basedOn w:val="DefaultParagraphFont"/>
    <w:link w:val="Heading4"/>
    <w:uiPriority w:val="9"/>
    <w:semiHidden/>
    <w:rsid w:val="00224DD7"/>
    <w:rPr>
      <w:rFonts w:asciiTheme="majorHAnsi" w:eastAsiaTheme="majorEastAsia" w:hAnsiTheme="majorHAnsi" w:cstheme="majorBidi"/>
      <w:b/>
      <w:bCs/>
      <w:i/>
      <w:iCs/>
      <w:color w:val="4F81BD" w:themeColor="accent1"/>
      <w:sz w:val="20"/>
      <w:szCs w:val="24"/>
      <w:lang w:val="en-US"/>
    </w:rPr>
  </w:style>
  <w:style w:type="paragraph" w:styleId="Header">
    <w:name w:val="header"/>
    <w:basedOn w:val="Normal"/>
    <w:link w:val="HeaderChar"/>
    <w:uiPriority w:val="99"/>
    <w:unhideWhenUsed/>
    <w:rsid w:val="001C04E3"/>
    <w:pPr>
      <w:tabs>
        <w:tab w:val="center" w:pos="4536"/>
        <w:tab w:val="right" w:pos="9072"/>
      </w:tabs>
    </w:pPr>
  </w:style>
  <w:style w:type="character" w:customStyle="1" w:styleId="HeaderChar">
    <w:name w:val="Header Char"/>
    <w:basedOn w:val="DefaultParagraphFont"/>
    <w:link w:val="Header"/>
    <w:uiPriority w:val="99"/>
    <w:rsid w:val="001C04E3"/>
    <w:rPr>
      <w:rFonts w:ascii="Verdana" w:eastAsia="Times New Roman" w:hAnsi="Verdana" w:cs="Times New Roman"/>
      <w:sz w:val="20"/>
      <w:szCs w:val="24"/>
      <w:lang w:val="en-US"/>
    </w:rPr>
  </w:style>
  <w:style w:type="paragraph" w:styleId="Footer">
    <w:name w:val="footer"/>
    <w:basedOn w:val="Normal"/>
    <w:link w:val="FooterChar"/>
    <w:uiPriority w:val="99"/>
    <w:unhideWhenUsed/>
    <w:rsid w:val="001C04E3"/>
    <w:pPr>
      <w:tabs>
        <w:tab w:val="center" w:pos="4536"/>
        <w:tab w:val="right" w:pos="9072"/>
      </w:tabs>
    </w:pPr>
  </w:style>
  <w:style w:type="character" w:customStyle="1" w:styleId="FooterChar">
    <w:name w:val="Footer Char"/>
    <w:basedOn w:val="DefaultParagraphFont"/>
    <w:link w:val="Footer"/>
    <w:uiPriority w:val="99"/>
    <w:rsid w:val="001C04E3"/>
    <w:rPr>
      <w:rFonts w:ascii="Verdana" w:eastAsia="Times New Roman" w:hAnsi="Verdana" w:cs="Times New Roman"/>
      <w:sz w:val="20"/>
      <w:szCs w:val="24"/>
      <w:lang w:val="en-US"/>
    </w:rPr>
  </w:style>
  <w:style w:type="character" w:styleId="CommentReference">
    <w:name w:val="annotation reference"/>
    <w:basedOn w:val="DefaultParagraphFont"/>
    <w:uiPriority w:val="99"/>
    <w:semiHidden/>
    <w:unhideWhenUsed/>
    <w:rsid w:val="004101A3"/>
    <w:rPr>
      <w:sz w:val="16"/>
      <w:szCs w:val="16"/>
    </w:rPr>
  </w:style>
  <w:style w:type="paragraph" w:styleId="CommentSubject">
    <w:name w:val="annotation subject"/>
    <w:basedOn w:val="CommentText"/>
    <w:next w:val="CommentText"/>
    <w:link w:val="CommentSubjectChar"/>
    <w:uiPriority w:val="99"/>
    <w:semiHidden/>
    <w:unhideWhenUsed/>
    <w:rsid w:val="004101A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rsid w:val="004101A3"/>
    <w:rPr>
      <w:rFonts w:ascii="Verdana" w:eastAsia="Times New Roman" w:hAnsi="Verdana" w:cs="Times New Roman"/>
      <w:b/>
      <w:bCs/>
      <w:sz w:val="20"/>
      <w:szCs w:val="20"/>
      <w:lang w:val="en-US" w:eastAsia="nl-NL"/>
    </w:rPr>
  </w:style>
  <w:style w:type="paragraph" w:customStyle="1" w:styleId="Default">
    <w:name w:val="Default"/>
    <w:rsid w:val="00261050"/>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896075"/>
    <w:pPr>
      <w:spacing w:after="0" w:line="240" w:lineRule="auto"/>
    </w:pPr>
    <w:rPr>
      <w:rFonts w:ascii="Verdana" w:eastAsia="Times New Roman" w:hAnsi="Verdana"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42"/>
    <w:pPr>
      <w:spacing w:after="0" w:line="240" w:lineRule="auto"/>
    </w:pPr>
    <w:rPr>
      <w:rFonts w:ascii="Verdana" w:eastAsia="Times New Roman" w:hAnsi="Verdana" w:cs="Times New Roman"/>
      <w:sz w:val="20"/>
      <w:szCs w:val="24"/>
      <w:lang w:val="en-US"/>
    </w:rPr>
  </w:style>
  <w:style w:type="paragraph" w:styleId="Heading1">
    <w:name w:val="heading 1"/>
    <w:basedOn w:val="Normal"/>
    <w:next w:val="Normal"/>
    <w:link w:val="Heading1Char"/>
    <w:uiPriority w:val="9"/>
    <w:qFormat/>
    <w:rsid w:val="00E3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D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D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DB7"/>
    <w:rPr>
      <w:b/>
      <w:bCs/>
    </w:rPr>
  </w:style>
  <w:style w:type="paragraph" w:styleId="ListParagraph">
    <w:name w:val="List Paragraph"/>
    <w:basedOn w:val="Normal"/>
    <w:uiPriority w:val="34"/>
    <w:qFormat/>
    <w:rsid w:val="00206D84"/>
    <w:pPr>
      <w:ind w:left="720"/>
      <w:contextualSpacing/>
    </w:pPr>
  </w:style>
  <w:style w:type="character" w:styleId="Hyperlink">
    <w:name w:val="Hyperlink"/>
    <w:basedOn w:val="DefaultParagraphFont"/>
    <w:uiPriority w:val="99"/>
    <w:unhideWhenUsed/>
    <w:rsid w:val="008507B6"/>
    <w:rPr>
      <w:color w:val="06508B"/>
      <w:u w:val="single"/>
    </w:rPr>
  </w:style>
  <w:style w:type="paragraph" w:styleId="BalloonText">
    <w:name w:val="Balloon Text"/>
    <w:basedOn w:val="Normal"/>
    <w:link w:val="BalloonTextChar"/>
    <w:uiPriority w:val="99"/>
    <w:semiHidden/>
    <w:unhideWhenUsed/>
    <w:rsid w:val="001F068B"/>
    <w:rPr>
      <w:rFonts w:ascii="Tahoma" w:hAnsi="Tahoma" w:cs="Tahoma"/>
      <w:sz w:val="16"/>
      <w:szCs w:val="16"/>
    </w:rPr>
  </w:style>
  <w:style w:type="character" w:customStyle="1" w:styleId="BalloonTextChar">
    <w:name w:val="Balloon Text Char"/>
    <w:basedOn w:val="DefaultParagraphFont"/>
    <w:link w:val="BalloonText"/>
    <w:uiPriority w:val="99"/>
    <w:semiHidden/>
    <w:rsid w:val="001F068B"/>
    <w:rPr>
      <w:rFonts w:ascii="Tahoma" w:hAnsi="Tahoma" w:cs="Tahoma"/>
      <w:sz w:val="16"/>
      <w:szCs w:val="16"/>
    </w:rPr>
  </w:style>
  <w:style w:type="character" w:customStyle="1" w:styleId="Heading1Char">
    <w:name w:val="Heading 1 Char"/>
    <w:basedOn w:val="DefaultParagraphFont"/>
    <w:link w:val="Heading1"/>
    <w:uiPriority w:val="9"/>
    <w:rsid w:val="00E3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7C48"/>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rsid w:val="00BF3C58"/>
    <w:rPr>
      <w:rFonts w:ascii="Courier New" w:hAnsi="Courier New"/>
      <w:szCs w:val="20"/>
    </w:rPr>
  </w:style>
  <w:style w:type="character" w:customStyle="1" w:styleId="PlainTextChar">
    <w:name w:val="Plain Text Char"/>
    <w:basedOn w:val="DefaultParagraphFont"/>
    <w:link w:val="PlainText"/>
    <w:uiPriority w:val="99"/>
    <w:semiHidden/>
    <w:rsid w:val="00BF3C58"/>
    <w:rPr>
      <w:rFonts w:ascii="Courier New" w:eastAsia="Times New Roman" w:hAnsi="Courier New" w:cs="Times New Roman"/>
      <w:sz w:val="20"/>
      <w:szCs w:val="20"/>
      <w:lang w:val="en-US"/>
    </w:rPr>
  </w:style>
  <w:style w:type="paragraph" w:styleId="NoSpacing">
    <w:name w:val="No Spacing"/>
    <w:uiPriority w:val="1"/>
    <w:qFormat/>
    <w:rsid w:val="00BF3C58"/>
    <w:pPr>
      <w:spacing w:after="0" w:line="240" w:lineRule="auto"/>
    </w:pPr>
  </w:style>
  <w:style w:type="paragraph" w:styleId="BodyText">
    <w:name w:val="Body Text"/>
    <w:basedOn w:val="Normal"/>
    <w:link w:val="BodyTextChar"/>
    <w:rsid w:val="00BA0D22"/>
    <w:pPr>
      <w:spacing w:before="120" w:after="120"/>
    </w:pPr>
    <w:rPr>
      <w:rFonts w:eastAsia="Batang"/>
      <w:color w:val="222222"/>
      <w:sz w:val="18"/>
      <w:szCs w:val="18"/>
      <w:lang w:eastAsia="nl-NL"/>
    </w:rPr>
  </w:style>
  <w:style w:type="character" w:customStyle="1" w:styleId="BodyTextChar">
    <w:name w:val="Body Text Char"/>
    <w:basedOn w:val="DefaultParagraphFont"/>
    <w:link w:val="BodyText"/>
    <w:rsid w:val="00BA0D22"/>
    <w:rPr>
      <w:rFonts w:ascii="Verdana" w:eastAsia="Batang" w:hAnsi="Verdana" w:cs="Times New Roman"/>
      <w:color w:val="222222"/>
      <w:sz w:val="18"/>
      <w:szCs w:val="18"/>
      <w:lang w:val="en-US" w:eastAsia="nl-NL"/>
    </w:rPr>
  </w:style>
  <w:style w:type="paragraph" w:styleId="CommentText">
    <w:name w:val="annotation text"/>
    <w:basedOn w:val="Normal"/>
    <w:link w:val="CommentTextChar"/>
    <w:semiHidden/>
    <w:rsid w:val="00BA0D22"/>
    <w:rPr>
      <w:rFonts w:eastAsia="MS Mincho"/>
      <w:sz w:val="24"/>
      <w:lang w:eastAsia="nl-NL"/>
    </w:rPr>
  </w:style>
  <w:style w:type="character" w:customStyle="1" w:styleId="CommentTextChar">
    <w:name w:val="Comment Text Char"/>
    <w:basedOn w:val="DefaultParagraphFont"/>
    <w:link w:val="CommentText"/>
    <w:semiHidden/>
    <w:rsid w:val="00BA0D22"/>
    <w:rPr>
      <w:rFonts w:ascii="Verdana" w:eastAsia="MS Mincho" w:hAnsi="Verdana" w:cs="Times New Roman"/>
      <w:sz w:val="24"/>
      <w:szCs w:val="24"/>
      <w:lang w:val="en-US" w:eastAsia="nl-NL"/>
    </w:rPr>
  </w:style>
  <w:style w:type="character" w:customStyle="1" w:styleId="Heading3Char">
    <w:name w:val="Heading 3 Char"/>
    <w:basedOn w:val="DefaultParagraphFont"/>
    <w:link w:val="Heading3"/>
    <w:uiPriority w:val="9"/>
    <w:semiHidden/>
    <w:rsid w:val="00224DD7"/>
    <w:rPr>
      <w:rFonts w:asciiTheme="majorHAnsi" w:eastAsiaTheme="majorEastAsia" w:hAnsiTheme="majorHAnsi" w:cstheme="majorBidi"/>
      <w:b/>
      <w:bCs/>
      <w:color w:val="4F81BD" w:themeColor="accent1"/>
      <w:sz w:val="20"/>
      <w:szCs w:val="24"/>
      <w:lang w:val="en-US"/>
    </w:rPr>
  </w:style>
  <w:style w:type="character" w:customStyle="1" w:styleId="Heading4Char">
    <w:name w:val="Heading 4 Char"/>
    <w:basedOn w:val="DefaultParagraphFont"/>
    <w:link w:val="Heading4"/>
    <w:uiPriority w:val="9"/>
    <w:semiHidden/>
    <w:rsid w:val="00224DD7"/>
    <w:rPr>
      <w:rFonts w:asciiTheme="majorHAnsi" w:eastAsiaTheme="majorEastAsia" w:hAnsiTheme="majorHAnsi" w:cstheme="majorBidi"/>
      <w:b/>
      <w:bCs/>
      <w:i/>
      <w:iCs/>
      <w:color w:val="4F81BD" w:themeColor="accent1"/>
      <w:sz w:val="20"/>
      <w:szCs w:val="24"/>
      <w:lang w:val="en-US"/>
    </w:rPr>
  </w:style>
  <w:style w:type="paragraph" w:styleId="Header">
    <w:name w:val="header"/>
    <w:basedOn w:val="Normal"/>
    <w:link w:val="HeaderChar"/>
    <w:uiPriority w:val="99"/>
    <w:unhideWhenUsed/>
    <w:rsid w:val="001C04E3"/>
    <w:pPr>
      <w:tabs>
        <w:tab w:val="center" w:pos="4536"/>
        <w:tab w:val="right" w:pos="9072"/>
      </w:tabs>
    </w:pPr>
  </w:style>
  <w:style w:type="character" w:customStyle="1" w:styleId="HeaderChar">
    <w:name w:val="Header Char"/>
    <w:basedOn w:val="DefaultParagraphFont"/>
    <w:link w:val="Header"/>
    <w:uiPriority w:val="99"/>
    <w:rsid w:val="001C04E3"/>
    <w:rPr>
      <w:rFonts w:ascii="Verdana" w:eastAsia="Times New Roman" w:hAnsi="Verdana" w:cs="Times New Roman"/>
      <w:sz w:val="20"/>
      <w:szCs w:val="24"/>
      <w:lang w:val="en-US"/>
    </w:rPr>
  </w:style>
  <w:style w:type="paragraph" w:styleId="Footer">
    <w:name w:val="footer"/>
    <w:basedOn w:val="Normal"/>
    <w:link w:val="FooterChar"/>
    <w:uiPriority w:val="99"/>
    <w:unhideWhenUsed/>
    <w:rsid w:val="001C04E3"/>
    <w:pPr>
      <w:tabs>
        <w:tab w:val="center" w:pos="4536"/>
        <w:tab w:val="right" w:pos="9072"/>
      </w:tabs>
    </w:pPr>
  </w:style>
  <w:style w:type="character" w:customStyle="1" w:styleId="FooterChar">
    <w:name w:val="Footer Char"/>
    <w:basedOn w:val="DefaultParagraphFont"/>
    <w:link w:val="Footer"/>
    <w:uiPriority w:val="99"/>
    <w:rsid w:val="001C04E3"/>
    <w:rPr>
      <w:rFonts w:ascii="Verdana" w:eastAsia="Times New Roman" w:hAnsi="Verdana" w:cs="Times New Roman"/>
      <w:sz w:val="20"/>
      <w:szCs w:val="24"/>
      <w:lang w:val="en-US"/>
    </w:rPr>
  </w:style>
  <w:style w:type="character" w:styleId="CommentReference">
    <w:name w:val="annotation reference"/>
    <w:basedOn w:val="DefaultParagraphFont"/>
    <w:uiPriority w:val="99"/>
    <w:semiHidden/>
    <w:unhideWhenUsed/>
    <w:rsid w:val="004101A3"/>
    <w:rPr>
      <w:sz w:val="16"/>
      <w:szCs w:val="16"/>
    </w:rPr>
  </w:style>
  <w:style w:type="paragraph" w:styleId="CommentSubject">
    <w:name w:val="annotation subject"/>
    <w:basedOn w:val="CommentText"/>
    <w:next w:val="CommentText"/>
    <w:link w:val="CommentSubjectChar"/>
    <w:uiPriority w:val="99"/>
    <w:semiHidden/>
    <w:unhideWhenUsed/>
    <w:rsid w:val="004101A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rsid w:val="004101A3"/>
    <w:rPr>
      <w:rFonts w:ascii="Verdana" w:eastAsia="Times New Roman" w:hAnsi="Verdana" w:cs="Times New Roman"/>
      <w:b/>
      <w:bCs/>
      <w:sz w:val="20"/>
      <w:szCs w:val="20"/>
      <w:lang w:val="en-US" w:eastAsia="nl-NL"/>
    </w:rPr>
  </w:style>
  <w:style w:type="paragraph" w:customStyle="1" w:styleId="Default">
    <w:name w:val="Default"/>
    <w:rsid w:val="00261050"/>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896075"/>
    <w:pPr>
      <w:spacing w:after="0" w:line="240" w:lineRule="auto"/>
    </w:pPr>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0427">
      <w:bodyDiv w:val="1"/>
      <w:marLeft w:val="0"/>
      <w:marRight w:val="0"/>
      <w:marTop w:val="0"/>
      <w:marBottom w:val="0"/>
      <w:divBdr>
        <w:top w:val="none" w:sz="0" w:space="0" w:color="auto"/>
        <w:left w:val="none" w:sz="0" w:space="0" w:color="auto"/>
        <w:bottom w:val="none" w:sz="0" w:space="0" w:color="auto"/>
        <w:right w:val="none" w:sz="0" w:space="0" w:color="auto"/>
      </w:divBdr>
    </w:div>
    <w:div w:id="257494706">
      <w:bodyDiv w:val="1"/>
      <w:marLeft w:val="0"/>
      <w:marRight w:val="0"/>
      <w:marTop w:val="0"/>
      <w:marBottom w:val="0"/>
      <w:divBdr>
        <w:top w:val="none" w:sz="0" w:space="0" w:color="auto"/>
        <w:left w:val="none" w:sz="0" w:space="0" w:color="auto"/>
        <w:bottom w:val="none" w:sz="0" w:space="0" w:color="auto"/>
        <w:right w:val="none" w:sz="0" w:space="0" w:color="auto"/>
      </w:divBdr>
    </w:div>
    <w:div w:id="273290491">
      <w:bodyDiv w:val="1"/>
      <w:marLeft w:val="0"/>
      <w:marRight w:val="0"/>
      <w:marTop w:val="0"/>
      <w:marBottom w:val="0"/>
      <w:divBdr>
        <w:top w:val="none" w:sz="0" w:space="0" w:color="auto"/>
        <w:left w:val="none" w:sz="0" w:space="0" w:color="auto"/>
        <w:bottom w:val="none" w:sz="0" w:space="0" w:color="auto"/>
        <w:right w:val="none" w:sz="0" w:space="0" w:color="auto"/>
      </w:divBdr>
    </w:div>
    <w:div w:id="302277293">
      <w:bodyDiv w:val="1"/>
      <w:marLeft w:val="0"/>
      <w:marRight w:val="0"/>
      <w:marTop w:val="0"/>
      <w:marBottom w:val="0"/>
      <w:divBdr>
        <w:top w:val="none" w:sz="0" w:space="0" w:color="auto"/>
        <w:left w:val="none" w:sz="0" w:space="0" w:color="auto"/>
        <w:bottom w:val="none" w:sz="0" w:space="0" w:color="auto"/>
        <w:right w:val="none" w:sz="0" w:space="0" w:color="auto"/>
      </w:divBdr>
    </w:div>
    <w:div w:id="576938800">
      <w:bodyDiv w:val="1"/>
      <w:marLeft w:val="0"/>
      <w:marRight w:val="0"/>
      <w:marTop w:val="0"/>
      <w:marBottom w:val="0"/>
      <w:divBdr>
        <w:top w:val="none" w:sz="0" w:space="0" w:color="auto"/>
        <w:left w:val="none" w:sz="0" w:space="0" w:color="auto"/>
        <w:bottom w:val="none" w:sz="0" w:space="0" w:color="auto"/>
        <w:right w:val="none" w:sz="0" w:space="0" w:color="auto"/>
      </w:divBdr>
    </w:div>
    <w:div w:id="604920844">
      <w:bodyDiv w:val="1"/>
      <w:marLeft w:val="0"/>
      <w:marRight w:val="0"/>
      <w:marTop w:val="0"/>
      <w:marBottom w:val="0"/>
      <w:divBdr>
        <w:top w:val="none" w:sz="0" w:space="0" w:color="auto"/>
        <w:left w:val="none" w:sz="0" w:space="0" w:color="auto"/>
        <w:bottom w:val="none" w:sz="0" w:space="0" w:color="auto"/>
        <w:right w:val="none" w:sz="0" w:space="0" w:color="auto"/>
      </w:divBdr>
    </w:div>
    <w:div w:id="1055468211">
      <w:bodyDiv w:val="1"/>
      <w:marLeft w:val="0"/>
      <w:marRight w:val="0"/>
      <w:marTop w:val="0"/>
      <w:marBottom w:val="0"/>
      <w:divBdr>
        <w:top w:val="none" w:sz="0" w:space="0" w:color="auto"/>
        <w:left w:val="none" w:sz="0" w:space="0" w:color="auto"/>
        <w:bottom w:val="none" w:sz="0" w:space="0" w:color="auto"/>
        <w:right w:val="none" w:sz="0" w:space="0" w:color="auto"/>
      </w:divBdr>
    </w:div>
    <w:div w:id="1098479214">
      <w:bodyDiv w:val="1"/>
      <w:marLeft w:val="0"/>
      <w:marRight w:val="0"/>
      <w:marTop w:val="0"/>
      <w:marBottom w:val="0"/>
      <w:divBdr>
        <w:top w:val="none" w:sz="0" w:space="0" w:color="auto"/>
        <w:left w:val="none" w:sz="0" w:space="0" w:color="auto"/>
        <w:bottom w:val="none" w:sz="0" w:space="0" w:color="auto"/>
        <w:right w:val="none" w:sz="0" w:space="0" w:color="auto"/>
      </w:divBdr>
    </w:div>
    <w:div w:id="1268389949">
      <w:bodyDiv w:val="1"/>
      <w:marLeft w:val="0"/>
      <w:marRight w:val="0"/>
      <w:marTop w:val="0"/>
      <w:marBottom w:val="0"/>
      <w:divBdr>
        <w:top w:val="none" w:sz="0" w:space="0" w:color="auto"/>
        <w:left w:val="none" w:sz="0" w:space="0" w:color="auto"/>
        <w:bottom w:val="none" w:sz="0" w:space="0" w:color="auto"/>
        <w:right w:val="none" w:sz="0" w:space="0" w:color="auto"/>
      </w:divBdr>
      <w:divsChild>
        <w:div w:id="447311805">
          <w:marLeft w:val="0"/>
          <w:marRight w:val="0"/>
          <w:marTop w:val="0"/>
          <w:marBottom w:val="0"/>
          <w:divBdr>
            <w:top w:val="none" w:sz="0" w:space="0" w:color="auto"/>
            <w:left w:val="none" w:sz="0" w:space="0" w:color="auto"/>
            <w:bottom w:val="none" w:sz="0" w:space="0" w:color="auto"/>
            <w:right w:val="none" w:sz="0" w:space="0" w:color="auto"/>
          </w:divBdr>
          <w:divsChild>
            <w:div w:id="441345796">
              <w:marLeft w:val="0"/>
              <w:marRight w:val="0"/>
              <w:marTop w:val="0"/>
              <w:marBottom w:val="0"/>
              <w:divBdr>
                <w:top w:val="none" w:sz="0" w:space="0" w:color="auto"/>
                <w:left w:val="none" w:sz="0" w:space="0" w:color="auto"/>
                <w:bottom w:val="none" w:sz="0" w:space="0" w:color="auto"/>
                <w:right w:val="none" w:sz="0" w:space="0" w:color="auto"/>
              </w:divBdr>
              <w:divsChild>
                <w:div w:id="1360820280">
                  <w:marLeft w:val="390"/>
                  <w:marRight w:val="0"/>
                  <w:marTop w:val="0"/>
                  <w:marBottom w:val="0"/>
                  <w:divBdr>
                    <w:top w:val="none" w:sz="0" w:space="0" w:color="auto"/>
                    <w:left w:val="none" w:sz="0" w:space="0" w:color="auto"/>
                    <w:bottom w:val="none" w:sz="0" w:space="0" w:color="auto"/>
                    <w:right w:val="none" w:sz="0" w:space="0" w:color="auto"/>
                  </w:divBdr>
                  <w:divsChild>
                    <w:div w:id="494221305">
                      <w:marLeft w:val="0"/>
                      <w:marRight w:val="0"/>
                      <w:marTop w:val="0"/>
                      <w:marBottom w:val="0"/>
                      <w:divBdr>
                        <w:top w:val="none" w:sz="0" w:space="0" w:color="auto"/>
                        <w:left w:val="none" w:sz="0" w:space="0" w:color="auto"/>
                        <w:bottom w:val="none" w:sz="0" w:space="0" w:color="auto"/>
                        <w:right w:val="none" w:sz="0" w:space="0" w:color="auto"/>
                      </w:divBdr>
                      <w:divsChild>
                        <w:div w:id="1029456801">
                          <w:marLeft w:val="0"/>
                          <w:marRight w:val="0"/>
                          <w:marTop w:val="0"/>
                          <w:marBottom w:val="0"/>
                          <w:divBdr>
                            <w:top w:val="none" w:sz="0" w:space="0" w:color="auto"/>
                            <w:left w:val="none" w:sz="0" w:space="0" w:color="auto"/>
                            <w:bottom w:val="none" w:sz="0" w:space="0" w:color="auto"/>
                            <w:right w:val="none" w:sz="0" w:space="0" w:color="auto"/>
                          </w:divBdr>
                          <w:divsChild>
                            <w:div w:id="736898740">
                              <w:marLeft w:val="0"/>
                              <w:marRight w:val="0"/>
                              <w:marTop w:val="0"/>
                              <w:marBottom w:val="0"/>
                              <w:divBdr>
                                <w:top w:val="none" w:sz="0" w:space="0" w:color="auto"/>
                                <w:left w:val="none" w:sz="0" w:space="0" w:color="auto"/>
                                <w:bottom w:val="none" w:sz="0" w:space="0" w:color="auto"/>
                                <w:right w:val="none" w:sz="0" w:space="0" w:color="auto"/>
                              </w:divBdr>
                              <w:divsChild>
                                <w:div w:id="1588417897">
                                  <w:marLeft w:val="0"/>
                                  <w:marRight w:val="0"/>
                                  <w:marTop w:val="0"/>
                                  <w:marBottom w:val="0"/>
                                  <w:divBdr>
                                    <w:top w:val="none" w:sz="0" w:space="0" w:color="auto"/>
                                    <w:left w:val="none" w:sz="0" w:space="0" w:color="auto"/>
                                    <w:bottom w:val="none" w:sz="0" w:space="0" w:color="auto"/>
                                    <w:right w:val="none" w:sz="0" w:space="0" w:color="auto"/>
                                  </w:divBdr>
                                  <w:divsChild>
                                    <w:div w:id="1261184799">
                                      <w:marLeft w:val="0"/>
                                      <w:marRight w:val="0"/>
                                      <w:marTop w:val="0"/>
                                      <w:marBottom w:val="0"/>
                                      <w:divBdr>
                                        <w:top w:val="none" w:sz="0" w:space="0" w:color="auto"/>
                                        <w:left w:val="none" w:sz="0" w:space="0" w:color="auto"/>
                                        <w:bottom w:val="none" w:sz="0" w:space="0" w:color="auto"/>
                                        <w:right w:val="none" w:sz="0" w:space="0" w:color="auto"/>
                                      </w:divBdr>
                                      <w:divsChild>
                                        <w:div w:id="615330171">
                                          <w:marLeft w:val="0"/>
                                          <w:marRight w:val="0"/>
                                          <w:marTop w:val="0"/>
                                          <w:marBottom w:val="0"/>
                                          <w:divBdr>
                                            <w:top w:val="none" w:sz="0" w:space="0" w:color="auto"/>
                                            <w:left w:val="none" w:sz="0" w:space="0" w:color="auto"/>
                                            <w:bottom w:val="none" w:sz="0" w:space="0" w:color="auto"/>
                                            <w:right w:val="none" w:sz="0" w:space="0" w:color="auto"/>
                                          </w:divBdr>
                                          <w:divsChild>
                                            <w:div w:id="138153115">
                                              <w:marLeft w:val="0"/>
                                              <w:marRight w:val="0"/>
                                              <w:marTop w:val="0"/>
                                              <w:marBottom w:val="0"/>
                                              <w:divBdr>
                                                <w:top w:val="none" w:sz="0" w:space="0" w:color="auto"/>
                                                <w:left w:val="none" w:sz="0" w:space="0" w:color="auto"/>
                                                <w:bottom w:val="none" w:sz="0" w:space="0" w:color="auto"/>
                                                <w:right w:val="none" w:sz="0" w:space="0" w:color="auto"/>
                                              </w:divBdr>
                                              <w:divsChild>
                                                <w:div w:id="2018337912">
                                                  <w:marLeft w:val="0"/>
                                                  <w:marRight w:val="0"/>
                                                  <w:marTop w:val="0"/>
                                                  <w:marBottom w:val="0"/>
                                                  <w:divBdr>
                                                    <w:top w:val="none" w:sz="0" w:space="0" w:color="auto"/>
                                                    <w:left w:val="none" w:sz="0" w:space="0" w:color="auto"/>
                                                    <w:bottom w:val="none" w:sz="0" w:space="0" w:color="auto"/>
                                                    <w:right w:val="none" w:sz="0" w:space="0" w:color="auto"/>
                                                  </w:divBdr>
                                                  <w:divsChild>
                                                    <w:div w:id="2139639369">
                                                      <w:marLeft w:val="0"/>
                                                      <w:marRight w:val="0"/>
                                                      <w:marTop w:val="0"/>
                                                      <w:marBottom w:val="0"/>
                                                      <w:divBdr>
                                                        <w:top w:val="none" w:sz="0" w:space="0" w:color="auto"/>
                                                        <w:left w:val="none" w:sz="0" w:space="0" w:color="auto"/>
                                                        <w:bottom w:val="none" w:sz="0" w:space="0" w:color="auto"/>
                                                        <w:right w:val="none" w:sz="0" w:space="0" w:color="auto"/>
                                                      </w:divBdr>
                                                      <w:divsChild>
                                                        <w:div w:id="2016346422">
                                                          <w:marLeft w:val="0"/>
                                                          <w:marRight w:val="0"/>
                                                          <w:marTop w:val="0"/>
                                                          <w:marBottom w:val="0"/>
                                                          <w:divBdr>
                                                            <w:top w:val="none" w:sz="0" w:space="0" w:color="auto"/>
                                                            <w:left w:val="none" w:sz="0" w:space="0" w:color="auto"/>
                                                            <w:bottom w:val="none" w:sz="0" w:space="0" w:color="auto"/>
                                                            <w:right w:val="none" w:sz="0" w:space="0" w:color="auto"/>
                                                          </w:divBdr>
                                                          <w:divsChild>
                                                            <w:div w:id="628702002">
                                                              <w:marLeft w:val="0"/>
                                                              <w:marRight w:val="0"/>
                                                              <w:marTop w:val="0"/>
                                                              <w:marBottom w:val="0"/>
                                                              <w:divBdr>
                                                                <w:top w:val="none" w:sz="0" w:space="0" w:color="auto"/>
                                                                <w:left w:val="none" w:sz="0" w:space="0" w:color="auto"/>
                                                                <w:bottom w:val="none" w:sz="0" w:space="0" w:color="auto"/>
                                                                <w:right w:val="none" w:sz="0" w:space="0" w:color="auto"/>
                                                              </w:divBdr>
                                                              <w:divsChild>
                                                                <w:div w:id="17961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5138154">
      <w:bodyDiv w:val="1"/>
      <w:marLeft w:val="0"/>
      <w:marRight w:val="0"/>
      <w:marTop w:val="0"/>
      <w:marBottom w:val="0"/>
      <w:divBdr>
        <w:top w:val="none" w:sz="0" w:space="0" w:color="auto"/>
        <w:left w:val="none" w:sz="0" w:space="0" w:color="auto"/>
        <w:bottom w:val="none" w:sz="0" w:space="0" w:color="auto"/>
        <w:right w:val="none" w:sz="0" w:space="0" w:color="auto"/>
      </w:divBdr>
      <w:divsChild>
        <w:div w:id="1364986362">
          <w:marLeft w:val="0"/>
          <w:marRight w:val="0"/>
          <w:marTop w:val="0"/>
          <w:marBottom w:val="0"/>
          <w:divBdr>
            <w:top w:val="none" w:sz="0" w:space="0" w:color="auto"/>
            <w:left w:val="none" w:sz="0" w:space="0" w:color="auto"/>
            <w:bottom w:val="none" w:sz="0" w:space="0" w:color="auto"/>
            <w:right w:val="none" w:sz="0" w:space="0" w:color="auto"/>
          </w:divBdr>
          <w:divsChild>
            <w:div w:id="355276280">
              <w:marLeft w:val="0"/>
              <w:marRight w:val="0"/>
              <w:marTop w:val="0"/>
              <w:marBottom w:val="0"/>
              <w:divBdr>
                <w:top w:val="none" w:sz="0" w:space="0" w:color="auto"/>
                <w:left w:val="none" w:sz="0" w:space="0" w:color="auto"/>
                <w:bottom w:val="none" w:sz="0" w:space="0" w:color="auto"/>
                <w:right w:val="none" w:sz="0" w:space="0" w:color="auto"/>
              </w:divBdr>
              <w:divsChild>
                <w:div w:id="661352433">
                  <w:marLeft w:val="390"/>
                  <w:marRight w:val="0"/>
                  <w:marTop w:val="0"/>
                  <w:marBottom w:val="0"/>
                  <w:divBdr>
                    <w:top w:val="none" w:sz="0" w:space="0" w:color="auto"/>
                    <w:left w:val="none" w:sz="0" w:space="0" w:color="auto"/>
                    <w:bottom w:val="none" w:sz="0" w:space="0" w:color="auto"/>
                    <w:right w:val="none" w:sz="0" w:space="0" w:color="auto"/>
                  </w:divBdr>
                  <w:divsChild>
                    <w:div w:id="1691759707">
                      <w:marLeft w:val="0"/>
                      <w:marRight w:val="0"/>
                      <w:marTop w:val="0"/>
                      <w:marBottom w:val="0"/>
                      <w:divBdr>
                        <w:top w:val="none" w:sz="0" w:space="0" w:color="auto"/>
                        <w:left w:val="none" w:sz="0" w:space="0" w:color="auto"/>
                        <w:bottom w:val="none" w:sz="0" w:space="0" w:color="auto"/>
                        <w:right w:val="none" w:sz="0" w:space="0" w:color="auto"/>
                      </w:divBdr>
                      <w:divsChild>
                        <w:div w:id="848565836">
                          <w:marLeft w:val="0"/>
                          <w:marRight w:val="0"/>
                          <w:marTop w:val="0"/>
                          <w:marBottom w:val="0"/>
                          <w:divBdr>
                            <w:top w:val="none" w:sz="0" w:space="0" w:color="auto"/>
                            <w:left w:val="none" w:sz="0" w:space="0" w:color="auto"/>
                            <w:bottom w:val="none" w:sz="0" w:space="0" w:color="auto"/>
                            <w:right w:val="none" w:sz="0" w:space="0" w:color="auto"/>
                          </w:divBdr>
                          <w:divsChild>
                            <w:div w:id="1152984872">
                              <w:marLeft w:val="0"/>
                              <w:marRight w:val="0"/>
                              <w:marTop w:val="0"/>
                              <w:marBottom w:val="0"/>
                              <w:divBdr>
                                <w:top w:val="none" w:sz="0" w:space="0" w:color="auto"/>
                                <w:left w:val="none" w:sz="0" w:space="0" w:color="auto"/>
                                <w:bottom w:val="none" w:sz="0" w:space="0" w:color="auto"/>
                                <w:right w:val="none" w:sz="0" w:space="0" w:color="auto"/>
                              </w:divBdr>
                              <w:divsChild>
                                <w:div w:id="1980524823">
                                  <w:marLeft w:val="0"/>
                                  <w:marRight w:val="0"/>
                                  <w:marTop w:val="0"/>
                                  <w:marBottom w:val="0"/>
                                  <w:divBdr>
                                    <w:top w:val="none" w:sz="0" w:space="0" w:color="auto"/>
                                    <w:left w:val="none" w:sz="0" w:space="0" w:color="auto"/>
                                    <w:bottom w:val="none" w:sz="0" w:space="0" w:color="auto"/>
                                    <w:right w:val="none" w:sz="0" w:space="0" w:color="auto"/>
                                  </w:divBdr>
                                  <w:divsChild>
                                    <w:div w:id="11928569">
                                      <w:marLeft w:val="0"/>
                                      <w:marRight w:val="0"/>
                                      <w:marTop w:val="0"/>
                                      <w:marBottom w:val="0"/>
                                      <w:divBdr>
                                        <w:top w:val="none" w:sz="0" w:space="0" w:color="auto"/>
                                        <w:left w:val="none" w:sz="0" w:space="0" w:color="auto"/>
                                        <w:bottom w:val="none" w:sz="0" w:space="0" w:color="auto"/>
                                        <w:right w:val="none" w:sz="0" w:space="0" w:color="auto"/>
                                      </w:divBdr>
                                      <w:divsChild>
                                        <w:div w:id="1924293792">
                                          <w:marLeft w:val="0"/>
                                          <w:marRight w:val="0"/>
                                          <w:marTop w:val="0"/>
                                          <w:marBottom w:val="0"/>
                                          <w:divBdr>
                                            <w:top w:val="none" w:sz="0" w:space="0" w:color="auto"/>
                                            <w:left w:val="none" w:sz="0" w:space="0" w:color="auto"/>
                                            <w:bottom w:val="none" w:sz="0" w:space="0" w:color="auto"/>
                                            <w:right w:val="none" w:sz="0" w:space="0" w:color="auto"/>
                                          </w:divBdr>
                                          <w:divsChild>
                                            <w:div w:id="686566002">
                                              <w:marLeft w:val="0"/>
                                              <w:marRight w:val="0"/>
                                              <w:marTop w:val="0"/>
                                              <w:marBottom w:val="0"/>
                                              <w:divBdr>
                                                <w:top w:val="none" w:sz="0" w:space="0" w:color="auto"/>
                                                <w:left w:val="none" w:sz="0" w:space="0" w:color="auto"/>
                                                <w:bottom w:val="none" w:sz="0" w:space="0" w:color="auto"/>
                                                <w:right w:val="none" w:sz="0" w:space="0" w:color="auto"/>
                                              </w:divBdr>
                                              <w:divsChild>
                                                <w:div w:id="119734703">
                                                  <w:marLeft w:val="0"/>
                                                  <w:marRight w:val="0"/>
                                                  <w:marTop w:val="0"/>
                                                  <w:marBottom w:val="0"/>
                                                  <w:divBdr>
                                                    <w:top w:val="none" w:sz="0" w:space="0" w:color="auto"/>
                                                    <w:left w:val="none" w:sz="0" w:space="0" w:color="auto"/>
                                                    <w:bottom w:val="none" w:sz="0" w:space="0" w:color="auto"/>
                                                    <w:right w:val="none" w:sz="0" w:space="0" w:color="auto"/>
                                                  </w:divBdr>
                                                  <w:divsChild>
                                                    <w:div w:id="2021735612">
                                                      <w:marLeft w:val="0"/>
                                                      <w:marRight w:val="0"/>
                                                      <w:marTop w:val="0"/>
                                                      <w:marBottom w:val="0"/>
                                                      <w:divBdr>
                                                        <w:top w:val="none" w:sz="0" w:space="0" w:color="auto"/>
                                                        <w:left w:val="none" w:sz="0" w:space="0" w:color="auto"/>
                                                        <w:bottom w:val="none" w:sz="0" w:space="0" w:color="auto"/>
                                                        <w:right w:val="none" w:sz="0" w:space="0" w:color="auto"/>
                                                      </w:divBdr>
                                                      <w:divsChild>
                                                        <w:div w:id="409042088">
                                                          <w:marLeft w:val="0"/>
                                                          <w:marRight w:val="0"/>
                                                          <w:marTop w:val="0"/>
                                                          <w:marBottom w:val="0"/>
                                                          <w:divBdr>
                                                            <w:top w:val="none" w:sz="0" w:space="0" w:color="auto"/>
                                                            <w:left w:val="none" w:sz="0" w:space="0" w:color="auto"/>
                                                            <w:bottom w:val="none" w:sz="0" w:space="0" w:color="auto"/>
                                                            <w:right w:val="none" w:sz="0" w:space="0" w:color="auto"/>
                                                          </w:divBdr>
                                                          <w:divsChild>
                                                            <w:div w:id="1745448204">
                                                              <w:marLeft w:val="0"/>
                                                              <w:marRight w:val="0"/>
                                                              <w:marTop w:val="0"/>
                                                              <w:marBottom w:val="0"/>
                                                              <w:divBdr>
                                                                <w:top w:val="none" w:sz="0" w:space="0" w:color="auto"/>
                                                                <w:left w:val="none" w:sz="0" w:space="0" w:color="auto"/>
                                                                <w:bottom w:val="none" w:sz="0" w:space="0" w:color="auto"/>
                                                                <w:right w:val="none" w:sz="0" w:space="0" w:color="auto"/>
                                                              </w:divBdr>
                                                              <w:divsChild>
                                                                <w:div w:id="10830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271825">
      <w:bodyDiv w:val="1"/>
      <w:marLeft w:val="0"/>
      <w:marRight w:val="0"/>
      <w:marTop w:val="0"/>
      <w:marBottom w:val="0"/>
      <w:divBdr>
        <w:top w:val="none" w:sz="0" w:space="0" w:color="auto"/>
        <w:left w:val="none" w:sz="0" w:space="0" w:color="auto"/>
        <w:bottom w:val="none" w:sz="0" w:space="0" w:color="auto"/>
        <w:right w:val="none" w:sz="0" w:space="0" w:color="auto"/>
      </w:divBdr>
    </w:div>
    <w:div w:id="1296251372">
      <w:bodyDiv w:val="1"/>
      <w:marLeft w:val="0"/>
      <w:marRight w:val="0"/>
      <w:marTop w:val="0"/>
      <w:marBottom w:val="0"/>
      <w:divBdr>
        <w:top w:val="none" w:sz="0" w:space="0" w:color="auto"/>
        <w:left w:val="none" w:sz="0" w:space="0" w:color="auto"/>
        <w:bottom w:val="none" w:sz="0" w:space="0" w:color="auto"/>
        <w:right w:val="none" w:sz="0" w:space="0" w:color="auto"/>
      </w:divBdr>
    </w:div>
    <w:div w:id="1656449527">
      <w:bodyDiv w:val="1"/>
      <w:marLeft w:val="0"/>
      <w:marRight w:val="0"/>
      <w:marTop w:val="0"/>
      <w:marBottom w:val="0"/>
      <w:divBdr>
        <w:top w:val="none" w:sz="0" w:space="0" w:color="auto"/>
        <w:left w:val="none" w:sz="0" w:space="0" w:color="auto"/>
        <w:bottom w:val="none" w:sz="0" w:space="0" w:color="auto"/>
        <w:right w:val="none" w:sz="0" w:space="0" w:color="auto"/>
      </w:divBdr>
    </w:div>
    <w:div w:id="1765496552">
      <w:bodyDiv w:val="1"/>
      <w:marLeft w:val="0"/>
      <w:marRight w:val="0"/>
      <w:marTop w:val="0"/>
      <w:marBottom w:val="0"/>
      <w:divBdr>
        <w:top w:val="none" w:sz="0" w:space="0" w:color="auto"/>
        <w:left w:val="none" w:sz="0" w:space="0" w:color="auto"/>
        <w:bottom w:val="none" w:sz="0" w:space="0" w:color="auto"/>
        <w:right w:val="none" w:sz="0" w:space="0" w:color="auto"/>
      </w:divBdr>
    </w:div>
    <w:div w:id="1816142626">
      <w:bodyDiv w:val="1"/>
      <w:marLeft w:val="0"/>
      <w:marRight w:val="0"/>
      <w:marTop w:val="0"/>
      <w:marBottom w:val="0"/>
      <w:divBdr>
        <w:top w:val="none" w:sz="0" w:space="0" w:color="auto"/>
        <w:left w:val="none" w:sz="0" w:space="0" w:color="auto"/>
        <w:bottom w:val="none" w:sz="0" w:space="0" w:color="auto"/>
        <w:right w:val="none" w:sz="0" w:space="0" w:color="auto"/>
      </w:divBdr>
    </w:div>
    <w:div w:id="1996105381">
      <w:bodyDiv w:val="1"/>
      <w:marLeft w:val="0"/>
      <w:marRight w:val="0"/>
      <w:marTop w:val="0"/>
      <w:marBottom w:val="0"/>
      <w:divBdr>
        <w:top w:val="none" w:sz="0" w:space="0" w:color="auto"/>
        <w:left w:val="none" w:sz="0" w:space="0" w:color="auto"/>
        <w:bottom w:val="none" w:sz="0" w:space="0" w:color="auto"/>
        <w:right w:val="none" w:sz="0" w:space="0" w:color="auto"/>
      </w:divBdr>
    </w:div>
    <w:div w:id="20632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customXml" Target="../customXml/item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customXml" Target="../customXml/item3.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ingekomen document" ma:contentTypeID="0x010100AF3C3E63A8E348D0B83574E1B1F453E5003929ED3A8D04456685ACF4C22313EE1B003179F0876C424676AC6F62DFF7F73A1700F5056D1B00EC9342A7BE16B61A7AA798" ma:contentTypeVersion="292" ma:contentTypeDescription="Een nieuw document maken." ma:contentTypeScope="" ma:versionID="8c54f4bdbd1a61950b922ea10c2b7e33">
  <xsd:schema xmlns:xsd="http://www.w3.org/2001/XMLSchema" xmlns:xs="http://www.w3.org/2001/XMLSchema" xmlns:p="http://schemas.microsoft.com/office/2006/metadata/properties" xmlns:ns1="http://schemas.microsoft.com/sharepoint/v3" xmlns:ns3="936c9f6d-703f-4492-b10b-5967c53212d1" xmlns:ns4="f46de88a-a7a7-4258-812b-100abda7f277" targetNamespace="http://schemas.microsoft.com/office/2006/metadata/properties" ma:root="true" ma:fieldsID="fc6cbf0db5748441848ebcd34c0c1047" ns1:_="" ns3:_="" ns4:_="">
    <xsd:import namespace="http://schemas.microsoft.com/sharepoint/v3"/>
    <xsd:import namespace="936c9f6d-703f-4492-b10b-5967c53212d1"/>
    <xsd:import namespace="f46de88a-a7a7-4258-812b-100abda7f277"/>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Behandelaar" minOccurs="0"/>
                <xsd:element ref="ns3:Documentalist" minOccurs="0"/>
                <xsd:element ref="ns3:OrigineleBestandsnaam" minOccurs="0"/>
                <xsd:element ref="ns3:Scandatum" minOccurs="0"/>
                <xsd:element ref="ns1:AssignedTo" minOccurs="0"/>
                <xsd:element ref="ns3:Afzender" minOccurs="0"/>
                <xsd:element ref="ns3:Zaaknummer" minOccurs="0"/>
                <xsd:element ref="ns3:Registratienummer" minOccurs="0"/>
                <xsd:element ref="ns3:TaxCatchAllLabel" minOccurs="0"/>
                <xsd:element ref="ns3:DocumenttypeHTField0" minOccurs="0"/>
                <xsd:element ref="ns3:ToezichtstaakHTField0" minOccurs="0"/>
                <xsd:element ref="ns3:TaxCatchAll" minOccurs="0"/>
                <xsd:element ref="ns3:KanaalHTField0" minOccurs="0"/>
                <xsd:element ref="ns3:OrganisatieonderdeelHTField0" minOccurs="0"/>
                <xsd:element ref="ns3:TaxKeywordTaxHTField" minOccurs="0"/>
                <xsd:element ref="ns1:_dlc_Exempt" minOccurs="0"/>
                <xsd:element ref="ns3:Proces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1" nillable="true" ma:displayName="Toegewezen aan"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47"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dexed="true"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dexed="true" ma:internalName="LL_subfolder_1" ma:readOnly="false">
      <xsd:simpleType>
        <xsd:restriction base="dms:Text">
          <xsd:maxLength value="255"/>
        </xsd:restriction>
      </xsd:simpleType>
    </xsd:element>
    <xsd:element name="LL_subfolder_2" ma:index="23" nillable="true" ma:displayName="LL subfolder 2" ma:indexed="true"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Behandelaar" ma:index="27" nillable="true" ma:displayName="Behandelaar" ma:internalName="Behandelaar" ma:readOnly="false">
      <xsd:simpleType>
        <xsd:restriction base="dms:Note">
          <xsd:maxLength value="255"/>
        </xsd:restriction>
      </xsd:simpleType>
    </xsd:element>
    <xsd:element name="Documentalist" ma:index="28" nillable="true" ma:displayName="Documentalist" ma:internalName="Documentalist" ma:readOnly="false">
      <xsd:simpleType>
        <xsd:restriction base="dms:Text"/>
      </xsd:simpleType>
    </xsd:element>
    <xsd:element name="OrigineleBestandsnaam" ma:index="29" nillable="true" ma:displayName="Originele bestandsnaam" ma:internalName="OrigineleBestandsnaam" ma:readOnly="false">
      <xsd:simpleType>
        <xsd:restriction base="dms:Text"/>
      </xsd:simpleType>
    </xsd:element>
    <xsd:element name="Scandatum" ma:index="30" nillable="true" ma:displayName="Scandatum" ma:format="DateOnly" ma:internalName="Scandatum" ma:readOnly="false">
      <xsd:simpleType>
        <xsd:restriction base="dms:DateTime"/>
      </xsd:simpleType>
    </xsd:element>
    <xsd:element name="Afzender" ma:index="32" nillable="true" ma:displayName="Afzender" ma:internalName="Afzender" ma:readOnly="false">
      <xsd:simpleType>
        <xsd:restriction base="dms:Text"/>
      </xsd:simpleType>
    </xsd:element>
    <xsd:element name="Zaaknummer" ma:index="33" nillable="true" ma:displayName="Zaaknummer" ma:internalName="Zaaknummer" ma:readOnly="false">
      <xsd:simpleType>
        <xsd:restriction base="dms:Text"/>
      </xsd:simpleType>
    </xsd:element>
    <xsd:element name="Registratienummer" ma:index="34" nillable="true" ma:displayName="Registratienummer" ma:internalName="Registratienummer" ma:readOnly="false">
      <xsd:simpleType>
        <xsd:restriction base="dms:Text"/>
      </xsd:simpleType>
    </xsd:element>
    <xsd:element name="TaxCatchAllLabel" ma:index="36" nillable="true" ma:displayName="Taxonomy Catch All Column1" ma:hidden="true" ma:list="{2e1d81a1-7835-418f-951e-0ba8c315fc07}" ma:internalName="TaxCatchAllLabel" ma:readOnly="true" ma:showField="CatchAllDataLabel" ma:web="f46de88a-a7a7-4258-812b-100abda7f277">
      <xsd:complexType>
        <xsd:complexContent>
          <xsd:extension base="dms:MultiChoiceLookup">
            <xsd:sequence>
              <xsd:element name="Value" type="dms:Lookup" maxOccurs="unbounded" minOccurs="0" nillable="true"/>
            </xsd:sequence>
          </xsd:extension>
        </xsd:complexContent>
      </xsd:complexType>
    </xsd:element>
    <xsd:element name="DocumenttypeHTField0" ma:index="38" nillable="true" ma:taxonomy="true" ma:internalName="DocumenttypeTaxHTField0" ma:taxonomyFieldName="Documenttype" ma:displayName="Document type" ma:indexed="tru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ToezichtstaakHTField0" ma:index="39"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TaxCatchAll" ma:index="40" nillable="true" ma:displayName="Taxonomy Catch All Column" ma:hidden="true" ma:list="{2e1d81a1-7835-418f-951e-0ba8c315fc07}" ma:internalName="TaxCatchAll" ma:showField="CatchAllData" ma:web="f46de88a-a7a7-4258-812b-100abda7f277">
      <xsd:complexType>
        <xsd:complexContent>
          <xsd:extension base="dms:MultiChoiceLookup">
            <xsd:sequence>
              <xsd:element name="Value" type="dms:Lookup" maxOccurs="unbounded" minOccurs="0" nillable="true"/>
            </xsd:sequence>
          </xsd:extension>
        </xsd:complexContent>
      </xsd:complexType>
    </xsd:element>
    <xsd:element name="KanaalHTField0" ma:index="41"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3"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TaxKeywordTaxHTField" ma:index="4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ProcesHTField0" ma:index="48" nillable="true" ma:taxonomy="true" ma:internalName="ProcesTaxHTField0" ma:taxonomyFieldName="Proces" ma:displayName="Proces" ma:indexed="true"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6de88a-a7a7-4258-812b-100abda7f277" elementFormDefault="qualified">
    <xsd:import namespace="http://schemas.microsoft.com/office/2006/documentManagement/types"/>
    <xsd:import namespace="http://schemas.microsoft.com/office/infopath/2007/PartnerControls"/>
    <xsd:element name="_dlc_DocId" ma:index="50" nillable="true" ma:displayName="Waarde van de document-id" ma:description="De waarde van de document-id die aan dit item is toegewezen." ma:internalName="_dlc_DocId" ma:readOnly="true">
      <xsd:simpleType>
        <xsd:restriction base="dms:Text"/>
      </xsd:simpleType>
    </xsd:element>
    <xsd:element name="_dlc_DocIdUrl" ma:index="5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4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003179F0876C424676AC6F62DFF7F73A17"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Value>6</Value>
      <Value>4</Value>
      <Value>1</Value>
      <Value>7</Value>
    </TaxCatchAll>
    <OrigineleLLLocatie xmlns="936c9f6d-703f-4492-b10b-5967c53212d1" xsi:nil="true"/>
    <OrigineleLLObjectId xmlns="936c9f6d-703f-4492-b10b-5967c53212d1">100062640</OrigineleLLObjectId>
    <Relatienummer xmlns="936c9f6d-703f-4492-b10b-5967c53212d1">BHM180</Relatienummer>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Vergunningnummer</vergunningnummer>
    <OmschrijvingNote xmlns="936c9f6d-703f-4492-b10b-5967c53212d1" xsi:nil="true"/>
    <Betreft xmlns="936c9f6d-703f-4492-b10b-5967c53212d1" xsi:nil="true"/>
    <OrganisatieonderdeelHTField0 xmlns="936c9f6d-703f-4492-b10b-5967c53212d1">
      <Terms xmlns="http://schemas.microsoft.com/office/infopath/2007/PartnerControls">
        <TermInfo xmlns="http://schemas.microsoft.com/office/infopath/2007/PartnerControls">
          <TermName xmlns="http://schemas.microsoft.com/office/infopath/2007/PartnerControls">DIV</TermName>
          <TermId xmlns="http://schemas.microsoft.com/office/infopath/2007/PartnerControls">60ad375a-4acb-46c1-99e9-7f617816c991</TermId>
        </TermInfo>
      </Term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TermInfo xmlns="http://schemas.microsoft.com/office/infopath/2007/PartnerControls">
          <TermName xmlns="http://schemas.microsoft.com/office/infopath/2007/PartnerControls">Overig</TermName>
          <TermId xmlns="http://schemas.microsoft.com/office/infopath/2007/PartnerControls">5aa7adaa-1cd8-457e-83a9-f1693cd8f63f</TermId>
        </TermInfo>
      </Term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28420</Debiteurnummer>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TermInfo xmlns="http://schemas.microsoft.com/office/infopath/2007/PartnerControls">
          <TermName xmlns="http://schemas.microsoft.com/office/infopath/2007/PartnerControls">Loket</TermName>
          <TermId xmlns="http://schemas.microsoft.com/office/infopath/2007/PartnerControls">2d658804-9364-49db-8388-b19b0f75bc5e</TermId>
        </TermInfo>
      </Terms>
    </KanaalHTField0>
    <_dlc_DocId xmlns="f46de88a-a7a7-4258-812b-100abda7f277">BHM180-2-1031</_dlc_DocId>
    <_dlc_DocIdUrl xmlns="f46de88a-a7a7-4258-812b-100abda7f277">
      <Url>http://dms.stelan.nl/instellingen/BHM180/_layouts/15/DocIdRedir.aspx?ID=BHM180-2-1031</Url>
      <Description>BHM180-2-1031</Description>
    </_dlc_DocIdUrl>
    <Scandatum xmlns="936c9f6d-703f-4492-b10b-5967c53212d1">2017-05-17T05:03:41+00:00</Scandatum>
    <Afzender xmlns="936c9f6d-703f-4492-b10b-5967c53212d1">TIE Kinetix N.V.</Afzender>
    <Registratienummer xmlns="936c9f6d-703f-4492-b10b-5967c53212d1">25790</Registratienummer>
    <Behandelaar xmlns="936c9f6d-703f-4492-b10b-5967c53212d1">Michiel Wolfswinkel - michiel.wolfswinkel@tiekinetix.com</Behandelaar>
    <Documentalist xmlns="936c9f6d-703f-4492-b10b-5967c53212d1">Loket - Elektronische Post</Documentalist>
    <AssignedTo xmlns="http://schemas.microsoft.com/sharepoint/v3">
      <UserInfo>
        <DisplayName/>
        <AccountId xsi:nil="true"/>
        <AccountType/>
      </UserInfo>
    </AssignedTo>
    <Zaaknummer xmlns="936c9f6d-703f-4492-b10b-5967c53212d1" xsi:nil="true"/>
    <OrigineleBestandsnaam xmlns="936c9f6d-703f-4492-b10b-5967c53212d1" xsi:nil="true"/>
  </documentManagement>
</p:properties>
</file>

<file path=customXml/itemProps1.xml><?xml version="1.0" encoding="utf-8"?>
<ds:datastoreItem xmlns:ds="http://schemas.openxmlformats.org/officeDocument/2006/customXml" ds:itemID="{7FAA8B35-041B-47FD-B645-09298E9B9C95}">
  <ds:schemaRefs>
    <ds:schemaRef ds:uri="http://schemas.openxmlformats.org/officeDocument/2006/bibliography"/>
  </ds:schemaRefs>
</ds:datastoreItem>
</file>

<file path=customXml/itemProps2.xml><?xml version="1.0" encoding="utf-8"?>
<ds:datastoreItem xmlns:ds="http://schemas.openxmlformats.org/officeDocument/2006/customXml" ds:itemID="{5AC688F3-3D2A-48BF-8176-5FE6DCD1A5B8}"/>
</file>

<file path=customXml/itemProps3.xml><?xml version="1.0" encoding="utf-8"?>
<ds:datastoreItem xmlns:ds="http://schemas.openxmlformats.org/officeDocument/2006/customXml" ds:itemID="{1537CBA0-94BE-4499-83CD-564E2CAB295F}"/>
</file>

<file path=customXml/itemProps4.xml><?xml version="1.0" encoding="utf-8"?>
<ds:datastoreItem xmlns:ds="http://schemas.openxmlformats.org/officeDocument/2006/customXml" ds:itemID="{0A7FCCA5-A479-463E-A64D-4541E08CA6FE}"/>
</file>

<file path=customXml/itemProps5.xml><?xml version="1.0" encoding="utf-8"?>
<ds:datastoreItem xmlns:ds="http://schemas.openxmlformats.org/officeDocument/2006/customXml" ds:itemID="{66A24FCA-2D5B-4AC1-B09D-66826F56ACF6}"/>
</file>

<file path=customXml/itemProps6.xml><?xml version="1.0" encoding="utf-8"?>
<ds:datastoreItem xmlns:ds="http://schemas.openxmlformats.org/officeDocument/2006/customXml" ds:itemID="{E4266DF0-D94F-4AED-A528-A0AA762868F4}"/>
</file>

<file path=customXml/itemProps7.xml><?xml version="1.0" encoding="utf-8"?>
<ds:datastoreItem xmlns:ds="http://schemas.openxmlformats.org/officeDocument/2006/customXml" ds:itemID="{7C7308AE-7843-4C26-8C28-F63D3007D534}"/>
</file>

<file path=docProps/app.xml><?xml version="1.0" encoding="utf-8"?>
<Properties xmlns="http://schemas.openxmlformats.org/officeDocument/2006/extended-properties" xmlns:vt="http://schemas.openxmlformats.org/officeDocument/2006/docPropsVTypes">
  <Template>Normal</Template>
  <TotalTime>1</TotalTime>
  <Pages>16</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Parentix B.V.</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25790_Press release interim consolidated financial statements first half year 2017 TIE KINETIX NV.docx</dc:title>
  <dc:creator>Michiel Wolfswinkel</dc:creator>
  <cp:lastModifiedBy>Peter Enneking</cp:lastModifiedBy>
  <cp:revision>2</cp:revision>
  <cp:lastPrinted>2017-05-11T10:24:00Z</cp:lastPrinted>
  <dcterms:created xsi:type="dcterms:W3CDTF">2017-05-17T04:59:00Z</dcterms:created>
  <dcterms:modified xsi:type="dcterms:W3CDTF">2017-05-17T04:59:00Z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0x010100AF3C3E63A8E348D0B83574E1B1F453E5003929ED3A8D04456685ACF4C22313EE1B003179F0876C424676AC6F62DFF7F73A1700F5056D1B00EC9342A7BE16B61A7AA798</vt:lpwstr>
  </property>
  <property fmtid="{D5CDD505-2E9C-101B-9397-08002B2CF9AE}" pid="3" name="VertrouwelijkheidTaxHTField0">
    <vt:lpwstr>B - AFM intern|7b7ff21d-0bb8-4cab-b8de-f0e80c0220e6</vt:lpwstr>
  </property>
  <property fmtid="{D5CDD505-2E9C-101B-9397-08002B2CF9AE}" pid="4" name="Proces">
    <vt:lpwstr/>
  </property>
  <property fmtid="{D5CDD505-2E9C-101B-9397-08002B2CF9AE}" pid="5" name="_dlc_DocIdItemGuid">
    <vt:lpwstr>d7b1fa85-921d-4f22-896f-17858e49216b</vt:lpwstr>
  </property>
  <property fmtid="{D5CDD505-2E9C-101B-9397-08002B2CF9AE}" pid="6" name="Vertrouwelijkheid">
    <vt:lpwstr>1;#B - AFM intern|7b7ff21d-0bb8-4cab-b8de-f0e80c0220e6</vt:lpwstr>
  </property>
  <property fmtid="{D5CDD505-2E9C-101B-9397-08002B2CF9AE}" pid="7" name="TaxKeyword">
    <vt:lpwstr/>
  </property>
  <property fmtid="{D5CDD505-2E9C-101B-9397-08002B2CF9AE}" pid="8" name="Kanaal">
    <vt:lpwstr>7;#Loket|2d658804-9364-49db-8388-b19b0f75bc5e</vt:lpwstr>
  </property>
  <property fmtid="{D5CDD505-2E9C-101B-9397-08002B2CF9AE}" pid="9" name="Toezichtstaak">
    <vt:lpwstr/>
  </property>
  <property fmtid="{D5CDD505-2E9C-101B-9397-08002B2CF9AE}" pid="10" name="Documenttype">
    <vt:lpwstr>4;#Overig|5aa7adaa-1cd8-457e-83a9-f1693cd8f63f</vt:lpwstr>
  </property>
  <property fmtid="{D5CDD505-2E9C-101B-9397-08002B2CF9AE}" pid="11" name="Organisatieonderdeel">
    <vt:lpwstr>6;#DIV|60ad375a-4acb-46c1-99e9-7f617816c991</vt:lpwstr>
  </property>
</Properties>
</file>