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75F" w:rsidRPr="00BA1545" w:rsidRDefault="0096175F" w:rsidP="00BF3C58">
      <w:pPr>
        <w:pStyle w:val="NoSpacing"/>
        <w:jc w:val="both"/>
        <w:rPr>
          <w:lang w:val="en-US"/>
        </w:rPr>
      </w:pPr>
      <w:r w:rsidRPr="00BA1545">
        <w:rPr>
          <w:lang w:val="en-US"/>
        </w:rPr>
        <w:t>Press release interim consolidated financial statements TIE KINETIX N.V.</w:t>
      </w:r>
    </w:p>
    <w:p w:rsidR="00665006" w:rsidRPr="00BA1545" w:rsidRDefault="001E149A" w:rsidP="00BF3C58">
      <w:pPr>
        <w:pStyle w:val="NoSpacing"/>
        <w:jc w:val="both"/>
        <w:rPr>
          <w:lang w:val="en-US"/>
        </w:rPr>
      </w:pPr>
      <w:r w:rsidRPr="00BA1545">
        <w:rPr>
          <w:lang w:val="en-US"/>
        </w:rPr>
        <w:t>Financial information in th</w:t>
      </w:r>
      <w:r w:rsidR="008F004D" w:rsidRPr="00BA1545">
        <w:rPr>
          <w:lang w:val="en-US"/>
        </w:rPr>
        <w:t>i</w:t>
      </w:r>
      <w:r w:rsidR="00F064A0" w:rsidRPr="00BA1545">
        <w:rPr>
          <w:lang w:val="en-US"/>
        </w:rPr>
        <w:t>s</w:t>
      </w:r>
      <w:r w:rsidRPr="00BA1545">
        <w:rPr>
          <w:lang w:val="en-US"/>
        </w:rPr>
        <w:t xml:space="preserve"> interim report is unaudited</w:t>
      </w:r>
    </w:p>
    <w:p w:rsidR="0096175F" w:rsidRPr="00BA1545" w:rsidRDefault="0096175F" w:rsidP="00BF3C58">
      <w:pPr>
        <w:pStyle w:val="NoSpacing"/>
        <w:jc w:val="both"/>
        <w:rPr>
          <w:lang w:val="en-US"/>
        </w:rPr>
      </w:pPr>
    </w:p>
    <w:p w:rsidR="008F004D" w:rsidRPr="00BA1545" w:rsidRDefault="008F004D" w:rsidP="00BF3C58">
      <w:pPr>
        <w:pStyle w:val="NoSpacing"/>
        <w:jc w:val="both"/>
        <w:rPr>
          <w:lang w:val="en-US"/>
        </w:rPr>
      </w:pPr>
    </w:p>
    <w:p w:rsidR="0096175F" w:rsidRPr="00BA1545" w:rsidRDefault="0096175F" w:rsidP="00836F82">
      <w:pPr>
        <w:pStyle w:val="NoSpacing"/>
        <w:jc w:val="center"/>
        <w:rPr>
          <w:lang w:val="en-US"/>
        </w:rPr>
      </w:pPr>
      <w:r w:rsidRPr="00BA1545">
        <w:rPr>
          <w:lang w:val="en-US"/>
        </w:rPr>
        <w:t>TIE KINETIX</w:t>
      </w:r>
      <w:r w:rsidR="00836F82" w:rsidRPr="00BA1545">
        <w:rPr>
          <w:lang w:val="en-US"/>
        </w:rPr>
        <w:t xml:space="preserve">: </w:t>
      </w:r>
      <w:r w:rsidR="001329FB">
        <w:rPr>
          <w:lang w:val="en-US"/>
        </w:rPr>
        <w:t>first half year 201</w:t>
      </w:r>
      <w:r w:rsidR="000443EF">
        <w:rPr>
          <w:lang w:val="en-US"/>
        </w:rPr>
        <w:t>8</w:t>
      </w:r>
      <w:r w:rsidR="00C56E97" w:rsidRPr="00BA1545">
        <w:rPr>
          <w:lang w:val="en-US"/>
        </w:rPr>
        <w:t xml:space="preserve">  </w:t>
      </w:r>
    </w:p>
    <w:p w:rsidR="0096175F" w:rsidRPr="00BA1545" w:rsidRDefault="0096175F" w:rsidP="00BF3C58">
      <w:pPr>
        <w:pStyle w:val="NoSpacing"/>
        <w:jc w:val="both"/>
        <w:rPr>
          <w:lang w:val="en-US"/>
        </w:rPr>
      </w:pPr>
    </w:p>
    <w:p w:rsidR="008F004D" w:rsidRPr="00BA1545" w:rsidRDefault="008F004D" w:rsidP="00BF3C58">
      <w:pPr>
        <w:pStyle w:val="NoSpacing"/>
        <w:jc w:val="both"/>
        <w:rPr>
          <w:lang w:val="en-US"/>
        </w:rPr>
      </w:pPr>
    </w:p>
    <w:p w:rsidR="001E149A" w:rsidRPr="00BA1545" w:rsidRDefault="001E149A" w:rsidP="00BF3C58">
      <w:pPr>
        <w:pStyle w:val="NoSpacing"/>
        <w:jc w:val="both"/>
        <w:rPr>
          <w:lang w:val="en-US"/>
        </w:rPr>
      </w:pPr>
      <w:r w:rsidRPr="00BA1545">
        <w:rPr>
          <w:lang w:val="en-US"/>
        </w:rPr>
        <w:t xml:space="preserve">Breukelen, </w:t>
      </w:r>
      <w:r w:rsidR="0096175F" w:rsidRPr="00BA1545">
        <w:rPr>
          <w:lang w:val="en-US"/>
        </w:rPr>
        <w:t xml:space="preserve">the Netherlands, </w:t>
      </w:r>
      <w:r w:rsidRPr="00BA1545">
        <w:rPr>
          <w:lang w:val="en-US"/>
        </w:rPr>
        <w:t xml:space="preserve">May </w:t>
      </w:r>
      <w:r w:rsidR="00EC7A05" w:rsidRPr="00BA1545">
        <w:rPr>
          <w:lang w:val="en-US"/>
        </w:rPr>
        <w:t>1</w:t>
      </w:r>
      <w:r w:rsidR="0040681A">
        <w:rPr>
          <w:lang w:val="en-US"/>
        </w:rPr>
        <w:t>6</w:t>
      </w:r>
      <w:bookmarkStart w:id="0" w:name="_GoBack"/>
      <w:bookmarkEnd w:id="0"/>
      <w:r w:rsidR="0096175F" w:rsidRPr="00BA1545">
        <w:rPr>
          <w:vertAlign w:val="superscript"/>
          <w:lang w:val="en-US"/>
        </w:rPr>
        <w:t>th</w:t>
      </w:r>
      <w:r w:rsidRPr="00BA1545">
        <w:rPr>
          <w:lang w:val="en-US"/>
        </w:rPr>
        <w:t>, 201</w:t>
      </w:r>
      <w:r w:rsidR="000443EF">
        <w:rPr>
          <w:lang w:val="en-US"/>
        </w:rPr>
        <w:t>8</w:t>
      </w:r>
    </w:p>
    <w:p w:rsidR="001E149A" w:rsidRPr="00BA1545" w:rsidRDefault="001E149A" w:rsidP="00BF3C58">
      <w:pPr>
        <w:pStyle w:val="NoSpacing"/>
        <w:jc w:val="both"/>
        <w:rPr>
          <w:lang w:val="en-US"/>
        </w:rPr>
      </w:pPr>
    </w:p>
    <w:p w:rsidR="008F004D" w:rsidRPr="00BA1545" w:rsidRDefault="008F004D" w:rsidP="00BF3C58">
      <w:pPr>
        <w:pStyle w:val="NoSpacing"/>
        <w:jc w:val="both"/>
        <w:rPr>
          <w:lang w:val="en-US"/>
        </w:rPr>
      </w:pPr>
    </w:p>
    <w:p w:rsidR="001E149A" w:rsidRPr="00BA1545" w:rsidRDefault="0096175F" w:rsidP="00BF3C58">
      <w:pPr>
        <w:pStyle w:val="NoSpacing"/>
        <w:jc w:val="both"/>
        <w:rPr>
          <w:u w:val="single"/>
          <w:lang w:val="en-US"/>
        </w:rPr>
      </w:pPr>
      <w:r w:rsidRPr="00BA1545">
        <w:rPr>
          <w:u w:val="single"/>
          <w:lang w:val="en-US"/>
        </w:rPr>
        <w:t>First half year results</w:t>
      </w:r>
      <w:r w:rsidR="00584AC8" w:rsidRPr="00BA1545">
        <w:rPr>
          <w:u w:val="single"/>
          <w:lang w:val="en-US"/>
        </w:rPr>
        <w:t xml:space="preserve"> (period Oct, 1, 201</w:t>
      </w:r>
      <w:r w:rsidR="000443EF">
        <w:rPr>
          <w:u w:val="single"/>
          <w:lang w:val="en-US"/>
        </w:rPr>
        <w:t>7</w:t>
      </w:r>
      <w:r w:rsidR="00584AC8" w:rsidRPr="00BA1545">
        <w:rPr>
          <w:u w:val="single"/>
          <w:lang w:val="en-US"/>
        </w:rPr>
        <w:t xml:space="preserve"> – March 31, 201</w:t>
      </w:r>
      <w:r w:rsidR="000443EF">
        <w:rPr>
          <w:u w:val="single"/>
          <w:lang w:val="en-US"/>
        </w:rPr>
        <w:t>8</w:t>
      </w:r>
      <w:r w:rsidR="00584AC8" w:rsidRPr="00BA1545">
        <w:rPr>
          <w:u w:val="single"/>
          <w:lang w:val="en-US"/>
        </w:rPr>
        <w:t>)</w:t>
      </w:r>
      <w:r w:rsidR="00584AC8" w:rsidRPr="00BA1545">
        <w:rPr>
          <w:lang w:val="en-US"/>
        </w:rPr>
        <w:t>.</w:t>
      </w:r>
    </w:p>
    <w:p w:rsidR="006A0327" w:rsidRDefault="006A0327" w:rsidP="008225CF">
      <w:pPr>
        <w:pStyle w:val="NoSpacing"/>
        <w:numPr>
          <w:ilvl w:val="0"/>
          <w:numId w:val="4"/>
        </w:numPr>
        <w:jc w:val="both"/>
        <w:rPr>
          <w:lang w:val="en-US"/>
        </w:rPr>
      </w:pPr>
      <w:r>
        <w:rPr>
          <w:lang w:val="en-US"/>
        </w:rPr>
        <w:t>Total revenue amounts to € 8.803k</w:t>
      </w:r>
      <w:r>
        <w:rPr>
          <w:lang w:val="en-US"/>
        </w:rPr>
        <w:tab/>
      </w:r>
      <w:r>
        <w:rPr>
          <w:lang w:val="en-US"/>
        </w:rPr>
        <w:tab/>
      </w:r>
      <w:r>
        <w:rPr>
          <w:lang w:val="en-US"/>
        </w:rPr>
        <w:tab/>
      </w:r>
      <w:r>
        <w:rPr>
          <w:lang w:val="en-US"/>
        </w:rPr>
        <w:tab/>
        <w:t>(2017: € 9.720k)</w:t>
      </w:r>
    </w:p>
    <w:p w:rsidR="008225CF" w:rsidRPr="00BA1545" w:rsidRDefault="008225CF" w:rsidP="008225CF">
      <w:pPr>
        <w:pStyle w:val="NoSpacing"/>
        <w:numPr>
          <w:ilvl w:val="0"/>
          <w:numId w:val="4"/>
        </w:numPr>
        <w:jc w:val="both"/>
        <w:rPr>
          <w:lang w:val="en-US"/>
        </w:rPr>
      </w:pPr>
      <w:r w:rsidRPr="00BA1545">
        <w:rPr>
          <w:lang w:val="en-US"/>
        </w:rPr>
        <w:t xml:space="preserve">SaaS and hosting revenues </w:t>
      </w:r>
      <w:r w:rsidR="006A0327">
        <w:rPr>
          <w:lang w:val="en-US"/>
        </w:rPr>
        <w:t>amounts to</w:t>
      </w:r>
      <w:r w:rsidRPr="00BA1545">
        <w:rPr>
          <w:lang w:val="en-US"/>
        </w:rPr>
        <w:t xml:space="preserve"> € </w:t>
      </w:r>
      <w:r w:rsidR="00AE1247">
        <w:rPr>
          <w:lang w:val="en-US"/>
        </w:rPr>
        <w:t>4.808</w:t>
      </w:r>
      <w:r w:rsidRPr="00BA1545">
        <w:rPr>
          <w:lang w:val="en-US"/>
        </w:rPr>
        <w:t xml:space="preserve">k </w:t>
      </w:r>
      <w:r w:rsidR="006A0327">
        <w:rPr>
          <w:lang w:val="en-US"/>
        </w:rPr>
        <w:tab/>
      </w:r>
      <w:r w:rsidR="006A0327">
        <w:rPr>
          <w:lang w:val="en-US"/>
        </w:rPr>
        <w:tab/>
      </w:r>
      <w:r w:rsidRPr="00BA1545">
        <w:rPr>
          <w:lang w:val="en-US"/>
        </w:rPr>
        <w:t>(201</w:t>
      </w:r>
      <w:r w:rsidR="000443EF">
        <w:rPr>
          <w:lang w:val="en-US"/>
        </w:rPr>
        <w:t>7</w:t>
      </w:r>
      <w:r w:rsidRPr="00BA1545">
        <w:rPr>
          <w:lang w:val="en-US"/>
        </w:rPr>
        <w:t xml:space="preserve">: € </w:t>
      </w:r>
      <w:r w:rsidR="000443EF">
        <w:rPr>
          <w:lang w:val="en-US"/>
        </w:rPr>
        <w:t>5.078</w:t>
      </w:r>
      <w:r w:rsidRPr="00BA1545">
        <w:rPr>
          <w:lang w:val="en-US"/>
        </w:rPr>
        <w:t>k)</w:t>
      </w:r>
    </w:p>
    <w:p w:rsidR="006A0327" w:rsidRPr="00BA1545" w:rsidRDefault="006A0327" w:rsidP="006A0327">
      <w:pPr>
        <w:pStyle w:val="NoSpacing"/>
        <w:numPr>
          <w:ilvl w:val="0"/>
          <w:numId w:val="4"/>
        </w:numPr>
        <w:jc w:val="both"/>
        <w:rPr>
          <w:lang w:val="en-US"/>
        </w:rPr>
      </w:pPr>
      <w:r w:rsidRPr="00BA1545">
        <w:rPr>
          <w:lang w:val="en-US"/>
        </w:rPr>
        <w:t>EBITDA</w:t>
      </w:r>
      <w:r>
        <w:rPr>
          <w:lang w:val="en-US"/>
        </w:rPr>
        <w:t xml:space="preserve"> amounts to €</w:t>
      </w:r>
      <w:r w:rsidR="00655D22">
        <w:rPr>
          <w:lang w:val="en-US"/>
        </w:rPr>
        <w:t>403</w:t>
      </w:r>
      <w:r w:rsidRPr="00BA1545">
        <w:rPr>
          <w:lang w:val="en-US"/>
        </w:rPr>
        <w:t xml:space="preserve">k </w:t>
      </w:r>
      <w:r>
        <w:rPr>
          <w:lang w:val="en-US"/>
        </w:rPr>
        <w:tab/>
      </w:r>
      <w:r>
        <w:rPr>
          <w:lang w:val="en-US"/>
        </w:rPr>
        <w:tab/>
      </w:r>
      <w:r>
        <w:rPr>
          <w:lang w:val="en-US"/>
        </w:rPr>
        <w:tab/>
      </w:r>
      <w:r>
        <w:rPr>
          <w:lang w:val="en-US"/>
        </w:rPr>
        <w:tab/>
      </w:r>
      <w:r>
        <w:rPr>
          <w:lang w:val="en-US"/>
        </w:rPr>
        <w:tab/>
      </w:r>
      <w:r w:rsidRPr="00BA1545">
        <w:rPr>
          <w:lang w:val="en-US"/>
        </w:rPr>
        <w:t>(201</w:t>
      </w:r>
      <w:r>
        <w:rPr>
          <w:lang w:val="en-US"/>
        </w:rPr>
        <w:t>7</w:t>
      </w:r>
      <w:r w:rsidRPr="00BA1545">
        <w:rPr>
          <w:lang w:val="en-US"/>
        </w:rPr>
        <w:t xml:space="preserve">: € </w:t>
      </w:r>
      <w:r>
        <w:rPr>
          <w:lang w:val="en-US"/>
        </w:rPr>
        <w:t>837</w:t>
      </w:r>
      <w:r w:rsidRPr="00BA1545">
        <w:rPr>
          <w:lang w:val="en-US"/>
        </w:rPr>
        <w:t xml:space="preserve">k) </w:t>
      </w:r>
    </w:p>
    <w:p w:rsidR="006A0327" w:rsidRDefault="006A0327" w:rsidP="006A0327">
      <w:pPr>
        <w:pStyle w:val="NoSpacing"/>
        <w:numPr>
          <w:ilvl w:val="0"/>
          <w:numId w:val="4"/>
        </w:numPr>
        <w:jc w:val="both"/>
        <w:rPr>
          <w:lang w:val="en-US"/>
        </w:rPr>
      </w:pPr>
      <w:r w:rsidRPr="00BA1545">
        <w:rPr>
          <w:lang w:val="en-US"/>
        </w:rPr>
        <w:t xml:space="preserve">EBIT amounts to € </w:t>
      </w:r>
      <w:r w:rsidR="003D6ECE">
        <w:rPr>
          <w:lang w:val="en-US"/>
        </w:rPr>
        <w:t>-2</w:t>
      </w:r>
      <w:r w:rsidR="00017DED">
        <w:rPr>
          <w:lang w:val="en-US"/>
        </w:rPr>
        <w:t>50</w:t>
      </w:r>
      <w:r w:rsidRPr="00BA1545">
        <w:rPr>
          <w:lang w:val="en-US"/>
        </w:rPr>
        <w:t xml:space="preserve">k </w:t>
      </w:r>
      <w:r>
        <w:rPr>
          <w:lang w:val="en-US"/>
        </w:rPr>
        <w:tab/>
      </w:r>
      <w:r>
        <w:rPr>
          <w:lang w:val="en-US"/>
        </w:rPr>
        <w:tab/>
      </w:r>
      <w:r>
        <w:rPr>
          <w:lang w:val="en-US"/>
        </w:rPr>
        <w:tab/>
      </w:r>
      <w:r>
        <w:rPr>
          <w:lang w:val="en-US"/>
        </w:rPr>
        <w:tab/>
      </w:r>
      <w:r>
        <w:rPr>
          <w:lang w:val="en-US"/>
        </w:rPr>
        <w:tab/>
      </w:r>
      <w:r w:rsidRPr="00BA1545">
        <w:rPr>
          <w:lang w:val="en-US"/>
        </w:rPr>
        <w:t>(201</w:t>
      </w:r>
      <w:r>
        <w:rPr>
          <w:lang w:val="en-US"/>
        </w:rPr>
        <w:t>7</w:t>
      </w:r>
      <w:r w:rsidRPr="00BA1545">
        <w:rPr>
          <w:lang w:val="en-US"/>
        </w:rPr>
        <w:t xml:space="preserve">: € </w:t>
      </w:r>
      <w:r>
        <w:rPr>
          <w:lang w:val="en-US"/>
        </w:rPr>
        <w:t>125k</w:t>
      </w:r>
      <w:r w:rsidRPr="00BA1545">
        <w:rPr>
          <w:lang w:val="en-US"/>
        </w:rPr>
        <w:t>)</w:t>
      </w:r>
    </w:p>
    <w:p w:rsidR="00344D07" w:rsidRPr="00BA1545" w:rsidRDefault="006A0327" w:rsidP="00BF3C58">
      <w:pPr>
        <w:pStyle w:val="NoSpacing"/>
        <w:numPr>
          <w:ilvl w:val="0"/>
          <w:numId w:val="4"/>
        </w:numPr>
        <w:jc w:val="both"/>
        <w:rPr>
          <w:lang w:val="en-US"/>
        </w:rPr>
      </w:pPr>
      <w:r>
        <w:rPr>
          <w:lang w:val="en-US"/>
        </w:rPr>
        <w:t>FLOW o</w:t>
      </w:r>
      <w:r w:rsidR="00344D07">
        <w:rPr>
          <w:lang w:val="en-US"/>
        </w:rPr>
        <w:t xml:space="preserve">rder </w:t>
      </w:r>
      <w:r>
        <w:rPr>
          <w:lang w:val="en-US"/>
        </w:rPr>
        <w:t>i</w:t>
      </w:r>
      <w:r w:rsidR="00344D07">
        <w:rPr>
          <w:lang w:val="en-US"/>
        </w:rPr>
        <w:t xml:space="preserve">ntake </w:t>
      </w:r>
      <w:r>
        <w:rPr>
          <w:lang w:val="en-US"/>
        </w:rPr>
        <w:t>of € 4.8 mln</w:t>
      </w:r>
      <w:r>
        <w:rPr>
          <w:lang w:val="en-US"/>
        </w:rPr>
        <w:tab/>
      </w:r>
      <w:r w:rsidR="003D6ECE">
        <w:rPr>
          <w:lang w:val="en-US"/>
        </w:rPr>
        <w:t>.</w:t>
      </w:r>
      <w:r>
        <w:rPr>
          <w:lang w:val="en-US"/>
        </w:rPr>
        <w:tab/>
      </w:r>
      <w:r>
        <w:rPr>
          <w:lang w:val="en-US"/>
        </w:rPr>
        <w:tab/>
      </w:r>
      <w:r>
        <w:rPr>
          <w:lang w:val="en-US"/>
        </w:rPr>
        <w:tab/>
      </w:r>
      <w:r>
        <w:rPr>
          <w:lang w:val="en-US"/>
        </w:rPr>
        <w:tab/>
      </w:r>
      <w:r w:rsidR="00344D07">
        <w:rPr>
          <w:lang w:val="en-US"/>
        </w:rPr>
        <w:t>(201</w:t>
      </w:r>
      <w:r w:rsidR="000443EF">
        <w:rPr>
          <w:lang w:val="en-US"/>
        </w:rPr>
        <w:t>7</w:t>
      </w:r>
      <w:r w:rsidR="00344D07">
        <w:rPr>
          <w:lang w:val="en-US"/>
        </w:rPr>
        <w:t xml:space="preserve">: € </w:t>
      </w:r>
      <w:r>
        <w:rPr>
          <w:lang w:val="en-US"/>
        </w:rPr>
        <w:t>5.3 mln</w:t>
      </w:r>
      <w:r w:rsidR="00344D07">
        <w:rPr>
          <w:lang w:val="en-US"/>
        </w:rPr>
        <w:t>)</w:t>
      </w:r>
    </w:p>
    <w:p w:rsidR="00E37C48" w:rsidRPr="00BA1545" w:rsidRDefault="00E37C48" w:rsidP="00BF3C58">
      <w:pPr>
        <w:pStyle w:val="NoSpacing"/>
        <w:jc w:val="both"/>
        <w:rPr>
          <w:lang w:val="en-US"/>
        </w:rPr>
      </w:pPr>
    </w:p>
    <w:p w:rsidR="001E149A" w:rsidRPr="00BA1545" w:rsidRDefault="001E149A" w:rsidP="00BF3C58">
      <w:pPr>
        <w:pStyle w:val="NoSpacing"/>
        <w:jc w:val="both"/>
        <w:rPr>
          <w:lang w:val="en-US"/>
        </w:rPr>
      </w:pPr>
    </w:p>
    <w:p w:rsidR="001E149A" w:rsidRPr="00BA1545" w:rsidRDefault="001E149A" w:rsidP="00BF3C58">
      <w:pPr>
        <w:pStyle w:val="NoSpacing"/>
        <w:jc w:val="both"/>
        <w:rPr>
          <w:lang w:val="en-US"/>
        </w:rPr>
      </w:pPr>
      <w:r w:rsidRPr="00BA1545">
        <w:rPr>
          <w:lang w:val="en-US"/>
        </w:rPr>
        <w:t>Highlights:</w:t>
      </w:r>
    </w:p>
    <w:p w:rsidR="00420DD5" w:rsidRPr="00BA1545" w:rsidRDefault="00420DD5" w:rsidP="00BF3C58">
      <w:pPr>
        <w:pStyle w:val="NoSpacing"/>
        <w:jc w:val="both"/>
        <w:rPr>
          <w:noProof/>
          <w:lang w:val="en-US" w:eastAsia="ja-JP"/>
        </w:rPr>
      </w:pPr>
    </w:p>
    <w:p w:rsidR="00A50B88" w:rsidRDefault="006A0327" w:rsidP="00BF3C58">
      <w:pPr>
        <w:pStyle w:val="NoSpacing"/>
        <w:jc w:val="both"/>
        <w:rPr>
          <w:noProof/>
          <w:lang w:val="en-US" w:eastAsia="ja-JP"/>
        </w:rPr>
      </w:pPr>
      <w:r>
        <w:rPr>
          <w:noProof/>
          <w:lang w:val="en-US" w:eastAsia="ja-JP"/>
        </w:rPr>
        <w:t>First half year business line performance</w:t>
      </w:r>
    </w:p>
    <w:p w:rsidR="004F0299" w:rsidRPr="00BA1545" w:rsidRDefault="004F0299" w:rsidP="00BF3C58">
      <w:pPr>
        <w:pStyle w:val="NoSpacing"/>
        <w:jc w:val="both"/>
        <w:rPr>
          <w:noProof/>
          <w:lang w:val="en-US" w:eastAsia="ja-JP"/>
        </w:rPr>
      </w:pPr>
    </w:p>
    <w:p w:rsidR="00A50B88" w:rsidRPr="00BA1545" w:rsidRDefault="00B00918">
      <w:pPr>
        <w:spacing w:after="200" w:line="276" w:lineRule="auto"/>
        <w:rPr>
          <w:rFonts w:asciiTheme="minorHAnsi" w:eastAsiaTheme="minorHAnsi" w:hAnsiTheme="minorHAnsi" w:cstheme="minorBidi"/>
          <w:bCs/>
          <w:sz w:val="22"/>
          <w:szCs w:val="22"/>
        </w:rPr>
      </w:pPr>
      <w:r w:rsidRPr="00B00918">
        <w:rPr>
          <w:noProof/>
          <w:lang w:val="nl-NL" w:eastAsia="nl-NL"/>
        </w:rPr>
        <w:drawing>
          <wp:inline distT="0" distB="0" distL="0" distR="0" wp14:anchorId="09DE287D" wp14:editId="2AC3F337">
            <wp:extent cx="5760720" cy="252585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525857"/>
                    </a:xfrm>
                    <a:prstGeom prst="rect">
                      <a:avLst/>
                    </a:prstGeom>
                    <a:noFill/>
                    <a:ln>
                      <a:noFill/>
                    </a:ln>
                  </pic:spPr>
                </pic:pic>
              </a:graphicData>
            </a:graphic>
          </wp:inline>
        </w:drawing>
      </w:r>
      <w:r w:rsidR="00A50B88" w:rsidRPr="00BA1545">
        <w:rPr>
          <w:rFonts w:asciiTheme="minorHAnsi" w:hAnsiTheme="minorHAnsi"/>
          <w:bCs/>
          <w:sz w:val="22"/>
          <w:szCs w:val="22"/>
        </w:rPr>
        <w:br w:type="page"/>
      </w:r>
    </w:p>
    <w:p w:rsidR="00A50B88" w:rsidRPr="00BA1545" w:rsidRDefault="006A0327" w:rsidP="00BF3C58">
      <w:pPr>
        <w:pStyle w:val="NoSpacing"/>
        <w:jc w:val="both"/>
        <w:rPr>
          <w:bCs/>
          <w:lang w:val="en-US"/>
        </w:rPr>
      </w:pPr>
      <w:r>
        <w:rPr>
          <w:bCs/>
          <w:lang w:val="en-US"/>
        </w:rPr>
        <w:lastRenderedPageBreak/>
        <w:t>First half year Total Performance</w:t>
      </w:r>
    </w:p>
    <w:p w:rsidR="00A50B88" w:rsidRPr="00BA1545" w:rsidRDefault="00A50B88" w:rsidP="00BF3C58">
      <w:pPr>
        <w:pStyle w:val="NoSpacing"/>
        <w:jc w:val="both"/>
        <w:rPr>
          <w:bCs/>
          <w:lang w:val="en-US"/>
        </w:rPr>
      </w:pPr>
    </w:p>
    <w:p w:rsidR="00535A1F" w:rsidRDefault="00B00918" w:rsidP="00BF3C58">
      <w:pPr>
        <w:pStyle w:val="NoSpacing"/>
        <w:jc w:val="both"/>
        <w:rPr>
          <w:bCs/>
          <w:lang w:val="en-US"/>
        </w:rPr>
      </w:pPr>
      <w:r w:rsidRPr="00B00918">
        <w:rPr>
          <w:noProof/>
          <w:lang w:eastAsia="nl-NL"/>
        </w:rPr>
        <w:drawing>
          <wp:inline distT="0" distB="0" distL="0" distR="0" wp14:anchorId="48788FC3" wp14:editId="54300F0C">
            <wp:extent cx="5216237" cy="320653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3729" cy="3204988"/>
                    </a:xfrm>
                    <a:prstGeom prst="rect">
                      <a:avLst/>
                    </a:prstGeom>
                    <a:noFill/>
                    <a:ln>
                      <a:noFill/>
                    </a:ln>
                  </pic:spPr>
                </pic:pic>
              </a:graphicData>
            </a:graphic>
          </wp:inline>
        </w:drawing>
      </w:r>
    </w:p>
    <w:p w:rsidR="00BD3E85" w:rsidRPr="00BA1545" w:rsidRDefault="00BD3E85" w:rsidP="00BF3C58">
      <w:pPr>
        <w:pStyle w:val="NoSpacing"/>
        <w:jc w:val="both"/>
        <w:rPr>
          <w:bCs/>
          <w:lang w:val="en-US"/>
        </w:rPr>
      </w:pPr>
    </w:p>
    <w:p w:rsidR="00BF3C58" w:rsidRPr="00BA1545" w:rsidRDefault="00934F20" w:rsidP="00BF3C58">
      <w:pPr>
        <w:pStyle w:val="NoSpacing"/>
        <w:jc w:val="both"/>
        <w:rPr>
          <w:bCs/>
          <w:lang w:val="en-US"/>
        </w:rPr>
      </w:pPr>
      <w:r w:rsidRPr="00BA1545">
        <w:rPr>
          <w:bCs/>
          <w:lang w:val="en-US"/>
        </w:rPr>
        <w:t>TIE Kinetix</w:t>
      </w:r>
      <w:r w:rsidR="00584AC8" w:rsidRPr="00BA1545">
        <w:rPr>
          <w:bCs/>
          <w:lang w:val="en-US"/>
        </w:rPr>
        <w:t xml:space="preserve">, the </w:t>
      </w:r>
      <w:r w:rsidR="00702866" w:rsidRPr="00BA1545">
        <w:rPr>
          <w:bCs/>
          <w:lang w:val="en-US"/>
        </w:rPr>
        <w:t xml:space="preserve">leading </w:t>
      </w:r>
      <w:r w:rsidR="006C125B" w:rsidRPr="00BA1545">
        <w:rPr>
          <w:bCs/>
          <w:lang w:val="en-US"/>
        </w:rPr>
        <w:t xml:space="preserve">provider of </w:t>
      </w:r>
      <w:r w:rsidR="00473560">
        <w:rPr>
          <w:bCs/>
          <w:lang w:val="en-US"/>
        </w:rPr>
        <w:t xml:space="preserve">Software as a Service </w:t>
      </w:r>
      <w:r w:rsidR="006C125B" w:rsidRPr="00BA1545">
        <w:rPr>
          <w:bCs/>
          <w:lang w:val="en-US"/>
        </w:rPr>
        <w:t xml:space="preserve">managed </w:t>
      </w:r>
      <w:r w:rsidR="00473560">
        <w:rPr>
          <w:bCs/>
          <w:lang w:val="en-US"/>
        </w:rPr>
        <w:t xml:space="preserve">solutions for </w:t>
      </w:r>
      <w:r w:rsidR="006C125B" w:rsidRPr="00BA1545">
        <w:rPr>
          <w:bCs/>
          <w:lang w:val="en-US"/>
        </w:rPr>
        <w:t xml:space="preserve">Integration, Analytics, Demand Generation and E-Commerce today released interim results for </w:t>
      </w:r>
      <w:r w:rsidR="00E11ACB" w:rsidRPr="00BA1545">
        <w:rPr>
          <w:bCs/>
          <w:lang w:val="en-US"/>
        </w:rPr>
        <w:t>the first half year of its fiscal</w:t>
      </w:r>
      <w:r w:rsidR="009D4ECB">
        <w:rPr>
          <w:bCs/>
          <w:lang w:val="en-US"/>
        </w:rPr>
        <w:t xml:space="preserve"> year</w:t>
      </w:r>
      <w:r w:rsidR="00E11ACB" w:rsidRPr="00BA1545">
        <w:rPr>
          <w:bCs/>
          <w:lang w:val="en-US"/>
        </w:rPr>
        <w:t xml:space="preserve"> </w:t>
      </w:r>
      <w:r w:rsidR="006C125B" w:rsidRPr="00BA1545">
        <w:rPr>
          <w:bCs/>
          <w:lang w:val="en-US"/>
        </w:rPr>
        <w:t>201</w:t>
      </w:r>
      <w:r w:rsidR="0057629E">
        <w:rPr>
          <w:bCs/>
          <w:lang w:val="en-US"/>
        </w:rPr>
        <w:t>8</w:t>
      </w:r>
      <w:r w:rsidR="00E91943" w:rsidRPr="00BA1545">
        <w:rPr>
          <w:bCs/>
          <w:lang w:val="en-US"/>
        </w:rPr>
        <w:t>, covering the period October 1, 201</w:t>
      </w:r>
      <w:r w:rsidR="00F658BF">
        <w:rPr>
          <w:bCs/>
          <w:lang w:val="en-US"/>
        </w:rPr>
        <w:t>7</w:t>
      </w:r>
      <w:r w:rsidR="00E91943" w:rsidRPr="00BA1545">
        <w:rPr>
          <w:bCs/>
          <w:lang w:val="en-US"/>
        </w:rPr>
        <w:t xml:space="preserve"> – March 31, 201</w:t>
      </w:r>
      <w:r w:rsidR="00F658BF">
        <w:rPr>
          <w:bCs/>
          <w:lang w:val="en-US"/>
        </w:rPr>
        <w:t>8</w:t>
      </w:r>
      <w:r w:rsidR="00E91943" w:rsidRPr="00BA1545">
        <w:rPr>
          <w:bCs/>
          <w:lang w:val="en-US"/>
        </w:rPr>
        <w:t xml:space="preserve">. </w:t>
      </w:r>
    </w:p>
    <w:p w:rsidR="002A51B8" w:rsidRPr="00BA1545" w:rsidRDefault="002A51B8" w:rsidP="00BF3C58">
      <w:pPr>
        <w:pStyle w:val="NoSpacing"/>
        <w:jc w:val="both"/>
        <w:rPr>
          <w:bCs/>
          <w:lang w:val="en-US"/>
        </w:rPr>
      </w:pPr>
    </w:p>
    <w:p w:rsidR="002C0100" w:rsidRDefault="002C0100" w:rsidP="002C0100">
      <w:pPr>
        <w:pStyle w:val="NoSpacing"/>
        <w:jc w:val="both"/>
        <w:rPr>
          <w:bCs/>
          <w:lang w:val="en-US"/>
        </w:rPr>
      </w:pPr>
      <w:r>
        <w:rPr>
          <w:bCs/>
          <w:lang w:val="en-US"/>
        </w:rPr>
        <w:t>HY1 2018 performance includes the positive outcome of an out-of-court settlement with Plusserver AG. This settlement provided a positive effect on EBITDA of € 336k and included compensation for damages and costs incurred. An amount of € 136k is reported as credit to Cost of Sales and an amount of € 200k has been booked as credit under Operating Expenses.</w:t>
      </w:r>
    </w:p>
    <w:p w:rsidR="002C0100" w:rsidRDefault="002C0100" w:rsidP="002C0100">
      <w:pPr>
        <w:pStyle w:val="NoSpacing"/>
        <w:jc w:val="both"/>
        <w:rPr>
          <w:bCs/>
          <w:lang w:val="en-US"/>
        </w:rPr>
      </w:pPr>
    </w:p>
    <w:p w:rsidR="006342E5" w:rsidRDefault="006A0327" w:rsidP="006A0327">
      <w:pPr>
        <w:pStyle w:val="NoSpacing"/>
        <w:jc w:val="both"/>
        <w:rPr>
          <w:bCs/>
          <w:lang w:val="en-US"/>
        </w:rPr>
      </w:pPr>
      <w:r>
        <w:rPr>
          <w:bCs/>
          <w:lang w:val="en-US"/>
        </w:rPr>
        <w:t xml:space="preserve">In the first half year of 2018 </w:t>
      </w:r>
      <w:r w:rsidR="008D0AD6">
        <w:rPr>
          <w:bCs/>
          <w:lang w:val="en-US"/>
        </w:rPr>
        <w:t xml:space="preserve">several landmark new customers were implemented, such as Parker Hannifin and City of Rotterdam. Yet the implementation of other </w:t>
      </w:r>
      <w:r w:rsidR="002B292A">
        <w:rPr>
          <w:bCs/>
          <w:lang w:val="en-US"/>
        </w:rPr>
        <w:t xml:space="preserve">sizable </w:t>
      </w:r>
      <w:r w:rsidR="008D0AD6">
        <w:rPr>
          <w:bCs/>
          <w:lang w:val="en-US"/>
        </w:rPr>
        <w:t>new customers</w:t>
      </w:r>
      <w:r w:rsidR="0053498C">
        <w:rPr>
          <w:bCs/>
          <w:lang w:val="en-US"/>
        </w:rPr>
        <w:t xml:space="preserve"> (Chanel, City of Amsterdam) </w:t>
      </w:r>
      <w:r w:rsidR="008D0AD6">
        <w:rPr>
          <w:bCs/>
          <w:lang w:val="en-US"/>
        </w:rPr>
        <w:t xml:space="preserve">was delayed. These customers are expected to go life in the next months. </w:t>
      </w:r>
      <w:r w:rsidR="0053498C">
        <w:rPr>
          <w:bCs/>
          <w:lang w:val="en-US"/>
        </w:rPr>
        <w:t>T</w:t>
      </w:r>
      <w:r>
        <w:rPr>
          <w:bCs/>
          <w:lang w:val="en-US"/>
        </w:rPr>
        <w:t xml:space="preserve">he company </w:t>
      </w:r>
      <w:r w:rsidR="00317C14">
        <w:rPr>
          <w:bCs/>
          <w:lang w:val="en-US"/>
        </w:rPr>
        <w:t xml:space="preserve">achieved </w:t>
      </w:r>
      <w:r w:rsidR="0053498C">
        <w:rPr>
          <w:bCs/>
          <w:lang w:val="en-US"/>
        </w:rPr>
        <w:t xml:space="preserve">new </w:t>
      </w:r>
      <w:r w:rsidR="00317C14">
        <w:rPr>
          <w:bCs/>
          <w:lang w:val="en-US"/>
        </w:rPr>
        <w:t>customer wins in its FLOW offering</w:t>
      </w:r>
      <w:r w:rsidR="0053498C">
        <w:rPr>
          <w:bCs/>
          <w:lang w:val="en-US"/>
        </w:rPr>
        <w:t xml:space="preserve"> in the Business-to-government offerings with the city of Haarlem and the Ministry of Justice in the Netherlands.</w:t>
      </w:r>
      <w:r w:rsidR="00317C14">
        <w:rPr>
          <w:bCs/>
          <w:lang w:val="en-US"/>
        </w:rPr>
        <w:t xml:space="preserve"> The </w:t>
      </w:r>
      <w:r w:rsidR="0053498C">
        <w:rPr>
          <w:bCs/>
          <w:lang w:val="en-US"/>
        </w:rPr>
        <w:t xml:space="preserve">pipeline of the </w:t>
      </w:r>
      <w:r w:rsidR="00317C14">
        <w:rPr>
          <w:bCs/>
          <w:lang w:val="en-US"/>
        </w:rPr>
        <w:t xml:space="preserve">Business-to-Government (BtG) proposition </w:t>
      </w:r>
      <w:r w:rsidR="002B292A">
        <w:rPr>
          <w:bCs/>
          <w:lang w:val="en-US"/>
        </w:rPr>
        <w:t xml:space="preserve">in the Netherlands </w:t>
      </w:r>
      <w:r w:rsidR="0053498C">
        <w:rPr>
          <w:bCs/>
          <w:lang w:val="en-US"/>
        </w:rPr>
        <w:t xml:space="preserve">looks promising.  In HY1 2018, customer implementations and Order Intake of the FLOW </w:t>
      </w:r>
      <w:r w:rsidR="00317C14">
        <w:rPr>
          <w:bCs/>
          <w:lang w:val="en-US"/>
        </w:rPr>
        <w:t xml:space="preserve">offering </w:t>
      </w:r>
      <w:r w:rsidR="0053498C">
        <w:rPr>
          <w:bCs/>
          <w:lang w:val="en-US"/>
        </w:rPr>
        <w:t>of Google Adwords-for-Channel stay</w:t>
      </w:r>
      <w:r w:rsidR="0057629E">
        <w:rPr>
          <w:bCs/>
          <w:lang w:val="en-US"/>
        </w:rPr>
        <w:t>ed</w:t>
      </w:r>
      <w:r w:rsidR="0053498C">
        <w:rPr>
          <w:bCs/>
          <w:lang w:val="en-US"/>
        </w:rPr>
        <w:t xml:space="preserve"> behind plan. </w:t>
      </w:r>
      <w:r w:rsidR="002B292A">
        <w:rPr>
          <w:bCs/>
          <w:lang w:val="en-US"/>
        </w:rPr>
        <w:t>Also,</w:t>
      </w:r>
      <w:r w:rsidR="0053498C">
        <w:rPr>
          <w:bCs/>
          <w:lang w:val="en-US"/>
        </w:rPr>
        <w:t xml:space="preserve"> the FLOW offering of Google Analytics 360 came in behind plan. Overall, the company reports flat FLOW sales </w:t>
      </w:r>
      <w:r w:rsidR="002B292A">
        <w:rPr>
          <w:bCs/>
          <w:lang w:val="en-US"/>
        </w:rPr>
        <w:t xml:space="preserve">against HY1 2017 </w:t>
      </w:r>
      <w:r w:rsidR="0053498C">
        <w:rPr>
          <w:bCs/>
          <w:lang w:val="en-US"/>
        </w:rPr>
        <w:t>with higher</w:t>
      </w:r>
      <w:r w:rsidR="002B292A">
        <w:rPr>
          <w:bCs/>
          <w:lang w:val="en-US"/>
        </w:rPr>
        <w:t xml:space="preserve"> gross </w:t>
      </w:r>
      <w:r w:rsidR="0053498C">
        <w:rPr>
          <w:bCs/>
          <w:lang w:val="en-US"/>
        </w:rPr>
        <w:t>margin</w:t>
      </w:r>
      <w:r w:rsidR="002B292A">
        <w:rPr>
          <w:bCs/>
          <w:lang w:val="en-US"/>
        </w:rPr>
        <w:t>s</w:t>
      </w:r>
      <w:r w:rsidR="0053498C">
        <w:rPr>
          <w:bCs/>
          <w:lang w:val="en-US"/>
        </w:rPr>
        <w:t xml:space="preserve"> due to sales mix differences (lower than planned low margin third party products).</w:t>
      </w:r>
      <w:r>
        <w:rPr>
          <w:bCs/>
          <w:lang w:val="en-US"/>
        </w:rPr>
        <w:t xml:space="preserve"> </w:t>
      </w:r>
      <w:r w:rsidR="0053498C">
        <w:rPr>
          <w:bCs/>
          <w:lang w:val="en-US"/>
        </w:rPr>
        <w:t xml:space="preserve">In view of </w:t>
      </w:r>
      <w:r w:rsidR="00E11DBA">
        <w:rPr>
          <w:bCs/>
          <w:lang w:val="en-US"/>
        </w:rPr>
        <w:t xml:space="preserve">finalization of </w:t>
      </w:r>
      <w:r w:rsidR="002B292A">
        <w:rPr>
          <w:bCs/>
          <w:lang w:val="en-US"/>
        </w:rPr>
        <w:t xml:space="preserve">pending </w:t>
      </w:r>
      <w:r w:rsidR="0053498C">
        <w:rPr>
          <w:bCs/>
          <w:lang w:val="en-US"/>
        </w:rPr>
        <w:t>implementation</w:t>
      </w:r>
      <w:r w:rsidR="002B292A">
        <w:rPr>
          <w:bCs/>
          <w:lang w:val="en-US"/>
        </w:rPr>
        <w:t>s</w:t>
      </w:r>
      <w:r w:rsidR="0053498C">
        <w:rPr>
          <w:bCs/>
          <w:lang w:val="en-US"/>
        </w:rPr>
        <w:t>, particularly in the US</w:t>
      </w:r>
      <w:r w:rsidR="006342E5">
        <w:rPr>
          <w:bCs/>
          <w:lang w:val="en-US"/>
        </w:rPr>
        <w:t xml:space="preserve">, FLOW sales may be expected to increase in HY2. </w:t>
      </w:r>
    </w:p>
    <w:p w:rsidR="006342E5" w:rsidRDefault="006342E5" w:rsidP="006A0327">
      <w:pPr>
        <w:pStyle w:val="NoSpacing"/>
        <w:jc w:val="both"/>
        <w:rPr>
          <w:bCs/>
          <w:lang w:val="en-US"/>
        </w:rPr>
      </w:pPr>
    </w:p>
    <w:p w:rsidR="006A0327" w:rsidRPr="00053568" w:rsidRDefault="006A0327" w:rsidP="006A0327">
      <w:pPr>
        <w:pStyle w:val="NoSpacing"/>
        <w:jc w:val="both"/>
        <w:rPr>
          <w:bCs/>
          <w:lang w:val="en-US"/>
        </w:rPr>
      </w:pPr>
      <w:r w:rsidRPr="001E4B50">
        <w:rPr>
          <w:bCs/>
          <w:lang w:val="en-US"/>
        </w:rPr>
        <w:t xml:space="preserve">TIE closed </w:t>
      </w:r>
      <w:r w:rsidR="00571EDA">
        <w:rPr>
          <w:bCs/>
          <w:lang w:val="en-US"/>
        </w:rPr>
        <w:t xml:space="preserve">H1 2018 </w:t>
      </w:r>
      <w:r w:rsidRPr="001E4B50">
        <w:rPr>
          <w:bCs/>
          <w:lang w:val="en-US"/>
        </w:rPr>
        <w:t xml:space="preserve">with revenue amounting to € </w:t>
      </w:r>
      <w:r w:rsidR="00571EDA">
        <w:rPr>
          <w:bCs/>
          <w:lang w:val="en-US"/>
        </w:rPr>
        <w:t>8.803</w:t>
      </w:r>
      <w:r w:rsidRPr="001E4B50">
        <w:rPr>
          <w:bCs/>
          <w:lang w:val="en-US"/>
        </w:rPr>
        <w:t xml:space="preserve">k, and EBITDA of € </w:t>
      </w:r>
      <w:r w:rsidR="00655D22">
        <w:rPr>
          <w:bCs/>
          <w:lang w:val="en-US"/>
        </w:rPr>
        <w:t>403</w:t>
      </w:r>
      <w:r w:rsidRPr="001E4B50">
        <w:rPr>
          <w:bCs/>
          <w:lang w:val="en-US"/>
        </w:rPr>
        <w:t>k (</w:t>
      </w:r>
      <w:r w:rsidR="00655D22">
        <w:rPr>
          <w:bCs/>
          <w:lang w:val="en-US"/>
        </w:rPr>
        <w:t>4,6</w:t>
      </w:r>
      <w:r w:rsidRPr="001E4B50">
        <w:rPr>
          <w:bCs/>
          <w:lang w:val="en-US"/>
        </w:rPr>
        <w:t xml:space="preserve">%). </w:t>
      </w:r>
    </w:p>
    <w:p w:rsidR="00BF3C58" w:rsidRPr="00BA1545" w:rsidRDefault="00BF3C58" w:rsidP="00BF3C58">
      <w:pPr>
        <w:pStyle w:val="NoSpacing"/>
        <w:jc w:val="both"/>
        <w:rPr>
          <w:bCs/>
          <w:lang w:val="en-US"/>
        </w:rPr>
      </w:pPr>
    </w:p>
    <w:p w:rsidR="00987A15" w:rsidRDefault="00E96005" w:rsidP="00BF3C58">
      <w:pPr>
        <w:pStyle w:val="NoSpacing"/>
        <w:jc w:val="both"/>
        <w:rPr>
          <w:bCs/>
          <w:lang w:val="en-US"/>
        </w:rPr>
      </w:pPr>
      <w:r w:rsidRPr="00BA1545">
        <w:rPr>
          <w:bCs/>
          <w:lang w:val="en-US"/>
        </w:rPr>
        <w:t xml:space="preserve">Jan Sundelin (CEO) said: </w:t>
      </w:r>
      <w:r w:rsidR="002E5855" w:rsidRPr="00BA1545">
        <w:rPr>
          <w:lang w:val="en-US"/>
        </w:rPr>
        <w:t>“</w:t>
      </w:r>
      <w:r w:rsidR="00C238EF">
        <w:rPr>
          <w:lang w:val="en-US"/>
        </w:rPr>
        <w:t>bringing our FLO</w:t>
      </w:r>
      <w:r w:rsidR="0006214A">
        <w:rPr>
          <w:lang w:val="en-US"/>
        </w:rPr>
        <w:t>W</w:t>
      </w:r>
      <w:r w:rsidR="00C238EF">
        <w:rPr>
          <w:lang w:val="en-US"/>
        </w:rPr>
        <w:t xml:space="preserve"> proposition to the market paints a mixed picture of success. One the one hand we see that the rich functionality of our e-invoicing proposition convinces more and more Dutch municipalities to choose for our solution. TIE has captured a stronghold position in the BtG market </w:t>
      </w:r>
      <w:r w:rsidR="00E11DBA">
        <w:rPr>
          <w:lang w:val="en-US"/>
        </w:rPr>
        <w:t xml:space="preserve">with </w:t>
      </w:r>
      <w:r w:rsidR="00C238EF">
        <w:rPr>
          <w:lang w:val="en-US"/>
        </w:rPr>
        <w:t xml:space="preserve">subscription revenue generating customers. At the same time, we are experiencing commercial headwind in bringing our Analytics and Google Adwords-for-Channel products to market. </w:t>
      </w:r>
      <w:r w:rsidR="00A167EA">
        <w:rPr>
          <w:lang w:val="en-US"/>
        </w:rPr>
        <w:t xml:space="preserve">Even though the Google-Adword-for-Channel </w:t>
      </w:r>
      <w:r w:rsidR="00C238EF">
        <w:rPr>
          <w:lang w:val="en-US"/>
        </w:rPr>
        <w:t>pipeline is filling</w:t>
      </w:r>
      <w:r w:rsidR="00A167EA">
        <w:rPr>
          <w:lang w:val="en-US"/>
        </w:rPr>
        <w:t xml:space="preserve"> up</w:t>
      </w:r>
      <w:r w:rsidR="00C238EF">
        <w:rPr>
          <w:lang w:val="en-US"/>
        </w:rPr>
        <w:t xml:space="preserve">, </w:t>
      </w:r>
      <w:r w:rsidR="00A167EA">
        <w:rPr>
          <w:lang w:val="en-US"/>
        </w:rPr>
        <w:t xml:space="preserve">new </w:t>
      </w:r>
      <w:r w:rsidR="00C238EF">
        <w:rPr>
          <w:lang w:val="en-US"/>
        </w:rPr>
        <w:t xml:space="preserve">customers seem weary to sign up for these products in the </w:t>
      </w:r>
      <w:r w:rsidR="00E11DBA">
        <w:rPr>
          <w:lang w:val="en-US"/>
        </w:rPr>
        <w:t>scale</w:t>
      </w:r>
      <w:r w:rsidR="00C238EF">
        <w:rPr>
          <w:lang w:val="en-US"/>
        </w:rPr>
        <w:t xml:space="preserve"> </w:t>
      </w:r>
      <w:r w:rsidR="00A167EA">
        <w:rPr>
          <w:lang w:val="en-US"/>
        </w:rPr>
        <w:t xml:space="preserve">that </w:t>
      </w:r>
      <w:r w:rsidR="00C238EF">
        <w:rPr>
          <w:lang w:val="en-US"/>
        </w:rPr>
        <w:t xml:space="preserve">we projected. </w:t>
      </w:r>
      <w:r w:rsidR="00A167EA">
        <w:rPr>
          <w:lang w:val="en-US"/>
        </w:rPr>
        <w:t xml:space="preserve">Also the number of new customers signing up for the Google 360 Analytics proposition is below plan. The market for </w:t>
      </w:r>
      <w:r w:rsidR="00A167EA">
        <w:rPr>
          <w:lang w:val="en-US"/>
        </w:rPr>
        <w:lastRenderedPageBreak/>
        <w:t xml:space="preserve">the Google Analytics suite of products is still immature and needs to be further developed. </w:t>
      </w:r>
      <w:r w:rsidR="0006214A">
        <w:rPr>
          <w:lang w:val="en-US"/>
        </w:rPr>
        <w:t xml:space="preserve">In the second half year we expect to sign up more Analytics and Google-Adwords-for-Channel customers. </w:t>
      </w:r>
      <w:r w:rsidR="00E11DBA">
        <w:rPr>
          <w:lang w:val="en-US"/>
        </w:rPr>
        <w:t>However, i</w:t>
      </w:r>
      <w:r w:rsidR="0006214A">
        <w:rPr>
          <w:lang w:val="en-US"/>
        </w:rPr>
        <w:t xml:space="preserve">n the second half year </w:t>
      </w:r>
      <w:r w:rsidR="00B412DA">
        <w:rPr>
          <w:lang w:val="en-US"/>
        </w:rPr>
        <w:t xml:space="preserve">our top line revenue and operational performance will be impacted as </w:t>
      </w:r>
      <w:r w:rsidR="0006214A">
        <w:rPr>
          <w:lang w:val="en-US"/>
        </w:rPr>
        <w:t>the company bring</w:t>
      </w:r>
      <w:r w:rsidR="00B412DA">
        <w:rPr>
          <w:lang w:val="en-US"/>
        </w:rPr>
        <w:t>s</w:t>
      </w:r>
      <w:r w:rsidR="0006214A">
        <w:rPr>
          <w:lang w:val="en-US"/>
        </w:rPr>
        <w:t xml:space="preserve"> down services for two sizable non FLOW customers (T-Mobile and Orsay) upon expiration of their contracts. Total monthly revenue of these two contracts amounts to approximately € 150k which cannot be offset against new customer implementations</w:t>
      </w:r>
      <w:r w:rsidR="00E11DBA">
        <w:rPr>
          <w:lang w:val="en-US"/>
        </w:rPr>
        <w:t xml:space="preserve"> at this stage</w:t>
      </w:r>
      <w:r w:rsidR="0006214A">
        <w:rPr>
          <w:lang w:val="en-US"/>
        </w:rPr>
        <w:t>”</w:t>
      </w:r>
      <w:r w:rsidR="00B412DA">
        <w:rPr>
          <w:lang w:val="en-US"/>
        </w:rPr>
        <w:t>.</w:t>
      </w:r>
      <w:r w:rsidR="0006214A">
        <w:rPr>
          <w:lang w:val="en-US"/>
        </w:rPr>
        <w:t xml:space="preserve"> </w:t>
      </w:r>
    </w:p>
    <w:p w:rsidR="007B667C" w:rsidRPr="00BA1545" w:rsidRDefault="007B667C" w:rsidP="00BF3C58">
      <w:pPr>
        <w:pStyle w:val="NoSpacing"/>
        <w:jc w:val="both"/>
        <w:rPr>
          <w:bCs/>
          <w:lang w:val="en-US"/>
        </w:rPr>
      </w:pPr>
    </w:p>
    <w:p w:rsidR="00B35711" w:rsidRPr="007B667C" w:rsidRDefault="00B35711" w:rsidP="00BF3C58">
      <w:pPr>
        <w:pStyle w:val="NoSpacing"/>
        <w:jc w:val="both"/>
        <w:rPr>
          <w:b/>
          <w:bCs/>
          <w:lang w:val="en-US"/>
        </w:rPr>
      </w:pPr>
      <w:r w:rsidRPr="007B667C">
        <w:rPr>
          <w:b/>
          <w:bCs/>
          <w:lang w:val="en-US"/>
        </w:rPr>
        <w:t>Operating margin</w:t>
      </w:r>
    </w:p>
    <w:p w:rsidR="00893AAF" w:rsidRPr="00BA1545" w:rsidRDefault="00893AAF" w:rsidP="00BF3C58">
      <w:pPr>
        <w:pStyle w:val="NoSpacing"/>
        <w:jc w:val="both"/>
        <w:rPr>
          <w:bCs/>
          <w:lang w:val="en-US"/>
        </w:rPr>
      </w:pPr>
    </w:p>
    <w:p w:rsidR="009124FD" w:rsidRPr="00BA1545" w:rsidRDefault="00B00918" w:rsidP="00BF3C58">
      <w:pPr>
        <w:pStyle w:val="NoSpacing"/>
        <w:jc w:val="both"/>
        <w:rPr>
          <w:bCs/>
          <w:lang w:val="en-US"/>
        </w:rPr>
      </w:pPr>
      <w:r w:rsidRPr="00B00918">
        <w:rPr>
          <w:noProof/>
          <w:lang w:eastAsia="nl-NL"/>
        </w:rPr>
        <w:drawing>
          <wp:inline distT="0" distB="0" distL="0" distR="0">
            <wp:extent cx="3200400" cy="17035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712" cy="1703752"/>
                    </a:xfrm>
                    <a:prstGeom prst="rect">
                      <a:avLst/>
                    </a:prstGeom>
                    <a:noFill/>
                    <a:ln>
                      <a:noFill/>
                    </a:ln>
                  </pic:spPr>
                </pic:pic>
              </a:graphicData>
            </a:graphic>
          </wp:inline>
        </w:drawing>
      </w:r>
    </w:p>
    <w:p w:rsidR="009124FD" w:rsidRPr="00BA1545" w:rsidRDefault="009124FD" w:rsidP="00BF3C58">
      <w:pPr>
        <w:pStyle w:val="NoSpacing"/>
        <w:jc w:val="both"/>
        <w:rPr>
          <w:bCs/>
          <w:lang w:val="en-US"/>
        </w:rPr>
      </w:pPr>
    </w:p>
    <w:p w:rsidR="00C368EC" w:rsidRDefault="00483EB3" w:rsidP="00BA0D22">
      <w:pPr>
        <w:pStyle w:val="BodyText"/>
        <w:tabs>
          <w:tab w:val="left" w:pos="180"/>
          <w:tab w:val="right" w:pos="5040"/>
          <w:tab w:val="right" w:pos="6120"/>
          <w:tab w:val="right" w:pos="7200"/>
          <w:tab w:val="right" w:pos="8280"/>
        </w:tabs>
        <w:jc w:val="both"/>
        <w:rPr>
          <w:rFonts w:asciiTheme="minorHAnsi" w:hAnsiTheme="minorHAnsi"/>
          <w:color w:val="auto"/>
          <w:sz w:val="22"/>
          <w:szCs w:val="22"/>
        </w:rPr>
      </w:pPr>
      <w:r>
        <w:rPr>
          <w:rFonts w:asciiTheme="minorHAnsi" w:hAnsiTheme="minorHAnsi"/>
          <w:color w:val="auto"/>
          <w:sz w:val="22"/>
          <w:szCs w:val="22"/>
        </w:rPr>
        <w:t>A</w:t>
      </w:r>
      <w:r w:rsidR="00C368EC" w:rsidRPr="00BA1545">
        <w:rPr>
          <w:rFonts w:asciiTheme="minorHAnsi" w:hAnsiTheme="minorHAnsi"/>
          <w:color w:val="auto"/>
          <w:sz w:val="22"/>
          <w:szCs w:val="22"/>
        </w:rPr>
        <w:t>ll employee expenses related to consultants are included as direct costs in the business line in which the consultant performs its activity</w:t>
      </w:r>
      <w:r>
        <w:rPr>
          <w:rFonts w:asciiTheme="minorHAnsi" w:hAnsiTheme="minorHAnsi"/>
          <w:color w:val="auto"/>
          <w:sz w:val="22"/>
          <w:szCs w:val="22"/>
        </w:rPr>
        <w:t>.</w:t>
      </w:r>
      <w:r w:rsidR="00D065B0" w:rsidRPr="00BA1545">
        <w:rPr>
          <w:rFonts w:asciiTheme="minorHAnsi" w:hAnsiTheme="minorHAnsi"/>
          <w:color w:val="auto"/>
          <w:sz w:val="22"/>
          <w:szCs w:val="22"/>
        </w:rPr>
        <w:t xml:space="preserve"> O</w:t>
      </w:r>
      <w:r w:rsidR="00B412DA">
        <w:rPr>
          <w:rFonts w:asciiTheme="minorHAnsi" w:hAnsiTheme="minorHAnsi"/>
          <w:color w:val="auto"/>
          <w:sz w:val="22"/>
          <w:szCs w:val="22"/>
        </w:rPr>
        <w:t>ther o</w:t>
      </w:r>
      <w:r w:rsidR="00C368EC" w:rsidRPr="00BA1545">
        <w:rPr>
          <w:rFonts w:asciiTheme="minorHAnsi" w:hAnsiTheme="minorHAnsi"/>
          <w:color w:val="auto"/>
          <w:sz w:val="22"/>
          <w:szCs w:val="22"/>
        </w:rPr>
        <w:t xml:space="preserve">perating </w:t>
      </w:r>
      <w:r w:rsidR="00D065B0" w:rsidRPr="00BA1545">
        <w:rPr>
          <w:rFonts w:asciiTheme="minorHAnsi" w:hAnsiTheme="minorHAnsi"/>
          <w:color w:val="auto"/>
          <w:sz w:val="22"/>
          <w:szCs w:val="22"/>
        </w:rPr>
        <w:t>E</w:t>
      </w:r>
      <w:r w:rsidR="00C368EC" w:rsidRPr="00BA1545">
        <w:rPr>
          <w:rFonts w:asciiTheme="minorHAnsi" w:hAnsiTheme="minorHAnsi"/>
          <w:color w:val="auto"/>
          <w:sz w:val="22"/>
          <w:szCs w:val="22"/>
        </w:rPr>
        <w:t>xpenses reflect indirect costs</w:t>
      </w:r>
      <w:r w:rsidR="00B412DA">
        <w:rPr>
          <w:rFonts w:asciiTheme="minorHAnsi" w:hAnsiTheme="minorHAnsi"/>
          <w:color w:val="auto"/>
          <w:sz w:val="22"/>
          <w:szCs w:val="22"/>
        </w:rPr>
        <w:t xml:space="preserve">, </w:t>
      </w:r>
      <w:r w:rsidR="00C368EC" w:rsidRPr="00BA1545">
        <w:rPr>
          <w:rFonts w:asciiTheme="minorHAnsi" w:hAnsiTheme="minorHAnsi"/>
          <w:color w:val="auto"/>
          <w:sz w:val="22"/>
          <w:szCs w:val="22"/>
        </w:rPr>
        <w:t>including sales costs, SG&amp;A</w:t>
      </w:r>
      <w:r w:rsidR="001C3749">
        <w:rPr>
          <w:rFonts w:asciiTheme="minorHAnsi" w:hAnsiTheme="minorHAnsi"/>
          <w:color w:val="auto"/>
          <w:sz w:val="22"/>
          <w:szCs w:val="22"/>
        </w:rPr>
        <w:t>,</w:t>
      </w:r>
      <w:r w:rsidR="00C368EC" w:rsidRPr="00BA1545">
        <w:rPr>
          <w:rFonts w:asciiTheme="minorHAnsi" w:hAnsiTheme="minorHAnsi"/>
          <w:color w:val="auto"/>
          <w:sz w:val="22"/>
          <w:szCs w:val="22"/>
        </w:rPr>
        <w:t xml:space="preserve"> </w:t>
      </w:r>
      <w:r w:rsidR="001C3749">
        <w:rPr>
          <w:rFonts w:asciiTheme="minorHAnsi" w:hAnsiTheme="minorHAnsi"/>
          <w:color w:val="auto"/>
          <w:sz w:val="22"/>
          <w:szCs w:val="22"/>
        </w:rPr>
        <w:t xml:space="preserve">non-allocated consultancy hours </w:t>
      </w:r>
      <w:r w:rsidR="00C368EC" w:rsidRPr="00BA1545">
        <w:rPr>
          <w:rFonts w:asciiTheme="minorHAnsi" w:hAnsiTheme="minorHAnsi"/>
          <w:color w:val="auto"/>
          <w:sz w:val="22"/>
          <w:szCs w:val="22"/>
        </w:rPr>
        <w:t xml:space="preserve">and management overhead. </w:t>
      </w:r>
    </w:p>
    <w:p w:rsidR="007B667C" w:rsidRPr="00BA1545" w:rsidRDefault="007B667C" w:rsidP="00BA0D22">
      <w:pPr>
        <w:pStyle w:val="BodyText"/>
        <w:tabs>
          <w:tab w:val="left" w:pos="180"/>
          <w:tab w:val="right" w:pos="5040"/>
          <w:tab w:val="right" w:pos="6120"/>
          <w:tab w:val="right" w:pos="7200"/>
          <w:tab w:val="right" w:pos="8280"/>
        </w:tabs>
        <w:jc w:val="both"/>
        <w:rPr>
          <w:rFonts w:asciiTheme="minorHAnsi" w:hAnsiTheme="minorHAnsi"/>
          <w:color w:val="auto"/>
          <w:sz w:val="22"/>
          <w:szCs w:val="22"/>
        </w:rPr>
      </w:pPr>
    </w:p>
    <w:p w:rsidR="00BA0D22" w:rsidRDefault="003249B7" w:rsidP="00BA0D22">
      <w:pPr>
        <w:pStyle w:val="BodyText"/>
        <w:tabs>
          <w:tab w:val="left" w:pos="180"/>
          <w:tab w:val="right" w:pos="5040"/>
          <w:tab w:val="right" w:pos="6120"/>
          <w:tab w:val="right" w:pos="7200"/>
          <w:tab w:val="right" w:pos="8280"/>
        </w:tabs>
        <w:jc w:val="both"/>
        <w:rPr>
          <w:rFonts w:asciiTheme="minorHAnsi" w:hAnsiTheme="minorHAnsi"/>
          <w:color w:val="auto"/>
          <w:sz w:val="22"/>
          <w:szCs w:val="22"/>
        </w:rPr>
      </w:pPr>
      <w:r w:rsidRPr="00BA1545">
        <w:rPr>
          <w:rFonts w:asciiTheme="minorHAnsi" w:hAnsiTheme="minorHAnsi"/>
          <w:color w:val="auto"/>
          <w:sz w:val="22"/>
          <w:szCs w:val="22"/>
        </w:rPr>
        <w:t>T</w:t>
      </w:r>
      <w:r w:rsidR="00BA0D22" w:rsidRPr="00BA1545">
        <w:rPr>
          <w:rFonts w:asciiTheme="minorHAnsi" w:hAnsiTheme="minorHAnsi"/>
          <w:color w:val="auto"/>
          <w:sz w:val="22"/>
          <w:szCs w:val="22"/>
        </w:rPr>
        <w:t xml:space="preserve">he following table provides a breakdown of the </w:t>
      </w:r>
      <w:r w:rsidR="00D065B0" w:rsidRPr="00BA1545">
        <w:rPr>
          <w:rFonts w:asciiTheme="minorHAnsi" w:hAnsiTheme="minorHAnsi"/>
          <w:color w:val="auto"/>
          <w:sz w:val="22"/>
          <w:szCs w:val="22"/>
        </w:rPr>
        <w:t>T</w:t>
      </w:r>
      <w:r w:rsidR="00BA0D22" w:rsidRPr="00BA1545">
        <w:rPr>
          <w:rFonts w:asciiTheme="minorHAnsi" w:hAnsiTheme="minorHAnsi"/>
          <w:color w:val="auto"/>
          <w:sz w:val="22"/>
          <w:szCs w:val="22"/>
        </w:rPr>
        <w:t xml:space="preserve">otal </w:t>
      </w:r>
      <w:r w:rsidR="00D065B0" w:rsidRPr="00BA1545">
        <w:rPr>
          <w:rFonts w:asciiTheme="minorHAnsi" w:hAnsiTheme="minorHAnsi"/>
          <w:color w:val="auto"/>
          <w:sz w:val="22"/>
          <w:szCs w:val="22"/>
        </w:rPr>
        <w:t>O</w:t>
      </w:r>
      <w:r w:rsidR="00BA0D22" w:rsidRPr="00BA1545">
        <w:rPr>
          <w:rFonts w:asciiTheme="minorHAnsi" w:hAnsiTheme="minorHAnsi"/>
          <w:color w:val="auto"/>
          <w:sz w:val="22"/>
          <w:szCs w:val="22"/>
        </w:rPr>
        <w:t xml:space="preserve">perating </w:t>
      </w:r>
      <w:r w:rsidR="00D065B0" w:rsidRPr="00BA1545">
        <w:rPr>
          <w:rFonts w:asciiTheme="minorHAnsi" w:hAnsiTheme="minorHAnsi"/>
          <w:color w:val="auto"/>
          <w:sz w:val="22"/>
          <w:szCs w:val="22"/>
        </w:rPr>
        <w:t>E</w:t>
      </w:r>
      <w:r w:rsidR="00BA0D22" w:rsidRPr="00BA1545">
        <w:rPr>
          <w:rFonts w:asciiTheme="minorHAnsi" w:hAnsiTheme="minorHAnsi"/>
          <w:color w:val="auto"/>
          <w:sz w:val="22"/>
          <w:szCs w:val="22"/>
        </w:rPr>
        <w:t>xpenses</w:t>
      </w:r>
      <w:r w:rsidR="00D065B0" w:rsidRPr="00BA1545">
        <w:rPr>
          <w:rFonts w:asciiTheme="minorHAnsi" w:hAnsiTheme="minorHAnsi"/>
          <w:color w:val="auto"/>
          <w:sz w:val="22"/>
          <w:szCs w:val="22"/>
        </w:rPr>
        <w:t>:</w:t>
      </w:r>
    </w:p>
    <w:p w:rsidR="00D27737" w:rsidRPr="00BA1545" w:rsidRDefault="00B00918" w:rsidP="00BA0D22">
      <w:pPr>
        <w:pStyle w:val="BodyText"/>
        <w:tabs>
          <w:tab w:val="left" w:pos="180"/>
          <w:tab w:val="right" w:pos="5040"/>
          <w:tab w:val="right" w:pos="6120"/>
          <w:tab w:val="right" w:pos="7200"/>
          <w:tab w:val="right" w:pos="8280"/>
        </w:tabs>
        <w:jc w:val="both"/>
        <w:rPr>
          <w:rFonts w:asciiTheme="minorHAnsi" w:hAnsiTheme="minorHAnsi"/>
          <w:color w:val="auto"/>
          <w:sz w:val="22"/>
          <w:szCs w:val="22"/>
        </w:rPr>
      </w:pPr>
      <w:r w:rsidRPr="00B00918">
        <w:rPr>
          <w:noProof/>
          <w:lang w:val="nl-NL"/>
        </w:rPr>
        <w:drawing>
          <wp:inline distT="0" distB="0" distL="0" distR="0">
            <wp:extent cx="3588385" cy="1108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8385" cy="1108075"/>
                    </a:xfrm>
                    <a:prstGeom prst="rect">
                      <a:avLst/>
                    </a:prstGeom>
                    <a:noFill/>
                    <a:ln>
                      <a:noFill/>
                    </a:ln>
                  </pic:spPr>
                </pic:pic>
              </a:graphicData>
            </a:graphic>
          </wp:inline>
        </w:drawing>
      </w:r>
    </w:p>
    <w:p w:rsidR="001E5136" w:rsidRPr="00BA1545" w:rsidRDefault="001E5136" w:rsidP="00BA0D22">
      <w:pPr>
        <w:pStyle w:val="BodyText"/>
        <w:tabs>
          <w:tab w:val="left" w:pos="180"/>
          <w:tab w:val="right" w:pos="5040"/>
          <w:tab w:val="right" w:pos="6120"/>
          <w:tab w:val="right" w:pos="7200"/>
          <w:tab w:val="right" w:pos="8280"/>
        </w:tabs>
        <w:jc w:val="both"/>
        <w:rPr>
          <w:rFonts w:asciiTheme="minorHAnsi" w:hAnsiTheme="minorHAnsi"/>
          <w:color w:val="auto"/>
          <w:sz w:val="22"/>
          <w:szCs w:val="22"/>
        </w:rPr>
      </w:pPr>
    </w:p>
    <w:p w:rsidR="00BA0D22" w:rsidRPr="00BA1545" w:rsidRDefault="00C368EC" w:rsidP="00BA0D22">
      <w:pPr>
        <w:pStyle w:val="BodyText"/>
        <w:spacing w:before="0" w:after="0"/>
        <w:jc w:val="both"/>
        <w:rPr>
          <w:rFonts w:asciiTheme="minorHAnsi" w:eastAsia="MS Mincho" w:hAnsiTheme="minorHAnsi" w:cs="Trebuchet MS"/>
          <w:color w:val="000000"/>
          <w:sz w:val="22"/>
          <w:szCs w:val="22"/>
          <w:lang w:eastAsia="zh-CN"/>
        </w:rPr>
      </w:pPr>
      <w:r w:rsidRPr="00BA1545">
        <w:rPr>
          <w:rFonts w:asciiTheme="minorHAnsi" w:hAnsiTheme="minorHAnsi"/>
          <w:color w:val="auto"/>
          <w:sz w:val="22"/>
          <w:szCs w:val="22"/>
        </w:rPr>
        <w:t>O</w:t>
      </w:r>
      <w:r w:rsidR="00BA0D22" w:rsidRPr="00BA1545">
        <w:rPr>
          <w:rFonts w:asciiTheme="minorHAnsi" w:hAnsiTheme="minorHAnsi"/>
          <w:color w:val="auto"/>
          <w:sz w:val="22"/>
          <w:szCs w:val="22"/>
        </w:rPr>
        <w:t xml:space="preserve">perating </w:t>
      </w:r>
      <w:r w:rsidR="00D065B0" w:rsidRPr="00BA1545">
        <w:rPr>
          <w:rFonts w:asciiTheme="minorHAnsi" w:hAnsiTheme="minorHAnsi"/>
          <w:color w:val="auto"/>
          <w:sz w:val="22"/>
          <w:szCs w:val="22"/>
        </w:rPr>
        <w:t>E</w:t>
      </w:r>
      <w:r w:rsidR="00BA0D22" w:rsidRPr="00BA1545">
        <w:rPr>
          <w:rFonts w:asciiTheme="minorHAnsi" w:hAnsiTheme="minorHAnsi"/>
          <w:color w:val="auto"/>
          <w:sz w:val="22"/>
          <w:szCs w:val="22"/>
        </w:rPr>
        <w:t xml:space="preserve">xpenses </w:t>
      </w:r>
      <w:r w:rsidR="00BA0D22" w:rsidRPr="00BA1545">
        <w:rPr>
          <w:rFonts w:asciiTheme="minorHAnsi" w:eastAsia="MS Mincho" w:hAnsiTheme="minorHAnsi" w:cs="Trebuchet MS"/>
          <w:color w:val="000000"/>
          <w:sz w:val="22"/>
          <w:szCs w:val="22"/>
          <w:lang w:eastAsia="zh-CN"/>
        </w:rPr>
        <w:t xml:space="preserve">for </w:t>
      </w:r>
      <w:r w:rsidR="009F4C45">
        <w:rPr>
          <w:rFonts w:asciiTheme="minorHAnsi" w:eastAsia="MS Mincho" w:hAnsiTheme="minorHAnsi" w:cs="Trebuchet MS"/>
          <w:color w:val="000000"/>
          <w:sz w:val="22"/>
          <w:szCs w:val="22"/>
          <w:lang w:eastAsia="zh-CN"/>
        </w:rPr>
        <w:t>HY1 of FY 201</w:t>
      </w:r>
      <w:r w:rsidR="0006214A">
        <w:rPr>
          <w:rFonts w:asciiTheme="minorHAnsi" w:eastAsia="MS Mincho" w:hAnsiTheme="minorHAnsi" w:cs="Trebuchet MS"/>
          <w:color w:val="000000"/>
          <w:sz w:val="22"/>
          <w:szCs w:val="22"/>
          <w:lang w:eastAsia="zh-CN"/>
        </w:rPr>
        <w:t>8</w:t>
      </w:r>
      <w:r w:rsidR="00D065B0" w:rsidRPr="00BA1545">
        <w:rPr>
          <w:rFonts w:asciiTheme="minorHAnsi" w:eastAsia="MS Mincho" w:hAnsiTheme="minorHAnsi" w:cs="Trebuchet MS"/>
          <w:color w:val="000000"/>
          <w:sz w:val="22"/>
          <w:szCs w:val="22"/>
          <w:lang w:eastAsia="zh-CN"/>
        </w:rPr>
        <w:t xml:space="preserve"> </w:t>
      </w:r>
      <w:r w:rsidR="0070366B">
        <w:rPr>
          <w:rFonts w:asciiTheme="minorHAnsi" w:eastAsia="MS Mincho" w:hAnsiTheme="minorHAnsi" w:cs="Trebuchet MS"/>
          <w:color w:val="000000"/>
          <w:sz w:val="22"/>
          <w:szCs w:val="22"/>
          <w:lang w:eastAsia="zh-CN"/>
        </w:rPr>
        <w:t xml:space="preserve">were </w:t>
      </w:r>
      <w:r w:rsidR="00017DED">
        <w:rPr>
          <w:rFonts w:asciiTheme="minorHAnsi" w:eastAsia="MS Mincho" w:hAnsiTheme="minorHAnsi" w:cs="Trebuchet MS"/>
          <w:color w:val="000000"/>
          <w:sz w:val="22"/>
          <w:szCs w:val="22"/>
          <w:lang w:eastAsia="zh-CN"/>
        </w:rPr>
        <w:t xml:space="preserve">flat </w:t>
      </w:r>
      <w:r w:rsidR="007B667C">
        <w:rPr>
          <w:rFonts w:asciiTheme="minorHAnsi" w:eastAsia="MS Mincho" w:hAnsiTheme="minorHAnsi" w:cs="Trebuchet MS"/>
          <w:color w:val="000000"/>
          <w:sz w:val="22"/>
          <w:szCs w:val="22"/>
          <w:lang w:eastAsia="zh-CN"/>
        </w:rPr>
        <w:t xml:space="preserve">at </w:t>
      </w:r>
      <w:r w:rsidR="002148DB" w:rsidRPr="00BA1545">
        <w:rPr>
          <w:rFonts w:asciiTheme="minorHAnsi" w:eastAsia="MS Mincho" w:hAnsiTheme="minorHAnsi" w:cs="Trebuchet MS"/>
          <w:color w:val="000000"/>
          <w:sz w:val="22"/>
          <w:szCs w:val="22"/>
          <w:lang w:eastAsia="zh-CN"/>
        </w:rPr>
        <w:t xml:space="preserve">€ </w:t>
      </w:r>
      <w:r w:rsidR="00017DED">
        <w:rPr>
          <w:rFonts w:asciiTheme="minorHAnsi" w:eastAsia="MS Mincho" w:hAnsiTheme="minorHAnsi" w:cs="Trebuchet MS"/>
          <w:color w:val="000000"/>
          <w:sz w:val="22"/>
          <w:szCs w:val="22"/>
          <w:lang w:eastAsia="zh-CN"/>
        </w:rPr>
        <w:t>5</w:t>
      </w:r>
      <w:r w:rsidR="00B412DA">
        <w:rPr>
          <w:rFonts w:asciiTheme="minorHAnsi" w:eastAsia="MS Mincho" w:hAnsiTheme="minorHAnsi" w:cs="Trebuchet MS"/>
          <w:color w:val="000000"/>
          <w:sz w:val="22"/>
          <w:szCs w:val="22"/>
          <w:lang w:eastAsia="zh-CN"/>
        </w:rPr>
        <w:t>.</w:t>
      </w:r>
      <w:r w:rsidR="00017DED">
        <w:rPr>
          <w:rFonts w:asciiTheme="minorHAnsi" w:eastAsia="MS Mincho" w:hAnsiTheme="minorHAnsi" w:cs="Trebuchet MS"/>
          <w:color w:val="000000"/>
          <w:sz w:val="22"/>
          <w:szCs w:val="22"/>
          <w:lang w:eastAsia="zh-CN"/>
        </w:rPr>
        <w:t>149</w:t>
      </w:r>
      <w:r w:rsidR="002148DB" w:rsidRPr="00BA1545">
        <w:rPr>
          <w:rFonts w:asciiTheme="minorHAnsi" w:eastAsia="MS Mincho" w:hAnsiTheme="minorHAnsi" w:cs="Trebuchet MS"/>
          <w:color w:val="000000"/>
          <w:sz w:val="22"/>
          <w:szCs w:val="22"/>
          <w:lang w:eastAsia="zh-CN"/>
        </w:rPr>
        <w:t xml:space="preserve">k </w:t>
      </w:r>
      <w:r w:rsidR="00BA0D22" w:rsidRPr="00BA1545">
        <w:rPr>
          <w:rFonts w:asciiTheme="minorHAnsi" w:eastAsia="MS Mincho" w:hAnsiTheme="minorHAnsi" w:cs="Trebuchet MS"/>
          <w:color w:val="000000"/>
          <w:sz w:val="22"/>
          <w:szCs w:val="22"/>
          <w:lang w:eastAsia="zh-CN"/>
        </w:rPr>
        <w:t>(H1 201</w:t>
      </w:r>
      <w:r w:rsidR="0006214A">
        <w:rPr>
          <w:rFonts w:asciiTheme="minorHAnsi" w:eastAsia="MS Mincho" w:hAnsiTheme="minorHAnsi" w:cs="Trebuchet MS"/>
          <w:color w:val="000000"/>
          <w:sz w:val="22"/>
          <w:szCs w:val="22"/>
          <w:lang w:eastAsia="zh-CN"/>
        </w:rPr>
        <w:t>7</w:t>
      </w:r>
      <w:r w:rsidR="00C90FD4" w:rsidRPr="00BA1545">
        <w:rPr>
          <w:rFonts w:asciiTheme="minorHAnsi" w:eastAsia="MS Mincho" w:hAnsiTheme="minorHAnsi" w:cs="Trebuchet MS"/>
          <w:color w:val="000000"/>
          <w:sz w:val="22"/>
          <w:szCs w:val="22"/>
          <w:lang w:eastAsia="zh-CN"/>
        </w:rPr>
        <w:t>:</w:t>
      </w:r>
      <w:r w:rsidR="00BA0D22" w:rsidRPr="00BA1545">
        <w:rPr>
          <w:rFonts w:asciiTheme="minorHAnsi" w:eastAsia="MS Mincho" w:hAnsiTheme="minorHAnsi" w:cs="Trebuchet MS"/>
          <w:color w:val="000000"/>
          <w:sz w:val="22"/>
          <w:szCs w:val="22"/>
          <w:lang w:eastAsia="zh-CN"/>
        </w:rPr>
        <w:t xml:space="preserve"> € </w:t>
      </w:r>
      <w:r w:rsidR="007B667C">
        <w:rPr>
          <w:rFonts w:asciiTheme="minorHAnsi" w:eastAsia="MS Mincho" w:hAnsiTheme="minorHAnsi" w:cs="Trebuchet MS"/>
          <w:color w:val="000000"/>
          <w:sz w:val="22"/>
          <w:szCs w:val="22"/>
          <w:lang w:eastAsia="zh-CN"/>
        </w:rPr>
        <w:t>5</w:t>
      </w:r>
      <w:r w:rsidR="00D7500B">
        <w:rPr>
          <w:rFonts w:asciiTheme="minorHAnsi" w:eastAsia="MS Mincho" w:hAnsiTheme="minorHAnsi" w:cs="Trebuchet MS"/>
          <w:color w:val="000000"/>
          <w:sz w:val="22"/>
          <w:szCs w:val="22"/>
          <w:lang w:eastAsia="zh-CN"/>
        </w:rPr>
        <w:t>.</w:t>
      </w:r>
      <w:r w:rsidR="007B667C">
        <w:rPr>
          <w:rFonts w:asciiTheme="minorHAnsi" w:eastAsia="MS Mincho" w:hAnsiTheme="minorHAnsi" w:cs="Trebuchet MS"/>
          <w:color w:val="000000"/>
          <w:sz w:val="22"/>
          <w:szCs w:val="22"/>
          <w:lang w:eastAsia="zh-CN"/>
        </w:rPr>
        <w:t>1</w:t>
      </w:r>
      <w:r w:rsidR="0006214A">
        <w:rPr>
          <w:rFonts w:asciiTheme="minorHAnsi" w:eastAsia="MS Mincho" w:hAnsiTheme="minorHAnsi" w:cs="Trebuchet MS"/>
          <w:color w:val="000000"/>
          <w:sz w:val="22"/>
          <w:szCs w:val="22"/>
          <w:lang w:eastAsia="zh-CN"/>
        </w:rPr>
        <w:t>9</w:t>
      </w:r>
      <w:r w:rsidR="00500B4F">
        <w:rPr>
          <w:rFonts w:asciiTheme="minorHAnsi" w:eastAsia="MS Mincho" w:hAnsiTheme="minorHAnsi" w:cs="Trebuchet MS"/>
          <w:color w:val="000000"/>
          <w:sz w:val="22"/>
          <w:szCs w:val="22"/>
          <w:lang w:eastAsia="zh-CN"/>
        </w:rPr>
        <w:t>1</w:t>
      </w:r>
      <w:r w:rsidR="00D7500B">
        <w:rPr>
          <w:rFonts w:asciiTheme="minorHAnsi" w:eastAsia="MS Mincho" w:hAnsiTheme="minorHAnsi" w:cs="Trebuchet MS"/>
          <w:color w:val="000000"/>
          <w:sz w:val="22"/>
          <w:szCs w:val="22"/>
          <w:lang w:eastAsia="zh-CN"/>
        </w:rPr>
        <w:t>k)</w:t>
      </w:r>
      <w:r w:rsidR="007B667C">
        <w:rPr>
          <w:rFonts w:asciiTheme="minorHAnsi" w:eastAsia="MS Mincho" w:hAnsiTheme="minorHAnsi" w:cs="Trebuchet MS"/>
          <w:color w:val="000000"/>
          <w:sz w:val="22"/>
          <w:szCs w:val="22"/>
          <w:lang w:eastAsia="zh-CN"/>
        </w:rPr>
        <w:t xml:space="preserve">; </w:t>
      </w:r>
      <w:r w:rsidR="00017DED">
        <w:rPr>
          <w:rFonts w:asciiTheme="minorHAnsi" w:eastAsia="MS Mincho" w:hAnsiTheme="minorHAnsi" w:cs="Trebuchet MS"/>
          <w:color w:val="000000"/>
          <w:sz w:val="22"/>
          <w:szCs w:val="22"/>
          <w:lang w:eastAsia="zh-CN"/>
        </w:rPr>
        <w:t>Other operating expenses in HY1 of 2018 include severance costs of €115k caused by early termi</w:t>
      </w:r>
      <w:r w:rsidR="00457419">
        <w:rPr>
          <w:rFonts w:asciiTheme="minorHAnsi" w:eastAsia="MS Mincho" w:hAnsiTheme="minorHAnsi" w:cs="Trebuchet MS"/>
          <w:color w:val="000000"/>
          <w:sz w:val="22"/>
          <w:szCs w:val="22"/>
          <w:lang w:eastAsia="zh-CN"/>
        </w:rPr>
        <w:t>nation, and a € 200k credit resulting from the settlement with Plusserver.</w:t>
      </w:r>
      <w:r w:rsidR="00017DED">
        <w:rPr>
          <w:rFonts w:asciiTheme="minorHAnsi" w:eastAsia="MS Mincho" w:hAnsiTheme="minorHAnsi" w:cs="Trebuchet MS"/>
          <w:color w:val="000000"/>
          <w:sz w:val="22"/>
          <w:szCs w:val="22"/>
          <w:lang w:eastAsia="zh-CN"/>
        </w:rPr>
        <w:t xml:space="preserve"> </w:t>
      </w:r>
    </w:p>
    <w:p w:rsidR="00AA1D29" w:rsidRPr="00BA1545" w:rsidRDefault="00AA1D29" w:rsidP="00BA0D22">
      <w:pPr>
        <w:pStyle w:val="BodyText"/>
        <w:tabs>
          <w:tab w:val="left" w:pos="180"/>
          <w:tab w:val="right" w:pos="5040"/>
          <w:tab w:val="right" w:pos="6120"/>
          <w:tab w:val="right" w:pos="7200"/>
          <w:tab w:val="right" w:pos="8280"/>
        </w:tabs>
        <w:spacing w:before="0" w:after="0"/>
        <w:jc w:val="both"/>
        <w:rPr>
          <w:rFonts w:asciiTheme="minorHAnsi" w:hAnsiTheme="minorHAnsi"/>
          <w:color w:val="auto"/>
          <w:sz w:val="22"/>
          <w:szCs w:val="22"/>
        </w:rPr>
      </w:pPr>
    </w:p>
    <w:p w:rsidR="00844794" w:rsidRPr="007B667C" w:rsidRDefault="00844794" w:rsidP="00844794">
      <w:pPr>
        <w:pStyle w:val="BodyText"/>
        <w:tabs>
          <w:tab w:val="left" w:pos="180"/>
          <w:tab w:val="right" w:pos="5040"/>
          <w:tab w:val="right" w:pos="6120"/>
          <w:tab w:val="right" w:pos="7200"/>
          <w:tab w:val="right" w:pos="8280"/>
        </w:tabs>
        <w:spacing w:before="0" w:after="0"/>
        <w:jc w:val="both"/>
        <w:rPr>
          <w:rFonts w:asciiTheme="minorHAnsi" w:hAnsiTheme="minorHAnsi"/>
          <w:b/>
          <w:color w:val="auto"/>
          <w:sz w:val="22"/>
          <w:szCs w:val="22"/>
        </w:rPr>
      </w:pPr>
      <w:r w:rsidRPr="007B667C">
        <w:rPr>
          <w:rFonts w:asciiTheme="minorHAnsi" w:hAnsiTheme="minorHAnsi"/>
          <w:b/>
          <w:color w:val="auto"/>
          <w:sz w:val="22"/>
          <w:szCs w:val="22"/>
        </w:rPr>
        <w:t>EU projects</w:t>
      </w:r>
    </w:p>
    <w:p w:rsidR="00844794" w:rsidRPr="00BA1545" w:rsidRDefault="00106078" w:rsidP="00844794">
      <w:pPr>
        <w:pStyle w:val="BodyText"/>
        <w:tabs>
          <w:tab w:val="left" w:pos="180"/>
          <w:tab w:val="right" w:pos="5040"/>
          <w:tab w:val="right" w:pos="6120"/>
          <w:tab w:val="right" w:pos="7200"/>
          <w:tab w:val="right" w:pos="8280"/>
        </w:tabs>
        <w:spacing w:before="0" w:after="0"/>
        <w:jc w:val="both"/>
        <w:rPr>
          <w:rFonts w:asciiTheme="minorHAnsi" w:hAnsiTheme="minorHAnsi"/>
          <w:color w:val="auto"/>
          <w:sz w:val="22"/>
          <w:szCs w:val="22"/>
        </w:rPr>
      </w:pPr>
      <w:r>
        <w:rPr>
          <w:rFonts w:asciiTheme="minorHAnsi" w:hAnsiTheme="minorHAnsi"/>
          <w:color w:val="auto"/>
          <w:sz w:val="22"/>
          <w:szCs w:val="22"/>
        </w:rPr>
        <w:t>‘</w:t>
      </w:r>
      <w:r w:rsidRPr="00BA1545">
        <w:rPr>
          <w:rFonts w:asciiTheme="minorHAnsi" w:hAnsiTheme="minorHAnsi"/>
          <w:color w:val="auto"/>
          <w:sz w:val="22"/>
          <w:szCs w:val="22"/>
        </w:rPr>
        <w:t>EU project</w:t>
      </w:r>
      <w:r>
        <w:rPr>
          <w:rFonts w:asciiTheme="minorHAnsi" w:hAnsiTheme="minorHAnsi"/>
          <w:color w:val="auto"/>
          <w:sz w:val="22"/>
          <w:szCs w:val="22"/>
        </w:rPr>
        <w:t>s’</w:t>
      </w:r>
      <w:r w:rsidRPr="00BA1545">
        <w:rPr>
          <w:rFonts w:asciiTheme="minorHAnsi" w:hAnsiTheme="minorHAnsi"/>
          <w:color w:val="auto"/>
          <w:sz w:val="22"/>
          <w:szCs w:val="22"/>
        </w:rPr>
        <w:t xml:space="preserve"> are projects for which TIE Kinetix claim</w:t>
      </w:r>
      <w:r w:rsidR="005D5CAB">
        <w:rPr>
          <w:rFonts w:asciiTheme="minorHAnsi" w:hAnsiTheme="minorHAnsi"/>
          <w:color w:val="auto"/>
          <w:sz w:val="22"/>
          <w:szCs w:val="22"/>
        </w:rPr>
        <w:t>ed</w:t>
      </w:r>
      <w:r w:rsidRPr="00BA1545">
        <w:rPr>
          <w:rFonts w:asciiTheme="minorHAnsi" w:hAnsiTheme="minorHAnsi"/>
          <w:color w:val="auto"/>
          <w:sz w:val="22"/>
          <w:szCs w:val="22"/>
        </w:rPr>
        <w:t>, and periodically receive</w:t>
      </w:r>
      <w:r w:rsidR="005D5CAB">
        <w:rPr>
          <w:rFonts w:asciiTheme="minorHAnsi" w:hAnsiTheme="minorHAnsi"/>
          <w:color w:val="auto"/>
          <w:sz w:val="22"/>
          <w:szCs w:val="22"/>
        </w:rPr>
        <w:t>d</w:t>
      </w:r>
      <w:r w:rsidR="00E9215C" w:rsidRPr="00BA1545">
        <w:rPr>
          <w:rFonts w:asciiTheme="minorHAnsi" w:hAnsiTheme="minorHAnsi"/>
          <w:color w:val="auto"/>
          <w:sz w:val="22"/>
          <w:szCs w:val="22"/>
        </w:rPr>
        <w:t>,</w:t>
      </w:r>
      <w:r w:rsidR="00844794" w:rsidRPr="00BA1545">
        <w:rPr>
          <w:rFonts w:asciiTheme="minorHAnsi" w:hAnsiTheme="minorHAnsi"/>
          <w:color w:val="auto"/>
          <w:sz w:val="22"/>
          <w:szCs w:val="22"/>
        </w:rPr>
        <w:t xml:space="preserve"> EU Development grants. Depending of the Development Grant Regime in which the projects are executed, these grants are intended to cover direct staff costs incurred plus a </w:t>
      </w:r>
      <w:r w:rsidR="00FA22DD" w:rsidRPr="00BA1545">
        <w:rPr>
          <w:rFonts w:asciiTheme="minorHAnsi" w:hAnsiTheme="minorHAnsi"/>
          <w:color w:val="auto"/>
          <w:sz w:val="22"/>
          <w:szCs w:val="22"/>
        </w:rPr>
        <w:t>limited compensation for</w:t>
      </w:r>
      <w:r w:rsidR="00844794" w:rsidRPr="00BA1545">
        <w:rPr>
          <w:rFonts w:asciiTheme="minorHAnsi" w:hAnsiTheme="minorHAnsi"/>
          <w:color w:val="auto"/>
          <w:sz w:val="22"/>
          <w:szCs w:val="22"/>
        </w:rPr>
        <w:t xml:space="preserve"> overhead</w:t>
      </w:r>
      <w:r w:rsidR="004329F8">
        <w:rPr>
          <w:rFonts w:asciiTheme="minorHAnsi" w:hAnsiTheme="minorHAnsi"/>
          <w:color w:val="auto"/>
          <w:sz w:val="22"/>
          <w:szCs w:val="22"/>
        </w:rPr>
        <w:t>. A</w:t>
      </w:r>
      <w:r w:rsidR="00844794" w:rsidRPr="00BA1545">
        <w:rPr>
          <w:rFonts w:asciiTheme="minorHAnsi" w:hAnsiTheme="minorHAnsi"/>
          <w:color w:val="auto"/>
          <w:sz w:val="22"/>
          <w:szCs w:val="22"/>
        </w:rPr>
        <w:t xml:space="preserve">ll costs incurred and development grants claimed </w:t>
      </w:r>
      <w:r w:rsidR="005D5CAB">
        <w:rPr>
          <w:rFonts w:asciiTheme="minorHAnsi" w:hAnsiTheme="minorHAnsi"/>
          <w:color w:val="auto"/>
          <w:sz w:val="22"/>
          <w:szCs w:val="22"/>
        </w:rPr>
        <w:t>ar</w:t>
      </w:r>
      <w:r w:rsidR="00844794" w:rsidRPr="00BA1545">
        <w:rPr>
          <w:rFonts w:asciiTheme="minorHAnsi" w:hAnsiTheme="minorHAnsi"/>
          <w:color w:val="auto"/>
          <w:sz w:val="22"/>
          <w:szCs w:val="22"/>
        </w:rPr>
        <w:t>e separated out from the ordinary operations and reflected under ‘EU Projects’.</w:t>
      </w:r>
    </w:p>
    <w:p w:rsidR="00844794" w:rsidRPr="00BA1545" w:rsidRDefault="00844794" w:rsidP="00844794">
      <w:pPr>
        <w:pStyle w:val="BodyText"/>
        <w:tabs>
          <w:tab w:val="left" w:pos="180"/>
          <w:tab w:val="right" w:pos="5040"/>
          <w:tab w:val="right" w:pos="6120"/>
          <w:tab w:val="right" w:pos="7200"/>
          <w:tab w:val="right" w:pos="8280"/>
        </w:tabs>
        <w:spacing w:before="0" w:after="0"/>
        <w:jc w:val="both"/>
        <w:rPr>
          <w:rFonts w:asciiTheme="minorHAnsi" w:hAnsiTheme="minorHAnsi"/>
          <w:color w:val="auto"/>
          <w:sz w:val="22"/>
          <w:szCs w:val="22"/>
        </w:rPr>
      </w:pPr>
    </w:p>
    <w:p w:rsidR="007B667C" w:rsidRDefault="008D17C7" w:rsidP="00DE314A">
      <w:pPr>
        <w:pStyle w:val="BodyText"/>
        <w:tabs>
          <w:tab w:val="left" w:pos="180"/>
          <w:tab w:val="right" w:pos="5040"/>
          <w:tab w:val="right" w:pos="6120"/>
          <w:tab w:val="right" w:pos="7200"/>
          <w:tab w:val="right" w:pos="8280"/>
        </w:tabs>
        <w:spacing w:before="0" w:after="0"/>
        <w:jc w:val="both"/>
        <w:rPr>
          <w:rFonts w:asciiTheme="minorHAnsi" w:hAnsiTheme="minorHAnsi"/>
          <w:color w:val="auto"/>
          <w:sz w:val="22"/>
          <w:szCs w:val="22"/>
        </w:rPr>
      </w:pPr>
      <w:r w:rsidRPr="00BA1545">
        <w:rPr>
          <w:rFonts w:asciiTheme="minorHAnsi" w:hAnsiTheme="minorHAnsi"/>
          <w:color w:val="auto"/>
          <w:sz w:val="22"/>
          <w:szCs w:val="22"/>
        </w:rPr>
        <w:t>In the first half year of 201</w:t>
      </w:r>
      <w:r w:rsidR="0006214A">
        <w:rPr>
          <w:rFonts w:asciiTheme="minorHAnsi" w:hAnsiTheme="minorHAnsi"/>
          <w:color w:val="auto"/>
          <w:sz w:val="22"/>
          <w:szCs w:val="22"/>
        </w:rPr>
        <w:t>8</w:t>
      </w:r>
      <w:r w:rsidRPr="00BA1545">
        <w:rPr>
          <w:rFonts w:asciiTheme="minorHAnsi" w:hAnsiTheme="minorHAnsi"/>
          <w:color w:val="auto"/>
          <w:sz w:val="22"/>
          <w:szCs w:val="22"/>
        </w:rPr>
        <w:t xml:space="preserve"> EU projects </w:t>
      </w:r>
      <w:r w:rsidR="00596007" w:rsidRPr="00BA1545">
        <w:rPr>
          <w:rFonts w:asciiTheme="minorHAnsi" w:hAnsiTheme="minorHAnsi"/>
          <w:color w:val="auto"/>
          <w:sz w:val="22"/>
          <w:szCs w:val="22"/>
        </w:rPr>
        <w:t>generate</w:t>
      </w:r>
      <w:r w:rsidR="00DE314A">
        <w:rPr>
          <w:rFonts w:asciiTheme="minorHAnsi" w:hAnsiTheme="minorHAnsi"/>
          <w:color w:val="auto"/>
          <w:sz w:val="22"/>
          <w:szCs w:val="22"/>
        </w:rPr>
        <w:t xml:space="preserve">d </w:t>
      </w:r>
      <w:r w:rsidR="005D5CAB">
        <w:rPr>
          <w:rFonts w:asciiTheme="minorHAnsi" w:hAnsiTheme="minorHAnsi"/>
          <w:color w:val="auto"/>
          <w:sz w:val="22"/>
          <w:szCs w:val="22"/>
        </w:rPr>
        <w:t>revenue</w:t>
      </w:r>
      <w:r w:rsidR="00DE314A">
        <w:rPr>
          <w:rFonts w:asciiTheme="minorHAnsi" w:hAnsiTheme="minorHAnsi"/>
          <w:color w:val="auto"/>
          <w:sz w:val="22"/>
          <w:szCs w:val="22"/>
        </w:rPr>
        <w:t xml:space="preserve"> of €</w:t>
      </w:r>
      <w:r w:rsidR="004329F8">
        <w:rPr>
          <w:rFonts w:asciiTheme="minorHAnsi" w:hAnsiTheme="minorHAnsi"/>
          <w:color w:val="auto"/>
          <w:sz w:val="22"/>
          <w:szCs w:val="22"/>
        </w:rPr>
        <w:t xml:space="preserve"> </w:t>
      </w:r>
      <w:r w:rsidR="005D5CAB">
        <w:rPr>
          <w:rFonts w:asciiTheme="minorHAnsi" w:hAnsiTheme="minorHAnsi"/>
          <w:color w:val="auto"/>
          <w:sz w:val="22"/>
          <w:szCs w:val="22"/>
        </w:rPr>
        <w:t>89</w:t>
      </w:r>
      <w:r w:rsidR="00596007" w:rsidRPr="00BA1545">
        <w:rPr>
          <w:rFonts w:asciiTheme="minorHAnsi" w:hAnsiTheme="minorHAnsi"/>
          <w:color w:val="auto"/>
          <w:sz w:val="22"/>
          <w:szCs w:val="22"/>
        </w:rPr>
        <w:t>k (H1 201</w:t>
      </w:r>
      <w:r w:rsidR="0006214A">
        <w:rPr>
          <w:rFonts w:asciiTheme="minorHAnsi" w:hAnsiTheme="minorHAnsi"/>
          <w:color w:val="auto"/>
          <w:sz w:val="22"/>
          <w:szCs w:val="22"/>
        </w:rPr>
        <w:t>7</w:t>
      </w:r>
      <w:r w:rsidR="00596007" w:rsidRPr="00BA1545">
        <w:rPr>
          <w:rFonts w:asciiTheme="minorHAnsi" w:hAnsiTheme="minorHAnsi"/>
          <w:color w:val="auto"/>
          <w:sz w:val="22"/>
          <w:szCs w:val="22"/>
        </w:rPr>
        <w:t>: €</w:t>
      </w:r>
      <w:r w:rsidR="0006214A">
        <w:rPr>
          <w:rFonts w:asciiTheme="minorHAnsi" w:hAnsiTheme="minorHAnsi"/>
          <w:color w:val="auto"/>
          <w:sz w:val="22"/>
          <w:szCs w:val="22"/>
        </w:rPr>
        <w:t>115</w:t>
      </w:r>
      <w:r w:rsidR="00596007" w:rsidRPr="00BA1545">
        <w:rPr>
          <w:rFonts w:asciiTheme="minorHAnsi" w:hAnsiTheme="minorHAnsi"/>
          <w:color w:val="auto"/>
          <w:sz w:val="22"/>
          <w:szCs w:val="22"/>
        </w:rPr>
        <w:t>k)</w:t>
      </w:r>
      <w:r w:rsidR="009C6F11">
        <w:rPr>
          <w:rFonts w:asciiTheme="minorHAnsi" w:hAnsiTheme="minorHAnsi"/>
          <w:color w:val="auto"/>
          <w:sz w:val="22"/>
          <w:szCs w:val="22"/>
        </w:rPr>
        <w:t>.</w:t>
      </w:r>
      <w:r w:rsidR="005D5CAB">
        <w:rPr>
          <w:rFonts w:asciiTheme="minorHAnsi" w:hAnsiTheme="minorHAnsi"/>
          <w:color w:val="auto"/>
          <w:sz w:val="22"/>
          <w:szCs w:val="22"/>
        </w:rPr>
        <w:t xml:space="preserve"> As per December 2017, the company has seized its participation in EU projects.</w:t>
      </w:r>
    </w:p>
    <w:p w:rsidR="00DE314A" w:rsidRDefault="007B667C" w:rsidP="00DE314A">
      <w:pPr>
        <w:pStyle w:val="BodyText"/>
        <w:tabs>
          <w:tab w:val="left" w:pos="180"/>
          <w:tab w:val="right" w:pos="5040"/>
          <w:tab w:val="right" w:pos="6120"/>
          <w:tab w:val="right" w:pos="7200"/>
          <w:tab w:val="right" w:pos="8280"/>
        </w:tabs>
        <w:spacing w:before="0" w:after="0"/>
        <w:jc w:val="both"/>
        <w:rPr>
          <w:rFonts w:asciiTheme="minorHAnsi" w:hAnsiTheme="minorHAnsi"/>
          <w:color w:val="auto"/>
          <w:sz w:val="22"/>
          <w:szCs w:val="22"/>
        </w:rPr>
      </w:pPr>
      <w:r>
        <w:rPr>
          <w:rFonts w:asciiTheme="minorHAnsi" w:hAnsiTheme="minorHAnsi"/>
          <w:color w:val="auto"/>
          <w:sz w:val="22"/>
          <w:szCs w:val="22"/>
        </w:rPr>
        <w:t xml:space="preserve"> </w:t>
      </w:r>
    </w:p>
    <w:p w:rsidR="00972EE2" w:rsidRPr="007B667C" w:rsidRDefault="00972EE2" w:rsidP="00BF3C58">
      <w:pPr>
        <w:pStyle w:val="NoSpacing"/>
        <w:jc w:val="both"/>
        <w:rPr>
          <w:rFonts w:eastAsia="MS Mincho" w:cs="Trebuchet MS"/>
          <w:b/>
          <w:color w:val="000000"/>
          <w:lang w:val="en-US" w:eastAsia="zh-CN"/>
        </w:rPr>
      </w:pPr>
      <w:r w:rsidRPr="007B667C">
        <w:rPr>
          <w:rFonts w:eastAsia="MS Mincho" w:cs="Trebuchet MS"/>
          <w:b/>
          <w:color w:val="000000"/>
          <w:lang w:val="en-US" w:eastAsia="zh-CN"/>
        </w:rPr>
        <w:t>Corporate income tax</w:t>
      </w:r>
    </w:p>
    <w:p w:rsidR="00972EE2" w:rsidRPr="00BA1545" w:rsidRDefault="00972EE2" w:rsidP="00BF3C58">
      <w:pPr>
        <w:pStyle w:val="NoSpacing"/>
        <w:jc w:val="both"/>
        <w:rPr>
          <w:rFonts w:eastAsia="MS Mincho" w:cs="Trebuchet MS"/>
          <w:color w:val="000000"/>
          <w:lang w:val="en-US" w:eastAsia="zh-CN"/>
        </w:rPr>
      </w:pPr>
      <w:r w:rsidRPr="00BA1545">
        <w:rPr>
          <w:rFonts w:eastAsia="MS Mincho" w:cs="Trebuchet MS"/>
          <w:color w:val="000000"/>
          <w:lang w:val="en-US" w:eastAsia="zh-CN"/>
        </w:rPr>
        <w:t xml:space="preserve">The deferred tax movements represent non-cash movements of temporary differences </w:t>
      </w:r>
      <w:r w:rsidR="00062069" w:rsidRPr="00BA1545">
        <w:rPr>
          <w:rFonts w:eastAsia="MS Mincho" w:cs="Trebuchet MS"/>
          <w:color w:val="000000"/>
          <w:lang w:val="en-US" w:eastAsia="zh-CN"/>
        </w:rPr>
        <w:t>predominantly</w:t>
      </w:r>
      <w:r w:rsidRPr="00BA1545">
        <w:rPr>
          <w:rFonts w:eastAsia="MS Mincho" w:cs="Trebuchet MS"/>
          <w:color w:val="000000"/>
          <w:lang w:val="en-US" w:eastAsia="zh-CN"/>
        </w:rPr>
        <w:t xml:space="preserve"> for goodwill and deferred revenue between commercial books (in accordance with </w:t>
      </w:r>
      <w:r w:rsidRPr="00BA1545">
        <w:rPr>
          <w:rFonts w:eastAsia="MS Mincho" w:cs="Trebuchet MS"/>
          <w:color w:val="000000"/>
          <w:lang w:val="en-US" w:eastAsia="zh-CN"/>
        </w:rPr>
        <w:lastRenderedPageBreak/>
        <w:t>IFRS) and the US tax books. As at the end of March 201</w:t>
      </w:r>
      <w:r w:rsidR="005D5CAB">
        <w:rPr>
          <w:rFonts w:eastAsia="MS Mincho" w:cs="Trebuchet MS"/>
          <w:color w:val="000000"/>
          <w:lang w:val="en-US" w:eastAsia="zh-CN"/>
        </w:rPr>
        <w:t>8</w:t>
      </w:r>
      <w:r w:rsidRPr="00BA1545">
        <w:rPr>
          <w:rFonts w:eastAsia="MS Mincho" w:cs="Trebuchet MS"/>
          <w:color w:val="000000"/>
          <w:lang w:val="en-US" w:eastAsia="zh-CN"/>
        </w:rPr>
        <w:t xml:space="preserve">, the deferred tax position has not been recalculated at its actual value as the US tax position will only be recalculated at year end. Taxes are paid in </w:t>
      </w:r>
      <w:r w:rsidR="00062069" w:rsidRPr="00BA1545">
        <w:rPr>
          <w:rFonts w:eastAsia="MS Mincho" w:cs="Trebuchet MS"/>
          <w:color w:val="000000"/>
          <w:lang w:val="en-US" w:eastAsia="zh-CN"/>
        </w:rPr>
        <w:t>F</w:t>
      </w:r>
      <w:r w:rsidRPr="00BA1545">
        <w:rPr>
          <w:rFonts w:eastAsia="MS Mincho" w:cs="Trebuchet MS"/>
          <w:color w:val="000000"/>
          <w:lang w:val="en-US" w:eastAsia="zh-CN"/>
        </w:rPr>
        <w:t>rance and in the US. The income tax charge relates to normal taxes paid on local profitable income.</w:t>
      </w:r>
    </w:p>
    <w:p w:rsidR="00C65187" w:rsidRPr="00BA1545" w:rsidRDefault="00C65187" w:rsidP="00BF3C58">
      <w:pPr>
        <w:pStyle w:val="NoSpacing"/>
        <w:jc w:val="both"/>
        <w:rPr>
          <w:bCs/>
          <w:lang w:val="en-US"/>
        </w:rPr>
      </w:pPr>
    </w:p>
    <w:p w:rsidR="00B35711" w:rsidRPr="007B667C" w:rsidRDefault="00B35711" w:rsidP="00BF3C58">
      <w:pPr>
        <w:pStyle w:val="NoSpacing"/>
        <w:jc w:val="both"/>
        <w:rPr>
          <w:b/>
          <w:bCs/>
          <w:lang w:val="en-US"/>
        </w:rPr>
      </w:pPr>
      <w:r w:rsidRPr="007B667C">
        <w:rPr>
          <w:b/>
          <w:bCs/>
          <w:lang w:val="en-US"/>
        </w:rPr>
        <w:t>Net profit</w:t>
      </w:r>
    </w:p>
    <w:p w:rsidR="00EB3CE0" w:rsidRDefault="00EB3CE0" w:rsidP="00BF3C58">
      <w:pPr>
        <w:pStyle w:val="NoSpacing"/>
        <w:jc w:val="both"/>
        <w:rPr>
          <w:bCs/>
          <w:u w:val="single"/>
          <w:lang w:val="en-US"/>
        </w:rPr>
      </w:pPr>
    </w:p>
    <w:p w:rsidR="004101A3" w:rsidRPr="00BA1545" w:rsidRDefault="00B00918" w:rsidP="00BF3C58">
      <w:pPr>
        <w:pStyle w:val="NoSpacing"/>
        <w:jc w:val="both"/>
        <w:rPr>
          <w:bCs/>
          <w:u w:val="single"/>
          <w:lang w:val="en-US"/>
        </w:rPr>
      </w:pPr>
      <w:r w:rsidRPr="00B00918">
        <w:rPr>
          <w:noProof/>
          <w:lang w:eastAsia="nl-NL"/>
        </w:rPr>
        <w:drawing>
          <wp:inline distT="0" distB="0" distL="0" distR="0">
            <wp:extent cx="4391891" cy="2106703"/>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1891" cy="2106703"/>
                    </a:xfrm>
                    <a:prstGeom prst="rect">
                      <a:avLst/>
                    </a:prstGeom>
                    <a:noFill/>
                    <a:ln>
                      <a:noFill/>
                    </a:ln>
                  </pic:spPr>
                </pic:pic>
              </a:graphicData>
            </a:graphic>
          </wp:inline>
        </w:drawing>
      </w:r>
    </w:p>
    <w:p w:rsidR="001657A0" w:rsidRPr="00BA1545" w:rsidRDefault="001657A0" w:rsidP="00BF3C58">
      <w:pPr>
        <w:pStyle w:val="NoSpacing"/>
        <w:jc w:val="both"/>
        <w:rPr>
          <w:bCs/>
          <w:lang w:val="en-US"/>
        </w:rPr>
      </w:pPr>
    </w:p>
    <w:p w:rsidR="001657A0" w:rsidRPr="00BA1545" w:rsidRDefault="001657A0" w:rsidP="00BF3C58">
      <w:pPr>
        <w:pStyle w:val="NoSpacing"/>
        <w:jc w:val="both"/>
        <w:rPr>
          <w:bCs/>
          <w:lang w:val="en-US"/>
        </w:rPr>
      </w:pPr>
      <w:r w:rsidRPr="00EB3CE0">
        <w:rPr>
          <w:bCs/>
          <w:lang w:val="en-US"/>
        </w:rPr>
        <w:t xml:space="preserve">Net </w:t>
      </w:r>
      <w:r w:rsidR="001D778F" w:rsidRPr="00EB3CE0">
        <w:rPr>
          <w:bCs/>
          <w:lang w:val="en-US"/>
        </w:rPr>
        <w:t>income</w:t>
      </w:r>
      <w:r w:rsidRPr="00EB3CE0">
        <w:rPr>
          <w:bCs/>
          <w:lang w:val="en-US"/>
        </w:rPr>
        <w:t xml:space="preserve"> </w:t>
      </w:r>
      <w:r w:rsidR="00EB3CE0">
        <w:rPr>
          <w:bCs/>
          <w:lang w:val="en-US"/>
        </w:rPr>
        <w:t>amounted</w:t>
      </w:r>
      <w:r w:rsidRPr="00EB3CE0">
        <w:rPr>
          <w:bCs/>
          <w:lang w:val="en-US"/>
        </w:rPr>
        <w:t xml:space="preserve"> </w:t>
      </w:r>
      <w:r w:rsidR="00DB67AA" w:rsidRPr="00EB3CE0">
        <w:rPr>
          <w:lang w:val="en-US"/>
        </w:rPr>
        <w:t xml:space="preserve">€ </w:t>
      </w:r>
      <w:r w:rsidR="00EB3CE0" w:rsidRPr="00EB3CE0">
        <w:rPr>
          <w:lang w:val="en-US"/>
        </w:rPr>
        <w:t xml:space="preserve">- </w:t>
      </w:r>
      <w:r w:rsidR="00F275BF" w:rsidRPr="00EB3CE0">
        <w:rPr>
          <w:lang w:val="en-US"/>
        </w:rPr>
        <w:t>23</w:t>
      </w:r>
      <w:r w:rsidR="00EB3CE0">
        <w:rPr>
          <w:lang w:val="en-US"/>
        </w:rPr>
        <w:t>8k</w:t>
      </w:r>
      <w:r w:rsidRPr="00EB3CE0">
        <w:rPr>
          <w:bCs/>
          <w:lang w:val="en-US"/>
        </w:rPr>
        <w:t xml:space="preserve"> (H1 201</w:t>
      </w:r>
      <w:r w:rsidR="00F275BF" w:rsidRPr="00EB3CE0">
        <w:rPr>
          <w:bCs/>
          <w:lang w:val="en-US"/>
        </w:rPr>
        <w:t>7</w:t>
      </w:r>
      <w:r w:rsidRPr="00EB3CE0">
        <w:rPr>
          <w:bCs/>
          <w:lang w:val="en-US"/>
        </w:rPr>
        <w:t xml:space="preserve">: </w:t>
      </w:r>
      <w:r w:rsidR="00DB67AA" w:rsidRPr="00EB3CE0">
        <w:rPr>
          <w:lang w:val="en-US"/>
        </w:rPr>
        <w:t xml:space="preserve">€ </w:t>
      </w:r>
      <w:r w:rsidR="00F275BF" w:rsidRPr="00EB3CE0">
        <w:rPr>
          <w:lang w:val="en-US"/>
        </w:rPr>
        <w:t>141</w:t>
      </w:r>
      <w:r w:rsidR="00DB67AA" w:rsidRPr="00EB3CE0">
        <w:rPr>
          <w:bCs/>
          <w:lang w:val="en-US"/>
        </w:rPr>
        <w:t>k</w:t>
      </w:r>
      <w:r w:rsidRPr="00EB3CE0">
        <w:rPr>
          <w:bCs/>
          <w:lang w:val="en-US"/>
        </w:rPr>
        <w:t>)</w:t>
      </w:r>
      <w:r w:rsidR="002210BC" w:rsidRPr="00EB3CE0">
        <w:rPr>
          <w:bCs/>
          <w:lang w:val="en-US"/>
        </w:rPr>
        <w:t>.</w:t>
      </w:r>
    </w:p>
    <w:p w:rsidR="001657A0" w:rsidRPr="00BA1545" w:rsidRDefault="001657A0" w:rsidP="00BF3C58">
      <w:pPr>
        <w:pStyle w:val="NoSpacing"/>
        <w:jc w:val="both"/>
        <w:rPr>
          <w:bCs/>
          <w:lang w:val="en-US"/>
        </w:rPr>
      </w:pPr>
    </w:p>
    <w:p w:rsidR="005C18B0" w:rsidRPr="007B667C" w:rsidRDefault="005C18B0" w:rsidP="00BF3C58">
      <w:pPr>
        <w:pStyle w:val="NoSpacing"/>
        <w:jc w:val="both"/>
        <w:rPr>
          <w:b/>
          <w:bCs/>
          <w:lang w:val="en-US"/>
        </w:rPr>
      </w:pPr>
      <w:r w:rsidRPr="007B667C">
        <w:rPr>
          <w:b/>
          <w:bCs/>
          <w:lang w:val="en-US"/>
        </w:rPr>
        <w:t>Development activities</w:t>
      </w:r>
    </w:p>
    <w:p w:rsidR="007B667C" w:rsidRDefault="005C18B0" w:rsidP="00BF3C58">
      <w:pPr>
        <w:pStyle w:val="NoSpacing"/>
        <w:jc w:val="both"/>
        <w:rPr>
          <w:rFonts w:eastAsia="MS Mincho" w:cs="Trebuchet MS"/>
          <w:color w:val="000000"/>
          <w:lang w:val="en-US" w:eastAsia="zh-CN"/>
        </w:rPr>
      </w:pPr>
      <w:r w:rsidRPr="00BA1545">
        <w:rPr>
          <w:bCs/>
          <w:lang w:val="en-US"/>
        </w:rPr>
        <w:t>In H1, 201</w:t>
      </w:r>
      <w:r w:rsidR="00F275BF">
        <w:rPr>
          <w:bCs/>
          <w:lang w:val="en-US"/>
        </w:rPr>
        <w:t>8</w:t>
      </w:r>
      <w:r w:rsidRPr="00BA1545">
        <w:rPr>
          <w:bCs/>
          <w:lang w:val="en-US"/>
        </w:rPr>
        <w:t xml:space="preserve"> the company capitalized </w:t>
      </w:r>
      <w:r w:rsidRPr="00BA1545">
        <w:rPr>
          <w:rFonts w:eastAsia="MS Mincho" w:cs="Trebuchet MS"/>
          <w:color w:val="000000"/>
          <w:lang w:val="en-US" w:eastAsia="zh-CN"/>
        </w:rPr>
        <w:t xml:space="preserve">€ </w:t>
      </w:r>
      <w:r w:rsidR="00F275BF">
        <w:rPr>
          <w:rFonts w:eastAsia="MS Mincho" w:cs="Trebuchet MS"/>
          <w:color w:val="000000"/>
          <w:lang w:val="en-US" w:eastAsia="zh-CN"/>
        </w:rPr>
        <w:t>620</w:t>
      </w:r>
      <w:r w:rsidRPr="00BA1545">
        <w:rPr>
          <w:rFonts w:eastAsia="MS Mincho" w:cs="Trebuchet MS"/>
          <w:color w:val="000000"/>
          <w:lang w:val="en-US" w:eastAsia="zh-CN"/>
        </w:rPr>
        <w:t>k (H1 201</w:t>
      </w:r>
      <w:r w:rsidR="00F275BF">
        <w:rPr>
          <w:rFonts w:eastAsia="MS Mincho" w:cs="Trebuchet MS"/>
          <w:color w:val="000000"/>
          <w:lang w:val="en-US" w:eastAsia="zh-CN"/>
        </w:rPr>
        <w:t>7</w:t>
      </w:r>
      <w:r w:rsidR="00C90FD4" w:rsidRPr="00BA1545">
        <w:rPr>
          <w:rFonts w:eastAsia="MS Mincho" w:cs="Trebuchet MS"/>
          <w:color w:val="000000"/>
          <w:lang w:val="en-US" w:eastAsia="zh-CN"/>
        </w:rPr>
        <w:t>:</w:t>
      </w:r>
      <w:r w:rsidRPr="00BA1545">
        <w:rPr>
          <w:rFonts w:eastAsia="MS Mincho" w:cs="Trebuchet MS"/>
          <w:color w:val="000000"/>
          <w:lang w:val="en-US" w:eastAsia="zh-CN"/>
        </w:rPr>
        <w:t xml:space="preserve"> € </w:t>
      </w:r>
      <w:r w:rsidR="00F275BF">
        <w:rPr>
          <w:rFonts w:eastAsia="MS Mincho" w:cs="Trebuchet MS"/>
          <w:color w:val="000000"/>
          <w:lang w:val="en-US" w:eastAsia="zh-CN"/>
        </w:rPr>
        <w:t>700</w:t>
      </w:r>
      <w:r w:rsidRPr="00BA1545">
        <w:rPr>
          <w:rFonts w:eastAsia="MS Mincho" w:cs="Trebuchet MS"/>
          <w:color w:val="000000"/>
          <w:lang w:val="en-US" w:eastAsia="zh-CN"/>
        </w:rPr>
        <w:t>k)</w:t>
      </w:r>
      <w:r w:rsidR="007B667C">
        <w:rPr>
          <w:rFonts w:eastAsia="MS Mincho" w:cs="Trebuchet MS"/>
          <w:color w:val="000000"/>
          <w:lang w:val="en-US" w:eastAsia="zh-CN"/>
        </w:rPr>
        <w:t xml:space="preserve"> on the development of the FLOW applications and FLOW portal and on the onboarding tool ‘validator’. </w:t>
      </w:r>
    </w:p>
    <w:p w:rsidR="007B667C" w:rsidRDefault="007B667C" w:rsidP="00BF3C58">
      <w:pPr>
        <w:pStyle w:val="NoSpacing"/>
        <w:jc w:val="both"/>
        <w:rPr>
          <w:rFonts w:eastAsia="MS Mincho" w:cs="Trebuchet MS"/>
          <w:color w:val="000000"/>
          <w:lang w:val="en-US" w:eastAsia="zh-CN"/>
        </w:rPr>
      </w:pPr>
    </w:p>
    <w:p w:rsidR="001657A0" w:rsidRPr="007B667C" w:rsidRDefault="001657A0" w:rsidP="00BF3C58">
      <w:pPr>
        <w:pStyle w:val="NoSpacing"/>
        <w:jc w:val="both"/>
        <w:rPr>
          <w:b/>
          <w:bCs/>
          <w:lang w:val="en-US"/>
        </w:rPr>
      </w:pPr>
      <w:r w:rsidRPr="007B667C">
        <w:rPr>
          <w:b/>
          <w:bCs/>
          <w:lang w:val="en-US"/>
        </w:rPr>
        <w:t>Liquidity and cash flow</w:t>
      </w:r>
    </w:p>
    <w:p w:rsidR="00EC7A20" w:rsidRPr="00BA1545" w:rsidRDefault="00EB3CE0" w:rsidP="00BF3C58">
      <w:pPr>
        <w:pStyle w:val="NoSpacing"/>
        <w:jc w:val="both"/>
        <w:rPr>
          <w:bCs/>
          <w:lang w:val="en-US"/>
        </w:rPr>
      </w:pPr>
      <w:r>
        <w:rPr>
          <w:bCs/>
          <w:lang w:val="en-US"/>
        </w:rPr>
        <w:t xml:space="preserve">Cash </w:t>
      </w:r>
      <w:r w:rsidR="00945547">
        <w:rPr>
          <w:bCs/>
          <w:lang w:val="en-US"/>
        </w:rPr>
        <w:t>Operating cash flow in HY1 of FY 201</w:t>
      </w:r>
      <w:r w:rsidR="00F275BF">
        <w:rPr>
          <w:bCs/>
          <w:lang w:val="en-US"/>
        </w:rPr>
        <w:t>8</w:t>
      </w:r>
      <w:r w:rsidR="00945547">
        <w:rPr>
          <w:bCs/>
          <w:lang w:val="en-US"/>
        </w:rPr>
        <w:t xml:space="preserve"> amounted to € </w:t>
      </w:r>
      <w:r w:rsidR="00457419">
        <w:rPr>
          <w:bCs/>
          <w:lang w:val="en-US"/>
        </w:rPr>
        <w:t>-31</w:t>
      </w:r>
      <w:r w:rsidR="00945547">
        <w:rPr>
          <w:bCs/>
          <w:lang w:val="en-US"/>
        </w:rPr>
        <w:t>k</w:t>
      </w:r>
      <w:r w:rsidR="008344D8">
        <w:rPr>
          <w:bCs/>
          <w:lang w:val="en-US"/>
        </w:rPr>
        <w:t xml:space="preserve"> (H1 </w:t>
      </w:r>
      <w:r w:rsidR="00945547">
        <w:rPr>
          <w:bCs/>
          <w:lang w:val="en-US"/>
        </w:rPr>
        <w:t>201</w:t>
      </w:r>
      <w:r w:rsidR="007B6951">
        <w:rPr>
          <w:bCs/>
          <w:lang w:val="en-US"/>
        </w:rPr>
        <w:t>7</w:t>
      </w:r>
      <w:r w:rsidR="008344D8">
        <w:rPr>
          <w:bCs/>
          <w:lang w:val="en-US"/>
        </w:rPr>
        <w:t xml:space="preserve">: </w:t>
      </w:r>
      <w:r w:rsidR="00945547">
        <w:rPr>
          <w:bCs/>
          <w:lang w:val="en-US"/>
        </w:rPr>
        <w:t xml:space="preserve">€ </w:t>
      </w:r>
      <w:r w:rsidR="007B6951">
        <w:rPr>
          <w:bCs/>
          <w:lang w:val="en-US"/>
        </w:rPr>
        <w:t>932</w:t>
      </w:r>
      <w:r w:rsidR="00945547">
        <w:rPr>
          <w:bCs/>
          <w:lang w:val="en-US"/>
        </w:rPr>
        <w:t xml:space="preserve">k), caused </w:t>
      </w:r>
      <w:r w:rsidR="00A80AB9">
        <w:rPr>
          <w:bCs/>
          <w:lang w:val="en-US"/>
        </w:rPr>
        <w:t xml:space="preserve">by </w:t>
      </w:r>
      <w:r w:rsidR="008344D8">
        <w:rPr>
          <w:bCs/>
          <w:lang w:val="en-US"/>
        </w:rPr>
        <w:t xml:space="preserve">lower </w:t>
      </w:r>
      <w:r w:rsidR="00457419">
        <w:rPr>
          <w:bCs/>
          <w:lang w:val="en-US"/>
        </w:rPr>
        <w:t xml:space="preserve">activity levels </w:t>
      </w:r>
      <w:r w:rsidR="008344D8">
        <w:rPr>
          <w:bCs/>
          <w:lang w:val="en-US"/>
        </w:rPr>
        <w:t>and associated working capital movements.</w:t>
      </w:r>
      <w:r w:rsidR="00945547">
        <w:rPr>
          <w:bCs/>
          <w:lang w:val="en-US"/>
        </w:rPr>
        <w:t xml:space="preserve"> </w:t>
      </w:r>
      <w:r w:rsidR="00EC7A20" w:rsidRPr="00BA1545">
        <w:rPr>
          <w:bCs/>
          <w:lang w:val="en-US"/>
        </w:rPr>
        <w:t>The cash position at the end of March 201</w:t>
      </w:r>
      <w:r w:rsidR="008344D8">
        <w:rPr>
          <w:bCs/>
          <w:lang w:val="en-US"/>
        </w:rPr>
        <w:t>8</w:t>
      </w:r>
      <w:r w:rsidR="00EC7A20" w:rsidRPr="00BA1545">
        <w:rPr>
          <w:bCs/>
          <w:lang w:val="en-US"/>
        </w:rPr>
        <w:t xml:space="preserve"> was positive </w:t>
      </w:r>
      <w:r w:rsidR="008344D8">
        <w:rPr>
          <w:bCs/>
          <w:lang w:val="en-US"/>
        </w:rPr>
        <w:t>€ 891</w:t>
      </w:r>
      <w:r w:rsidR="00523B38">
        <w:rPr>
          <w:bCs/>
          <w:lang w:val="en-US"/>
        </w:rPr>
        <w:t>k</w:t>
      </w:r>
      <w:r w:rsidR="007B667C">
        <w:rPr>
          <w:bCs/>
          <w:lang w:val="en-US"/>
        </w:rPr>
        <w:t xml:space="preserve"> (March 201</w:t>
      </w:r>
      <w:r w:rsidR="008344D8">
        <w:rPr>
          <w:bCs/>
          <w:lang w:val="en-US"/>
        </w:rPr>
        <w:t>7</w:t>
      </w:r>
      <w:r w:rsidR="007B667C">
        <w:rPr>
          <w:bCs/>
          <w:lang w:val="en-US"/>
        </w:rPr>
        <w:t xml:space="preserve">: </w:t>
      </w:r>
      <w:r w:rsidR="00DB67AA" w:rsidRPr="00BA1545">
        <w:rPr>
          <w:lang w:val="en-US"/>
        </w:rPr>
        <w:t xml:space="preserve">€ </w:t>
      </w:r>
      <w:r w:rsidR="008344D8">
        <w:rPr>
          <w:lang w:val="en-US"/>
        </w:rPr>
        <w:t>2.070</w:t>
      </w:r>
      <w:r w:rsidR="00DB67AA" w:rsidRPr="00BA1545">
        <w:rPr>
          <w:bCs/>
          <w:lang w:val="en-US"/>
        </w:rPr>
        <w:t>k</w:t>
      </w:r>
      <w:r w:rsidR="007B667C">
        <w:rPr>
          <w:bCs/>
          <w:lang w:val="en-US"/>
        </w:rPr>
        <w:t>)</w:t>
      </w:r>
      <w:r w:rsidR="004101A3" w:rsidRPr="00BA1545">
        <w:rPr>
          <w:bCs/>
          <w:lang w:val="en-US"/>
        </w:rPr>
        <w:t>.</w:t>
      </w:r>
      <w:r w:rsidR="00EC7A20" w:rsidRPr="00BA1545">
        <w:rPr>
          <w:bCs/>
          <w:lang w:val="en-US"/>
        </w:rPr>
        <w:t xml:space="preserve"> </w:t>
      </w:r>
    </w:p>
    <w:p w:rsidR="005C18B0" w:rsidRDefault="005C18B0" w:rsidP="00BF3C58">
      <w:pPr>
        <w:pStyle w:val="NoSpacing"/>
        <w:jc w:val="both"/>
        <w:rPr>
          <w:bCs/>
          <w:u w:val="single"/>
          <w:lang w:val="en-US"/>
        </w:rPr>
      </w:pPr>
    </w:p>
    <w:p w:rsidR="00945547" w:rsidRPr="00BA1545" w:rsidRDefault="00945547" w:rsidP="00BF3C58">
      <w:pPr>
        <w:pStyle w:val="NoSpacing"/>
        <w:jc w:val="both"/>
        <w:rPr>
          <w:bCs/>
          <w:u w:val="single"/>
          <w:lang w:val="en-US"/>
        </w:rPr>
      </w:pPr>
    </w:p>
    <w:p w:rsidR="0050533C" w:rsidRPr="00C57699" w:rsidRDefault="0050533C" w:rsidP="0050533C">
      <w:pPr>
        <w:pStyle w:val="NoSpacing"/>
        <w:jc w:val="both"/>
        <w:rPr>
          <w:b/>
          <w:bCs/>
          <w:lang w:val="en-US"/>
        </w:rPr>
      </w:pPr>
      <w:r w:rsidRPr="00C57699">
        <w:rPr>
          <w:b/>
          <w:bCs/>
          <w:lang w:val="en-US"/>
        </w:rPr>
        <w:t>First half year Order Intake/ ‘ISP’</w:t>
      </w:r>
    </w:p>
    <w:p w:rsidR="0050533C" w:rsidRDefault="0050533C" w:rsidP="0050533C">
      <w:pPr>
        <w:pStyle w:val="NoSpacing"/>
        <w:jc w:val="both"/>
        <w:rPr>
          <w:lang w:val="en-US"/>
        </w:rPr>
      </w:pPr>
    </w:p>
    <w:p w:rsidR="0050533C" w:rsidRDefault="00417CA5" w:rsidP="0050533C">
      <w:pPr>
        <w:pStyle w:val="NoSpacing"/>
        <w:jc w:val="both"/>
        <w:rPr>
          <w:lang w:val="en-US"/>
        </w:rPr>
      </w:pPr>
      <w:r w:rsidRPr="00417CA5">
        <w:rPr>
          <w:noProof/>
          <w:lang w:eastAsia="nl-NL"/>
        </w:rPr>
        <w:drawing>
          <wp:inline distT="0" distB="0" distL="0" distR="0" wp14:anchorId="7BFF5421" wp14:editId="0D4B61D0">
            <wp:extent cx="5760720" cy="1613913"/>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613913"/>
                    </a:xfrm>
                    <a:prstGeom prst="rect">
                      <a:avLst/>
                    </a:prstGeom>
                    <a:noFill/>
                    <a:ln>
                      <a:noFill/>
                    </a:ln>
                  </pic:spPr>
                </pic:pic>
              </a:graphicData>
            </a:graphic>
          </wp:inline>
        </w:drawing>
      </w:r>
    </w:p>
    <w:p w:rsidR="0050533C" w:rsidRDefault="0050533C" w:rsidP="0050533C">
      <w:pPr>
        <w:pStyle w:val="NoSpacing"/>
        <w:jc w:val="both"/>
        <w:rPr>
          <w:lang w:val="en-US"/>
        </w:rPr>
      </w:pPr>
    </w:p>
    <w:p w:rsidR="0050533C" w:rsidRPr="006B4450" w:rsidRDefault="0050533C" w:rsidP="0050533C">
      <w:pPr>
        <w:pStyle w:val="NoSpacing"/>
        <w:jc w:val="both"/>
        <w:rPr>
          <w:lang w:val="en-US"/>
        </w:rPr>
      </w:pPr>
      <w:r>
        <w:rPr>
          <w:lang w:val="en-US"/>
        </w:rPr>
        <w:t xml:space="preserve">The company focuses on long term value creation and strives to increase the % of SaaS ISP in its </w:t>
      </w:r>
      <w:r w:rsidR="00417CA5">
        <w:rPr>
          <w:lang w:val="en-US"/>
        </w:rPr>
        <w:t>FLOW</w:t>
      </w:r>
      <w:r>
        <w:rPr>
          <w:lang w:val="en-US"/>
        </w:rPr>
        <w:t xml:space="preserve"> </w:t>
      </w:r>
      <w:r w:rsidR="00417CA5">
        <w:rPr>
          <w:lang w:val="en-US"/>
        </w:rPr>
        <w:t>offering</w:t>
      </w:r>
      <w:r>
        <w:rPr>
          <w:lang w:val="en-US"/>
        </w:rPr>
        <w:t>. In the first half of FY 201</w:t>
      </w:r>
      <w:r w:rsidR="00E13E51">
        <w:rPr>
          <w:lang w:val="en-US"/>
        </w:rPr>
        <w:t>8</w:t>
      </w:r>
      <w:r>
        <w:rPr>
          <w:lang w:val="en-US"/>
        </w:rPr>
        <w:t xml:space="preserve"> </w:t>
      </w:r>
      <w:r w:rsidR="00417CA5">
        <w:rPr>
          <w:lang w:val="en-US"/>
        </w:rPr>
        <w:t>FLOW</w:t>
      </w:r>
      <w:r>
        <w:rPr>
          <w:lang w:val="en-US"/>
        </w:rPr>
        <w:t xml:space="preserve"> ISP</w:t>
      </w:r>
      <w:r w:rsidRPr="006B4450">
        <w:rPr>
          <w:lang w:val="en-US"/>
        </w:rPr>
        <w:t xml:space="preserve"> amounted to € </w:t>
      </w:r>
      <w:r w:rsidR="00417CA5">
        <w:rPr>
          <w:lang w:val="en-US"/>
        </w:rPr>
        <w:t>4.783</w:t>
      </w:r>
      <w:r>
        <w:rPr>
          <w:lang w:val="en-US"/>
        </w:rPr>
        <w:t xml:space="preserve">k, with </w:t>
      </w:r>
      <w:r w:rsidR="00417CA5">
        <w:rPr>
          <w:lang w:val="en-US"/>
        </w:rPr>
        <w:t>46</w:t>
      </w:r>
      <w:r>
        <w:rPr>
          <w:lang w:val="en-US"/>
        </w:rPr>
        <w:t>% SaaS</w:t>
      </w:r>
      <w:r w:rsidRPr="006B4450">
        <w:rPr>
          <w:lang w:val="en-US"/>
        </w:rPr>
        <w:t xml:space="preserve"> (201</w:t>
      </w:r>
      <w:r w:rsidR="004B17A9">
        <w:rPr>
          <w:lang w:val="en-US"/>
        </w:rPr>
        <w:t>7</w:t>
      </w:r>
      <w:r w:rsidRPr="006B4450">
        <w:rPr>
          <w:lang w:val="en-US"/>
        </w:rPr>
        <w:t xml:space="preserve">: </w:t>
      </w:r>
      <w:r>
        <w:rPr>
          <w:lang w:val="en-US"/>
        </w:rPr>
        <w:t xml:space="preserve">€ </w:t>
      </w:r>
      <w:r w:rsidR="00417CA5">
        <w:rPr>
          <w:lang w:val="en-US"/>
        </w:rPr>
        <w:t>5.339</w:t>
      </w:r>
      <w:r w:rsidRPr="006B4450">
        <w:rPr>
          <w:lang w:val="en-US"/>
        </w:rPr>
        <w:t>k</w:t>
      </w:r>
      <w:r>
        <w:rPr>
          <w:lang w:val="en-US"/>
        </w:rPr>
        <w:t xml:space="preserve"> with </w:t>
      </w:r>
      <w:r w:rsidR="00417CA5">
        <w:rPr>
          <w:lang w:val="en-US"/>
        </w:rPr>
        <w:t>49</w:t>
      </w:r>
      <w:r>
        <w:rPr>
          <w:lang w:val="en-US"/>
        </w:rPr>
        <w:t>% SaaS</w:t>
      </w:r>
      <w:r w:rsidRPr="006B4450">
        <w:rPr>
          <w:lang w:val="en-US"/>
        </w:rPr>
        <w:t>)</w:t>
      </w:r>
      <w:r w:rsidR="00417CA5">
        <w:rPr>
          <w:lang w:val="en-US"/>
        </w:rPr>
        <w:t>. The reduction of SaaS ISP with 3% points is largely attributa</w:t>
      </w:r>
      <w:r w:rsidR="00D71D59">
        <w:rPr>
          <w:lang w:val="en-US"/>
        </w:rPr>
        <w:t>ble to lower Analytics SaaS ISP, caused by change of contract structure by certain OEM’s.</w:t>
      </w:r>
    </w:p>
    <w:p w:rsidR="0050533C" w:rsidRDefault="0050533C" w:rsidP="002148DB">
      <w:pPr>
        <w:pStyle w:val="NoSpacing"/>
        <w:jc w:val="both"/>
        <w:rPr>
          <w:bCs/>
          <w:lang w:val="en-US"/>
        </w:rPr>
      </w:pPr>
    </w:p>
    <w:p w:rsidR="00B35711" w:rsidRPr="00C57699" w:rsidRDefault="00C57699" w:rsidP="002148DB">
      <w:pPr>
        <w:pStyle w:val="NoSpacing"/>
        <w:jc w:val="both"/>
        <w:rPr>
          <w:b/>
          <w:bCs/>
          <w:lang w:val="en-US"/>
        </w:rPr>
      </w:pPr>
      <w:r w:rsidRPr="00C57699">
        <w:rPr>
          <w:b/>
          <w:bCs/>
          <w:lang w:val="en-US"/>
        </w:rPr>
        <w:t>H</w:t>
      </w:r>
      <w:r w:rsidR="00B35711" w:rsidRPr="00C57699">
        <w:rPr>
          <w:b/>
          <w:bCs/>
          <w:lang w:val="en-US"/>
        </w:rPr>
        <w:t>ighlights</w:t>
      </w:r>
      <w:r w:rsidRPr="00C57699">
        <w:rPr>
          <w:b/>
          <w:bCs/>
          <w:lang w:val="en-US"/>
        </w:rPr>
        <w:t xml:space="preserve"> annou</w:t>
      </w:r>
      <w:r>
        <w:rPr>
          <w:b/>
          <w:bCs/>
          <w:lang w:val="en-US"/>
        </w:rPr>
        <w:t>n</w:t>
      </w:r>
      <w:r w:rsidRPr="00C57699">
        <w:rPr>
          <w:b/>
          <w:bCs/>
          <w:lang w:val="en-US"/>
        </w:rPr>
        <w:t>ced</w:t>
      </w:r>
    </w:p>
    <w:p w:rsidR="00C57699" w:rsidRDefault="00C57699" w:rsidP="002148DB">
      <w:pPr>
        <w:pStyle w:val="NoSpacing"/>
        <w:jc w:val="both"/>
        <w:rPr>
          <w:bCs/>
          <w:lang w:val="en-US"/>
        </w:rPr>
      </w:pPr>
    </w:p>
    <w:p w:rsidR="001138B0" w:rsidRPr="00BA1545" w:rsidRDefault="008507B6" w:rsidP="002148DB">
      <w:pPr>
        <w:pStyle w:val="NoSpacing"/>
        <w:jc w:val="both"/>
        <w:rPr>
          <w:bCs/>
          <w:lang w:val="en-US"/>
        </w:rPr>
      </w:pPr>
      <w:r w:rsidRPr="00BA1545">
        <w:rPr>
          <w:bCs/>
          <w:lang w:val="en-US"/>
        </w:rPr>
        <w:t>As from October 1, 201</w:t>
      </w:r>
      <w:r w:rsidR="007E218D">
        <w:rPr>
          <w:bCs/>
          <w:lang w:val="en-US"/>
        </w:rPr>
        <w:t>7</w:t>
      </w:r>
      <w:r w:rsidR="00C3043B" w:rsidRPr="00BA1545">
        <w:rPr>
          <w:bCs/>
          <w:lang w:val="en-US"/>
        </w:rPr>
        <w:t xml:space="preserve"> </w:t>
      </w:r>
      <w:r w:rsidR="00A77807" w:rsidRPr="00BA1545">
        <w:rPr>
          <w:bCs/>
          <w:lang w:val="en-US"/>
        </w:rPr>
        <w:t>up to</w:t>
      </w:r>
      <w:r w:rsidRPr="00BA1545">
        <w:rPr>
          <w:bCs/>
          <w:lang w:val="en-US"/>
        </w:rPr>
        <w:t xml:space="preserve"> now, </w:t>
      </w:r>
      <w:r w:rsidR="00934F20" w:rsidRPr="00BA1545">
        <w:rPr>
          <w:bCs/>
          <w:lang w:val="en-US"/>
        </w:rPr>
        <w:t>TIE Kinetix</w:t>
      </w:r>
      <w:r w:rsidRPr="00BA1545">
        <w:rPr>
          <w:bCs/>
          <w:lang w:val="en-US"/>
        </w:rPr>
        <w:t xml:space="preserve"> has reported the following highlights:</w:t>
      </w:r>
    </w:p>
    <w:p w:rsidR="00BF3C58" w:rsidRPr="00BA1545" w:rsidRDefault="00BF3C58" w:rsidP="002148DB">
      <w:pPr>
        <w:pStyle w:val="NoSpacing"/>
        <w:jc w:val="both"/>
        <w:rPr>
          <w:bCs/>
          <w:lang w:val="en-US"/>
        </w:rPr>
      </w:pPr>
    </w:p>
    <w:p w:rsidR="00C57699" w:rsidRPr="00BA1545" w:rsidRDefault="00EF3B3C" w:rsidP="00C57699">
      <w:pPr>
        <w:pStyle w:val="NoSpacing"/>
        <w:jc w:val="both"/>
        <w:rPr>
          <w:bCs/>
          <w:lang w:val="en-US"/>
        </w:rPr>
      </w:pPr>
      <w:r>
        <w:rPr>
          <w:bCs/>
          <w:lang w:val="en-US"/>
        </w:rPr>
        <w:t>0</w:t>
      </w:r>
      <w:r w:rsidR="00D23E2D">
        <w:rPr>
          <w:bCs/>
          <w:lang w:val="en-US"/>
        </w:rPr>
        <w:t>3</w:t>
      </w:r>
      <w:r w:rsidR="00C61FFA" w:rsidRPr="00BA1545">
        <w:rPr>
          <w:bCs/>
          <w:lang w:val="en-US"/>
        </w:rPr>
        <w:t>-10-201</w:t>
      </w:r>
      <w:r w:rsidR="00D23E2D">
        <w:rPr>
          <w:bCs/>
          <w:lang w:val="en-US"/>
        </w:rPr>
        <w:t>7</w:t>
      </w:r>
      <w:r w:rsidR="00C61FFA" w:rsidRPr="00BA1545">
        <w:rPr>
          <w:bCs/>
          <w:lang w:val="en-US"/>
        </w:rPr>
        <w:t xml:space="preserve">: </w:t>
      </w:r>
      <w:r w:rsidR="00D23E2D">
        <w:rPr>
          <w:bCs/>
          <w:lang w:val="en-US"/>
        </w:rPr>
        <w:t>Significant Increase of FLOW Order Intake in 2017</w:t>
      </w:r>
      <w:r w:rsidR="00C57699" w:rsidRPr="00BA1545">
        <w:rPr>
          <w:bCs/>
          <w:lang w:val="en-US"/>
        </w:rPr>
        <w:t>;</w:t>
      </w:r>
    </w:p>
    <w:p w:rsidR="00C61FFA" w:rsidRPr="00BA1545" w:rsidRDefault="00C61FFA" w:rsidP="002148DB">
      <w:pPr>
        <w:pStyle w:val="NoSpacing"/>
        <w:jc w:val="both"/>
        <w:rPr>
          <w:bCs/>
          <w:lang w:val="en-US"/>
        </w:rPr>
      </w:pPr>
    </w:p>
    <w:p w:rsidR="00C61FFA" w:rsidRPr="00D23E2D" w:rsidRDefault="00D23E2D" w:rsidP="002148DB">
      <w:pPr>
        <w:pStyle w:val="NoSpacing"/>
        <w:jc w:val="both"/>
        <w:rPr>
          <w:bCs/>
          <w:lang w:val="en-US"/>
        </w:rPr>
      </w:pPr>
      <w:r w:rsidRPr="00D23E2D">
        <w:rPr>
          <w:bCs/>
          <w:lang w:val="en-US"/>
        </w:rPr>
        <w:t>11</w:t>
      </w:r>
      <w:r w:rsidR="00C61FFA" w:rsidRPr="00D23E2D">
        <w:rPr>
          <w:bCs/>
          <w:lang w:val="en-US"/>
        </w:rPr>
        <w:t>-1</w:t>
      </w:r>
      <w:r w:rsidRPr="00D23E2D">
        <w:rPr>
          <w:bCs/>
          <w:lang w:val="en-US"/>
        </w:rPr>
        <w:t>0</w:t>
      </w:r>
      <w:r w:rsidR="00C61FFA" w:rsidRPr="00D23E2D">
        <w:rPr>
          <w:bCs/>
          <w:lang w:val="en-US"/>
        </w:rPr>
        <w:t>-201</w:t>
      </w:r>
      <w:r w:rsidRPr="00D23E2D">
        <w:rPr>
          <w:bCs/>
          <w:lang w:val="en-US"/>
        </w:rPr>
        <w:t>7</w:t>
      </w:r>
      <w:r w:rsidR="00C61FFA" w:rsidRPr="00D23E2D">
        <w:rPr>
          <w:bCs/>
          <w:lang w:val="en-US"/>
        </w:rPr>
        <w:t xml:space="preserve">: </w:t>
      </w:r>
      <w:r w:rsidRPr="00D23E2D">
        <w:rPr>
          <w:bCs/>
          <w:lang w:val="en-US"/>
        </w:rPr>
        <w:t>TIE sign</w:t>
      </w:r>
      <w:r>
        <w:rPr>
          <w:bCs/>
          <w:lang w:val="en-US"/>
        </w:rPr>
        <w:t>s</w:t>
      </w:r>
      <w:r w:rsidRPr="00D23E2D">
        <w:rPr>
          <w:bCs/>
          <w:lang w:val="en-US"/>
        </w:rPr>
        <w:t xml:space="preserve"> contract with municipality of Rotterdam for e-invoicing;</w:t>
      </w:r>
    </w:p>
    <w:p w:rsidR="00C61FFA" w:rsidRPr="00D23E2D" w:rsidRDefault="00C61FFA" w:rsidP="002148DB">
      <w:pPr>
        <w:pStyle w:val="NoSpacing"/>
        <w:jc w:val="both"/>
        <w:rPr>
          <w:bCs/>
          <w:lang w:val="en-US"/>
        </w:rPr>
      </w:pPr>
    </w:p>
    <w:p w:rsidR="00C61FFA" w:rsidRPr="00BA1545" w:rsidRDefault="00C57699" w:rsidP="002148DB">
      <w:pPr>
        <w:pStyle w:val="NoSpacing"/>
        <w:jc w:val="both"/>
        <w:rPr>
          <w:bCs/>
          <w:lang w:val="en-US"/>
        </w:rPr>
      </w:pPr>
      <w:r>
        <w:rPr>
          <w:bCs/>
          <w:lang w:val="en-US"/>
        </w:rPr>
        <w:t>1</w:t>
      </w:r>
      <w:r w:rsidR="00D23E2D">
        <w:rPr>
          <w:bCs/>
          <w:lang w:val="en-US"/>
        </w:rPr>
        <w:t>2</w:t>
      </w:r>
      <w:r w:rsidR="00C83236" w:rsidRPr="00BA1545">
        <w:rPr>
          <w:bCs/>
          <w:lang w:val="en-US"/>
        </w:rPr>
        <w:t>-1</w:t>
      </w:r>
      <w:r w:rsidR="00D23E2D">
        <w:rPr>
          <w:bCs/>
          <w:lang w:val="en-US"/>
        </w:rPr>
        <w:t>0</w:t>
      </w:r>
      <w:r w:rsidR="00C83236" w:rsidRPr="00BA1545">
        <w:rPr>
          <w:bCs/>
          <w:lang w:val="en-US"/>
        </w:rPr>
        <w:t>-201</w:t>
      </w:r>
      <w:r w:rsidR="00D23E2D">
        <w:rPr>
          <w:bCs/>
          <w:lang w:val="en-US"/>
        </w:rPr>
        <w:t>7</w:t>
      </w:r>
      <w:r w:rsidR="00C83236" w:rsidRPr="00BA1545">
        <w:rPr>
          <w:bCs/>
          <w:lang w:val="en-US"/>
        </w:rPr>
        <w:t xml:space="preserve">: </w:t>
      </w:r>
      <w:r>
        <w:rPr>
          <w:bCs/>
          <w:lang w:val="en-US"/>
        </w:rPr>
        <w:t xml:space="preserve">TIE Kinetix </w:t>
      </w:r>
      <w:r w:rsidR="00D23E2D">
        <w:rPr>
          <w:bCs/>
          <w:lang w:val="en-US"/>
        </w:rPr>
        <w:t>launches Google-adwords-for-Channel</w:t>
      </w:r>
      <w:r w:rsidR="00C61FFA" w:rsidRPr="00BA1545">
        <w:rPr>
          <w:bCs/>
          <w:lang w:val="en-US"/>
        </w:rPr>
        <w:t>;</w:t>
      </w:r>
    </w:p>
    <w:p w:rsidR="00C61FFA" w:rsidRPr="00BA1545" w:rsidRDefault="00C61FFA" w:rsidP="002148DB">
      <w:pPr>
        <w:pStyle w:val="NoSpacing"/>
        <w:jc w:val="both"/>
        <w:rPr>
          <w:bCs/>
          <w:lang w:val="en-US"/>
        </w:rPr>
      </w:pPr>
    </w:p>
    <w:p w:rsidR="00C61FFA" w:rsidRPr="00BA1545" w:rsidRDefault="00C57699" w:rsidP="002148DB">
      <w:pPr>
        <w:pStyle w:val="NoSpacing"/>
        <w:jc w:val="both"/>
        <w:rPr>
          <w:bCs/>
          <w:lang w:val="en-US"/>
        </w:rPr>
      </w:pPr>
      <w:r>
        <w:rPr>
          <w:bCs/>
          <w:lang w:val="en-US"/>
        </w:rPr>
        <w:t>1</w:t>
      </w:r>
      <w:r w:rsidR="00D23E2D">
        <w:rPr>
          <w:bCs/>
          <w:lang w:val="en-US"/>
        </w:rPr>
        <w:t>8</w:t>
      </w:r>
      <w:r>
        <w:rPr>
          <w:bCs/>
          <w:lang w:val="en-US"/>
        </w:rPr>
        <w:t>-1</w:t>
      </w:r>
      <w:r w:rsidR="00D23E2D">
        <w:rPr>
          <w:bCs/>
          <w:lang w:val="en-US"/>
        </w:rPr>
        <w:t>0</w:t>
      </w:r>
      <w:r>
        <w:rPr>
          <w:bCs/>
          <w:lang w:val="en-US"/>
        </w:rPr>
        <w:t>-</w:t>
      </w:r>
      <w:r w:rsidR="00C61FFA" w:rsidRPr="00BA1545">
        <w:rPr>
          <w:bCs/>
          <w:lang w:val="en-US"/>
        </w:rPr>
        <w:t>201</w:t>
      </w:r>
      <w:r w:rsidR="00D23E2D">
        <w:rPr>
          <w:bCs/>
          <w:lang w:val="en-US"/>
        </w:rPr>
        <w:t>7</w:t>
      </w:r>
      <w:r w:rsidR="00C61FFA" w:rsidRPr="00BA1545">
        <w:rPr>
          <w:bCs/>
          <w:lang w:val="en-US"/>
        </w:rPr>
        <w:t xml:space="preserve">: </w:t>
      </w:r>
      <w:r w:rsidR="00D23E2D">
        <w:rPr>
          <w:bCs/>
          <w:lang w:val="en-US"/>
        </w:rPr>
        <w:t>Strategy update</w:t>
      </w:r>
      <w:r w:rsidR="00C61FFA" w:rsidRPr="00BA1545">
        <w:rPr>
          <w:bCs/>
          <w:lang w:val="en-US"/>
        </w:rPr>
        <w:t>;</w:t>
      </w:r>
    </w:p>
    <w:p w:rsidR="00C61FFA" w:rsidRPr="00BA1545" w:rsidRDefault="00C61FFA" w:rsidP="002148DB">
      <w:pPr>
        <w:pStyle w:val="NoSpacing"/>
        <w:jc w:val="both"/>
        <w:rPr>
          <w:bCs/>
          <w:lang w:val="en-US"/>
        </w:rPr>
      </w:pPr>
    </w:p>
    <w:p w:rsidR="00C83236" w:rsidRPr="00BA1545" w:rsidRDefault="00D23E2D" w:rsidP="002148DB">
      <w:pPr>
        <w:pStyle w:val="NoSpacing"/>
        <w:jc w:val="both"/>
        <w:rPr>
          <w:bCs/>
          <w:lang w:val="en-US"/>
        </w:rPr>
      </w:pPr>
      <w:r>
        <w:rPr>
          <w:bCs/>
          <w:lang w:val="en-US"/>
        </w:rPr>
        <w:t>31</w:t>
      </w:r>
      <w:r w:rsidR="00EF3B3C">
        <w:rPr>
          <w:bCs/>
          <w:lang w:val="en-US"/>
        </w:rPr>
        <w:t>-1</w:t>
      </w:r>
      <w:r>
        <w:rPr>
          <w:bCs/>
          <w:lang w:val="en-US"/>
        </w:rPr>
        <w:t>0</w:t>
      </w:r>
      <w:r w:rsidR="00EF3B3C">
        <w:rPr>
          <w:bCs/>
          <w:lang w:val="en-US"/>
        </w:rPr>
        <w:t>-201</w:t>
      </w:r>
      <w:r>
        <w:rPr>
          <w:bCs/>
          <w:lang w:val="en-US"/>
        </w:rPr>
        <w:t>7</w:t>
      </w:r>
      <w:r w:rsidR="00C83236" w:rsidRPr="00BA1545">
        <w:rPr>
          <w:bCs/>
          <w:lang w:val="en-US"/>
        </w:rPr>
        <w:t xml:space="preserve">: </w:t>
      </w:r>
      <w:r w:rsidR="00C57699">
        <w:rPr>
          <w:bCs/>
          <w:lang w:val="en-US"/>
        </w:rPr>
        <w:t xml:space="preserve">TIE Kinetix </w:t>
      </w:r>
      <w:r>
        <w:rPr>
          <w:bCs/>
          <w:lang w:val="en-US"/>
        </w:rPr>
        <w:t>and Unit4 launch e-invoicing to government</w:t>
      </w:r>
      <w:r w:rsidR="00C83236" w:rsidRPr="00BA1545">
        <w:rPr>
          <w:bCs/>
          <w:lang w:val="en-US"/>
        </w:rPr>
        <w:t>;</w:t>
      </w:r>
    </w:p>
    <w:p w:rsidR="00C83236" w:rsidRPr="00BA1545" w:rsidRDefault="00C83236" w:rsidP="002148DB">
      <w:pPr>
        <w:pStyle w:val="NoSpacing"/>
        <w:jc w:val="both"/>
        <w:rPr>
          <w:bCs/>
          <w:lang w:val="en-US"/>
        </w:rPr>
      </w:pPr>
    </w:p>
    <w:p w:rsidR="00C83236" w:rsidRPr="00BA1545" w:rsidRDefault="00D23E2D" w:rsidP="002148DB">
      <w:pPr>
        <w:pStyle w:val="NoSpacing"/>
        <w:jc w:val="both"/>
        <w:rPr>
          <w:bCs/>
          <w:lang w:val="en-US"/>
        </w:rPr>
      </w:pPr>
      <w:r>
        <w:rPr>
          <w:bCs/>
          <w:lang w:val="en-US"/>
        </w:rPr>
        <w:t>09-11</w:t>
      </w:r>
      <w:r w:rsidR="00C57699">
        <w:rPr>
          <w:bCs/>
          <w:lang w:val="en-US"/>
        </w:rPr>
        <w:t>-2017</w:t>
      </w:r>
      <w:r w:rsidR="00C83236" w:rsidRPr="00BA1545">
        <w:rPr>
          <w:bCs/>
          <w:lang w:val="en-US"/>
        </w:rPr>
        <w:t xml:space="preserve">: </w:t>
      </w:r>
      <w:r>
        <w:rPr>
          <w:bCs/>
          <w:lang w:val="en-US"/>
        </w:rPr>
        <w:t xml:space="preserve">Tie </w:t>
      </w:r>
      <w:r w:rsidR="009D6D44">
        <w:rPr>
          <w:bCs/>
          <w:lang w:val="en-US"/>
        </w:rPr>
        <w:t>K</w:t>
      </w:r>
      <w:r>
        <w:rPr>
          <w:bCs/>
          <w:lang w:val="en-US"/>
        </w:rPr>
        <w:t>inetix launches Campaign Center for FLOW Partner Automation</w:t>
      </w:r>
      <w:r w:rsidR="00C83236" w:rsidRPr="00BA1545">
        <w:rPr>
          <w:bCs/>
          <w:lang w:val="en-US"/>
        </w:rPr>
        <w:t>;</w:t>
      </w:r>
    </w:p>
    <w:p w:rsidR="00C83236" w:rsidRPr="00BA1545" w:rsidRDefault="00C83236" w:rsidP="002148DB">
      <w:pPr>
        <w:pStyle w:val="NoSpacing"/>
        <w:jc w:val="both"/>
        <w:rPr>
          <w:bCs/>
          <w:lang w:val="en-US"/>
        </w:rPr>
      </w:pPr>
    </w:p>
    <w:p w:rsidR="00C83236" w:rsidRDefault="00C57699" w:rsidP="002148DB">
      <w:pPr>
        <w:pStyle w:val="NoSpacing"/>
        <w:jc w:val="both"/>
        <w:rPr>
          <w:bCs/>
          <w:lang w:val="en-US"/>
        </w:rPr>
      </w:pPr>
      <w:r>
        <w:rPr>
          <w:bCs/>
          <w:lang w:val="en-US"/>
        </w:rPr>
        <w:t>1</w:t>
      </w:r>
      <w:r w:rsidR="00D23E2D">
        <w:rPr>
          <w:bCs/>
          <w:lang w:val="en-US"/>
        </w:rPr>
        <w:t>5</w:t>
      </w:r>
      <w:r w:rsidR="00EF3B3C">
        <w:rPr>
          <w:bCs/>
          <w:lang w:val="en-US"/>
        </w:rPr>
        <w:t>-</w:t>
      </w:r>
      <w:r w:rsidR="00D23E2D">
        <w:rPr>
          <w:bCs/>
          <w:lang w:val="en-US"/>
        </w:rPr>
        <w:t>1</w:t>
      </w:r>
      <w:r w:rsidR="00EF3B3C">
        <w:rPr>
          <w:bCs/>
          <w:lang w:val="en-US"/>
        </w:rPr>
        <w:t>1-201</w:t>
      </w:r>
      <w:r>
        <w:rPr>
          <w:bCs/>
          <w:lang w:val="en-US"/>
        </w:rPr>
        <w:t>7</w:t>
      </w:r>
      <w:r w:rsidR="00C83236" w:rsidRPr="00BA1545">
        <w:rPr>
          <w:bCs/>
          <w:lang w:val="en-US"/>
        </w:rPr>
        <w:t xml:space="preserve">: </w:t>
      </w:r>
      <w:r w:rsidR="00D23E2D">
        <w:rPr>
          <w:bCs/>
          <w:lang w:val="en-US"/>
        </w:rPr>
        <w:t>Full Year 2017 and Q4 update</w:t>
      </w:r>
      <w:r w:rsidR="00EF3B3C" w:rsidRPr="00BA1545">
        <w:rPr>
          <w:bCs/>
          <w:lang w:val="en-US"/>
        </w:rPr>
        <w:t>;</w:t>
      </w:r>
    </w:p>
    <w:p w:rsidR="00EF3B3C" w:rsidRPr="00BA1545" w:rsidRDefault="00EF3B3C" w:rsidP="002148DB">
      <w:pPr>
        <w:pStyle w:val="NoSpacing"/>
        <w:jc w:val="both"/>
        <w:rPr>
          <w:bCs/>
          <w:lang w:val="en-US"/>
        </w:rPr>
      </w:pPr>
    </w:p>
    <w:p w:rsidR="00C83236" w:rsidRPr="00BA1545" w:rsidRDefault="00D23E2D" w:rsidP="002148DB">
      <w:pPr>
        <w:pStyle w:val="NoSpacing"/>
        <w:jc w:val="both"/>
        <w:rPr>
          <w:bCs/>
          <w:lang w:val="en-US"/>
        </w:rPr>
      </w:pPr>
      <w:r>
        <w:rPr>
          <w:bCs/>
          <w:lang w:val="en-US"/>
        </w:rPr>
        <w:t>30-11</w:t>
      </w:r>
      <w:r w:rsidR="00EF3B3C">
        <w:rPr>
          <w:bCs/>
          <w:lang w:val="en-US"/>
        </w:rPr>
        <w:t>-201</w:t>
      </w:r>
      <w:r w:rsidR="00C57699">
        <w:rPr>
          <w:bCs/>
          <w:lang w:val="en-US"/>
        </w:rPr>
        <w:t>7</w:t>
      </w:r>
      <w:r w:rsidR="00C83236" w:rsidRPr="00BA1545">
        <w:rPr>
          <w:bCs/>
          <w:lang w:val="en-US"/>
        </w:rPr>
        <w:t xml:space="preserve">: </w:t>
      </w:r>
      <w:r>
        <w:rPr>
          <w:bCs/>
          <w:lang w:val="en-US"/>
        </w:rPr>
        <w:t>Strategy update</w:t>
      </w:r>
      <w:r w:rsidR="00C83236" w:rsidRPr="00BA1545">
        <w:rPr>
          <w:bCs/>
          <w:lang w:val="en-US"/>
        </w:rPr>
        <w:t xml:space="preserve">; </w:t>
      </w:r>
    </w:p>
    <w:p w:rsidR="00C83236" w:rsidRPr="00BA1545" w:rsidRDefault="00C83236" w:rsidP="002148DB">
      <w:pPr>
        <w:pStyle w:val="NoSpacing"/>
        <w:jc w:val="both"/>
        <w:rPr>
          <w:bCs/>
          <w:lang w:val="en-US"/>
        </w:rPr>
      </w:pPr>
    </w:p>
    <w:p w:rsidR="00D23E2D" w:rsidRPr="00D23E2D" w:rsidRDefault="00C57699" w:rsidP="00D23E2D">
      <w:pPr>
        <w:pStyle w:val="NoSpacing"/>
        <w:jc w:val="both"/>
        <w:rPr>
          <w:bCs/>
          <w:lang w:val="en-US"/>
        </w:rPr>
      </w:pPr>
      <w:r>
        <w:rPr>
          <w:bCs/>
          <w:lang w:val="en-US"/>
        </w:rPr>
        <w:t>0</w:t>
      </w:r>
      <w:r w:rsidR="00D23E2D">
        <w:rPr>
          <w:bCs/>
          <w:lang w:val="en-US"/>
        </w:rPr>
        <w:t>4</w:t>
      </w:r>
      <w:r>
        <w:rPr>
          <w:bCs/>
          <w:lang w:val="en-US"/>
        </w:rPr>
        <w:t>-</w:t>
      </w:r>
      <w:r w:rsidR="00C83236" w:rsidRPr="00BA1545">
        <w:rPr>
          <w:bCs/>
          <w:lang w:val="en-US"/>
        </w:rPr>
        <w:t>0</w:t>
      </w:r>
      <w:r w:rsidR="00D23E2D">
        <w:rPr>
          <w:bCs/>
          <w:lang w:val="en-US"/>
        </w:rPr>
        <w:t>1</w:t>
      </w:r>
      <w:r w:rsidR="00C83236" w:rsidRPr="00BA1545">
        <w:rPr>
          <w:bCs/>
          <w:lang w:val="en-US"/>
        </w:rPr>
        <w:t>-201</w:t>
      </w:r>
      <w:r w:rsidR="00D23E2D">
        <w:rPr>
          <w:bCs/>
          <w:lang w:val="en-US"/>
        </w:rPr>
        <w:t>8</w:t>
      </w:r>
      <w:r w:rsidR="00C83236" w:rsidRPr="00BA1545">
        <w:rPr>
          <w:bCs/>
          <w:lang w:val="en-US"/>
        </w:rPr>
        <w:t xml:space="preserve">: </w:t>
      </w:r>
      <w:r w:rsidR="00D23E2D" w:rsidRPr="00D23E2D">
        <w:rPr>
          <w:bCs/>
          <w:lang w:val="en-US"/>
        </w:rPr>
        <w:t>TIE sign</w:t>
      </w:r>
      <w:r w:rsidR="00D23E2D">
        <w:rPr>
          <w:bCs/>
          <w:lang w:val="en-US"/>
        </w:rPr>
        <w:t>s</w:t>
      </w:r>
      <w:r w:rsidR="00D23E2D" w:rsidRPr="00D23E2D">
        <w:rPr>
          <w:bCs/>
          <w:lang w:val="en-US"/>
        </w:rPr>
        <w:t xml:space="preserve"> contract with municipality of </w:t>
      </w:r>
      <w:r w:rsidR="00D23E2D">
        <w:rPr>
          <w:bCs/>
          <w:lang w:val="en-US"/>
        </w:rPr>
        <w:t>Haarlem and Ministry of Justice</w:t>
      </w:r>
      <w:r w:rsidR="00D23E2D" w:rsidRPr="00D23E2D">
        <w:rPr>
          <w:bCs/>
          <w:lang w:val="en-US"/>
        </w:rPr>
        <w:t xml:space="preserve"> for e-invoicing;</w:t>
      </w:r>
    </w:p>
    <w:p w:rsidR="00EF3B3C" w:rsidRDefault="00EF3B3C" w:rsidP="002148DB">
      <w:pPr>
        <w:pStyle w:val="NoSpacing"/>
        <w:jc w:val="both"/>
        <w:rPr>
          <w:bCs/>
          <w:lang w:val="en-US"/>
        </w:rPr>
      </w:pPr>
    </w:p>
    <w:p w:rsidR="00EF3B3C" w:rsidRDefault="00D23E2D" w:rsidP="002148DB">
      <w:pPr>
        <w:pStyle w:val="NoSpacing"/>
        <w:jc w:val="both"/>
        <w:rPr>
          <w:bCs/>
          <w:lang w:val="en-US"/>
        </w:rPr>
      </w:pPr>
      <w:r>
        <w:rPr>
          <w:bCs/>
          <w:lang w:val="en-US"/>
        </w:rPr>
        <w:t>29</w:t>
      </w:r>
      <w:r w:rsidR="00EF3B3C">
        <w:rPr>
          <w:bCs/>
          <w:lang w:val="en-US"/>
        </w:rPr>
        <w:t>-</w:t>
      </w:r>
      <w:r>
        <w:rPr>
          <w:bCs/>
          <w:lang w:val="en-US"/>
        </w:rPr>
        <w:t>01</w:t>
      </w:r>
      <w:r w:rsidR="00EF3B3C">
        <w:rPr>
          <w:bCs/>
          <w:lang w:val="en-US"/>
        </w:rPr>
        <w:t>-201</w:t>
      </w:r>
      <w:r>
        <w:rPr>
          <w:bCs/>
          <w:lang w:val="en-US"/>
        </w:rPr>
        <w:t>8</w:t>
      </w:r>
      <w:r w:rsidR="00C83236" w:rsidRPr="00BA1545">
        <w:rPr>
          <w:bCs/>
          <w:lang w:val="en-US"/>
        </w:rPr>
        <w:t xml:space="preserve">: </w:t>
      </w:r>
      <w:r>
        <w:rPr>
          <w:bCs/>
          <w:lang w:val="en-US"/>
        </w:rPr>
        <w:t>Publication of Annual Report 2017</w:t>
      </w:r>
      <w:r w:rsidR="00EF3B3C">
        <w:rPr>
          <w:bCs/>
          <w:lang w:val="en-US"/>
        </w:rPr>
        <w:t>;</w:t>
      </w:r>
    </w:p>
    <w:p w:rsidR="00C83236" w:rsidRPr="00BA1545" w:rsidRDefault="00EF3B3C" w:rsidP="002148DB">
      <w:pPr>
        <w:pStyle w:val="NoSpacing"/>
        <w:jc w:val="both"/>
        <w:rPr>
          <w:bCs/>
          <w:lang w:val="en-US"/>
        </w:rPr>
      </w:pPr>
      <w:r w:rsidRPr="00BA1545">
        <w:rPr>
          <w:bCs/>
          <w:lang w:val="en-US"/>
        </w:rPr>
        <w:t xml:space="preserve"> </w:t>
      </w:r>
    </w:p>
    <w:p w:rsidR="00C83236" w:rsidRDefault="00D23E2D" w:rsidP="00D23E2D">
      <w:pPr>
        <w:pStyle w:val="NoSpacing"/>
        <w:rPr>
          <w:bCs/>
          <w:lang w:val="en-US"/>
        </w:rPr>
      </w:pPr>
      <w:r>
        <w:rPr>
          <w:bCs/>
          <w:lang w:val="en-US"/>
        </w:rPr>
        <w:t>30</w:t>
      </w:r>
      <w:r w:rsidR="00EF3B3C">
        <w:rPr>
          <w:bCs/>
          <w:lang w:val="en-US"/>
        </w:rPr>
        <w:t>-0</w:t>
      </w:r>
      <w:r>
        <w:rPr>
          <w:bCs/>
          <w:lang w:val="en-US"/>
        </w:rPr>
        <w:t>1</w:t>
      </w:r>
      <w:r w:rsidR="00EF3B3C">
        <w:rPr>
          <w:bCs/>
          <w:lang w:val="en-US"/>
        </w:rPr>
        <w:t>-201</w:t>
      </w:r>
      <w:r>
        <w:rPr>
          <w:bCs/>
          <w:lang w:val="en-US"/>
        </w:rPr>
        <w:t>8</w:t>
      </w:r>
      <w:r w:rsidR="00C57699">
        <w:rPr>
          <w:bCs/>
          <w:lang w:val="en-US"/>
        </w:rPr>
        <w:t xml:space="preserve">: TIE Kinetix certified </w:t>
      </w:r>
      <w:r>
        <w:rPr>
          <w:bCs/>
          <w:lang w:val="en-US"/>
        </w:rPr>
        <w:t xml:space="preserve">as Oracle Gold Partner; </w:t>
      </w:r>
    </w:p>
    <w:p w:rsidR="00D23E2D" w:rsidRPr="00BA1545" w:rsidRDefault="00D23E2D" w:rsidP="00D23E2D">
      <w:pPr>
        <w:pStyle w:val="NoSpacing"/>
        <w:rPr>
          <w:bCs/>
          <w:lang w:val="en-US"/>
        </w:rPr>
      </w:pPr>
    </w:p>
    <w:p w:rsidR="00C83236" w:rsidRDefault="00D23E2D" w:rsidP="002148DB">
      <w:pPr>
        <w:pStyle w:val="NoSpacing"/>
        <w:jc w:val="both"/>
        <w:rPr>
          <w:bCs/>
          <w:lang w:val="en-US"/>
        </w:rPr>
      </w:pPr>
      <w:r>
        <w:rPr>
          <w:bCs/>
          <w:lang w:val="en-US"/>
        </w:rPr>
        <w:t>0</w:t>
      </w:r>
      <w:r w:rsidR="00C57699">
        <w:rPr>
          <w:bCs/>
          <w:lang w:val="en-US"/>
        </w:rPr>
        <w:t>7</w:t>
      </w:r>
      <w:r w:rsidR="00EF3B3C">
        <w:rPr>
          <w:bCs/>
          <w:lang w:val="en-US"/>
        </w:rPr>
        <w:t>-0</w:t>
      </w:r>
      <w:r w:rsidR="00C57699">
        <w:rPr>
          <w:bCs/>
          <w:lang w:val="en-US"/>
        </w:rPr>
        <w:t>2</w:t>
      </w:r>
      <w:r w:rsidR="00EF3B3C">
        <w:rPr>
          <w:bCs/>
          <w:lang w:val="en-US"/>
        </w:rPr>
        <w:t>-201</w:t>
      </w:r>
      <w:r>
        <w:rPr>
          <w:bCs/>
          <w:lang w:val="en-US"/>
        </w:rPr>
        <w:t>8</w:t>
      </w:r>
      <w:r w:rsidR="00C83236" w:rsidRPr="00BA1545">
        <w:rPr>
          <w:bCs/>
          <w:lang w:val="en-US"/>
        </w:rPr>
        <w:t xml:space="preserve">: </w:t>
      </w:r>
      <w:r>
        <w:rPr>
          <w:bCs/>
          <w:lang w:val="en-US"/>
        </w:rPr>
        <w:t xml:space="preserve">TIE Kinetix appoints </w:t>
      </w:r>
      <w:r w:rsidR="009D6D44">
        <w:rPr>
          <w:bCs/>
          <w:lang w:val="en-US"/>
        </w:rPr>
        <w:t>Christian Seidl as Geschäftsführer for TIE Germany</w:t>
      </w:r>
      <w:r w:rsidR="00C83236" w:rsidRPr="00BA1545">
        <w:rPr>
          <w:bCs/>
          <w:lang w:val="en-US"/>
        </w:rPr>
        <w:t>;</w:t>
      </w:r>
    </w:p>
    <w:p w:rsidR="00EF3B3C" w:rsidRDefault="00EF3B3C" w:rsidP="002148DB">
      <w:pPr>
        <w:pStyle w:val="NoSpacing"/>
        <w:jc w:val="both"/>
        <w:rPr>
          <w:bCs/>
          <w:lang w:val="en-US"/>
        </w:rPr>
      </w:pPr>
    </w:p>
    <w:p w:rsidR="00EF3B3C" w:rsidRDefault="009D6D44" w:rsidP="002148DB">
      <w:pPr>
        <w:pStyle w:val="NoSpacing"/>
        <w:jc w:val="both"/>
        <w:rPr>
          <w:bCs/>
          <w:lang w:val="en-US"/>
        </w:rPr>
      </w:pPr>
      <w:r>
        <w:rPr>
          <w:bCs/>
          <w:lang w:val="en-US"/>
        </w:rPr>
        <w:t>16</w:t>
      </w:r>
      <w:r w:rsidR="00EF3B3C">
        <w:rPr>
          <w:bCs/>
          <w:lang w:val="en-US"/>
        </w:rPr>
        <w:t>-0</w:t>
      </w:r>
      <w:r w:rsidR="00C57699">
        <w:rPr>
          <w:bCs/>
          <w:lang w:val="en-US"/>
        </w:rPr>
        <w:t>2-201</w:t>
      </w:r>
      <w:r>
        <w:rPr>
          <w:bCs/>
          <w:lang w:val="en-US"/>
        </w:rPr>
        <w:t>8</w:t>
      </w:r>
      <w:r w:rsidR="00EF3B3C">
        <w:rPr>
          <w:bCs/>
          <w:lang w:val="en-US"/>
        </w:rPr>
        <w:t xml:space="preserve">: </w:t>
      </w:r>
      <w:r>
        <w:rPr>
          <w:bCs/>
          <w:lang w:val="en-US"/>
        </w:rPr>
        <w:t>Convocation Annual General Meeting of Shareholders</w:t>
      </w:r>
      <w:r w:rsidR="00C57699">
        <w:rPr>
          <w:bCs/>
          <w:lang w:val="en-US"/>
        </w:rPr>
        <w:t>;</w:t>
      </w:r>
    </w:p>
    <w:p w:rsidR="00EF3B3C" w:rsidRDefault="00EF3B3C" w:rsidP="002148DB">
      <w:pPr>
        <w:pStyle w:val="NoSpacing"/>
        <w:jc w:val="both"/>
        <w:rPr>
          <w:bCs/>
          <w:lang w:val="en-US"/>
        </w:rPr>
      </w:pPr>
    </w:p>
    <w:p w:rsidR="00EF3B3C" w:rsidRDefault="00C57699" w:rsidP="002148DB">
      <w:pPr>
        <w:pStyle w:val="NoSpacing"/>
        <w:jc w:val="both"/>
        <w:rPr>
          <w:bCs/>
          <w:lang w:val="en-US"/>
        </w:rPr>
      </w:pPr>
      <w:r>
        <w:rPr>
          <w:bCs/>
          <w:lang w:val="en-US"/>
        </w:rPr>
        <w:t>31-03-201</w:t>
      </w:r>
      <w:r w:rsidR="009D6D44">
        <w:rPr>
          <w:bCs/>
          <w:lang w:val="en-US"/>
        </w:rPr>
        <w:t>8</w:t>
      </w:r>
      <w:r>
        <w:rPr>
          <w:bCs/>
          <w:lang w:val="en-US"/>
        </w:rPr>
        <w:t>: V</w:t>
      </w:r>
      <w:r w:rsidR="00EF3B3C">
        <w:rPr>
          <w:bCs/>
          <w:lang w:val="en-US"/>
        </w:rPr>
        <w:t>oting results Annual General Meeting of Shareholders;</w:t>
      </w:r>
    </w:p>
    <w:p w:rsidR="00BD3E85" w:rsidRDefault="00BD3E85" w:rsidP="002148DB">
      <w:pPr>
        <w:pStyle w:val="NoSpacing"/>
        <w:jc w:val="both"/>
        <w:rPr>
          <w:b/>
          <w:lang w:val="en-US"/>
        </w:rPr>
      </w:pPr>
    </w:p>
    <w:p w:rsidR="00BD3E85" w:rsidRDefault="00BD3E85" w:rsidP="002148DB">
      <w:pPr>
        <w:pStyle w:val="NoSpacing"/>
        <w:jc w:val="both"/>
        <w:rPr>
          <w:b/>
          <w:lang w:val="en-US"/>
        </w:rPr>
      </w:pPr>
    </w:p>
    <w:p w:rsidR="0031049A" w:rsidRPr="00C57699" w:rsidRDefault="00C57699" w:rsidP="002148DB">
      <w:pPr>
        <w:pStyle w:val="NoSpacing"/>
        <w:jc w:val="both"/>
        <w:rPr>
          <w:b/>
          <w:lang w:val="en-US"/>
        </w:rPr>
      </w:pPr>
      <w:r w:rsidRPr="00C57699">
        <w:rPr>
          <w:b/>
          <w:lang w:val="en-US"/>
        </w:rPr>
        <w:t>M</w:t>
      </w:r>
      <w:r w:rsidR="0031049A" w:rsidRPr="00C57699">
        <w:rPr>
          <w:b/>
          <w:lang w:val="en-US"/>
        </w:rPr>
        <w:t>anagement Board Responsibility statement</w:t>
      </w:r>
    </w:p>
    <w:p w:rsidR="0031049A" w:rsidRPr="00BA1545" w:rsidRDefault="0031049A" w:rsidP="002148DB">
      <w:pPr>
        <w:pStyle w:val="NoSpacing"/>
        <w:jc w:val="both"/>
        <w:rPr>
          <w:lang w:val="en-US"/>
        </w:rPr>
      </w:pPr>
      <w:r w:rsidRPr="00BA1545">
        <w:rPr>
          <w:lang w:val="en-US"/>
        </w:rPr>
        <w:t xml:space="preserve">The </w:t>
      </w:r>
      <w:r w:rsidR="00C57699">
        <w:rPr>
          <w:lang w:val="en-US"/>
        </w:rPr>
        <w:t>Executive</w:t>
      </w:r>
      <w:r w:rsidRPr="00BA1545">
        <w:rPr>
          <w:lang w:val="en-US"/>
        </w:rPr>
        <w:t xml:space="preserve"> Board hereby declares that, to the best of their knowledge:</w:t>
      </w:r>
    </w:p>
    <w:p w:rsidR="0031049A" w:rsidRPr="00BA1545" w:rsidRDefault="0031049A" w:rsidP="002148DB">
      <w:pPr>
        <w:pStyle w:val="NoSpacing"/>
        <w:jc w:val="both"/>
        <w:rPr>
          <w:lang w:val="en-US"/>
        </w:rPr>
      </w:pPr>
      <w:r w:rsidRPr="00BA1545">
        <w:rPr>
          <w:lang w:val="en-US"/>
        </w:rPr>
        <w:t>The half year financial statements give a true and fair view of the assets, liabilities, financial position as per March 31, 201</w:t>
      </w:r>
      <w:r w:rsidR="009D6D44">
        <w:rPr>
          <w:lang w:val="en-US"/>
        </w:rPr>
        <w:t>8</w:t>
      </w:r>
      <w:r w:rsidRPr="00BA1545">
        <w:rPr>
          <w:lang w:val="en-US"/>
        </w:rPr>
        <w:t xml:space="preserve"> and the profit for the half-year ended March 31, 201</w:t>
      </w:r>
      <w:r w:rsidR="009D6D44">
        <w:rPr>
          <w:lang w:val="en-US"/>
        </w:rPr>
        <w:t>8</w:t>
      </w:r>
      <w:r w:rsidRPr="00BA1545">
        <w:rPr>
          <w:lang w:val="en-US"/>
        </w:rPr>
        <w:t xml:space="preserve"> of the Compan</w:t>
      </w:r>
      <w:r w:rsidR="0092153F">
        <w:rPr>
          <w:lang w:val="en-US"/>
        </w:rPr>
        <w:t xml:space="preserve">y and its consolidated entities. </w:t>
      </w:r>
      <w:r w:rsidRPr="00BA1545">
        <w:rPr>
          <w:lang w:val="en-US"/>
        </w:rPr>
        <w:t xml:space="preserve">The half year </w:t>
      </w:r>
      <w:r w:rsidR="00C57699">
        <w:rPr>
          <w:lang w:val="en-US"/>
        </w:rPr>
        <w:t>Executive</w:t>
      </w:r>
      <w:r w:rsidRPr="00BA1545">
        <w:rPr>
          <w:lang w:val="en-US"/>
        </w:rPr>
        <w:t xml:space="preserve"> Board report for the first six months of the financial year 201</w:t>
      </w:r>
      <w:r w:rsidR="009D6D44">
        <w:rPr>
          <w:lang w:val="en-US"/>
        </w:rPr>
        <w:t>8</w:t>
      </w:r>
      <w:r w:rsidRPr="00BA1545">
        <w:rPr>
          <w:lang w:val="en-US"/>
        </w:rPr>
        <w:t xml:space="preserve"> includes a true and fair review of the position as per March 31, 201</w:t>
      </w:r>
      <w:r w:rsidR="009D6D44">
        <w:rPr>
          <w:lang w:val="en-US"/>
        </w:rPr>
        <w:t>8</w:t>
      </w:r>
      <w:r w:rsidRPr="00BA1545">
        <w:rPr>
          <w:lang w:val="en-US"/>
        </w:rPr>
        <w:t xml:space="preserve"> and of the development and performance during the first six months ended March 31, 201</w:t>
      </w:r>
      <w:r w:rsidR="009D6D44">
        <w:rPr>
          <w:lang w:val="en-US"/>
        </w:rPr>
        <w:t>8</w:t>
      </w:r>
      <w:r w:rsidRPr="00BA1545">
        <w:rPr>
          <w:lang w:val="en-US"/>
        </w:rPr>
        <w:t xml:space="preserve"> of the Company and its consolidated entities, of which the information is included in the interim financial statements. In addition, the interim report gives a true and fair review of the expected developments, investments and circumstances of which the development of revenue and profitability depend.</w:t>
      </w:r>
    </w:p>
    <w:p w:rsidR="0031049A" w:rsidRPr="00BA1545" w:rsidRDefault="0031049A" w:rsidP="002148DB">
      <w:pPr>
        <w:pStyle w:val="NoSpacing"/>
        <w:jc w:val="both"/>
        <w:rPr>
          <w:lang w:val="en-US"/>
        </w:rPr>
      </w:pPr>
    </w:p>
    <w:p w:rsidR="0031049A" w:rsidRPr="00C57699" w:rsidRDefault="0031049A" w:rsidP="002148DB">
      <w:pPr>
        <w:pStyle w:val="NoSpacing"/>
        <w:jc w:val="both"/>
        <w:rPr>
          <w:b/>
          <w:lang w:val="en-US"/>
        </w:rPr>
      </w:pPr>
      <w:r w:rsidRPr="00C57699">
        <w:rPr>
          <w:b/>
          <w:lang w:val="en-US"/>
        </w:rPr>
        <w:t>Forward looking statement/Guidance</w:t>
      </w:r>
    </w:p>
    <w:p w:rsidR="0031049A" w:rsidRPr="00BA1545" w:rsidRDefault="0031049A" w:rsidP="002148DB">
      <w:pPr>
        <w:pStyle w:val="NoSpacing"/>
        <w:jc w:val="both"/>
        <w:rPr>
          <w:lang w:val="en-US"/>
        </w:rPr>
      </w:pPr>
      <w:r w:rsidRPr="00BA1545">
        <w:rPr>
          <w:lang w:val="en-US"/>
        </w:rPr>
        <w:t xml:space="preserve">This report contains information as referred to in the articles 5.59 jo. 5:53, 5:25d and 5:25 w of the Dutch Financial Supervision Act (Wet op het financieel toezicht). Forward looking statements, which can form a part of this report refer to future events and may be expressed in a variety of ways, such as ‘expects’, ‘projects’, ‘anticipates’, ‘intends’ or similar words. The Company has based these forward looking statements on its current expectations and projections about future events. </w:t>
      </w:r>
    </w:p>
    <w:p w:rsidR="005C18B0" w:rsidRPr="00BA1545" w:rsidRDefault="005C18B0" w:rsidP="002148DB">
      <w:pPr>
        <w:pStyle w:val="NoSpacing"/>
        <w:jc w:val="both"/>
        <w:rPr>
          <w:lang w:val="en-US"/>
        </w:rPr>
      </w:pPr>
    </w:p>
    <w:p w:rsidR="00AB3A8D" w:rsidRPr="00C57699" w:rsidRDefault="00AB3A8D" w:rsidP="002148DB">
      <w:pPr>
        <w:pStyle w:val="NoSpacing"/>
        <w:jc w:val="both"/>
        <w:rPr>
          <w:b/>
          <w:lang w:val="en-US"/>
        </w:rPr>
      </w:pPr>
      <w:r w:rsidRPr="00C57699">
        <w:rPr>
          <w:b/>
          <w:lang w:val="en-US"/>
        </w:rPr>
        <w:t>Risks and uncertainties</w:t>
      </w:r>
    </w:p>
    <w:p w:rsidR="00AB3A8D" w:rsidRPr="00BA1545" w:rsidRDefault="00AB3A8D" w:rsidP="002148DB">
      <w:pPr>
        <w:pStyle w:val="NoSpacing"/>
        <w:jc w:val="both"/>
        <w:rPr>
          <w:lang w:val="en-US"/>
        </w:rPr>
      </w:pPr>
      <w:r w:rsidRPr="00BA1545">
        <w:rPr>
          <w:lang w:val="en-US"/>
        </w:rPr>
        <w:t xml:space="preserve">Risks and </w:t>
      </w:r>
      <w:r w:rsidR="00934F20" w:rsidRPr="00BA1545">
        <w:rPr>
          <w:lang w:val="en-US"/>
        </w:rPr>
        <w:t>TIE Kinetix</w:t>
      </w:r>
      <w:r w:rsidRPr="00BA1545">
        <w:rPr>
          <w:lang w:val="en-US"/>
        </w:rPr>
        <w:t>’s risk management strategy are detailed in the 201</w:t>
      </w:r>
      <w:r w:rsidR="009D6D44">
        <w:rPr>
          <w:lang w:val="en-US"/>
        </w:rPr>
        <w:t>7</w:t>
      </w:r>
      <w:r w:rsidRPr="00BA1545">
        <w:rPr>
          <w:lang w:val="en-US"/>
        </w:rPr>
        <w:t xml:space="preserve"> annual report and have not changed during the first half of 201</w:t>
      </w:r>
      <w:r w:rsidR="009D6D44">
        <w:rPr>
          <w:lang w:val="en-US"/>
        </w:rPr>
        <w:t>8</w:t>
      </w:r>
      <w:r w:rsidRPr="00BA1545">
        <w:rPr>
          <w:lang w:val="en-US"/>
        </w:rPr>
        <w:t>.</w:t>
      </w:r>
    </w:p>
    <w:p w:rsidR="000A4F9D" w:rsidRPr="00BA1545" w:rsidRDefault="000A4F9D" w:rsidP="002148DB">
      <w:pPr>
        <w:pStyle w:val="NoSpacing"/>
        <w:jc w:val="both"/>
        <w:rPr>
          <w:lang w:val="en-US"/>
        </w:rPr>
      </w:pPr>
    </w:p>
    <w:p w:rsidR="004D02F3" w:rsidRPr="00BA1545" w:rsidRDefault="000A4F9D" w:rsidP="002148DB">
      <w:pPr>
        <w:pStyle w:val="NoSpacing"/>
        <w:jc w:val="both"/>
        <w:rPr>
          <w:i/>
          <w:lang w:val="en-US"/>
        </w:rPr>
      </w:pPr>
      <w:r w:rsidRPr="00BA1545">
        <w:rPr>
          <w:i/>
          <w:lang w:val="en-US"/>
        </w:rPr>
        <w:lastRenderedPageBreak/>
        <w:t xml:space="preserve">This document may contain expectations about the financial state of affairs and results of the activities of </w:t>
      </w:r>
      <w:r w:rsidR="00934F20" w:rsidRPr="00BA1545">
        <w:rPr>
          <w:i/>
          <w:lang w:val="en-US"/>
        </w:rPr>
        <w:t>TIE Kinetix</w:t>
      </w:r>
      <w:r w:rsidRPr="00BA1545">
        <w:rPr>
          <w:i/>
          <w:lang w:val="en-US"/>
        </w:rPr>
        <w:t xml:space="preserve"> as well as certain related plans and objectives. Such expectations for the future are naturally associated with risks and uncertainties because they relate to future events, and as such depend on certain circumstanc</w:t>
      </w:r>
      <w:r w:rsidR="00AB5F72" w:rsidRPr="00BA1545">
        <w:rPr>
          <w:i/>
          <w:lang w:val="en-US"/>
        </w:rPr>
        <w:t>es that</w:t>
      </w:r>
      <w:r w:rsidRPr="00BA1545">
        <w:rPr>
          <w:i/>
          <w:lang w:val="en-US"/>
        </w:rPr>
        <w:t xml:space="preserve"> may not arise in future. Various factors may cause real results and developments to deviate considerably from explicitly or implicitly made statements about future expectations. Such factors may for instance be changes in expenditure by companies in important markets, in statutory changes and changes in financial markets, in the EU grant regime, in the salary levels of employees, in future borrowing costs, in future take-overs or divestitures and the pace of technological developments.</w:t>
      </w:r>
      <w:r w:rsidR="00BB1B34" w:rsidRPr="00BA1545">
        <w:rPr>
          <w:i/>
          <w:lang w:val="en-US"/>
        </w:rPr>
        <w:t xml:space="preserve"> </w:t>
      </w:r>
      <w:r w:rsidR="00934F20" w:rsidRPr="00BA1545">
        <w:rPr>
          <w:i/>
          <w:lang w:val="en-US"/>
        </w:rPr>
        <w:t>TIE Kinetix</w:t>
      </w:r>
      <w:r w:rsidR="00893742" w:rsidRPr="00BA1545">
        <w:rPr>
          <w:i/>
          <w:lang w:val="en-US"/>
        </w:rPr>
        <w:t xml:space="preserve"> therefore cannot guarantee that the expectations will be realized. </w:t>
      </w:r>
      <w:r w:rsidR="00934F20" w:rsidRPr="00BA1545">
        <w:rPr>
          <w:i/>
          <w:lang w:val="en-US"/>
        </w:rPr>
        <w:t>TIE Kinetix</w:t>
      </w:r>
      <w:r w:rsidR="00893742" w:rsidRPr="00BA1545">
        <w:rPr>
          <w:i/>
          <w:lang w:val="en-US"/>
        </w:rPr>
        <w:t xml:space="preserve"> als refuses to accept any obligation to update statements made in this document.</w:t>
      </w:r>
    </w:p>
    <w:p w:rsidR="00893742" w:rsidRPr="00BA1545" w:rsidRDefault="00893742" w:rsidP="002148DB">
      <w:pPr>
        <w:pStyle w:val="NoSpacing"/>
        <w:jc w:val="both"/>
        <w:rPr>
          <w:lang w:val="en-US"/>
        </w:rPr>
      </w:pPr>
    </w:p>
    <w:p w:rsidR="00893742" w:rsidRPr="00BA1545" w:rsidRDefault="00893742" w:rsidP="002148DB">
      <w:pPr>
        <w:pStyle w:val="NoSpacing"/>
        <w:jc w:val="both"/>
        <w:rPr>
          <w:lang w:val="en-US"/>
        </w:rPr>
      </w:pPr>
      <w:r w:rsidRPr="00BA1545">
        <w:rPr>
          <w:lang w:val="en-US"/>
        </w:rPr>
        <w:t>For further information, please contact:</w:t>
      </w:r>
    </w:p>
    <w:p w:rsidR="00893742" w:rsidRPr="00BA1545" w:rsidRDefault="00934F20" w:rsidP="002148DB">
      <w:pPr>
        <w:pStyle w:val="NoSpacing"/>
        <w:jc w:val="both"/>
        <w:rPr>
          <w:lang w:val="en-US"/>
        </w:rPr>
      </w:pPr>
      <w:r w:rsidRPr="00BA1545">
        <w:rPr>
          <w:lang w:val="en-US"/>
        </w:rPr>
        <w:t>TIE Kinetix</w:t>
      </w:r>
      <w:r w:rsidR="00893742" w:rsidRPr="00BA1545">
        <w:rPr>
          <w:lang w:val="en-US"/>
        </w:rPr>
        <w:t xml:space="preserve"> N.V.</w:t>
      </w:r>
    </w:p>
    <w:p w:rsidR="00893742" w:rsidRPr="00BA1545" w:rsidRDefault="00893742" w:rsidP="002148DB">
      <w:pPr>
        <w:pStyle w:val="NoSpacing"/>
        <w:jc w:val="both"/>
        <w:rPr>
          <w:lang w:val="en-US"/>
        </w:rPr>
      </w:pPr>
      <w:r w:rsidRPr="00BA1545">
        <w:rPr>
          <w:lang w:val="en-US"/>
        </w:rPr>
        <w:t>Jan Sundelin CEO or Michiel Wolfswinkel CFO</w:t>
      </w:r>
    </w:p>
    <w:p w:rsidR="00893742" w:rsidRPr="00BA1545" w:rsidRDefault="00893742" w:rsidP="002148DB">
      <w:pPr>
        <w:pStyle w:val="NoSpacing"/>
        <w:jc w:val="both"/>
        <w:rPr>
          <w:lang w:val="en-US"/>
        </w:rPr>
      </w:pPr>
      <w:r w:rsidRPr="00BA1545">
        <w:rPr>
          <w:lang w:val="en-US"/>
        </w:rPr>
        <w:t>Phone: +31 (0) 88 3698060</w:t>
      </w:r>
    </w:p>
    <w:p w:rsidR="00893742" w:rsidRPr="00BA1545" w:rsidRDefault="00893742" w:rsidP="002148DB">
      <w:pPr>
        <w:pStyle w:val="NoSpacing"/>
        <w:jc w:val="both"/>
        <w:rPr>
          <w:lang w:val="de-DE"/>
        </w:rPr>
      </w:pPr>
      <w:r w:rsidRPr="00BA1545">
        <w:rPr>
          <w:lang w:val="de-DE"/>
        </w:rPr>
        <w:t xml:space="preserve">e-mail: </w:t>
      </w:r>
      <w:hyperlink r:id="rId15" w:history="1">
        <w:r w:rsidRPr="00BA1545">
          <w:rPr>
            <w:rStyle w:val="Hyperlink"/>
            <w:bCs/>
            <w:lang w:val="de-DE"/>
          </w:rPr>
          <w:t>michiel.wolfswinkel@tiekinetix.com</w:t>
        </w:r>
      </w:hyperlink>
    </w:p>
    <w:p w:rsidR="00893742" w:rsidRPr="00BA1545" w:rsidRDefault="00893742" w:rsidP="002148DB">
      <w:pPr>
        <w:pStyle w:val="NoSpacing"/>
        <w:jc w:val="both"/>
        <w:rPr>
          <w:lang w:val="de-DE"/>
        </w:rPr>
      </w:pPr>
    </w:p>
    <w:p w:rsidR="00893742" w:rsidRPr="00BA1545" w:rsidRDefault="00893742" w:rsidP="002148DB">
      <w:pPr>
        <w:pStyle w:val="NoSpacing"/>
        <w:jc w:val="both"/>
        <w:rPr>
          <w:lang w:val="en-US"/>
        </w:rPr>
      </w:pPr>
      <w:r w:rsidRPr="00BA1545">
        <w:rPr>
          <w:lang w:val="en-US"/>
        </w:rPr>
        <w:t xml:space="preserve">About </w:t>
      </w:r>
      <w:r w:rsidR="00934F20" w:rsidRPr="00BA1545">
        <w:rPr>
          <w:lang w:val="en-US"/>
        </w:rPr>
        <w:t>TIE Kinetix</w:t>
      </w:r>
    </w:p>
    <w:p w:rsidR="00893742" w:rsidRPr="00BA1545" w:rsidRDefault="00893742" w:rsidP="002148DB">
      <w:pPr>
        <w:spacing w:before="24" w:line="235" w:lineRule="exact"/>
        <w:jc w:val="both"/>
        <w:rPr>
          <w:rFonts w:asciiTheme="minorHAnsi" w:eastAsiaTheme="minorHAnsi" w:hAnsiTheme="minorHAnsi" w:cstheme="minorBidi"/>
          <w:bCs/>
          <w:sz w:val="22"/>
          <w:szCs w:val="22"/>
        </w:rPr>
      </w:pPr>
      <w:r w:rsidRPr="00BA1545">
        <w:rPr>
          <w:rFonts w:asciiTheme="minorHAnsi" w:eastAsiaTheme="minorHAnsi" w:hAnsiTheme="minorHAnsi" w:cstheme="minorBidi"/>
          <w:bCs/>
          <w:sz w:val="22"/>
          <w:szCs w:val="22"/>
        </w:rPr>
        <w:t>TIE Kinetix transforms the digital supply chain by providing Total Integrated E-commerce solutions. These solutions maximize revenue opportunities by minimizing the energy required to market, sell and deliver online. Customers and partners of TIE Kinetix constantly benefit from innovative, field tested, state-of-the-art technologies, which are backed by over 25 years of experience and prestigious awards. TIE Kinetix makes technology to perform, such that customers and partners can focus on their core business.</w:t>
      </w:r>
    </w:p>
    <w:p w:rsidR="00893742" w:rsidRPr="00BA1545" w:rsidRDefault="00893742" w:rsidP="002148DB">
      <w:pPr>
        <w:spacing w:before="24" w:line="235" w:lineRule="exact"/>
        <w:jc w:val="both"/>
        <w:rPr>
          <w:rFonts w:asciiTheme="minorHAnsi" w:eastAsiaTheme="minorHAnsi" w:hAnsiTheme="minorHAnsi" w:cstheme="minorBidi"/>
          <w:bCs/>
          <w:sz w:val="22"/>
          <w:szCs w:val="22"/>
        </w:rPr>
      </w:pPr>
    </w:p>
    <w:p w:rsidR="00893742" w:rsidRPr="00BA1545" w:rsidRDefault="00893742" w:rsidP="002148DB">
      <w:pPr>
        <w:spacing w:before="24" w:line="235" w:lineRule="exact"/>
        <w:jc w:val="both"/>
        <w:rPr>
          <w:rFonts w:asciiTheme="minorHAnsi" w:eastAsiaTheme="minorHAnsi" w:hAnsiTheme="minorHAnsi" w:cstheme="minorBidi"/>
          <w:bCs/>
          <w:sz w:val="22"/>
          <w:szCs w:val="22"/>
        </w:rPr>
      </w:pPr>
      <w:r w:rsidRPr="00BA1545">
        <w:rPr>
          <w:rFonts w:asciiTheme="minorHAnsi" w:eastAsiaTheme="minorHAnsi" w:hAnsiTheme="minorHAnsi" w:cstheme="minorBidi"/>
          <w:bCs/>
          <w:sz w:val="22"/>
          <w:szCs w:val="22"/>
        </w:rPr>
        <w:t>TIE Kinetix is a public company (NYSE Euronext: TIE Kinetix), and has offices in the United States, the Netherlands, France, Australia, UK, Spain, Germany, Austria and Switzerland.</w:t>
      </w:r>
    </w:p>
    <w:p w:rsidR="006F2122" w:rsidRPr="00BA1545" w:rsidRDefault="006F2122">
      <w:pPr>
        <w:spacing w:after="200" w:line="276" w:lineRule="auto"/>
        <w:rPr>
          <w:rFonts w:asciiTheme="minorHAnsi" w:hAnsiTheme="minorHAnsi"/>
          <w:bCs/>
          <w:sz w:val="22"/>
          <w:szCs w:val="22"/>
        </w:rPr>
      </w:pPr>
      <w:r w:rsidRPr="00BA1545">
        <w:rPr>
          <w:rFonts w:asciiTheme="minorHAnsi" w:hAnsiTheme="minorHAnsi"/>
          <w:bCs/>
          <w:sz w:val="22"/>
          <w:szCs w:val="22"/>
        </w:rPr>
        <w:br w:type="page"/>
      </w:r>
    </w:p>
    <w:p w:rsidR="006F2122" w:rsidRPr="00BA1545" w:rsidRDefault="006F2122" w:rsidP="006F2122">
      <w:pPr>
        <w:pStyle w:val="NoSpacing"/>
        <w:rPr>
          <w:lang w:val="en-US"/>
        </w:rPr>
      </w:pPr>
      <w:r w:rsidRPr="00BA1545">
        <w:rPr>
          <w:lang w:val="en-US"/>
        </w:rPr>
        <w:lastRenderedPageBreak/>
        <w:t>Unaudited interim condensed</w:t>
      </w:r>
    </w:p>
    <w:p w:rsidR="006F2122" w:rsidRPr="00BA1545" w:rsidRDefault="006F2122" w:rsidP="006F2122">
      <w:pPr>
        <w:pStyle w:val="NoSpacing"/>
        <w:rPr>
          <w:lang w:val="en-US"/>
        </w:rPr>
      </w:pPr>
      <w:r w:rsidRPr="00BA1545">
        <w:rPr>
          <w:lang w:val="en-US"/>
        </w:rPr>
        <w:t>Consolidated financial statements</w:t>
      </w:r>
    </w:p>
    <w:p w:rsidR="006F2122" w:rsidRPr="00BA1545" w:rsidRDefault="006F2122" w:rsidP="006F2122">
      <w:pPr>
        <w:pStyle w:val="NoSpacing"/>
        <w:rPr>
          <w:lang w:val="en-US"/>
        </w:rPr>
      </w:pPr>
    </w:p>
    <w:p w:rsidR="006F2122" w:rsidRPr="00BA1545" w:rsidRDefault="00947CC0" w:rsidP="006F2122">
      <w:pPr>
        <w:pStyle w:val="NoSpacing"/>
      </w:pPr>
      <w:r>
        <w:t>March</w:t>
      </w:r>
      <w:r w:rsidR="00523B38">
        <w:t xml:space="preserve"> 31,</w:t>
      </w:r>
      <w:r>
        <w:t xml:space="preserve"> 201</w:t>
      </w:r>
      <w:r w:rsidR="009D6D44">
        <w:t>8</w:t>
      </w:r>
    </w:p>
    <w:p w:rsidR="00947CC0" w:rsidRDefault="00947CC0">
      <w:pPr>
        <w:spacing w:after="200" w:line="276" w:lineRule="auto"/>
        <w:rPr>
          <w:rFonts w:asciiTheme="minorHAnsi" w:hAnsiTheme="minorHAnsi"/>
          <w:bCs/>
          <w:sz w:val="22"/>
          <w:szCs w:val="22"/>
        </w:rPr>
      </w:pPr>
      <w:r>
        <w:rPr>
          <w:rFonts w:asciiTheme="minorHAnsi" w:hAnsiTheme="minorHAnsi"/>
          <w:bCs/>
          <w:sz w:val="22"/>
          <w:szCs w:val="22"/>
        </w:rPr>
        <w:br w:type="page"/>
      </w:r>
    </w:p>
    <w:p w:rsidR="005D5E81" w:rsidRPr="00BA1545" w:rsidRDefault="005D5E81" w:rsidP="005D5E81">
      <w:pPr>
        <w:pStyle w:val="NoSpacing"/>
        <w:numPr>
          <w:ilvl w:val="0"/>
          <w:numId w:val="10"/>
        </w:numPr>
        <w:jc w:val="both"/>
        <w:rPr>
          <w:bCs/>
          <w:lang w:val="en-US"/>
        </w:rPr>
      </w:pPr>
      <w:r w:rsidRPr="00BA1545">
        <w:rPr>
          <w:bCs/>
          <w:lang w:val="en-US"/>
        </w:rPr>
        <w:lastRenderedPageBreak/>
        <w:t>Interim consolidated statement of financial position</w:t>
      </w:r>
      <w:r w:rsidR="00E53BA7" w:rsidRPr="00BA1545">
        <w:rPr>
          <w:bCs/>
          <w:lang w:val="en-US"/>
        </w:rPr>
        <w:t>.</w:t>
      </w:r>
    </w:p>
    <w:p w:rsidR="005D5E81" w:rsidRPr="00BA1545" w:rsidRDefault="005D5E81" w:rsidP="005D5E81">
      <w:pPr>
        <w:pStyle w:val="NoSpacing"/>
        <w:jc w:val="both"/>
        <w:rPr>
          <w:bCs/>
          <w:lang w:val="en-US"/>
        </w:rPr>
      </w:pPr>
      <w:r w:rsidRPr="00BA1545">
        <w:rPr>
          <w:bCs/>
          <w:lang w:val="en-US"/>
        </w:rPr>
        <w:t>As at March 3</w:t>
      </w:r>
      <w:r w:rsidR="000B76DF" w:rsidRPr="00BA1545">
        <w:rPr>
          <w:bCs/>
          <w:lang w:val="en-US"/>
        </w:rPr>
        <w:t>1</w:t>
      </w:r>
      <w:r w:rsidRPr="00BA1545">
        <w:rPr>
          <w:bCs/>
          <w:lang w:val="en-US"/>
        </w:rPr>
        <w:t>, 201</w:t>
      </w:r>
      <w:r w:rsidR="009D6D44">
        <w:rPr>
          <w:bCs/>
          <w:lang w:val="en-US"/>
        </w:rPr>
        <w:t>8</w:t>
      </w:r>
    </w:p>
    <w:p w:rsidR="005D5E81" w:rsidRPr="00BA1545" w:rsidRDefault="005D5E81" w:rsidP="005D5E81">
      <w:pPr>
        <w:pStyle w:val="NoSpacing"/>
        <w:jc w:val="both"/>
        <w:rPr>
          <w:bCs/>
          <w:lang w:val="en-US"/>
        </w:rPr>
      </w:pPr>
    </w:p>
    <w:p w:rsidR="005D5E81" w:rsidRPr="00BA1545" w:rsidRDefault="00B00918" w:rsidP="005D5E81">
      <w:pPr>
        <w:pStyle w:val="NoSpacing"/>
        <w:jc w:val="both"/>
        <w:rPr>
          <w:bCs/>
          <w:lang w:val="en-US"/>
        </w:rPr>
      </w:pPr>
      <w:r w:rsidRPr="00B00918">
        <w:rPr>
          <w:noProof/>
          <w:lang w:eastAsia="nl-NL"/>
        </w:rPr>
        <w:drawing>
          <wp:inline distT="0" distB="0" distL="0" distR="0" wp14:anchorId="2C98DE7E" wp14:editId="7F9C4C41">
            <wp:extent cx="5760720" cy="70000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7000075"/>
                    </a:xfrm>
                    <a:prstGeom prst="rect">
                      <a:avLst/>
                    </a:prstGeom>
                    <a:noFill/>
                    <a:ln>
                      <a:noFill/>
                    </a:ln>
                  </pic:spPr>
                </pic:pic>
              </a:graphicData>
            </a:graphic>
          </wp:inline>
        </w:drawing>
      </w:r>
    </w:p>
    <w:p w:rsidR="005D5E81" w:rsidRPr="00BA1545" w:rsidRDefault="005D5E81" w:rsidP="005D5E81">
      <w:pPr>
        <w:spacing w:after="200" w:line="276" w:lineRule="auto"/>
        <w:rPr>
          <w:rFonts w:asciiTheme="minorHAnsi" w:hAnsiTheme="minorHAnsi"/>
          <w:bCs/>
          <w:sz w:val="22"/>
          <w:szCs w:val="22"/>
        </w:rPr>
      </w:pPr>
    </w:p>
    <w:p w:rsidR="005D5E81" w:rsidRPr="00BA1545" w:rsidRDefault="005D5E81" w:rsidP="005D5E81">
      <w:pPr>
        <w:spacing w:after="200" w:line="276" w:lineRule="auto"/>
        <w:rPr>
          <w:rFonts w:asciiTheme="minorHAnsi" w:hAnsiTheme="minorHAnsi"/>
          <w:bCs/>
          <w:sz w:val="22"/>
          <w:szCs w:val="22"/>
        </w:rPr>
      </w:pPr>
      <w:r w:rsidRPr="00BA1545">
        <w:rPr>
          <w:rFonts w:asciiTheme="minorHAnsi" w:hAnsiTheme="minorHAnsi"/>
          <w:bCs/>
          <w:sz w:val="22"/>
          <w:szCs w:val="22"/>
        </w:rPr>
        <w:br w:type="page"/>
      </w:r>
    </w:p>
    <w:p w:rsidR="004D02F3" w:rsidRPr="00BA1545" w:rsidRDefault="006F2122" w:rsidP="005D5E81">
      <w:pPr>
        <w:pStyle w:val="NoSpacing"/>
        <w:numPr>
          <w:ilvl w:val="0"/>
          <w:numId w:val="10"/>
        </w:numPr>
        <w:jc w:val="both"/>
        <w:rPr>
          <w:bCs/>
          <w:lang w:val="en-US"/>
        </w:rPr>
      </w:pPr>
      <w:r w:rsidRPr="00BA1545">
        <w:rPr>
          <w:bCs/>
          <w:lang w:val="en-US"/>
        </w:rPr>
        <w:lastRenderedPageBreak/>
        <w:t>Interim consolidated income statement</w:t>
      </w:r>
      <w:r w:rsidR="00E53BA7" w:rsidRPr="00BA1545">
        <w:rPr>
          <w:bCs/>
          <w:lang w:val="en-US"/>
        </w:rPr>
        <w:t>.</w:t>
      </w:r>
    </w:p>
    <w:p w:rsidR="006F2122" w:rsidRPr="00BA1545" w:rsidRDefault="006F2122" w:rsidP="006F2122">
      <w:pPr>
        <w:pStyle w:val="NoSpacing"/>
        <w:jc w:val="both"/>
        <w:rPr>
          <w:bCs/>
          <w:lang w:val="en-US"/>
        </w:rPr>
      </w:pPr>
      <w:r w:rsidRPr="00BA1545">
        <w:rPr>
          <w:bCs/>
          <w:lang w:val="en-US"/>
        </w:rPr>
        <w:t>For the 6 month period ending March 3</w:t>
      </w:r>
      <w:r w:rsidR="000B76DF" w:rsidRPr="00BA1545">
        <w:rPr>
          <w:bCs/>
          <w:lang w:val="en-US"/>
        </w:rPr>
        <w:t>1</w:t>
      </w:r>
      <w:r w:rsidRPr="00BA1545">
        <w:rPr>
          <w:bCs/>
          <w:lang w:val="en-US"/>
        </w:rPr>
        <w:t>, 201</w:t>
      </w:r>
      <w:r w:rsidR="009D6D44">
        <w:rPr>
          <w:bCs/>
          <w:lang w:val="en-US"/>
        </w:rPr>
        <w:t>8</w:t>
      </w:r>
    </w:p>
    <w:p w:rsidR="006F2122" w:rsidRPr="00BA1545" w:rsidRDefault="006F2122" w:rsidP="00BF3C58">
      <w:pPr>
        <w:pStyle w:val="NoSpacing"/>
        <w:jc w:val="both"/>
        <w:rPr>
          <w:bCs/>
          <w:lang w:val="en-US"/>
        </w:rPr>
      </w:pPr>
    </w:p>
    <w:p w:rsidR="00893742" w:rsidRPr="00BA1545" w:rsidRDefault="00B00918" w:rsidP="00BF3C58">
      <w:pPr>
        <w:pStyle w:val="NoSpacing"/>
        <w:jc w:val="both"/>
        <w:rPr>
          <w:bCs/>
          <w:lang w:val="en-US"/>
        </w:rPr>
      </w:pPr>
      <w:r w:rsidRPr="00B00918">
        <w:rPr>
          <w:noProof/>
          <w:lang w:eastAsia="nl-NL"/>
        </w:rPr>
        <w:drawing>
          <wp:inline distT="0" distB="0" distL="0" distR="0" wp14:anchorId="7B4EAF99" wp14:editId="14B372A0">
            <wp:extent cx="5760720" cy="629187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6291872"/>
                    </a:xfrm>
                    <a:prstGeom prst="rect">
                      <a:avLst/>
                    </a:prstGeom>
                    <a:noFill/>
                    <a:ln>
                      <a:noFill/>
                    </a:ln>
                  </pic:spPr>
                </pic:pic>
              </a:graphicData>
            </a:graphic>
          </wp:inline>
        </w:drawing>
      </w:r>
    </w:p>
    <w:p w:rsidR="006F2122" w:rsidRPr="00BA1545" w:rsidRDefault="006F2122" w:rsidP="00BF3C58">
      <w:pPr>
        <w:pStyle w:val="NoSpacing"/>
        <w:jc w:val="both"/>
        <w:rPr>
          <w:bCs/>
          <w:lang w:val="en-US"/>
        </w:rPr>
      </w:pPr>
    </w:p>
    <w:p w:rsidR="006F2122" w:rsidRPr="00BA1545" w:rsidRDefault="006F2122" w:rsidP="00BF3C58">
      <w:pPr>
        <w:pStyle w:val="NoSpacing"/>
        <w:jc w:val="both"/>
        <w:rPr>
          <w:bCs/>
          <w:lang w:val="en-US"/>
        </w:rPr>
      </w:pPr>
    </w:p>
    <w:p w:rsidR="006F2122" w:rsidRPr="00BA1545" w:rsidRDefault="006F2122" w:rsidP="00BF3C58">
      <w:pPr>
        <w:pStyle w:val="NoSpacing"/>
        <w:jc w:val="both"/>
        <w:rPr>
          <w:bCs/>
          <w:lang w:val="en-US"/>
        </w:rPr>
      </w:pPr>
    </w:p>
    <w:p w:rsidR="006F2122" w:rsidRDefault="006F2122" w:rsidP="00BF3C58">
      <w:pPr>
        <w:pStyle w:val="NoSpacing"/>
        <w:jc w:val="both"/>
        <w:rPr>
          <w:bCs/>
          <w:lang w:val="en-US"/>
        </w:rPr>
      </w:pPr>
    </w:p>
    <w:p w:rsidR="008C6F15" w:rsidRDefault="008C6F15" w:rsidP="00BF3C58">
      <w:pPr>
        <w:pStyle w:val="NoSpacing"/>
        <w:jc w:val="both"/>
        <w:rPr>
          <w:bCs/>
          <w:lang w:val="en-US"/>
        </w:rPr>
      </w:pPr>
    </w:p>
    <w:p w:rsidR="008C6F15" w:rsidRDefault="008C6F15" w:rsidP="00BF3C58">
      <w:pPr>
        <w:pStyle w:val="NoSpacing"/>
        <w:jc w:val="both"/>
        <w:rPr>
          <w:bCs/>
          <w:lang w:val="en-US"/>
        </w:rPr>
      </w:pPr>
    </w:p>
    <w:p w:rsidR="007E218D" w:rsidRDefault="007E218D" w:rsidP="00BF3C58">
      <w:pPr>
        <w:pStyle w:val="NoSpacing"/>
        <w:jc w:val="both"/>
        <w:rPr>
          <w:bCs/>
          <w:lang w:val="en-US"/>
        </w:rPr>
      </w:pPr>
    </w:p>
    <w:p w:rsidR="007E218D" w:rsidRDefault="007E218D" w:rsidP="00BF3C58">
      <w:pPr>
        <w:pStyle w:val="NoSpacing"/>
        <w:jc w:val="both"/>
        <w:rPr>
          <w:bCs/>
          <w:lang w:val="en-US"/>
        </w:rPr>
      </w:pPr>
    </w:p>
    <w:p w:rsidR="008C6F15" w:rsidRDefault="008C6F15" w:rsidP="00BF3C58">
      <w:pPr>
        <w:pStyle w:val="NoSpacing"/>
        <w:jc w:val="both"/>
        <w:rPr>
          <w:bCs/>
          <w:lang w:val="en-US"/>
        </w:rPr>
      </w:pPr>
    </w:p>
    <w:p w:rsidR="008C6F15" w:rsidRDefault="008C6F15" w:rsidP="00BF3C58">
      <w:pPr>
        <w:pStyle w:val="NoSpacing"/>
        <w:jc w:val="both"/>
        <w:rPr>
          <w:bCs/>
          <w:lang w:val="en-US"/>
        </w:rPr>
      </w:pPr>
    </w:p>
    <w:p w:rsidR="00592E55" w:rsidRDefault="00592E55" w:rsidP="00BF3C58">
      <w:pPr>
        <w:pStyle w:val="NoSpacing"/>
        <w:jc w:val="both"/>
        <w:rPr>
          <w:bCs/>
          <w:lang w:val="en-US"/>
        </w:rPr>
      </w:pPr>
    </w:p>
    <w:p w:rsidR="00BD3E85" w:rsidRDefault="00BD3E85" w:rsidP="00BF3C58">
      <w:pPr>
        <w:pStyle w:val="NoSpacing"/>
        <w:jc w:val="both"/>
        <w:rPr>
          <w:bCs/>
          <w:lang w:val="en-US"/>
        </w:rPr>
      </w:pPr>
    </w:p>
    <w:p w:rsidR="00592E55" w:rsidRDefault="00592E55" w:rsidP="00BF3C58">
      <w:pPr>
        <w:pStyle w:val="NoSpacing"/>
        <w:jc w:val="both"/>
        <w:rPr>
          <w:bCs/>
          <w:lang w:val="en-US"/>
        </w:rPr>
      </w:pPr>
    </w:p>
    <w:p w:rsidR="00537076" w:rsidRDefault="00537076" w:rsidP="00BF3C58">
      <w:pPr>
        <w:pStyle w:val="NoSpacing"/>
        <w:jc w:val="both"/>
        <w:rPr>
          <w:bCs/>
          <w:lang w:val="en-US"/>
        </w:rPr>
      </w:pPr>
    </w:p>
    <w:p w:rsidR="00537076" w:rsidRPr="00BA1545" w:rsidRDefault="00537076" w:rsidP="00BF3C58">
      <w:pPr>
        <w:pStyle w:val="NoSpacing"/>
        <w:jc w:val="both"/>
        <w:rPr>
          <w:bCs/>
          <w:lang w:val="en-US"/>
        </w:rPr>
      </w:pPr>
    </w:p>
    <w:p w:rsidR="006F2122" w:rsidRPr="00BA1545" w:rsidRDefault="006F2122" w:rsidP="00BF3C58">
      <w:pPr>
        <w:pStyle w:val="NoSpacing"/>
        <w:jc w:val="both"/>
        <w:rPr>
          <w:bCs/>
          <w:lang w:val="en-US"/>
        </w:rPr>
      </w:pPr>
    </w:p>
    <w:p w:rsidR="00A41024" w:rsidRPr="00BA1545" w:rsidRDefault="00A41024" w:rsidP="006F2122">
      <w:pPr>
        <w:pStyle w:val="NoSpacing"/>
        <w:numPr>
          <w:ilvl w:val="0"/>
          <w:numId w:val="10"/>
        </w:numPr>
        <w:jc w:val="both"/>
        <w:rPr>
          <w:bCs/>
          <w:lang w:val="en-US"/>
        </w:rPr>
      </w:pPr>
      <w:r w:rsidRPr="00BA1545">
        <w:rPr>
          <w:bCs/>
          <w:lang w:val="en-US"/>
        </w:rPr>
        <w:t>Interim consolidated statement of changes in equity</w:t>
      </w:r>
      <w:r w:rsidR="00E53BA7" w:rsidRPr="00BA1545">
        <w:rPr>
          <w:bCs/>
          <w:lang w:val="en-US"/>
        </w:rPr>
        <w:t>.</w:t>
      </w:r>
    </w:p>
    <w:p w:rsidR="00A41024" w:rsidRPr="00BA1545" w:rsidRDefault="00A41024" w:rsidP="006F2122">
      <w:pPr>
        <w:pStyle w:val="NoSpacing"/>
        <w:jc w:val="both"/>
        <w:rPr>
          <w:bCs/>
          <w:lang w:val="en-US"/>
        </w:rPr>
      </w:pPr>
      <w:r w:rsidRPr="00BA1545">
        <w:rPr>
          <w:bCs/>
          <w:lang w:val="en-US"/>
        </w:rPr>
        <w:t>For the 6-month period ending March 3</w:t>
      </w:r>
      <w:r w:rsidR="000B76DF" w:rsidRPr="00BA1545">
        <w:rPr>
          <w:bCs/>
          <w:lang w:val="en-US"/>
        </w:rPr>
        <w:t>1</w:t>
      </w:r>
      <w:r w:rsidRPr="00BA1545">
        <w:rPr>
          <w:bCs/>
          <w:lang w:val="en-US"/>
        </w:rPr>
        <w:t>, 201</w:t>
      </w:r>
      <w:r w:rsidR="009D6D44">
        <w:rPr>
          <w:bCs/>
          <w:lang w:val="en-US"/>
        </w:rPr>
        <w:t>8</w:t>
      </w:r>
    </w:p>
    <w:p w:rsidR="006F2122" w:rsidRPr="00BA1545" w:rsidRDefault="006F2122" w:rsidP="00BD4333">
      <w:pPr>
        <w:pStyle w:val="NoSpacing"/>
        <w:jc w:val="both"/>
        <w:rPr>
          <w:bCs/>
          <w:lang w:val="en-US"/>
        </w:rPr>
      </w:pPr>
    </w:p>
    <w:p w:rsidR="00A41024" w:rsidRPr="00BA1545" w:rsidRDefault="008E17C0" w:rsidP="00A41024">
      <w:pPr>
        <w:spacing w:after="200" w:line="276" w:lineRule="auto"/>
        <w:rPr>
          <w:rFonts w:asciiTheme="minorHAnsi" w:eastAsiaTheme="minorHAnsi" w:hAnsiTheme="minorHAnsi" w:cstheme="minorBidi"/>
          <w:bCs/>
          <w:sz w:val="22"/>
          <w:szCs w:val="22"/>
        </w:rPr>
      </w:pPr>
      <w:r w:rsidRPr="008E17C0">
        <w:rPr>
          <w:noProof/>
          <w:lang w:val="nl-NL" w:eastAsia="nl-NL"/>
        </w:rPr>
        <w:drawing>
          <wp:inline distT="0" distB="0" distL="0" distR="0" wp14:anchorId="6BFC13D8" wp14:editId="40923FE7">
            <wp:extent cx="5760720" cy="191405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914054"/>
                    </a:xfrm>
                    <a:prstGeom prst="rect">
                      <a:avLst/>
                    </a:prstGeom>
                    <a:noFill/>
                    <a:ln>
                      <a:noFill/>
                    </a:ln>
                  </pic:spPr>
                </pic:pic>
              </a:graphicData>
            </a:graphic>
          </wp:inline>
        </w:drawing>
      </w:r>
      <w:r w:rsidR="00A41024" w:rsidRPr="00BA1545">
        <w:rPr>
          <w:rFonts w:asciiTheme="minorHAnsi" w:hAnsiTheme="minorHAnsi"/>
          <w:bCs/>
          <w:sz w:val="22"/>
          <w:szCs w:val="22"/>
        </w:rPr>
        <w:br w:type="page"/>
      </w:r>
    </w:p>
    <w:p w:rsidR="00A41024" w:rsidRPr="00BA1545" w:rsidRDefault="00A41024" w:rsidP="006F2122">
      <w:pPr>
        <w:pStyle w:val="NoSpacing"/>
        <w:numPr>
          <w:ilvl w:val="0"/>
          <w:numId w:val="10"/>
        </w:numPr>
        <w:jc w:val="both"/>
        <w:rPr>
          <w:bCs/>
          <w:lang w:val="en-US"/>
        </w:rPr>
      </w:pPr>
      <w:r w:rsidRPr="00BA1545">
        <w:rPr>
          <w:bCs/>
          <w:lang w:val="en-US"/>
        </w:rPr>
        <w:lastRenderedPageBreak/>
        <w:t>Interim consolidated statement of cash flows</w:t>
      </w:r>
      <w:r w:rsidR="00E53BA7" w:rsidRPr="00BA1545">
        <w:rPr>
          <w:bCs/>
          <w:lang w:val="en-US"/>
        </w:rPr>
        <w:t>.</w:t>
      </w:r>
    </w:p>
    <w:p w:rsidR="00A41024" w:rsidRPr="00BA1545" w:rsidRDefault="00A41024" w:rsidP="006C0362">
      <w:pPr>
        <w:pStyle w:val="NoSpacing"/>
        <w:jc w:val="both"/>
        <w:rPr>
          <w:bCs/>
          <w:lang w:val="en-US"/>
        </w:rPr>
      </w:pPr>
      <w:r w:rsidRPr="00BA1545">
        <w:rPr>
          <w:bCs/>
          <w:lang w:val="en-US"/>
        </w:rPr>
        <w:t>For the 6-month period ending March 3</w:t>
      </w:r>
      <w:r w:rsidR="000B76DF" w:rsidRPr="00BA1545">
        <w:rPr>
          <w:bCs/>
          <w:lang w:val="en-US"/>
        </w:rPr>
        <w:t>1</w:t>
      </w:r>
      <w:r w:rsidRPr="00BA1545">
        <w:rPr>
          <w:bCs/>
          <w:lang w:val="en-US"/>
        </w:rPr>
        <w:t>, 201</w:t>
      </w:r>
      <w:r w:rsidR="009D6D44">
        <w:rPr>
          <w:bCs/>
          <w:lang w:val="en-US"/>
        </w:rPr>
        <w:t>8</w:t>
      </w:r>
      <w:r w:rsidRPr="00BA1545">
        <w:rPr>
          <w:bCs/>
          <w:lang w:val="en-US"/>
        </w:rPr>
        <w:t xml:space="preserve"> </w:t>
      </w:r>
    </w:p>
    <w:p w:rsidR="00A41024" w:rsidRPr="00BA1545" w:rsidRDefault="00A41024" w:rsidP="00A41024">
      <w:pPr>
        <w:pStyle w:val="NoSpacing"/>
        <w:jc w:val="both"/>
        <w:rPr>
          <w:bCs/>
          <w:lang w:val="en-US"/>
        </w:rPr>
      </w:pPr>
    </w:p>
    <w:p w:rsidR="00A41024" w:rsidRPr="003F75A3" w:rsidRDefault="00B00918" w:rsidP="00A41024">
      <w:pPr>
        <w:pStyle w:val="NoSpacing"/>
        <w:jc w:val="both"/>
        <w:rPr>
          <w:lang w:val="en-US"/>
        </w:rPr>
      </w:pPr>
      <w:r w:rsidRPr="00B00918">
        <w:rPr>
          <w:noProof/>
          <w:lang w:eastAsia="nl-NL"/>
        </w:rPr>
        <w:drawing>
          <wp:inline distT="0" distB="0" distL="0" distR="0" wp14:anchorId="5B0CA922" wp14:editId="0FC15B04">
            <wp:extent cx="5760720" cy="650481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6504813"/>
                    </a:xfrm>
                    <a:prstGeom prst="rect">
                      <a:avLst/>
                    </a:prstGeom>
                    <a:noFill/>
                    <a:ln>
                      <a:noFill/>
                    </a:ln>
                  </pic:spPr>
                </pic:pic>
              </a:graphicData>
            </a:graphic>
          </wp:inline>
        </w:drawing>
      </w:r>
    </w:p>
    <w:p w:rsidR="000A77DD" w:rsidRPr="00BA1545" w:rsidRDefault="000A77DD">
      <w:pPr>
        <w:spacing w:after="200" w:line="276" w:lineRule="auto"/>
        <w:rPr>
          <w:rFonts w:asciiTheme="minorHAnsi" w:eastAsiaTheme="minorHAnsi" w:hAnsiTheme="minorHAnsi" w:cstheme="minorBidi"/>
          <w:sz w:val="22"/>
          <w:szCs w:val="22"/>
        </w:rPr>
      </w:pPr>
      <w:r w:rsidRPr="00BA1545">
        <w:rPr>
          <w:rFonts w:asciiTheme="minorHAnsi" w:hAnsiTheme="minorHAnsi"/>
          <w:sz w:val="22"/>
          <w:szCs w:val="22"/>
        </w:rPr>
        <w:br w:type="page"/>
      </w:r>
    </w:p>
    <w:p w:rsidR="001E149A" w:rsidRPr="00BA1545" w:rsidRDefault="00E3444D" w:rsidP="00BF3C58">
      <w:pPr>
        <w:pStyle w:val="NoSpacing"/>
        <w:jc w:val="both"/>
        <w:rPr>
          <w:lang w:val="en-US"/>
        </w:rPr>
      </w:pPr>
      <w:r w:rsidRPr="00BA1545">
        <w:rPr>
          <w:lang w:val="en-US"/>
        </w:rPr>
        <w:lastRenderedPageBreak/>
        <w:t xml:space="preserve">Notes to the interim consolidated financial </w:t>
      </w:r>
      <w:r w:rsidR="00224DD7" w:rsidRPr="00BA1545">
        <w:rPr>
          <w:lang w:val="en-US"/>
        </w:rPr>
        <w:t>report</w:t>
      </w:r>
    </w:p>
    <w:p w:rsidR="00224DD7" w:rsidRPr="00BA1545" w:rsidRDefault="00224DD7" w:rsidP="00BF3C58">
      <w:pPr>
        <w:pStyle w:val="NoSpacing"/>
        <w:jc w:val="both"/>
        <w:rPr>
          <w:lang w:val="en-US"/>
        </w:rPr>
      </w:pPr>
    </w:p>
    <w:p w:rsidR="00224DD7" w:rsidRPr="007B667C" w:rsidRDefault="00224DD7" w:rsidP="00DE6F62">
      <w:pPr>
        <w:pStyle w:val="NoSpacing"/>
        <w:jc w:val="both"/>
        <w:rPr>
          <w:b/>
          <w:i/>
          <w:lang w:val="en-US" w:eastAsia="zh-CN"/>
        </w:rPr>
      </w:pPr>
      <w:r w:rsidRPr="007B667C">
        <w:rPr>
          <w:b/>
          <w:lang w:val="en-US" w:eastAsia="zh-CN"/>
        </w:rPr>
        <w:t>General Information</w:t>
      </w:r>
    </w:p>
    <w:p w:rsidR="00224DD7" w:rsidRPr="00BA1545" w:rsidRDefault="00224DD7" w:rsidP="00DE6F62">
      <w:pPr>
        <w:pStyle w:val="NoSpacing"/>
        <w:jc w:val="both"/>
        <w:rPr>
          <w:noProof/>
          <w:lang w:val="en-US"/>
        </w:rPr>
      </w:pPr>
      <w:r w:rsidRPr="00BA1545">
        <w:rPr>
          <w:noProof/>
          <w:lang w:val="en-US"/>
        </w:rPr>
        <w:t>TIE Kinetix N.V. is a public limited company established and domiciled in the Netherlands, with its registered office and headquarters at De Corridor 5d, 3621 ZA in Breukelen. The Interim Consolidated Financial report of the company for the half year ended on March 31, 201</w:t>
      </w:r>
      <w:r w:rsidR="009D6D44">
        <w:rPr>
          <w:noProof/>
          <w:lang w:val="en-US"/>
        </w:rPr>
        <w:t>8</w:t>
      </w:r>
      <w:r w:rsidRPr="00BA1545">
        <w:rPr>
          <w:noProof/>
          <w:lang w:val="en-US"/>
        </w:rPr>
        <w:t xml:space="preserve"> include the company and all its subsidiaries (jointly called “</w:t>
      </w:r>
      <w:r w:rsidR="00934F20" w:rsidRPr="00BA1545">
        <w:rPr>
          <w:noProof/>
          <w:lang w:val="en-US"/>
        </w:rPr>
        <w:t>TIE Kinetix</w:t>
      </w:r>
      <w:r w:rsidRPr="00BA1545">
        <w:rPr>
          <w:noProof/>
          <w:lang w:val="en-US"/>
        </w:rPr>
        <w:t xml:space="preserve">”). The financial year of </w:t>
      </w:r>
      <w:r w:rsidR="00934F20" w:rsidRPr="00BA1545">
        <w:rPr>
          <w:noProof/>
          <w:lang w:val="en-US"/>
        </w:rPr>
        <w:t>TIE Kinetix</w:t>
      </w:r>
      <w:r w:rsidRPr="00BA1545">
        <w:rPr>
          <w:noProof/>
          <w:lang w:val="en-US"/>
        </w:rPr>
        <w:t xml:space="preserve"> commences on October 1 and closes on September 30. The Interim Consolidated Financial report for the six months has been authorized for issue </w:t>
      </w:r>
      <w:r w:rsidR="009D6D44">
        <w:rPr>
          <w:noProof/>
          <w:lang w:val="en-US"/>
        </w:rPr>
        <w:t>by</w:t>
      </w:r>
      <w:r w:rsidRPr="00BA1545">
        <w:rPr>
          <w:noProof/>
          <w:lang w:val="en-US"/>
        </w:rPr>
        <w:t xml:space="preserve"> the </w:t>
      </w:r>
      <w:r w:rsidR="009D6D44">
        <w:rPr>
          <w:noProof/>
          <w:lang w:val="en-US"/>
        </w:rPr>
        <w:t>Executive Bo</w:t>
      </w:r>
      <w:r w:rsidRPr="00BA1545">
        <w:rPr>
          <w:noProof/>
          <w:lang w:val="en-US"/>
        </w:rPr>
        <w:t xml:space="preserve">ard on May </w:t>
      </w:r>
      <w:r w:rsidR="00DF1146" w:rsidRPr="00BA1545">
        <w:rPr>
          <w:noProof/>
          <w:lang w:val="en-US"/>
        </w:rPr>
        <w:t>1</w:t>
      </w:r>
      <w:r w:rsidR="009D6D44">
        <w:rPr>
          <w:noProof/>
          <w:lang w:val="en-US"/>
        </w:rPr>
        <w:t>1</w:t>
      </w:r>
      <w:r w:rsidRPr="00BA1545">
        <w:rPr>
          <w:noProof/>
          <w:lang w:val="en-US"/>
        </w:rPr>
        <w:t>, 201</w:t>
      </w:r>
      <w:r w:rsidR="009D6D44">
        <w:rPr>
          <w:noProof/>
          <w:lang w:val="en-US"/>
        </w:rPr>
        <w:t>8</w:t>
      </w:r>
      <w:r w:rsidRPr="00BA1545">
        <w:rPr>
          <w:noProof/>
          <w:lang w:val="en-US"/>
        </w:rPr>
        <w:t>.</w:t>
      </w:r>
    </w:p>
    <w:p w:rsidR="00224DD7" w:rsidRPr="00BA1545" w:rsidRDefault="00224DD7" w:rsidP="00DE6F62">
      <w:pPr>
        <w:pStyle w:val="NoSpacing"/>
        <w:jc w:val="both"/>
        <w:rPr>
          <w:noProof/>
          <w:lang w:val="en-US"/>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Auditor’s Involvement</w:t>
      </w:r>
    </w:p>
    <w:p w:rsidR="00224DD7" w:rsidRPr="00BA1545" w:rsidRDefault="00224DD7" w:rsidP="00DE6F62">
      <w:pPr>
        <w:pStyle w:val="NoSpacing"/>
        <w:jc w:val="both"/>
        <w:rPr>
          <w:lang w:val="en-US"/>
        </w:rPr>
      </w:pPr>
      <w:r w:rsidRPr="00BA1545">
        <w:rPr>
          <w:lang w:val="en-US"/>
        </w:rPr>
        <w:t xml:space="preserve">The interim financial report has not been audited by our external auditors. The Annual General Meeting of shareholders has appointed BDO on March </w:t>
      </w:r>
      <w:r w:rsidR="00B265A6">
        <w:rPr>
          <w:lang w:val="en-US"/>
        </w:rPr>
        <w:t>3</w:t>
      </w:r>
      <w:r w:rsidR="00B17719">
        <w:rPr>
          <w:lang w:val="en-US"/>
        </w:rPr>
        <w:t>1</w:t>
      </w:r>
      <w:r w:rsidR="00B17719" w:rsidRPr="00B17719">
        <w:rPr>
          <w:vertAlign w:val="superscript"/>
          <w:lang w:val="en-US"/>
        </w:rPr>
        <w:t>st</w:t>
      </w:r>
      <w:r w:rsidRPr="00BA1545">
        <w:rPr>
          <w:lang w:val="en-US"/>
        </w:rPr>
        <w:t>, 201</w:t>
      </w:r>
      <w:r w:rsidR="009D6D44">
        <w:rPr>
          <w:lang w:val="en-US"/>
        </w:rPr>
        <w:t>7</w:t>
      </w:r>
      <w:r w:rsidRPr="00BA1545">
        <w:rPr>
          <w:lang w:val="en-US"/>
        </w:rPr>
        <w:t xml:space="preserve"> as external auditor for the year commencing on October 1, 201</w:t>
      </w:r>
      <w:r w:rsidR="009D6D44">
        <w:rPr>
          <w:lang w:val="en-US"/>
        </w:rPr>
        <w:t>7</w:t>
      </w:r>
      <w:r w:rsidRPr="00BA1545">
        <w:rPr>
          <w:lang w:val="en-US"/>
        </w:rPr>
        <w:t>.</w:t>
      </w:r>
    </w:p>
    <w:p w:rsidR="00224DD7" w:rsidRPr="00BA1545" w:rsidRDefault="00224DD7" w:rsidP="00DE6F62">
      <w:pPr>
        <w:pStyle w:val="NoSpacing"/>
        <w:jc w:val="both"/>
        <w:rPr>
          <w:rFonts w:eastAsia="MS Mincho"/>
          <w:bCs/>
          <w:lang w:val="en-US" w:eastAsia="zh-CN"/>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Statement of Compliance</w:t>
      </w:r>
    </w:p>
    <w:p w:rsidR="00224DD7" w:rsidRPr="00BA1545" w:rsidRDefault="00224DD7" w:rsidP="00DE6F62">
      <w:pPr>
        <w:pStyle w:val="NoSpacing"/>
        <w:jc w:val="both"/>
        <w:rPr>
          <w:lang w:val="en-US"/>
        </w:rPr>
      </w:pPr>
      <w:r w:rsidRPr="00BA1545">
        <w:rPr>
          <w:lang w:val="en-US"/>
        </w:rPr>
        <w:t xml:space="preserve">The </w:t>
      </w:r>
      <w:r w:rsidR="007B667C">
        <w:rPr>
          <w:lang w:val="en-US"/>
        </w:rPr>
        <w:t>Executive</w:t>
      </w:r>
      <w:r w:rsidRPr="00BA1545">
        <w:rPr>
          <w:lang w:val="en-US"/>
        </w:rPr>
        <w:t xml:space="preserve"> Board has considered and approved the interim condensed consolidated financial statements for the period October 1, 201</w:t>
      </w:r>
      <w:r w:rsidR="007B667C">
        <w:rPr>
          <w:lang w:val="en-US"/>
        </w:rPr>
        <w:t>6</w:t>
      </w:r>
      <w:r w:rsidRPr="00BA1545">
        <w:rPr>
          <w:lang w:val="en-US"/>
        </w:rPr>
        <w:t xml:space="preserve"> – March 31, 201</w:t>
      </w:r>
      <w:r w:rsidR="009D6D44">
        <w:rPr>
          <w:lang w:val="en-US"/>
        </w:rPr>
        <w:t>8</w:t>
      </w:r>
      <w:r w:rsidRPr="00BA1545">
        <w:rPr>
          <w:lang w:val="en-US"/>
        </w:rPr>
        <w:t>.</w:t>
      </w:r>
    </w:p>
    <w:p w:rsidR="00224DD7" w:rsidRPr="00BA1545" w:rsidRDefault="00224DD7" w:rsidP="00DE6F62">
      <w:pPr>
        <w:pStyle w:val="NoSpacing"/>
        <w:jc w:val="both"/>
        <w:rPr>
          <w:lang w:val="en-US"/>
        </w:rPr>
      </w:pPr>
      <w:r w:rsidRPr="00BA1545">
        <w:rPr>
          <w:noProof/>
          <w:lang w:val="en-US"/>
        </w:rPr>
        <w:t>The Interim Consolidated Financial report</w:t>
      </w:r>
      <w:r w:rsidRPr="00BA1545">
        <w:rPr>
          <w:lang w:val="en-US"/>
        </w:rPr>
        <w:t xml:space="preserve"> has been prepared in accordance with IAS 34 “Interim Financial Reporting” as adopted by the EU. </w:t>
      </w:r>
      <w:r w:rsidRPr="00BA1545">
        <w:rPr>
          <w:noProof/>
          <w:lang w:val="en-US"/>
        </w:rPr>
        <w:t>The Interim Consolidated Financial report does not include all the information and disclosures required in the annual financial statements and should be read in conjunction with the annual financial statements as at September 30, 201</w:t>
      </w:r>
      <w:r w:rsidR="009D6D44">
        <w:rPr>
          <w:noProof/>
          <w:lang w:val="en-US"/>
        </w:rPr>
        <w:t>7</w:t>
      </w:r>
      <w:r w:rsidRPr="00BA1545">
        <w:rPr>
          <w:noProof/>
          <w:lang w:val="en-US"/>
        </w:rPr>
        <w:t>.</w:t>
      </w:r>
    </w:p>
    <w:p w:rsidR="00224DD7" w:rsidRPr="00BA1545" w:rsidRDefault="00224DD7" w:rsidP="00DE6F62">
      <w:pPr>
        <w:pStyle w:val="NoSpacing"/>
        <w:jc w:val="both"/>
        <w:rPr>
          <w:lang w:val="en-US"/>
        </w:rPr>
      </w:pPr>
      <w:r w:rsidRPr="00BA1545">
        <w:rPr>
          <w:lang w:val="en-US"/>
        </w:rPr>
        <w:t>We consider the accounting policies applied to the effect that the interim condensed consolidated financial statements give a true and fair view of the Group’s assets, liabilities and financial position as at March 31, 201</w:t>
      </w:r>
      <w:r w:rsidR="009D6D44">
        <w:rPr>
          <w:lang w:val="en-US"/>
        </w:rPr>
        <w:t>8</w:t>
      </w:r>
      <w:r w:rsidRPr="00BA1545">
        <w:rPr>
          <w:lang w:val="en-US"/>
        </w:rPr>
        <w:t xml:space="preserve"> and of the results of the Group’s operations and cash flow in the period October 1, 201</w:t>
      </w:r>
      <w:r w:rsidR="007B667C">
        <w:rPr>
          <w:lang w:val="en-US"/>
        </w:rPr>
        <w:t>6</w:t>
      </w:r>
      <w:r w:rsidR="00DF1146" w:rsidRPr="00BA1545">
        <w:rPr>
          <w:lang w:val="en-US"/>
        </w:rPr>
        <w:t xml:space="preserve"> – March 31, 201</w:t>
      </w:r>
      <w:r w:rsidR="009D6D44">
        <w:rPr>
          <w:lang w:val="en-US"/>
        </w:rPr>
        <w:t>8</w:t>
      </w:r>
      <w:r w:rsidRPr="00BA1545">
        <w:rPr>
          <w:lang w:val="en-US"/>
        </w:rPr>
        <w:t>.</w:t>
      </w:r>
    </w:p>
    <w:p w:rsidR="00224DD7" w:rsidRPr="00BA1545" w:rsidRDefault="00224DD7" w:rsidP="00DE6F62">
      <w:pPr>
        <w:pStyle w:val="NoSpacing"/>
        <w:jc w:val="both"/>
        <w:rPr>
          <w:rFonts w:eastAsia="MS Mincho"/>
          <w:bCs/>
          <w:lang w:val="en-US" w:eastAsia="zh-CN"/>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General Accounting Principles</w:t>
      </w:r>
    </w:p>
    <w:p w:rsidR="00224DD7" w:rsidRPr="00BA1545" w:rsidRDefault="00224DD7" w:rsidP="00DE6F62">
      <w:pPr>
        <w:pStyle w:val="NoSpacing"/>
        <w:jc w:val="both"/>
        <w:rPr>
          <w:lang w:val="en-US"/>
        </w:rPr>
      </w:pPr>
      <w:r w:rsidRPr="00BA1545">
        <w:rPr>
          <w:lang w:val="en-US"/>
        </w:rPr>
        <w:t xml:space="preserve">The accounting policies used in the preparation of the </w:t>
      </w:r>
      <w:r w:rsidRPr="00BA1545">
        <w:rPr>
          <w:noProof/>
          <w:lang w:val="en-US"/>
        </w:rPr>
        <w:t xml:space="preserve">Interim Consolidated Financial report </w:t>
      </w:r>
      <w:r w:rsidRPr="00BA1545">
        <w:rPr>
          <w:lang w:val="en-US"/>
        </w:rPr>
        <w:t>are consistent with those followed in the preparation of the Group’s annual financial statements for the year ended September 30, 201</w:t>
      </w:r>
      <w:r w:rsidR="009D6D44">
        <w:rPr>
          <w:lang w:val="en-US"/>
        </w:rPr>
        <w:t>7</w:t>
      </w:r>
      <w:r w:rsidRPr="00BA1545">
        <w:rPr>
          <w:lang w:val="en-US"/>
        </w:rPr>
        <w:t xml:space="preserve">. </w:t>
      </w:r>
      <w:r w:rsidRPr="00BA1545">
        <w:rPr>
          <w:noProof/>
          <w:lang w:val="en-US"/>
        </w:rPr>
        <w:t>The Interim Consolidated Financial report is presented in € x 1.000 unless otherwise indicated.</w:t>
      </w:r>
    </w:p>
    <w:p w:rsidR="00224DD7" w:rsidRPr="00BA1545" w:rsidRDefault="00224DD7" w:rsidP="00DE6F62">
      <w:pPr>
        <w:pStyle w:val="NoSpacing"/>
        <w:jc w:val="both"/>
        <w:rPr>
          <w:rFonts w:eastAsia="MS Mincho"/>
          <w:bCs/>
          <w:lang w:val="en-US" w:eastAsia="zh-CN"/>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Accounting Estimates</w:t>
      </w:r>
    </w:p>
    <w:p w:rsidR="00224DD7" w:rsidRPr="00BA1545" w:rsidRDefault="00224DD7" w:rsidP="00DE6F62">
      <w:pPr>
        <w:pStyle w:val="NoSpacing"/>
        <w:jc w:val="both"/>
        <w:rPr>
          <w:lang w:val="en-US"/>
        </w:rPr>
      </w:pPr>
      <w:r w:rsidRPr="00BA1545">
        <w:rPr>
          <w:lang w:val="en-US"/>
        </w:rPr>
        <w:t>The preparation of the financial statements in accordance with IFRS requires management to make judgments, estimates and assumptions that affect the reported amounts of assets and liabilities, the determination of results and the reported contingent assets and liabilities. For a list of the judgments, estimates and assumptions, reference is made to the financial statements for 201</w:t>
      </w:r>
      <w:r w:rsidR="009D6D44">
        <w:rPr>
          <w:lang w:val="en-US"/>
        </w:rPr>
        <w:t>7</w:t>
      </w:r>
      <w:r w:rsidRPr="00BA1545">
        <w:rPr>
          <w:lang w:val="en-US"/>
        </w:rPr>
        <w:t xml:space="preserve">. No important changes occurred in the first six months of </w:t>
      </w:r>
      <w:r w:rsidR="00E53BA7" w:rsidRPr="00BA1545">
        <w:rPr>
          <w:lang w:val="en-US"/>
        </w:rPr>
        <w:t xml:space="preserve">financial year </w:t>
      </w:r>
      <w:r w:rsidRPr="00BA1545">
        <w:rPr>
          <w:lang w:val="en-US"/>
        </w:rPr>
        <w:t>201</w:t>
      </w:r>
      <w:r w:rsidR="009D6D44">
        <w:rPr>
          <w:lang w:val="en-US"/>
        </w:rPr>
        <w:t>8</w:t>
      </w:r>
      <w:r w:rsidRPr="00BA1545">
        <w:rPr>
          <w:lang w:val="en-US"/>
        </w:rPr>
        <w:t>.</w:t>
      </w:r>
    </w:p>
    <w:p w:rsidR="00224DD7" w:rsidRPr="00BA1545" w:rsidRDefault="00224DD7" w:rsidP="00DE6F62">
      <w:pPr>
        <w:pStyle w:val="NoSpacing"/>
        <w:jc w:val="both"/>
        <w:rPr>
          <w:rFonts w:eastAsia="MS Mincho"/>
          <w:bCs/>
          <w:lang w:val="en-US" w:eastAsia="zh-CN"/>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Segment Information</w:t>
      </w:r>
    </w:p>
    <w:p w:rsidR="00DF1146" w:rsidRPr="00BA1545" w:rsidRDefault="00DF1146" w:rsidP="00DF1146">
      <w:pPr>
        <w:jc w:val="both"/>
        <w:rPr>
          <w:rFonts w:asciiTheme="minorHAnsi" w:eastAsiaTheme="minorHAnsi" w:hAnsiTheme="minorHAnsi" w:cstheme="minorBidi"/>
          <w:sz w:val="22"/>
          <w:szCs w:val="22"/>
        </w:rPr>
      </w:pPr>
      <w:r w:rsidRPr="00BA1545">
        <w:rPr>
          <w:rFonts w:asciiTheme="minorHAnsi" w:eastAsiaTheme="minorHAnsi" w:hAnsiTheme="minorHAnsi" w:cstheme="minorBidi"/>
          <w:sz w:val="22"/>
          <w:szCs w:val="22"/>
        </w:rPr>
        <w:t xml:space="preserve">The segment reporting in these Interim consolidated Financial Statements are aligned with the internal reporting to the Executive Board as Chief Operating Decision Maker in the Company. Reporting is </w:t>
      </w:r>
      <w:r w:rsidR="00BD7620" w:rsidRPr="00BA1545">
        <w:rPr>
          <w:rFonts w:asciiTheme="minorHAnsi" w:eastAsiaTheme="minorHAnsi" w:hAnsiTheme="minorHAnsi" w:cstheme="minorBidi"/>
          <w:sz w:val="22"/>
          <w:szCs w:val="22"/>
        </w:rPr>
        <w:t xml:space="preserve">primarily </w:t>
      </w:r>
      <w:r w:rsidRPr="00BA1545">
        <w:rPr>
          <w:rFonts w:asciiTheme="minorHAnsi" w:eastAsiaTheme="minorHAnsi" w:hAnsiTheme="minorHAnsi" w:cstheme="minorBidi"/>
          <w:sz w:val="22"/>
          <w:szCs w:val="22"/>
        </w:rPr>
        <w:t xml:space="preserve">based on business line segments. All revenue, direct costs and fee earning staff are allocated to business lines. To avoid arbitrary and volatile allocation, indirect costs and non-free earning staff are not allocated directly to business lines, but rather allocated to country operations (or holding functions). </w:t>
      </w:r>
    </w:p>
    <w:p w:rsidR="00DF1146" w:rsidRPr="00BA1545" w:rsidRDefault="00DF1146" w:rsidP="004B4621">
      <w:pPr>
        <w:autoSpaceDE w:val="0"/>
        <w:autoSpaceDN w:val="0"/>
        <w:adjustRightInd w:val="0"/>
        <w:jc w:val="both"/>
        <w:rPr>
          <w:rFonts w:asciiTheme="minorHAnsi" w:eastAsiaTheme="minorHAnsi" w:hAnsiTheme="minorHAnsi" w:cstheme="minorBidi"/>
          <w:sz w:val="22"/>
          <w:szCs w:val="22"/>
        </w:rPr>
      </w:pPr>
      <w:r w:rsidRPr="00BA1545">
        <w:rPr>
          <w:rFonts w:asciiTheme="minorHAnsi" w:eastAsiaTheme="minorHAnsi" w:hAnsiTheme="minorHAnsi" w:cstheme="minorBidi"/>
          <w:sz w:val="22"/>
          <w:szCs w:val="22"/>
        </w:rPr>
        <w:t xml:space="preserve">TIE has four business lines: Integration, E-Commerce, Demand Generation and Analytics &amp;Optimization and operations in the Netherlands, in the US, in Germany, and in France. The business lines are primary reporting segment for both internal and external reporting. Country operations are secondary reporting segment for internal reporting and </w:t>
      </w:r>
      <w:r w:rsidR="004B4621" w:rsidRPr="00BA1545">
        <w:rPr>
          <w:rFonts w:asciiTheme="minorHAnsi" w:eastAsiaTheme="minorHAnsi" w:hAnsiTheme="minorHAnsi" w:cstheme="minorBidi"/>
          <w:sz w:val="22"/>
          <w:szCs w:val="22"/>
        </w:rPr>
        <w:t xml:space="preserve">externally for </w:t>
      </w:r>
      <w:r w:rsidRPr="00BA1545">
        <w:rPr>
          <w:rFonts w:asciiTheme="minorHAnsi" w:eastAsiaTheme="minorHAnsi" w:hAnsiTheme="minorHAnsi" w:cstheme="minorBidi"/>
          <w:sz w:val="22"/>
          <w:szCs w:val="22"/>
        </w:rPr>
        <w:t xml:space="preserve">statutory reporting purposes only. In preparing this segment information, the accounting principles applied reflect the same as </w:t>
      </w:r>
      <w:r w:rsidRPr="00BA1545">
        <w:rPr>
          <w:rFonts w:asciiTheme="minorHAnsi" w:eastAsiaTheme="minorHAnsi" w:hAnsiTheme="minorHAnsi" w:cstheme="minorBidi"/>
          <w:sz w:val="22"/>
          <w:szCs w:val="22"/>
        </w:rPr>
        <w:lastRenderedPageBreak/>
        <w:t>those in the preparation of the Consolidated Statement of Financial Position and Consolidated Statement of Income. Any transactions between reporting segments are accounted for at cost. These items are adjusted for the segment information presented under Eliminations.</w:t>
      </w:r>
    </w:p>
    <w:p w:rsidR="00224DD7" w:rsidRPr="00BA1545" w:rsidRDefault="00224DD7" w:rsidP="00DF1146">
      <w:pPr>
        <w:pStyle w:val="NoSpacing"/>
        <w:jc w:val="both"/>
        <w:rPr>
          <w:lang w:val="en-US"/>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Risks and Risk Management</w:t>
      </w:r>
    </w:p>
    <w:p w:rsidR="00224DD7" w:rsidRPr="00BA1545" w:rsidRDefault="00224DD7" w:rsidP="00DE6F62">
      <w:pPr>
        <w:pStyle w:val="NoSpacing"/>
        <w:jc w:val="both"/>
        <w:rPr>
          <w:lang w:val="en-US"/>
        </w:rPr>
      </w:pPr>
      <w:r w:rsidRPr="00BA1545">
        <w:rPr>
          <w:lang w:val="en-US"/>
        </w:rPr>
        <w:t xml:space="preserve">In </w:t>
      </w:r>
      <w:r w:rsidR="007B667C">
        <w:rPr>
          <w:lang w:val="en-US"/>
        </w:rPr>
        <w:t>our</w:t>
      </w:r>
      <w:r w:rsidRPr="00BA1545">
        <w:rPr>
          <w:lang w:val="en-US"/>
        </w:rPr>
        <w:t xml:space="preserve"> Annual Report 201</w:t>
      </w:r>
      <w:r w:rsidR="009D6D44">
        <w:rPr>
          <w:lang w:val="en-US"/>
        </w:rPr>
        <w:t>7</w:t>
      </w:r>
      <w:r w:rsidRPr="00BA1545">
        <w:rPr>
          <w:lang w:val="en-US"/>
        </w:rPr>
        <w:t xml:space="preserve"> (pages </w:t>
      </w:r>
      <w:r w:rsidR="00B1643F" w:rsidRPr="00BA1545">
        <w:rPr>
          <w:lang w:val="en-US"/>
        </w:rPr>
        <w:t>5</w:t>
      </w:r>
      <w:r w:rsidR="007B667C">
        <w:rPr>
          <w:lang w:val="en-US"/>
        </w:rPr>
        <w:t>4</w:t>
      </w:r>
      <w:r w:rsidR="00473A27" w:rsidRPr="00BA1545">
        <w:rPr>
          <w:lang w:val="en-US"/>
        </w:rPr>
        <w:t>-</w:t>
      </w:r>
      <w:r w:rsidR="00B1643F" w:rsidRPr="00BA1545">
        <w:rPr>
          <w:lang w:val="en-US"/>
        </w:rPr>
        <w:t>5</w:t>
      </w:r>
      <w:r w:rsidR="007B667C">
        <w:rPr>
          <w:lang w:val="en-US"/>
        </w:rPr>
        <w:t>5</w:t>
      </w:r>
      <w:r w:rsidR="00D43882" w:rsidRPr="00BA1545">
        <w:rPr>
          <w:lang w:val="en-US"/>
        </w:rPr>
        <w:t>)</w:t>
      </w:r>
      <w:r w:rsidRPr="00BA1545">
        <w:rPr>
          <w:lang w:val="en-US"/>
        </w:rPr>
        <w:t xml:space="preserve"> we have outlined the strategic, operational and financial risks we face; the risk management and control mechanisms we have in place; and the risk analysis and assessments we conduct regularly. We believe that the nature and potential impact of these risks have not materially changed in the first half of 201</w:t>
      </w:r>
      <w:r w:rsidR="007B667C">
        <w:rPr>
          <w:lang w:val="en-US"/>
        </w:rPr>
        <w:t>7</w:t>
      </w:r>
      <w:r w:rsidRPr="00BA1545">
        <w:rPr>
          <w:lang w:val="en-US"/>
        </w:rPr>
        <w:t>. We will continue to monitor the key risks closely and manage our internal control systems as new risks may emerge and current risks may change in the second half of 201</w:t>
      </w:r>
      <w:r w:rsidR="007B667C">
        <w:rPr>
          <w:lang w:val="en-US"/>
        </w:rPr>
        <w:t>7</w:t>
      </w:r>
      <w:r w:rsidRPr="00BA1545">
        <w:rPr>
          <w:lang w:val="en-US"/>
        </w:rPr>
        <w:t>.</w:t>
      </w:r>
    </w:p>
    <w:p w:rsidR="00224DD7" w:rsidRPr="00BA1545" w:rsidRDefault="00224DD7" w:rsidP="00DE6F62">
      <w:pPr>
        <w:pStyle w:val="NoSpacing"/>
        <w:jc w:val="both"/>
        <w:rPr>
          <w:rFonts w:eastAsia="MS Mincho"/>
          <w:bCs/>
          <w:lang w:val="en-US" w:eastAsia="zh-CN"/>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Seasonal Effects</w:t>
      </w:r>
    </w:p>
    <w:p w:rsidR="00224DD7" w:rsidRPr="00BA1545" w:rsidRDefault="00224DD7" w:rsidP="00DE6F62">
      <w:pPr>
        <w:pStyle w:val="NoSpacing"/>
        <w:jc w:val="both"/>
        <w:rPr>
          <w:lang w:val="en-US"/>
        </w:rPr>
      </w:pPr>
      <w:r w:rsidRPr="00BA1545">
        <w:rPr>
          <w:lang w:val="en-US"/>
        </w:rPr>
        <w:t>There are little seasonal effects on the operations and therefore the results of the Company. Despite the holiday season, the second half year (April-September) sales have proven to be strong during this period over the last few years. Due to the increased importance of SaaS, the company’s revenue and results have become less vulnerable for seasonal effects. However there may be some effect on Consultancy and R&amp;D development as a result of the holiday’s season. Therefore the Company may face some impact on the results of the second half year.</w:t>
      </w:r>
    </w:p>
    <w:p w:rsidR="00D43882" w:rsidRPr="00BA1545" w:rsidRDefault="00D43882" w:rsidP="00DE6F62">
      <w:pPr>
        <w:pStyle w:val="NoSpacing"/>
        <w:jc w:val="both"/>
        <w:rPr>
          <w:color w:val="000000" w:themeColor="text1"/>
          <w:lang w:val="en-US"/>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Intangible Assets</w:t>
      </w:r>
    </w:p>
    <w:p w:rsidR="00224DD7" w:rsidRPr="00BA1545" w:rsidRDefault="00CB06A4" w:rsidP="00DE6F62">
      <w:pPr>
        <w:pStyle w:val="NoSpacing"/>
        <w:jc w:val="both"/>
        <w:rPr>
          <w:lang w:val="en-US"/>
        </w:rPr>
      </w:pPr>
      <w:r w:rsidRPr="00BA1545">
        <w:rPr>
          <w:lang w:val="en-US"/>
        </w:rPr>
        <w:t>The capitalization of development costs amount</w:t>
      </w:r>
      <w:r w:rsidR="00D3097D" w:rsidRPr="00BA1545">
        <w:rPr>
          <w:lang w:val="en-US"/>
        </w:rPr>
        <w:t>s to</w:t>
      </w:r>
      <w:r w:rsidRPr="00BA1545">
        <w:rPr>
          <w:lang w:val="en-US"/>
        </w:rPr>
        <w:t xml:space="preserve"> </w:t>
      </w:r>
      <w:r w:rsidR="00DA6297" w:rsidRPr="00BA1545">
        <w:rPr>
          <w:lang w:val="en-US"/>
        </w:rPr>
        <w:t xml:space="preserve">€ </w:t>
      </w:r>
      <w:r w:rsidR="007E218D">
        <w:rPr>
          <w:lang w:val="en-US"/>
        </w:rPr>
        <w:t>563</w:t>
      </w:r>
      <w:r w:rsidR="00DA6297" w:rsidRPr="00BA1545">
        <w:rPr>
          <w:lang w:val="en-US"/>
        </w:rPr>
        <w:t>k</w:t>
      </w:r>
      <w:r w:rsidR="00B17719">
        <w:rPr>
          <w:lang w:val="en-US"/>
        </w:rPr>
        <w:t xml:space="preserve"> (H1 201</w:t>
      </w:r>
      <w:r w:rsidR="009D6D44">
        <w:rPr>
          <w:lang w:val="en-US"/>
        </w:rPr>
        <w:t>7</w:t>
      </w:r>
      <w:r w:rsidR="00B17719">
        <w:rPr>
          <w:lang w:val="en-US"/>
        </w:rPr>
        <w:t xml:space="preserve">: € </w:t>
      </w:r>
      <w:r w:rsidR="007E218D">
        <w:rPr>
          <w:lang w:val="en-US"/>
        </w:rPr>
        <w:t>739</w:t>
      </w:r>
      <w:r w:rsidR="00B17719">
        <w:rPr>
          <w:lang w:val="en-US"/>
        </w:rPr>
        <w:t>k)</w:t>
      </w:r>
      <w:r w:rsidR="00DA6297" w:rsidRPr="00BA1545">
        <w:rPr>
          <w:lang w:val="en-US"/>
        </w:rPr>
        <w:t>.</w:t>
      </w:r>
    </w:p>
    <w:p w:rsidR="00224DD7" w:rsidRPr="00BA1545" w:rsidRDefault="00224DD7" w:rsidP="00DE6F62">
      <w:pPr>
        <w:pStyle w:val="NoSpacing"/>
        <w:jc w:val="both"/>
        <w:rPr>
          <w:lang w:val="en-US"/>
        </w:rPr>
      </w:pPr>
      <w:r w:rsidRPr="00BA1545">
        <w:rPr>
          <w:lang w:val="en-US"/>
        </w:rPr>
        <w:t xml:space="preserve"> </w:t>
      </w: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Tangible Assets</w:t>
      </w:r>
    </w:p>
    <w:p w:rsidR="00224DD7" w:rsidRPr="00BA1545" w:rsidRDefault="00224DD7" w:rsidP="00DE6F62">
      <w:pPr>
        <w:pStyle w:val="NoSpacing"/>
        <w:jc w:val="both"/>
        <w:rPr>
          <w:color w:val="002060"/>
          <w:lang w:val="en-US"/>
        </w:rPr>
      </w:pPr>
      <w:r w:rsidRPr="00BA1545">
        <w:rPr>
          <w:lang w:val="en-US"/>
        </w:rPr>
        <w:t xml:space="preserve">The </w:t>
      </w:r>
      <w:r w:rsidR="00D3097D" w:rsidRPr="00BA1545">
        <w:rPr>
          <w:lang w:val="en-US"/>
        </w:rPr>
        <w:t xml:space="preserve">investment </w:t>
      </w:r>
      <w:r w:rsidR="002414CB" w:rsidRPr="00BA1545">
        <w:rPr>
          <w:lang w:val="en-US"/>
        </w:rPr>
        <w:t>in tangib</w:t>
      </w:r>
      <w:r w:rsidR="00D43882" w:rsidRPr="00BA1545">
        <w:rPr>
          <w:lang w:val="en-US"/>
        </w:rPr>
        <w:t xml:space="preserve">le assets </w:t>
      </w:r>
      <w:r w:rsidR="001E6799" w:rsidRPr="00BA1545">
        <w:rPr>
          <w:lang w:val="en-US"/>
        </w:rPr>
        <w:t xml:space="preserve">amounts to </w:t>
      </w:r>
      <w:r w:rsidR="00DA6297" w:rsidRPr="00523B38">
        <w:rPr>
          <w:lang w:val="en-US"/>
        </w:rPr>
        <w:t xml:space="preserve">€ </w:t>
      </w:r>
      <w:r w:rsidR="007E218D">
        <w:rPr>
          <w:lang w:val="en-US"/>
        </w:rPr>
        <w:t>90</w:t>
      </w:r>
      <w:r w:rsidR="00DA6297" w:rsidRPr="00523B38">
        <w:rPr>
          <w:lang w:val="en-US"/>
        </w:rPr>
        <w:t>K</w:t>
      </w:r>
      <w:r w:rsidR="00B17719">
        <w:rPr>
          <w:lang w:val="en-US"/>
        </w:rPr>
        <w:t xml:space="preserve"> (H1 201</w:t>
      </w:r>
      <w:r w:rsidR="009D6D44">
        <w:rPr>
          <w:lang w:val="en-US"/>
        </w:rPr>
        <w:t>7</w:t>
      </w:r>
      <w:r w:rsidR="00B17719">
        <w:rPr>
          <w:lang w:val="en-US"/>
        </w:rPr>
        <w:t>: € 4</w:t>
      </w:r>
      <w:r w:rsidR="007E218D">
        <w:rPr>
          <w:lang w:val="en-US"/>
        </w:rPr>
        <w:t>9</w:t>
      </w:r>
      <w:r w:rsidR="00B17719">
        <w:rPr>
          <w:lang w:val="en-US"/>
        </w:rPr>
        <w:t>k)</w:t>
      </w:r>
      <w:r w:rsidR="00DA6297" w:rsidRPr="00BA1545">
        <w:rPr>
          <w:lang w:val="en-US"/>
        </w:rPr>
        <w:t>.</w:t>
      </w:r>
      <w:r w:rsidR="00F11B04" w:rsidRPr="00BA1545">
        <w:rPr>
          <w:lang w:val="en-US"/>
        </w:rPr>
        <w:t xml:space="preserve"> </w:t>
      </w:r>
    </w:p>
    <w:p w:rsidR="00224DD7" w:rsidRPr="00BA1545" w:rsidRDefault="00224DD7" w:rsidP="00DE6F62">
      <w:pPr>
        <w:pStyle w:val="NoSpacing"/>
        <w:jc w:val="both"/>
        <w:rPr>
          <w:rFonts w:eastAsia="MS Mincho"/>
          <w:bCs/>
          <w:lang w:val="en-US" w:eastAsia="zh-CN"/>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Cash</w:t>
      </w:r>
    </w:p>
    <w:p w:rsidR="006F3065" w:rsidRPr="00BA1545" w:rsidRDefault="00224DD7" w:rsidP="00DE6F62">
      <w:pPr>
        <w:pStyle w:val="NoSpacing"/>
        <w:jc w:val="both"/>
        <w:rPr>
          <w:lang w:val="en-US"/>
        </w:rPr>
      </w:pPr>
      <w:r w:rsidRPr="00BA1545">
        <w:rPr>
          <w:lang w:val="en-US"/>
        </w:rPr>
        <w:t>On March 31, 201</w:t>
      </w:r>
      <w:r w:rsidR="009E61B9">
        <w:rPr>
          <w:lang w:val="en-US"/>
        </w:rPr>
        <w:t>8</w:t>
      </w:r>
      <w:r w:rsidRPr="00BA1545">
        <w:rPr>
          <w:lang w:val="en-US"/>
        </w:rPr>
        <w:t xml:space="preserve"> the Company held a net positive cash position of € </w:t>
      </w:r>
      <w:r w:rsidR="009E61B9">
        <w:rPr>
          <w:lang w:val="en-US"/>
        </w:rPr>
        <w:t>891</w:t>
      </w:r>
      <w:r w:rsidRPr="00BA1545">
        <w:rPr>
          <w:lang w:val="en-US"/>
        </w:rPr>
        <w:t>k (</w:t>
      </w:r>
      <w:r w:rsidR="009E61B9">
        <w:rPr>
          <w:lang w:val="en-US"/>
        </w:rPr>
        <w:t>March</w:t>
      </w:r>
      <w:r w:rsidRPr="00BA1545">
        <w:rPr>
          <w:lang w:val="en-US"/>
        </w:rPr>
        <w:t xml:space="preserve"> 3</w:t>
      </w:r>
      <w:r w:rsidR="009E61B9">
        <w:rPr>
          <w:lang w:val="en-US"/>
        </w:rPr>
        <w:t>1</w:t>
      </w:r>
      <w:r w:rsidRPr="00BA1545">
        <w:rPr>
          <w:lang w:val="en-US"/>
        </w:rPr>
        <w:t>, 201</w:t>
      </w:r>
      <w:r w:rsidR="009D6D44">
        <w:rPr>
          <w:lang w:val="en-US"/>
        </w:rPr>
        <w:t>7</w:t>
      </w:r>
      <w:r w:rsidRPr="00BA1545">
        <w:rPr>
          <w:lang w:val="en-US"/>
        </w:rPr>
        <w:t xml:space="preserve"> € </w:t>
      </w:r>
      <w:r w:rsidR="009D6D44">
        <w:rPr>
          <w:lang w:val="en-US"/>
        </w:rPr>
        <w:t>2.070</w:t>
      </w:r>
      <w:r w:rsidR="00493E72" w:rsidRPr="00BA1545">
        <w:rPr>
          <w:lang w:val="en-US"/>
        </w:rPr>
        <w:t>k) as follows:</w:t>
      </w:r>
    </w:p>
    <w:p w:rsidR="006F3065" w:rsidRPr="00BA1545" w:rsidRDefault="006F3065" w:rsidP="00DE6F62">
      <w:pPr>
        <w:pStyle w:val="NoSpacing"/>
        <w:jc w:val="both"/>
        <w:rPr>
          <w:lang w:val="en-US"/>
        </w:rPr>
      </w:pPr>
    </w:p>
    <w:p w:rsidR="00493E72" w:rsidRPr="007B667C" w:rsidRDefault="009E61B9" w:rsidP="00DE6F62">
      <w:pPr>
        <w:pStyle w:val="NoSpacing"/>
        <w:jc w:val="both"/>
        <w:rPr>
          <w:lang w:val="en-US"/>
        </w:rPr>
      </w:pPr>
      <w:r w:rsidRPr="009E61B9">
        <w:rPr>
          <w:noProof/>
          <w:lang w:eastAsia="nl-NL"/>
        </w:rPr>
        <w:drawing>
          <wp:inline distT="0" distB="0" distL="0" distR="0">
            <wp:extent cx="3740785" cy="7410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40785" cy="741045"/>
                    </a:xfrm>
                    <a:prstGeom prst="rect">
                      <a:avLst/>
                    </a:prstGeom>
                    <a:noFill/>
                    <a:ln>
                      <a:noFill/>
                    </a:ln>
                  </pic:spPr>
                </pic:pic>
              </a:graphicData>
            </a:graphic>
          </wp:inline>
        </w:drawing>
      </w:r>
    </w:p>
    <w:p w:rsidR="00493E72" w:rsidRPr="00BA1545" w:rsidRDefault="00493E72" w:rsidP="00DE6F62">
      <w:pPr>
        <w:pStyle w:val="NoSpacing"/>
        <w:jc w:val="both"/>
        <w:rPr>
          <w:lang w:val="en-US"/>
        </w:rPr>
      </w:pPr>
    </w:p>
    <w:p w:rsidR="00224DD7" w:rsidRPr="00BA1545" w:rsidRDefault="00D92505" w:rsidP="00DE6F62">
      <w:pPr>
        <w:pStyle w:val="NoSpacing"/>
        <w:jc w:val="both"/>
        <w:rPr>
          <w:lang w:val="en-US"/>
        </w:rPr>
      </w:pPr>
      <w:r w:rsidRPr="002629D6">
        <w:rPr>
          <w:lang w:val="en-US"/>
        </w:rPr>
        <w:t xml:space="preserve">The net cash flow from operating activities in </w:t>
      </w:r>
      <w:r w:rsidR="002629D6">
        <w:rPr>
          <w:lang w:val="en-US"/>
        </w:rPr>
        <w:t>HY</w:t>
      </w:r>
      <w:r w:rsidR="00523B38">
        <w:rPr>
          <w:lang w:val="en-US"/>
        </w:rPr>
        <w:t>1</w:t>
      </w:r>
      <w:r w:rsidR="002629D6">
        <w:rPr>
          <w:lang w:val="en-US"/>
        </w:rPr>
        <w:t xml:space="preserve"> 2017</w:t>
      </w:r>
      <w:r w:rsidRPr="002629D6">
        <w:rPr>
          <w:lang w:val="en-US"/>
        </w:rPr>
        <w:t xml:space="preserve"> amounted to € </w:t>
      </w:r>
      <w:r w:rsidR="00457419">
        <w:rPr>
          <w:lang w:val="en-US"/>
        </w:rPr>
        <w:t>-31</w:t>
      </w:r>
      <w:r w:rsidRPr="002629D6">
        <w:rPr>
          <w:lang w:val="en-US"/>
        </w:rPr>
        <w:t>k (H1 201</w:t>
      </w:r>
      <w:r w:rsidR="00321013">
        <w:rPr>
          <w:lang w:val="en-US"/>
        </w:rPr>
        <w:t>7</w:t>
      </w:r>
      <w:r w:rsidR="00C15F1E" w:rsidRPr="002629D6">
        <w:rPr>
          <w:lang w:val="en-US"/>
        </w:rPr>
        <w:t>: €</w:t>
      </w:r>
      <w:r w:rsidR="00321013">
        <w:rPr>
          <w:lang w:val="en-US"/>
        </w:rPr>
        <w:t>932</w:t>
      </w:r>
      <w:r w:rsidRPr="002629D6">
        <w:rPr>
          <w:lang w:val="en-US"/>
        </w:rPr>
        <w:t>k).</w:t>
      </w:r>
      <w:r w:rsidR="00224DD7" w:rsidRPr="00BA1545">
        <w:rPr>
          <w:lang w:val="en-US"/>
        </w:rPr>
        <w:t xml:space="preserve"> </w:t>
      </w:r>
    </w:p>
    <w:p w:rsidR="00224DD7" w:rsidRPr="00BA1545" w:rsidRDefault="00224DD7" w:rsidP="00DE6F62">
      <w:pPr>
        <w:pStyle w:val="NoSpacing"/>
        <w:jc w:val="both"/>
        <w:rPr>
          <w:rFonts w:eastAsia="MS Mincho"/>
          <w:bCs/>
          <w:lang w:val="en-US" w:eastAsia="zh-CN"/>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Options</w:t>
      </w:r>
    </w:p>
    <w:p w:rsidR="00224DD7" w:rsidRPr="00BA1545" w:rsidRDefault="00224DD7" w:rsidP="00DE6F62">
      <w:pPr>
        <w:pStyle w:val="NoSpacing"/>
        <w:jc w:val="both"/>
        <w:rPr>
          <w:lang w:val="en-US"/>
        </w:rPr>
      </w:pPr>
      <w:r w:rsidRPr="00BA1545">
        <w:rPr>
          <w:lang w:val="en-US"/>
        </w:rPr>
        <w:t xml:space="preserve">During the reporting period </w:t>
      </w:r>
      <w:r w:rsidR="00211AFF" w:rsidRPr="00BA1545">
        <w:rPr>
          <w:lang w:val="en-US"/>
        </w:rPr>
        <w:t>no movements occurred.</w:t>
      </w:r>
    </w:p>
    <w:p w:rsidR="00224DD7" w:rsidRPr="00BA1545" w:rsidRDefault="00224DD7" w:rsidP="00DE6F62">
      <w:pPr>
        <w:pStyle w:val="NoSpacing"/>
        <w:jc w:val="both"/>
        <w:rPr>
          <w:color w:val="002060"/>
          <w:lang w:val="en-US"/>
        </w:rPr>
      </w:pPr>
    </w:p>
    <w:p w:rsidR="00934F20" w:rsidRPr="00BA1545" w:rsidRDefault="00934F20">
      <w:pPr>
        <w:spacing w:after="200" w:line="276" w:lineRule="auto"/>
        <w:rPr>
          <w:rFonts w:asciiTheme="minorHAnsi" w:eastAsia="MS Mincho" w:hAnsiTheme="minorHAnsi" w:cstheme="minorBidi"/>
          <w:bCs/>
          <w:sz w:val="22"/>
          <w:szCs w:val="22"/>
          <w:lang w:eastAsia="zh-CN"/>
        </w:rPr>
      </w:pPr>
      <w:r w:rsidRPr="00BA1545">
        <w:rPr>
          <w:rFonts w:asciiTheme="minorHAnsi" w:eastAsia="MS Mincho" w:hAnsiTheme="minorHAnsi"/>
          <w:bCs/>
          <w:sz w:val="22"/>
          <w:szCs w:val="22"/>
          <w:lang w:eastAsia="zh-CN"/>
        </w:rPr>
        <w:br w:type="page"/>
      </w:r>
    </w:p>
    <w:p w:rsidR="00224DD7" w:rsidRDefault="00224DD7" w:rsidP="00DE6F62">
      <w:pPr>
        <w:pStyle w:val="NoSpacing"/>
        <w:jc w:val="both"/>
        <w:rPr>
          <w:rFonts w:eastAsia="MS Mincho"/>
          <w:b/>
          <w:bCs/>
          <w:lang w:val="en-US" w:eastAsia="zh-CN"/>
        </w:rPr>
      </w:pPr>
      <w:r w:rsidRPr="007B667C">
        <w:rPr>
          <w:rFonts w:eastAsia="MS Mincho"/>
          <w:b/>
          <w:bCs/>
          <w:lang w:val="en-US" w:eastAsia="zh-CN"/>
        </w:rPr>
        <w:lastRenderedPageBreak/>
        <w:t>Equity</w:t>
      </w:r>
    </w:p>
    <w:p w:rsidR="003D6ECE" w:rsidRDefault="003D6ECE" w:rsidP="00DE6F62">
      <w:pPr>
        <w:pStyle w:val="NoSpacing"/>
        <w:jc w:val="both"/>
        <w:rPr>
          <w:rFonts w:eastAsia="MS Mincho"/>
          <w:b/>
          <w:bCs/>
          <w:lang w:val="en-US" w:eastAsia="zh-CN"/>
        </w:rPr>
      </w:pPr>
    </w:p>
    <w:p w:rsidR="00224DD7" w:rsidRPr="00BA1545" w:rsidRDefault="009E61B9" w:rsidP="00DE6F62">
      <w:pPr>
        <w:pStyle w:val="NoSpacing"/>
        <w:jc w:val="both"/>
        <w:rPr>
          <w:noProof/>
          <w:lang w:val="en-US"/>
        </w:rPr>
      </w:pPr>
      <w:r w:rsidRPr="009E61B9">
        <w:rPr>
          <w:noProof/>
          <w:lang w:eastAsia="nl-NL"/>
        </w:rPr>
        <w:drawing>
          <wp:inline distT="0" distB="0" distL="0" distR="0">
            <wp:extent cx="2627069" cy="678873"/>
            <wp:effectExtent l="0" t="0" r="1905"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6857" cy="678818"/>
                    </a:xfrm>
                    <a:prstGeom prst="rect">
                      <a:avLst/>
                    </a:prstGeom>
                    <a:noFill/>
                    <a:ln>
                      <a:noFill/>
                    </a:ln>
                  </pic:spPr>
                </pic:pic>
              </a:graphicData>
            </a:graphic>
          </wp:inline>
        </w:drawing>
      </w:r>
    </w:p>
    <w:p w:rsidR="00934F20" w:rsidRPr="00BA1545" w:rsidRDefault="00934F20" w:rsidP="00DE6F62">
      <w:pPr>
        <w:pStyle w:val="NoSpacing"/>
        <w:jc w:val="both"/>
        <w:rPr>
          <w:noProof/>
          <w:lang w:val="en-US"/>
        </w:rPr>
      </w:pPr>
    </w:p>
    <w:p w:rsidR="00211AFF" w:rsidRDefault="007B667C" w:rsidP="007B667C">
      <w:pPr>
        <w:pStyle w:val="NoSpacing"/>
        <w:jc w:val="both"/>
        <w:rPr>
          <w:noProof/>
          <w:lang w:val="en-US"/>
        </w:rPr>
      </w:pPr>
      <w:r>
        <w:rPr>
          <w:noProof/>
          <w:lang w:val="en-US"/>
        </w:rPr>
        <w:t xml:space="preserve">In </w:t>
      </w:r>
      <w:r w:rsidR="00CB3CC0">
        <w:rPr>
          <w:noProof/>
          <w:lang w:val="en-US"/>
        </w:rPr>
        <w:t xml:space="preserve">1HY </w:t>
      </w:r>
      <w:r>
        <w:rPr>
          <w:noProof/>
          <w:lang w:val="en-US"/>
        </w:rPr>
        <w:t>201</w:t>
      </w:r>
      <w:r w:rsidR="00321013">
        <w:rPr>
          <w:noProof/>
          <w:lang w:val="en-US"/>
        </w:rPr>
        <w:t>8</w:t>
      </w:r>
      <w:r>
        <w:rPr>
          <w:noProof/>
          <w:lang w:val="en-US"/>
        </w:rPr>
        <w:t xml:space="preserve">, </w:t>
      </w:r>
      <w:r w:rsidR="00321013">
        <w:rPr>
          <w:noProof/>
          <w:lang w:val="en-US"/>
        </w:rPr>
        <w:t>no</w:t>
      </w:r>
      <w:r>
        <w:rPr>
          <w:noProof/>
          <w:lang w:val="en-US"/>
        </w:rPr>
        <w:t xml:space="preserve"> </w:t>
      </w:r>
      <w:r w:rsidR="00934F20" w:rsidRPr="00BA1545">
        <w:rPr>
          <w:noProof/>
          <w:lang w:val="en-US"/>
        </w:rPr>
        <w:t xml:space="preserve">shares </w:t>
      </w:r>
      <w:r>
        <w:rPr>
          <w:noProof/>
          <w:lang w:val="en-US"/>
        </w:rPr>
        <w:t>have been issued</w:t>
      </w:r>
      <w:r w:rsidR="00CB3CC0">
        <w:rPr>
          <w:noProof/>
          <w:lang w:val="en-US"/>
        </w:rPr>
        <w:t>.</w:t>
      </w:r>
      <w:r>
        <w:rPr>
          <w:noProof/>
          <w:lang w:val="en-US"/>
        </w:rPr>
        <w:t xml:space="preserve"> </w:t>
      </w:r>
    </w:p>
    <w:p w:rsidR="00457419" w:rsidRDefault="00457419" w:rsidP="007B667C">
      <w:pPr>
        <w:pStyle w:val="NoSpacing"/>
        <w:jc w:val="both"/>
        <w:rPr>
          <w:noProof/>
          <w:lang w:val="en-US"/>
        </w:rPr>
      </w:pPr>
    </w:p>
    <w:p w:rsidR="007B667C" w:rsidRPr="00BA1545" w:rsidRDefault="007B667C" w:rsidP="007B667C">
      <w:pPr>
        <w:pStyle w:val="NoSpacing"/>
        <w:jc w:val="both"/>
        <w:rPr>
          <w:lang w:val="en-US"/>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 xml:space="preserve">Personnel </w:t>
      </w:r>
    </w:p>
    <w:p w:rsidR="00224DD7" w:rsidRPr="00BA1545" w:rsidRDefault="00224DD7" w:rsidP="00DE6F62">
      <w:pPr>
        <w:pStyle w:val="NoSpacing"/>
        <w:jc w:val="both"/>
        <w:rPr>
          <w:lang w:val="en-US"/>
        </w:rPr>
      </w:pPr>
      <w:r w:rsidRPr="00BA1545">
        <w:rPr>
          <w:lang w:val="en-US"/>
        </w:rPr>
        <w:t xml:space="preserve">The total </w:t>
      </w:r>
      <w:r w:rsidR="003D6ECE" w:rsidRPr="00BA1545">
        <w:rPr>
          <w:lang w:val="en-US"/>
        </w:rPr>
        <w:t>number of FTE of the Company by country is</w:t>
      </w:r>
      <w:r w:rsidRPr="00BA1545">
        <w:rPr>
          <w:lang w:val="en-US"/>
        </w:rPr>
        <w:t>:</w:t>
      </w:r>
    </w:p>
    <w:p w:rsidR="00A50B88" w:rsidRPr="00BA1545" w:rsidRDefault="00A50B88" w:rsidP="00DE6F62">
      <w:pPr>
        <w:pStyle w:val="NoSpacing"/>
        <w:jc w:val="both"/>
        <w:rPr>
          <w:lang w:val="en-US"/>
        </w:rPr>
      </w:pPr>
    </w:p>
    <w:p w:rsidR="00746B05" w:rsidRPr="00BA1545" w:rsidRDefault="00746D24" w:rsidP="00DE6F62">
      <w:pPr>
        <w:pStyle w:val="NoSpacing"/>
        <w:jc w:val="both"/>
        <w:rPr>
          <w:lang w:val="en-US"/>
        </w:rPr>
      </w:pPr>
      <w:r w:rsidRPr="00746D24">
        <w:rPr>
          <w:noProof/>
          <w:lang w:eastAsia="nl-NL"/>
        </w:rPr>
        <w:drawing>
          <wp:inline distT="0" distB="0" distL="0" distR="0">
            <wp:extent cx="3456940" cy="11080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56940" cy="1108075"/>
                    </a:xfrm>
                    <a:prstGeom prst="rect">
                      <a:avLst/>
                    </a:prstGeom>
                    <a:noFill/>
                    <a:ln>
                      <a:noFill/>
                    </a:ln>
                  </pic:spPr>
                </pic:pic>
              </a:graphicData>
            </a:graphic>
          </wp:inline>
        </w:drawing>
      </w:r>
    </w:p>
    <w:p w:rsidR="00211AFF" w:rsidRPr="00BA1545" w:rsidRDefault="00211AFF" w:rsidP="00DE6F62">
      <w:pPr>
        <w:pStyle w:val="NoSpacing"/>
        <w:jc w:val="both"/>
        <w:rPr>
          <w:color w:val="002060"/>
          <w:lang w:val="en-US"/>
        </w:rPr>
      </w:pPr>
    </w:p>
    <w:p w:rsidR="00124EC9" w:rsidRPr="00BA1545" w:rsidRDefault="00124EC9" w:rsidP="00DE6F62">
      <w:pPr>
        <w:pStyle w:val="NoSpacing"/>
        <w:jc w:val="both"/>
        <w:rPr>
          <w:color w:val="002060"/>
          <w:lang w:val="en-US"/>
        </w:rPr>
      </w:pPr>
    </w:p>
    <w:p w:rsidR="001A5A42" w:rsidRPr="00BA1545" w:rsidRDefault="001A5A42" w:rsidP="00DE6F62">
      <w:pPr>
        <w:pStyle w:val="NoSpacing"/>
        <w:jc w:val="both"/>
        <w:rPr>
          <w:lang w:val="en-US"/>
        </w:rPr>
      </w:pPr>
    </w:p>
    <w:p w:rsidR="00224DD7" w:rsidRPr="00BA1545" w:rsidRDefault="00224DD7" w:rsidP="00DE6F62">
      <w:pPr>
        <w:pStyle w:val="NoSpacing"/>
        <w:jc w:val="both"/>
        <w:rPr>
          <w:iCs/>
        </w:rPr>
      </w:pPr>
      <w:r w:rsidRPr="00BA1545">
        <w:rPr>
          <w:iCs/>
        </w:rPr>
        <w:t xml:space="preserve">Breukelen, May </w:t>
      </w:r>
      <w:r w:rsidR="00B265A6">
        <w:rPr>
          <w:iCs/>
        </w:rPr>
        <w:t>1</w:t>
      </w:r>
      <w:r w:rsidR="00B9392D">
        <w:rPr>
          <w:iCs/>
        </w:rPr>
        <w:t>5</w:t>
      </w:r>
      <w:r w:rsidRPr="00BA1545">
        <w:rPr>
          <w:iCs/>
        </w:rPr>
        <w:t>, 201</w:t>
      </w:r>
      <w:r w:rsidR="00321013">
        <w:rPr>
          <w:iCs/>
        </w:rPr>
        <w:t>8</w:t>
      </w:r>
    </w:p>
    <w:p w:rsidR="00224DD7" w:rsidRPr="00BA1545" w:rsidRDefault="00224DD7" w:rsidP="00DE6F62">
      <w:pPr>
        <w:pStyle w:val="NoSpacing"/>
        <w:jc w:val="both"/>
        <w:rPr>
          <w:iCs/>
        </w:rPr>
      </w:pPr>
    </w:p>
    <w:p w:rsidR="00211AFF" w:rsidRPr="00BA1545" w:rsidRDefault="00211AFF" w:rsidP="00DE6F62">
      <w:pPr>
        <w:pStyle w:val="NoSpacing"/>
        <w:jc w:val="both"/>
        <w:rPr>
          <w:iCs/>
        </w:rPr>
      </w:pPr>
      <w:r w:rsidRPr="00BA1545">
        <w:rPr>
          <w:iCs/>
        </w:rPr>
        <w:t>M. Wolfswinkel</w:t>
      </w:r>
    </w:p>
    <w:p w:rsidR="001A5A42" w:rsidRPr="00BA1545" w:rsidRDefault="00224DD7" w:rsidP="00DE6F62">
      <w:pPr>
        <w:pStyle w:val="NoSpacing"/>
        <w:jc w:val="both"/>
        <w:rPr>
          <w:iCs/>
        </w:rPr>
      </w:pPr>
      <w:r w:rsidRPr="00BA1545">
        <w:rPr>
          <w:iCs/>
        </w:rPr>
        <w:t>J.B. Sundelin</w:t>
      </w:r>
    </w:p>
    <w:p w:rsidR="00224DD7" w:rsidRPr="00BA1545" w:rsidRDefault="00DE6F62" w:rsidP="00DE6F62">
      <w:pPr>
        <w:pStyle w:val="NoSpacing"/>
        <w:jc w:val="both"/>
        <w:rPr>
          <w:lang w:val="en-US"/>
        </w:rPr>
      </w:pPr>
      <w:r w:rsidRPr="00BA1545">
        <w:rPr>
          <w:lang w:val="en-US"/>
        </w:rPr>
        <w:t>Executive</w:t>
      </w:r>
      <w:r w:rsidR="00224DD7" w:rsidRPr="00BA1545">
        <w:rPr>
          <w:lang w:val="en-US"/>
        </w:rPr>
        <w:t xml:space="preserve"> Board</w:t>
      </w:r>
    </w:p>
    <w:sectPr w:rsidR="00224DD7" w:rsidRPr="00BA1545" w:rsidSect="00420DD5">
      <w:footerReference w:type="default" r:id="rId2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376" w:rsidRDefault="00E11376" w:rsidP="001C04E3">
      <w:r>
        <w:separator/>
      </w:r>
    </w:p>
  </w:endnote>
  <w:endnote w:type="continuationSeparator" w:id="0">
    <w:p w:rsidR="00E11376" w:rsidRDefault="00E11376" w:rsidP="001C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02392"/>
      <w:docPartObj>
        <w:docPartGallery w:val="Page Numbers (Bottom of Page)"/>
        <w:docPartUnique/>
      </w:docPartObj>
    </w:sdtPr>
    <w:sdtEndPr>
      <w:rPr>
        <w:noProof/>
      </w:rPr>
    </w:sdtEndPr>
    <w:sdtContent>
      <w:p w:rsidR="00CE3798" w:rsidRDefault="00CE3798">
        <w:pPr>
          <w:pStyle w:val="Footer"/>
          <w:jc w:val="center"/>
        </w:pPr>
        <w:r>
          <w:fldChar w:fldCharType="begin"/>
        </w:r>
        <w:r>
          <w:instrText xml:space="preserve"> PAGE   \* MERGEFORMAT </w:instrText>
        </w:r>
        <w:r>
          <w:fldChar w:fldCharType="separate"/>
        </w:r>
        <w:r w:rsidR="0040681A">
          <w:rPr>
            <w:noProof/>
          </w:rPr>
          <w:t>1</w:t>
        </w:r>
        <w:r>
          <w:rPr>
            <w:noProof/>
          </w:rPr>
          <w:fldChar w:fldCharType="end"/>
        </w:r>
      </w:p>
    </w:sdtContent>
  </w:sdt>
  <w:p w:rsidR="00CE3798" w:rsidRDefault="00CE3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376" w:rsidRDefault="00E11376" w:rsidP="001C04E3">
      <w:r>
        <w:separator/>
      </w:r>
    </w:p>
  </w:footnote>
  <w:footnote w:type="continuationSeparator" w:id="0">
    <w:p w:rsidR="00E11376" w:rsidRDefault="00E11376" w:rsidP="001C0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568"/>
    <w:multiLevelType w:val="hybridMultilevel"/>
    <w:tmpl w:val="3F90C7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6884FA5"/>
    <w:multiLevelType w:val="hybridMultilevel"/>
    <w:tmpl w:val="C6E82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D06FB"/>
    <w:multiLevelType w:val="hybridMultilevel"/>
    <w:tmpl w:val="1C681BFC"/>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3">
    <w:nsid w:val="23110147"/>
    <w:multiLevelType w:val="hybridMultilevel"/>
    <w:tmpl w:val="4156E594"/>
    <w:lvl w:ilvl="0" w:tplc="50564EE6">
      <w:numFmt w:val="bullet"/>
      <w:lvlText w:val="-"/>
      <w:lvlJc w:val="left"/>
      <w:pPr>
        <w:ind w:left="360" w:hanging="360"/>
      </w:pPr>
      <w:rPr>
        <w:rFonts w:ascii="Verdana" w:eastAsia="MS Mincho"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4AD2D36"/>
    <w:multiLevelType w:val="hybridMultilevel"/>
    <w:tmpl w:val="65640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0061C40"/>
    <w:multiLevelType w:val="hybridMultilevel"/>
    <w:tmpl w:val="E87EE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3EF1D61"/>
    <w:multiLevelType w:val="hybridMultilevel"/>
    <w:tmpl w:val="8C3A281E"/>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7">
    <w:nsid w:val="43153BD5"/>
    <w:multiLevelType w:val="hybridMultilevel"/>
    <w:tmpl w:val="7E6EE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0337DCF"/>
    <w:multiLevelType w:val="hybridMultilevel"/>
    <w:tmpl w:val="8BDAB3F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B1D142F"/>
    <w:multiLevelType w:val="hybridMultilevel"/>
    <w:tmpl w:val="E2520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C925CB4"/>
    <w:multiLevelType w:val="hybridMultilevel"/>
    <w:tmpl w:val="ECEEFCD2"/>
    <w:lvl w:ilvl="0" w:tplc="4628DB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6E6434E0"/>
    <w:multiLevelType w:val="hybridMultilevel"/>
    <w:tmpl w:val="D6B0C9F8"/>
    <w:lvl w:ilvl="0" w:tplc="EA602A16">
      <w:numFmt w:val="bullet"/>
      <w:lvlText w:val="-"/>
      <w:lvlJc w:val="left"/>
      <w:pPr>
        <w:ind w:left="720" w:hanging="360"/>
      </w:pPr>
      <w:rPr>
        <w:rFonts w:ascii="Calibri" w:eastAsia="Batang"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87E5964"/>
    <w:multiLevelType w:val="hybridMultilevel"/>
    <w:tmpl w:val="35767AE0"/>
    <w:lvl w:ilvl="0" w:tplc="71C87B6A">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E7F14AF"/>
    <w:multiLevelType w:val="hybridMultilevel"/>
    <w:tmpl w:val="8B7A3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13"/>
  </w:num>
  <w:num w:numId="6">
    <w:abstractNumId w:val="8"/>
  </w:num>
  <w:num w:numId="7">
    <w:abstractNumId w:val="1"/>
  </w:num>
  <w:num w:numId="8">
    <w:abstractNumId w:val="9"/>
  </w:num>
  <w:num w:numId="9">
    <w:abstractNumId w:val="0"/>
  </w:num>
  <w:num w:numId="10">
    <w:abstractNumId w:val="10"/>
  </w:num>
  <w:num w:numId="11">
    <w:abstractNumId w:val="12"/>
  </w:num>
  <w:num w:numId="12">
    <w:abstractNumId w:val="3"/>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9A"/>
    <w:rsid w:val="000111C2"/>
    <w:rsid w:val="000157BA"/>
    <w:rsid w:val="00016D0F"/>
    <w:rsid w:val="00017DED"/>
    <w:rsid w:val="00020193"/>
    <w:rsid w:val="00021F46"/>
    <w:rsid w:val="00032BEA"/>
    <w:rsid w:val="00032E5F"/>
    <w:rsid w:val="00035179"/>
    <w:rsid w:val="00037621"/>
    <w:rsid w:val="0004011F"/>
    <w:rsid w:val="000443EF"/>
    <w:rsid w:val="00057BD0"/>
    <w:rsid w:val="00062069"/>
    <w:rsid w:val="0006214A"/>
    <w:rsid w:val="00062B3F"/>
    <w:rsid w:val="000639A5"/>
    <w:rsid w:val="000670F1"/>
    <w:rsid w:val="000724FE"/>
    <w:rsid w:val="00085E86"/>
    <w:rsid w:val="00091411"/>
    <w:rsid w:val="000A0796"/>
    <w:rsid w:val="000A4F9D"/>
    <w:rsid w:val="000A72ED"/>
    <w:rsid w:val="000A77DD"/>
    <w:rsid w:val="000B0948"/>
    <w:rsid w:val="000B76DF"/>
    <w:rsid w:val="000C3567"/>
    <w:rsid w:val="000D7D09"/>
    <w:rsid w:val="000E0D99"/>
    <w:rsid w:val="000F7F82"/>
    <w:rsid w:val="00100707"/>
    <w:rsid w:val="00103214"/>
    <w:rsid w:val="00106078"/>
    <w:rsid w:val="00110BD4"/>
    <w:rsid w:val="00112749"/>
    <w:rsid w:val="001138B0"/>
    <w:rsid w:val="0012206A"/>
    <w:rsid w:val="00124EC9"/>
    <w:rsid w:val="0012714B"/>
    <w:rsid w:val="001329FB"/>
    <w:rsid w:val="00133961"/>
    <w:rsid w:val="00135081"/>
    <w:rsid w:val="00145889"/>
    <w:rsid w:val="00153438"/>
    <w:rsid w:val="00161A14"/>
    <w:rsid w:val="001657A0"/>
    <w:rsid w:val="001662B6"/>
    <w:rsid w:val="00185952"/>
    <w:rsid w:val="001A0717"/>
    <w:rsid w:val="001A4DFC"/>
    <w:rsid w:val="001A5A42"/>
    <w:rsid w:val="001B0FC7"/>
    <w:rsid w:val="001B660F"/>
    <w:rsid w:val="001C04E3"/>
    <w:rsid w:val="001C1988"/>
    <w:rsid w:val="001C3749"/>
    <w:rsid w:val="001C5942"/>
    <w:rsid w:val="001C629E"/>
    <w:rsid w:val="001D778F"/>
    <w:rsid w:val="001E149A"/>
    <w:rsid w:val="001E5136"/>
    <w:rsid w:val="001E6799"/>
    <w:rsid w:val="001F068B"/>
    <w:rsid w:val="001F4540"/>
    <w:rsid w:val="002004C1"/>
    <w:rsid w:val="002008F1"/>
    <w:rsid w:val="00206D84"/>
    <w:rsid w:val="00211AFF"/>
    <w:rsid w:val="002148DB"/>
    <w:rsid w:val="002210BC"/>
    <w:rsid w:val="002222FE"/>
    <w:rsid w:val="00224DD7"/>
    <w:rsid w:val="00227DB7"/>
    <w:rsid w:val="00231D55"/>
    <w:rsid w:val="0023333D"/>
    <w:rsid w:val="00234209"/>
    <w:rsid w:val="002414CB"/>
    <w:rsid w:val="00242620"/>
    <w:rsid w:val="00261050"/>
    <w:rsid w:val="002624A1"/>
    <w:rsid w:val="002629D6"/>
    <w:rsid w:val="00263706"/>
    <w:rsid w:val="00264458"/>
    <w:rsid w:val="0027701A"/>
    <w:rsid w:val="00290CD6"/>
    <w:rsid w:val="002959BC"/>
    <w:rsid w:val="002A51B8"/>
    <w:rsid w:val="002B292A"/>
    <w:rsid w:val="002C0100"/>
    <w:rsid w:val="002C06D0"/>
    <w:rsid w:val="002E5855"/>
    <w:rsid w:val="002F3C75"/>
    <w:rsid w:val="00307A27"/>
    <w:rsid w:val="0031049A"/>
    <w:rsid w:val="00313AE1"/>
    <w:rsid w:val="00317C14"/>
    <w:rsid w:val="00321013"/>
    <w:rsid w:val="00323AD0"/>
    <w:rsid w:val="003249B7"/>
    <w:rsid w:val="00336642"/>
    <w:rsid w:val="00344D07"/>
    <w:rsid w:val="0034587E"/>
    <w:rsid w:val="003509C7"/>
    <w:rsid w:val="00353C04"/>
    <w:rsid w:val="003574C1"/>
    <w:rsid w:val="00370ECE"/>
    <w:rsid w:val="00385850"/>
    <w:rsid w:val="003926E6"/>
    <w:rsid w:val="00392910"/>
    <w:rsid w:val="00393A93"/>
    <w:rsid w:val="00394AC3"/>
    <w:rsid w:val="003A0E94"/>
    <w:rsid w:val="003A0FAD"/>
    <w:rsid w:val="003A1014"/>
    <w:rsid w:val="003A160F"/>
    <w:rsid w:val="003B2E45"/>
    <w:rsid w:val="003D6ECE"/>
    <w:rsid w:val="003E2773"/>
    <w:rsid w:val="003E4379"/>
    <w:rsid w:val="003F75A3"/>
    <w:rsid w:val="0040681A"/>
    <w:rsid w:val="004101A3"/>
    <w:rsid w:val="004110AC"/>
    <w:rsid w:val="004143A6"/>
    <w:rsid w:val="00417CA5"/>
    <w:rsid w:val="004200C1"/>
    <w:rsid w:val="00420DD5"/>
    <w:rsid w:val="00424432"/>
    <w:rsid w:val="00424E4E"/>
    <w:rsid w:val="00432948"/>
    <w:rsid w:val="004329F8"/>
    <w:rsid w:val="00457419"/>
    <w:rsid w:val="004623B2"/>
    <w:rsid w:val="004631C7"/>
    <w:rsid w:val="00464C3E"/>
    <w:rsid w:val="00470485"/>
    <w:rsid w:val="00473560"/>
    <w:rsid w:val="00473A27"/>
    <w:rsid w:val="00474EAB"/>
    <w:rsid w:val="00475699"/>
    <w:rsid w:val="00476029"/>
    <w:rsid w:val="00483EB3"/>
    <w:rsid w:val="00493E72"/>
    <w:rsid w:val="00494DE9"/>
    <w:rsid w:val="004B17A9"/>
    <w:rsid w:val="004B1C37"/>
    <w:rsid w:val="004B4621"/>
    <w:rsid w:val="004B53A7"/>
    <w:rsid w:val="004B66F7"/>
    <w:rsid w:val="004C0AC0"/>
    <w:rsid w:val="004C573C"/>
    <w:rsid w:val="004C5ED4"/>
    <w:rsid w:val="004D02F3"/>
    <w:rsid w:val="004D0B07"/>
    <w:rsid w:val="004D4081"/>
    <w:rsid w:val="004D7A1D"/>
    <w:rsid w:val="004E6684"/>
    <w:rsid w:val="004F0299"/>
    <w:rsid w:val="004F092F"/>
    <w:rsid w:val="004F455A"/>
    <w:rsid w:val="004F7F70"/>
    <w:rsid w:val="00500B4F"/>
    <w:rsid w:val="0050101F"/>
    <w:rsid w:val="00503194"/>
    <w:rsid w:val="005045F5"/>
    <w:rsid w:val="0050533C"/>
    <w:rsid w:val="00510C39"/>
    <w:rsid w:val="005111E0"/>
    <w:rsid w:val="005132E3"/>
    <w:rsid w:val="00516B48"/>
    <w:rsid w:val="00516EF7"/>
    <w:rsid w:val="0052195F"/>
    <w:rsid w:val="00523B38"/>
    <w:rsid w:val="00530740"/>
    <w:rsid w:val="0053498C"/>
    <w:rsid w:val="00535A1F"/>
    <w:rsid w:val="00536EC6"/>
    <w:rsid w:val="00537076"/>
    <w:rsid w:val="00550F54"/>
    <w:rsid w:val="00551165"/>
    <w:rsid w:val="00554F36"/>
    <w:rsid w:val="005550E8"/>
    <w:rsid w:val="00555613"/>
    <w:rsid w:val="00555F76"/>
    <w:rsid w:val="00557473"/>
    <w:rsid w:val="0055759A"/>
    <w:rsid w:val="005654A1"/>
    <w:rsid w:val="00565F0C"/>
    <w:rsid w:val="00566391"/>
    <w:rsid w:val="00571EDA"/>
    <w:rsid w:val="00572CA8"/>
    <w:rsid w:val="005751D4"/>
    <w:rsid w:val="0057629E"/>
    <w:rsid w:val="005844FC"/>
    <w:rsid w:val="00584AC8"/>
    <w:rsid w:val="00592E55"/>
    <w:rsid w:val="00592F70"/>
    <w:rsid w:val="005958DC"/>
    <w:rsid w:val="00596007"/>
    <w:rsid w:val="0059623E"/>
    <w:rsid w:val="005A53E7"/>
    <w:rsid w:val="005C18B0"/>
    <w:rsid w:val="005C4FA3"/>
    <w:rsid w:val="005C5514"/>
    <w:rsid w:val="005C7820"/>
    <w:rsid w:val="005D5CAB"/>
    <w:rsid w:val="005D5E81"/>
    <w:rsid w:val="005D6BD6"/>
    <w:rsid w:val="005E4C46"/>
    <w:rsid w:val="00603634"/>
    <w:rsid w:val="006045C0"/>
    <w:rsid w:val="00612650"/>
    <w:rsid w:val="006151BA"/>
    <w:rsid w:val="006164F1"/>
    <w:rsid w:val="00617FA6"/>
    <w:rsid w:val="0062216A"/>
    <w:rsid w:val="00627B17"/>
    <w:rsid w:val="00627D8F"/>
    <w:rsid w:val="006342E5"/>
    <w:rsid w:val="00634592"/>
    <w:rsid w:val="00655D22"/>
    <w:rsid w:val="006600F8"/>
    <w:rsid w:val="00660959"/>
    <w:rsid w:val="00665006"/>
    <w:rsid w:val="0067364E"/>
    <w:rsid w:val="0067457E"/>
    <w:rsid w:val="006761C4"/>
    <w:rsid w:val="00686BB8"/>
    <w:rsid w:val="00696493"/>
    <w:rsid w:val="006A0327"/>
    <w:rsid w:val="006A67C8"/>
    <w:rsid w:val="006B6375"/>
    <w:rsid w:val="006B7D50"/>
    <w:rsid w:val="006C0362"/>
    <w:rsid w:val="006C125B"/>
    <w:rsid w:val="006D3A10"/>
    <w:rsid w:val="006F1A79"/>
    <w:rsid w:val="006F2122"/>
    <w:rsid w:val="006F3065"/>
    <w:rsid w:val="00702866"/>
    <w:rsid w:val="0070366B"/>
    <w:rsid w:val="00703CD0"/>
    <w:rsid w:val="00746B05"/>
    <w:rsid w:val="00746D24"/>
    <w:rsid w:val="007479CB"/>
    <w:rsid w:val="0075142D"/>
    <w:rsid w:val="00776A5F"/>
    <w:rsid w:val="00797AD7"/>
    <w:rsid w:val="007A2B54"/>
    <w:rsid w:val="007A36CF"/>
    <w:rsid w:val="007A3738"/>
    <w:rsid w:val="007A5AAC"/>
    <w:rsid w:val="007B233E"/>
    <w:rsid w:val="007B37DC"/>
    <w:rsid w:val="007B667C"/>
    <w:rsid w:val="007B6951"/>
    <w:rsid w:val="007C040A"/>
    <w:rsid w:val="007E159E"/>
    <w:rsid w:val="007E218D"/>
    <w:rsid w:val="007E327D"/>
    <w:rsid w:val="00800756"/>
    <w:rsid w:val="008041E0"/>
    <w:rsid w:val="008043E1"/>
    <w:rsid w:val="00805634"/>
    <w:rsid w:val="008070A9"/>
    <w:rsid w:val="0080768A"/>
    <w:rsid w:val="00807A7E"/>
    <w:rsid w:val="008225CF"/>
    <w:rsid w:val="00833308"/>
    <w:rsid w:val="008344D8"/>
    <w:rsid w:val="00836F82"/>
    <w:rsid w:val="00844794"/>
    <w:rsid w:val="00850271"/>
    <w:rsid w:val="008507B6"/>
    <w:rsid w:val="00853F8E"/>
    <w:rsid w:val="00857A4B"/>
    <w:rsid w:val="00873959"/>
    <w:rsid w:val="008835A6"/>
    <w:rsid w:val="00890455"/>
    <w:rsid w:val="00891F45"/>
    <w:rsid w:val="00892A31"/>
    <w:rsid w:val="00892C15"/>
    <w:rsid w:val="00893742"/>
    <w:rsid w:val="00893AAF"/>
    <w:rsid w:val="00896075"/>
    <w:rsid w:val="008B0361"/>
    <w:rsid w:val="008B6991"/>
    <w:rsid w:val="008C6F15"/>
    <w:rsid w:val="008D0AD6"/>
    <w:rsid w:val="008D17C7"/>
    <w:rsid w:val="008D5CA5"/>
    <w:rsid w:val="008E17C0"/>
    <w:rsid w:val="008E4C86"/>
    <w:rsid w:val="008F004D"/>
    <w:rsid w:val="009014A4"/>
    <w:rsid w:val="009124FD"/>
    <w:rsid w:val="00912E9D"/>
    <w:rsid w:val="00917316"/>
    <w:rsid w:val="00917962"/>
    <w:rsid w:val="0092153F"/>
    <w:rsid w:val="00924B76"/>
    <w:rsid w:val="00927BD9"/>
    <w:rsid w:val="00934F20"/>
    <w:rsid w:val="009428EA"/>
    <w:rsid w:val="00945547"/>
    <w:rsid w:val="00947664"/>
    <w:rsid w:val="00947CC0"/>
    <w:rsid w:val="0096175F"/>
    <w:rsid w:val="009664CA"/>
    <w:rsid w:val="009700E3"/>
    <w:rsid w:val="00972EE2"/>
    <w:rsid w:val="009778B8"/>
    <w:rsid w:val="00982152"/>
    <w:rsid w:val="00987A15"/>
    <w:rsid w:val="00994964"/>
    <w:rsid w:val="009A6833"/>
    <w:rsid w:val="009B4515"/>
    <w:rsid w:val="009C6F11"/>
    <w:rsid w:val="009D4ECB"/>
    <w:rsid w:val="009D6D44"/>
    <w:rsid w:val="009E51C7"/>
    <w:rsid w:val="009E61B9"/>
    <w:rsid w:val="009F0F0B"/>
    <w:rsid w:val="009F4C45"/>
    <w:rsid w:val="00A01397"/>
    <w:rsid w:val="00A10C4C"/>
    <w:rsid w:val="00A15316"/>
    <w:rsid w:val="00A167EA"/>
    <w:rsid w:val="00A20D49"/>
    <w:rsid w:val="00A31DFD"/>
    <w:rsid w:val="00A33D2D"/>
    <w:rsid w:val="00A40D8E"/>
    <w:rsid w:val="00A41024"/>
    <w:rsid w:val="00A43BF7"/>
    <w:rsid w:val="00A50B88"/>
    <w:rsid w:val="00A77807"/>
    <w:rsid w:val="00A80AB9"/>
    <w:rsid w:val="00A9063A"/>
    <w:rsid w:val="00A92FEB"/>
    <w:rsid w:val="00A93985"/>
    <w:rsid w:val="00A96CE3"/>
    <w:rsid w:val="00AA1D29"/>
    <w:rsid w:val="00AA2FFE"/>
    <w:rsid w:val="00AA33B2"/>
    <w:rsid w:val="00AA563C"/>
    <w:rsid w:val="00AA7587"/>
    <w:rsid w:val="00AB3A8D"/>
    <w:rsid w:val="00AB5F72"/>
    <w:rsid w:val="00AB726D"/>
    <w:rsid w:val="00AC1EA3"/>
    <w:rsid w:val="00AC31DA"/>
    <w:rsid w:val="00AD1815"/>
    <w:rsid w:val="00AD3EFE"/>
    <w:rsid w:val="00AE1247"/>
    <w:rsid w:val="00AE4833"/>
    <w:rsid w:val="00AE68C1"/>
    <w:rsid w:val="00B006F2"/>
    <w:rsid w:val="00B00918"/>
    <w:rsid w:val="00B111C9"/>
    <w:rsid w:val="00B1643F"/>
    <w:rsid w:val="00B16B1F"/>
    <w:rsid w:val="00B17719"/>
    <w:rsid w:val="00B265A6"/>
    <w:rsid w:val="00B330EF"/>
    <w:rsid w:val="00B35711"/>
    <w:rsid w:val="00B3780B"/>
    <w:rsid w:val="00B412DA"/>
    <w:rsid w:val="00B55751"/>
    <w:rsid w:val="00B55AD1"/>
    <w:rsid w:val="00B67AF4"/>
    <w:rsid w:val="00B7646B"/>
    <w:rsid w:val="00B9392D"/>
    <w:rsid w:val="00BA0D22"/>
    <w:rsid w:val="00BA1545"/>
    <w:rsid w:val="00BB1B34"/>
    <w:rsid w:val="00BB3A5D"/>
    <w:rsid w:val="00BD2A79"/>
    <w:rsid w:val="00BD3E85"/>
    <w:rsid w:val="00BD4333"/>
    <w:rsid w:val="00BD5B85"/>
    <w:rsid w:val="00BD7620"/>
    <w:rsid w:val="00BE1EAE"/>
    <w:rsid w:val="00BE36B0"/>
    <w:rsid w:val="00BE4892"/>
    <w:rsid w:val="00BE66C2"/>
    <w:rsid w:val="00BE6ADF"/>
    <w:rsid w:val="00BF3C58"/>
    <w:rsid w:val="00BF70CD"/>
    <w:rsid w:val="00C005DB"/>
    <w:rsid w:val="00C075BF"/>
    <w:rsid w:val="00C13ED6"/>
    <w:rsid w:val="00C15F1E"/>
    <w:rsid w:val="00C238EF"/>
    <w:rsid w:val="00C3043B"/>
    <w:rsid w:val="00C368EC"/>
    <w:rsid w:val="00C51381"/>
    <w:rsid w:val="00C51630"/>
    <w:rsid w:val="00C56E97"/>
    <w:rsid w:val="00C57699"/>
    <w:rsid w:val="00C61FFA"/>
    <w:rsid w:val="00C62BA8"/>
    <w:rsid w:val="00C65187"/>
    <w:rsid w:val="00C70813"/>
    <w:rsid w:val="00C73BF3"/>
    <w:rsid w:val="00C83236"/>
    <w:rsid w:val="00C84972"/>
    <w:rsid w:val="00C90FD4"/>
    <w:rsid w:val="00CA0F8B"/>
    <w:rsid w:val="00CB06A4"/>
    <w:rsid w:val="00CB10FA"/>
    <w:rsid w:val="00CB3CC0"/>
    <w:rsid w:val="00CC2308"/>
    <w:rsid w:val="00CD16C9"/>
    <w:rsid w:val="00CE3798"/>
    <w:rsid w:val="00CF03C6"/>
    <w:rsid w:val="00D05603"/>
    <w:rsid w:val="00D065B0"/>
    <w:rsid w:val="00D100FE"/>
    <w:rsid w:val="00D23E2D"/>
    <w:rsid w:val="00D24831"/>
    <w:rsid w:val="00D27737"/>
    <w:rsid w:val="00D3097D"/>
    <w:rsid w:val="00D42A00"/>
    <w:rsid w:val="00D43882"/>
    <w:rsid w:val="00D43EA5"/>
    <w:rsid w:val="00D621F2"/>
    <w:rsid w:val="00D71D59"/>
    <w:rsid w:val="00D7500B"/>
    <w:rsid w:val="00D92505"/>
    <w:rsid w:val="00DA26D9"/>
    <w:rsid w:val="00DA5520"/>
    <w:rsid w:val="00DA6297"/>
    <w:rsid w:val="00DB35C9"/>
    <w:rsid w:val="00DB67AA"/>
    <w:rsid w:val="00DC014D"/>
    <w:rsid w:val="00DC168D"/>
    <w:rsid w:val="00DC3D5B"/>
    <w:rsid w:val="00DC68B0"/>
    <w:rsid w:val="00DD0650"/>
    <w:rsid w:val="00DD7115"/>
    <w:rsid w:val="00DE0EC9"/>
    <w:rsid w:val="00DE314A"/>
    <w:rsid w:val="00DE67CE"/>
    <w:rsid w:val="00DE6F62"/>
    <w:rsid w:val="00DF1146"/>
    <w:rsid w:val="00DF13CD"/>
    <w:rsid w:val="00DF70AD"/>
    <w:rsid w:val="00E009F8"/>
    <w:rsid w:val="00E03F41"/>
    <w:rsid w:val="00E07C67"/>
    <w:rsid w:val="00E07FEF"/>
    <w:rsid w:val="00E11376"/>
    <w:rsid w:val="00E11ACB"/>
    <w:rsid w:val="00E11DBA"/>
    <w:rsid w:val="00E13E51"/>
    <w:rsid w:val="00E220B8"/>
    <w:rsid w:val="00E223E2"/>
    <w:rsid w:val="00E3444D"/>
    <w:rsid w:val="00E37456"/>
    <w:rsid w:val="00E37C48"/>
    <w:rsid w:val="00E40C57"/>
    <w:rsid w:val="00E453DE"/>
    <w:rsid w:val="00E45F76"/>
    <w:rsid w:val="00E4681E"/>
    <w:rsid w:val="00E53BA7"/>
    <w:rsid w:val="00E56B50"/>
    <w:rsid w:val="00E57EEE"/>
    <w:rsid w:val="00E6538A"/>
    <w:rsid w:val="00E70372"/>
    <w:rsid w:val="00E7355F"/>
    <w:rsid w:val="00E757E5"/>
    <w:rsid w:val="00E802C8"/>
    <w:rsid w:val="00E86B14"/>
    <w:rsid w:val="00E91943"/>
    <w:rsid w:val="00E9215C"/>
    <w:rsid w:val="00E96005"/>
    <w:rsid w:val="00EB3CE0"/>
    <w:rsid w:val="00EB4525"/>
    <w:rsid w:val="00EC7459"/>
    <w:rsid w:val="00EC7A05"/>
    <w:rsid w:val="00EC7A20"/>
    <w:rsid w:val="00EE0F9E"/>
    <w:rsid w:val="00EE4AEB"/>
    <w:rsid w:val="00EF3B3C"/>
    <w:rsid w:val="00F019DA"/>
    <w:rsid w:val="00F0287A"/>
    <w:rsid w:val="00F04E96"/>
    <w:rsid w:val="00F064A0"/>
    <w:rsid w:val="00F07526"/>
    <w:rsid w:val="00F11B04"/>
    <w:rsid w:val="00F11E35"/>
    <w:rsid w:val="00F24EF0"/>
    <w:rsid w:val="00F275BF"/>
    <w:rsid w:val="00F5251A"/>
    <w:rsid w:val="00F658BF"/>
    <w:rsid w:val="00F66BC5"/>
    <w:rsid w:val="00F765D4"/>
    <w:rsid w:val="00F77658"/>
    <w:rsid w:val="00F867A3"/>
    <w:rsid w:val="00F90A80"/>
    <w:rsid w:val="00F9132C"/>
    <w:rsid w:val="00F93413"/>
    <w:rsid w:val="00FA22DD"/>
    <w:rsid w:val="00FB3043"/>
    <w:rsid w:val="00FC4E59"/>
    <w:rsid w:val="00FD02F1"/>
    <w:rsid w:val="00FF0E0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742"/>
    <w:pPr>
      <w:spacing w:after="0" w:line="240" w:lineRule="auto"/>
    </w:pPr>
    <w:rPr>
      <w:rFonts w:ascii="Verdana" w:eastAsia="Times New Roman" w:hAnsi="Verdana" w:cs="Times New Roman"/>
      <w:sz w:val="20"/>
      <w:szCs w:val="24"/>
      <w:lang w:val="en-US"/>
    </w:rPr>
  </w:style>
  <w:style w:type="paragraph" w:styleId="Heading1">
    <w:name w:val="heading 1"/>
    <w:basedOn w:val="Normal"/>
    <w:next w:val="Normal"/>
    <w:link w:val="Heading1Char"/>
    <w:uiPriority w:val="9"/>
    <w:qFormat/>
    <w:rsid w:val="00E37C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7C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4D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4DD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7DB7"/>
    <w:rPr>
      <w:b/>
      <w:bCs/>
    </w:rPr>
  </w:style>
  <w:style w:type="paragraph" w:styleId="ListParagraph">
    <w:name w:val="List Paragraph"/>
    <w:basedOn w:val="Normal"/>
    <w:uiPriority w:val="34"/>
    <w:qFormat/>
    <w:rsid w:val="00206D84"/>
    <w:pPr>
      <w:ind w:left="720"/>
      <w:contextualSpacing/>
    </w:pPr>
  </w:style>
  <w:style w:type="character" w:styleId="Hyperlink">
    <w:name w:val="Hyperlink"/>
    <w:basedOn w:val="DefaultParagraphFont"/>
    <w:uiPriority w:val="99"/>
    <w:unhideWhenUsed/>
    <w:rsid w:val="008507B6"/>
    <w:rPr>
      <w:color w:val="06508B"/>
      <w:u w:val="single"/>
    </w:rPr>
  </w:style>
  <w:style w:type="paragraph" w:styleId="BalloonText">
    <w:name w:val="Balloon Text"/>
    <w:basedOn w:val="Normal"/>
    <w:link w:val="BalloonTextChar"/>
    <w:uiPriority w:val="99"/>
    <w:semiHidden/>
    <w:unhideWhenUsed/>
    <w:rsid w:val="001F068B"/>
    <w:rPr>
      <w:rFonts w:ascii="Tahoma" w:hAnsi="Tahoma" w:cs="Tahoma"/>
      <w:sz w:val="16"/>
      <w:szCs w:val="16"/>
    </w:rPr>
  </w:style>
  <w:style w:type="character" w:customStyle="1" w:styleId="BalloonTextChar">
    <w:name w:val="Balloon Text Char"/>
    <w:basedOn w:val="DefaultParagraphFont"/>
    <w:link w:val="BalloonText"/>
    <w:uiPriority w:val="99"/>
    <w:semiHidden/>
    <w:rsid w:val="001F068B"/>
    <w:rPr>
      <w:rFonts w:ascii="Tahoma" w:hAnsi="Tahoma" w:cs="Tahoma"/>
      <w:sz w:val="16"/>
      <w:szCs w:val="16"/>
    </w:rPr>
  </w:style>
  <w:style w:type="character" w:customStyle="1" w:styleId="Heading1Char">
    <w:name w:val="Heading 1 Char"/>
    <w:basedOn w:val="DefaultParagraphFont"/>
    <w:link w:val="Heading1"/>
    <w:uiPriority w:val="9"/>
    <w:rsid w:val="00E37C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7C48"/>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semiHidden/>
    <w:rsid w:val="00BF3C58"/>
    <w:rPr>
      <w:rFonts w:ascii="Courier New" w:hAnsi="Courier New"/>
      <w:szCs w:val="20"/>
    </w:rPr>
  </w:style>
  <w:style w:type="character" w:customStyle="1" w:styleId="PlainTextChar">
    <w:name w:val="Plain Text Char"/>
    <w:basedOn w:val="DefaultParagraphFont"/>
    <w:link w:val="PlainText"/>
    <w:uiPriority w:val="99"/>
    <w:semiHidden/>
    <w:rsid w:val="00BF3C58"/>
    <w:rPr>
      <w:rFonts w:ascii="Courier New" w:eastAsia="Times New Roman" w:hAnsi="Courier New" w:cs="Times New Roman"/>
      <w:sz w:val="20"/>
      <w:szCs w:val="20"/>
      <w:lang w:val="en-US"/>
    </w:rPr>
  </w:style>
  <w:style w:type="paragraph" w:styleId="NoSpacing">
    <w:name w:val="No Spacing"/>
    <w:uiPriority w:val="1"/>
    <w:qFormat/>
    <w:rsid w:val="00BF3C58"/>
    <w:pPr>
      <w:spacing w:after="0" w:line="240" w:lineRule="auto"/>
    </w:pPr>
  </w:style>
  <w:style w:type="paragraph" w:styleId="BodyText">
    <w:name w:val="Body Text"/>
    <w:basedOn w:val="Normal"/>
    <w:link w:val="BodyTextChar"/>
    <w:rsid w:val="00BA0D22"/>
    <w:pPr>
      <w:spacing w:before="120" w:after="120"/>
    </w:pPr>
    <w:rPr>
      <w:rFonts w:eastAsia="Batang"/>
      <w:color w:val="222222"/>
      <w:sz w:val="18"/>
      <w:szCs w:val="18"/>
      <w:lang w:eastAsia="nl-NL"/>
    </w:rPr>
  </w:style>
  <w:style w:type="character" w:customStyle="1" w:styleId="BodyTextChar">
    <w:name w:val="Body Text Char"/>
    <w:basedOn w:val="DefaultParagraphFont"/>
    <w:link w:val="BodyText"/>
    <w:rsid w:val="00BA0D22"/>
    <w:rPr>
      <w:rFonts w:ascii="Verdana" w:eastAsia="Batang" w:hAnsi="Verdana" w:cs="Times New Roman"/>
      <w:color w:val="222222"/>
      <w:sz w:val="18"/>
      <w:szCs w:val="18"/>
      <w:lang w:val="en-US" w:eastAsia="nl-NL"/>
    </w:rPr>
  </w:style>
  <w:style w:type="paragraph" w:styleId="CommentText">
    <w:name w:val="annotation text"/>
    <w:basedOn w:val="Normal"/>
    <w:link w:val="CommentTextChar"/>
    <w:semiHidden/>
    <w:rsid w:val="00BA0D22"/>
    <w:rPr>
      <w:rFonts w:eastAsia="MS Mincho"/>
      <w:sz w:val="24"/>
      <w:lang w:eastAsia="nl-NL"/>
    </w:rPr>
  </w:style>
  <w:style w:type="character" w:customStyle="1" w:styleId="CommentTextChar">
    <w:name w:val="Comment Text Char"/>
    <w:basedOn w:val="DefaultParagraphFont"/>
    <w:link w:val="CommentText"/>
    <w:semiHidden/>
    <w:rsid w:val="00BA0D22"/>
    <w:rPr>
      <w:rFonts w:ascii="Verdana" w:eastAsia="MS Mincho" w:hAnsi="Verdana" w:cs="Times New Roman"/>
      <w:sz w:val="24"/>
      <w:szCs w:val="24"/>
      <w:lang w:val="en-US" w:eastAsia="nl-NL"/>
    </w:rPr>
  </w:style>
  <w:style w:type="character" w:customStyle="1" w:styleId="Heading3Char">
    <w:name w:val="Heading 3 Char"/>
    <w:basedOn w:val="DefaultParagraphFont"/>
    <w:link w:val="Heading3"/>
    <w:uiPriority w:val="9"/>
    <w:semiHidden/>
    <w:rsid w:val="00224DD7"/>
    <w:rPr>
      <w:rFonts w:asciiTheme="majorHAnsi" w:eastAsiaTheme="majorEastAsia" w:hAnsiTheme="majorHAnsi" w:cstheme="majorBidi"/>
      <w:b/>
      <w:bCs/>
      <w:color w:val="4F81BD" w:themeColor="accent1"/>
      <w:sz w:val="20"/>
      <w:szCs w:val="24"/>
      <w:lang w:val="en-US"/>
    </w:rPr>
  </w:style>
  <w:style w:type="character" w:customStyle="1" w:styleId="Heading4Char">
    <w:name w:val="Heading 4 Char"/>
    <w:basedOn w:val="DefaultParagraphFont"/>
    <w:link w:val="Heading4"/>
    <w:uiPriority w:val="9"/>
    <w:semiHidden/>
    <w:rsid w:val="00224DD7"/>
    <w:rPr>
      <w:rFonts w:asciiTheme="majorHAnsi" w:eastAsiaTheme="majorEastAsia" w:hAnsiTheme="majorHAnsi" w:cstheme="majorBidi"/>
      <w:b/>
      <w:bCs/>
      <w:i/>
      <w:iCs/>
      <w:color w:val="4F81BD" w:themeColor="accent1"/>
      <w:sz w:val="20"/>
      <w:szCs w:val="24"/>
      <w:lang w:val="en-US"/>
    </w:rPr>
  </w:style>
  <w:style w:type="paragraph" w:styleId="Header">
    <w:name w:val="header"/>
    <w:basedOn w:val="Normal"/>
    <w:link w:val="HeaderChar"/>
    <w:uiPriority w:val="99"/>
    <w:unhideWhenUsed/>
    <w:rsid w:val="001C04E3"/>
    <w:pPr>
      <w:tabs>
        <w:tab w:val="center" w:pos="4536"/>
        <w:tab w:val="right" w:pos="9072"/>
      </w:tabs>
    </w:pPr>
  </w:style>
  <w:style w:type="character" w:customStyle="1" w:styleId="HeaderChar">
    <w:name w:val="Header Char"/>
    <w:basedOn w:val="DefaultParagraphFont"/>
    <w:link w:val="Header"/>
    <w:uiPriority w:val="99"/>
    <w:rsid w:val="001C04E3"/>
    <w:rPr>
      <w:rFonts w:ascii="Verdana" w:eastAsia="Times New Roman" w:hAnsi="Verdana" w:cs="Times New Roman"/>
      <w:sz w:val="20"/>
      <w:szCs w:val="24"/>
      <w:lang w:val="en-US"/>
    </w:rPr>
  </w:style>
  <w:style w:type="paragraph" w:styleId="Footer">
    <w:name w:val="footer"/>
    <w:basedOn w:val="Normal"/>
    <w:link w:val="FooterChar"/>
    <w:uiPriority w:val="99"/>
    <w:unhideWhenUsed/>
    <w:rsid w:val="001C04E3"/>
    <w:pPr>
      <w:tabs>
        <w:tab w:val="center" w:pos="4536"/>
        <w:tab w:val="right" w:pos="9072"/>
      </w:tabs>
    </w:pPr>
  </w:style>
  <w:style w:type="character" w:customStyle="1" w:styleId="FooterChar">
    <w:name w:val="Footer Char"/>
    <w:basedOn w:val="DefaultParagraphFont"/>
    <w:link w:val="Footer"/>
    <w:uiPriority w:val="99"/>
    <w:rsid w:val="001C04E3"/>
    <w:rPr>
      <w:rFonts w:ascii="Verdana" w:eastAsia="Times New Roman" w:hAnsi="Verdana" w:cs="Times New Roman"/>
      <w:sz w:val="20"/>
      <w:szCs w:val="24"/>
      <w:lang w:val="en-US"/>
    </w:rPr>
  </w:style>
  <w:style w:type="character" w:styleId="CommentReference">
    <w:name w:val="annotation reference"/>
    <w:basedOn w:val="DefaultParagraphFont"/>
    <w:uiPriority w:val="99"/>
    <w:semiHidden/>
    <w:unhideWhenUsed/>
    <w:rsid w:val="004101A3"/>
    <w:rPr>
      <w:sz w:val="16"/>
      <w:szCs w:val="16"/>
    </w:rPr>
  </w:style>
  <w:style w:type="paragraph" w:styleId="CommentSubject">
    <w:name w:val="annotation subject"/>
    <w:basedOn w:val="CommentText"/>
    <w:next w:val="CommentText"/>
    <w:link w:val="CommentSubjectChar"/>
    <w:uiPriority w:val="99"/>
    <w:semiHidden/>
    <w:unhideWhenUsed/>
    <w:rsid w:val="004101A3"/>
    <w:rPr>
      <w:rFonts w:eastAsia="Times New Roman"/>
      <w:b/>
      <w:bCs/>
      <w:sz w:val="20"/>
      <w:szCs w:val="20"/>
      <w:lang w:eastAsia="en-US"/>
    </w:rPr>
  </w:style>
  <w:style w:type="character" w:customStyle="1" w:styleId="CommentSubjectChar">
    <w:name w:val="Comment Subject Char"/>
    <w:basedOn w:val="CommentTextChar"/>
    <w:link w:val="CommentSubject"/>
    <w:uiPriority w:val="99"/>
    <w:semiHidden/>
    <w:rsid w:val="004101A3"/>
    <w:rPr>
      <w:rFonts w:ascii="Verdana" w:eastAsia="Times New Roman" w:hAnsi="Verdana" w:cs="Times New Roman"/>
      <w:b/>
      <w:bCs/>
      <w:sz w:val="20"/>
      <w:szCs w:val="20"/>
      <w:lang w:val="en-US" w:eastAsia="nl-NL"/>
    </w:rPr>
  </w:style>
  <w:style w:type="paragraph" w:customStyle="1" w:styleId="Default">
    <w:name w:val="Default"/>
    <w:rsid w:val="00261050"/>
    <w:pPr>
      <w:autoSpaceDE w:val="0"/>
      <w:autoSpaceDN w:val="0"/>
      <w:adjustRightInd w:val="0"/>
      <w:spacing w:after="0" w:line="240" w:lineRule="auto"/>
    </w:pPr>
    <w:rPr>
      <w:rFonts w:ascii="Trebuchet MS" w:hAnsi="Trebuchet MS" w:cs="Trebuchet MS"/>
      <w:color w:val="000000"/>
      <w:sz w:val="24"/>
      <w:szCs w:val="24"/>
    </w:rPr>
  </w:style>
  <w:style w:type="paragraph" w:styleId="Revision">
    <w:name w:val="Revision"/>
    <w:hidden/>
    <w:uiPriority w:val="99"/>
    <w:semiHidden/>
    <w:rsid w:val="00896075"/>
    <w:pPr>
      <w:spacing w:after="0" w:line="240" w:lineRule="auto"/>
    </w:pPr>
    <w:rPr>
      <w:rFonts w:ascii="Verdana" w:eastAsia="Times New Roman" w:hAnsi="Verdana" w:cs="Times New Roman"/>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742"/>
    <w:pPr>
      <w:spacing w:after="0" w:line="240" w:lineRule="auto"/>
    </w:pPr>
    <w:rPr>
      <w:rFonts w:ascii="Verdana" w:eastAsia="Times New Roman" w:hAnsi="Verdana" w:cs="Times New Roman"/>
      <w:sz w:val="20"/>
      <w:szCs w:val="24"/>
      <w:lang w:val="en-US"/>
    </w:rPr>
  </w:style>
  <w:style w:type="paragraph" w:styleId="Heading1">
    <w:name w:val="heading 1"/>
    <w:basedOn w:val="Normal"/>
    <w:next w:val="Normal"/>
    <w:link w:val="Heading1Char"/>
    <w:uiPriority w:val="9"/>
    <w:qFormat/>
    <w:rsid w:val="00E37C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7C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4D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4DD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7DB7"/>
    <w:rPr>
      <w:b/>
      <w:bCs/>
    </w:rPr>
  </w:style>
  <w:style w:type="paragraph" w:styleId="ListParagraph">
    <w:name w:val="List Paragraph"/>
    <w:basedOn w:val="Normal"/>
    <w:uiPriority w:val="34"/>
    <w:qFormat/>
    <w:rsid w:val="00206D84"/>
    <w:pPr>
      <w:ind w:left="720"/>
      <w:contextualSpacing/>
    </w:pPr>
  </w:style>
  <w:style w:type="character" w:styleId="Hyperlink">
    <w:name w:val="Hyperlink"/>
    <w:basedOn w:val="DefaultParagraphFont"/>
    <w:uiPriority w:val="99"/>
    <w:unhideWhenUsed/>
    <w:rsid w:val="008507B6"/>
    <w:rPr>
      <w:color w:val="06508B"/>
      <w:u w:val="single"/>
    </w:rPr>
  </w:style>
  <w:style w:type="paragraph" w:styleId="BalloonText">
    <w:name w:val="Balloon Text"/>
    <w:basedOn w:val="Normal"/>
    <w:link w:val="BalloonTextChar"/>
    <w:uiPriority w:val="99"/>
    <w:semiHidden/>
    <w:unhideWhenUsed/>
    <w:rsid w:val="001F068B"/>
    <w:rPr>
      <w:rFonts w:ascii="Tahoma" w:hAnsi="Tahoma" w:cs="Tahoma"/>
      <w:sz w:val="16"/>
      <w:szCs w:val="16"/>
    </w:rPr>
  </w:style>
  <w:style w:type="character" w:customStyle="1" w:styleId="BalloonTextChar">
    <w:name w:val="Balloon Text Char"/>
    <w:basedOn w:val="DefaultParagraphFont"/>
    <w:link w:val="BalloonText"/>
    <w:uiPriority w:val="99"/>
    <w:semiHidden/>
    <w:rsid w:val="001F068B"/>
    <w:rPr>
      <w:rFonts w:ascii="Tahoma" w:hAnsi="Tahoma" w:cs="Tahoma"/>
      <w:sz w:val="16"/>
      <w:szCs w:val="16"/>
    </w:rPr>
  </w:style>
  <w:style w:type="character" w:customStyle="1" w:styleId="Heading1Char">
    <w:name w:val="Heading 1 Char"/>
    <w:basedOn w:val="DefaultParagraphFont"/>
    <w:link w:val="Heading1"/>
    <w:uiPriority w:val="9"/>
    <w:rsid w:val="00E37C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7C48"/>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semiHidden/>
    <w:rsid w:val="00BF3C58"/>
    <w:rPr>
      <w:rFonts w:ascii="Courier New" w:hAnsi="Courier New"/>
      <w:szCs w:val="20"/>
    </w:rPr>
  </w:style>
  <w:style w:type="character" w:customStyle="1" w:styleId="PlainTextChar">
    <w:name w:val="Plain Text Char"/>
    <w:basedOn w:val="DefaultParagraphFont"/>
    <w:link w:val="PlainText"/>
    <w:uiPriority w:val="99"/>
    <w:semiHidden/>
    <w:rsid w:val="00BF3C58"/>
    <w:rPr>
      <w:rFonts w:ascii="Courier New" w:eastAsia="Times New Roman" w:hAnsi="Courier New" w:cs="Times New Roman"/>
      <w:sz w:val="20"/>
      <w:szCs w:val="20"/>
      <w:lang w:val="en-US"/>
    </w:rPr>
  </w:style>
  <w:style w:type="paragraph" w:styleId="NoSpacing">
    <w:name w:val="No Spacing"/>
    <w:uiPriority w:val="1"/>
    <w:qFormat/>
    <w:rsid w:val="00BF3C58"/>
    <w:pPr>
      <w:spacing w:after="0" w:line="240" w:lineRule="auto"/>
    </w:pPr>
  </w:style>
  <w:style w:type="paragraph" w:styleId="BodyText">
    <w:name w:val="Body Text"/>
    <w:basedOn w:val="Normal"/>
    <w:link w:val="BodyTextChar"/>
    <w:rsid w:val="00BA0D22"/>
    <w:pPr>
      <w:spacing w:before="120" w:after="120"/>
    </w:pPr>
    <w:rPr>
      <w:rFonts w:eastAsia="Batang"/>
      <w:color w:val="222222"/>
      <w:sz w:val="18"/>
      <w:szCs w:val="18"/>
      <w:lang w:eastAsia="nl-NL"/>
    </w:rPr>
  </w:style>
  <w:style w:type="character" w:customStyle="1" w:styleId="BodyTextChar">
    <w:name w:val="Body Text Char"/>
    <w:basedOn w:val="DefaultParagraphFont"/>
    <w:link w:val="BodyText"/>
    <w:rsid w:val="00BA0D22"/>
    <w:rPr>
      <w:rFonts w:ascii="Verdana" w:eastAsia="Batang" w:hAnsi="Verdana" w:cs="Times New Roman"/>
      <w:color w:val="222222"/>
      <w:sz w:val="18"/>
      <w:szCs w:val="18"/>
      <w:lang w:val="en-US" w:eastAsia="nl-NL"/>
    </w:rPr>
  </w:style>
  <w:style w:type="paragraph" w:styleId="CommentText">
    <w:name w:val="annotation text"/>
    <w:basedOn w:val="Normal"/>
    <w:link w:val="CommentTextChar"/>
    <w:semiHidden/>
    <w:rsid w:val="00BA0D22"/>
    <w:rPr>
      <w:rFonts w:eastAsia="MS Mincho"/>
      <w:sz w:val="24"/>
      <w:lang w:eastAsia="nl-NL"/>
    </w:rPr>
  </w:style>
  <w:style w:type="character" w:customStyle="1" w:styleId="CommentTextChar">
    <w:name w:val="Comment Text Char"/>
    <w:basedOn w:val="DefaultParagraphFont"/>
    <w:link w:val="CommentText"/>
    <w:semiHidden/>
    <w:rsid w:val="00BA0D22"/>
    <w:rPr>
      <w:rFonts w:ascii="Verdana" w:eastAsia="MS Mincho" w:hAnsi="Verdana" w:cs="Times New Roman"/>
      <w:sz w:val="24"/>
      <w:szCs w:val="24"/>
      <w:lang w:val="en-US" w:eastAsia="nl-NL"/>
    </w:rPr>
  </w:style>
  <w:style w:type="character" w:customStyle="1" w:styleId="Heading3Char">
    <w:name w:val="Heading 3 Char"/>
    <w:basedOn w:val="DefaultParagraphFont"/>
    <w:link w:val="Heading3"/>
    <w:uiPriority w:val="9"/>
    <w:semiHidden/>
    <w:rsid w:val="00224DD7"/>
    <w:rPr>
      <w:rFonts w:asciiTheme="majorHAnsi" w:eastAsiaTheme="majorEastAsia" w:hAnsiTheme="majorHAnsi" w:cstheme="majorBidi"/>
      <w:b/>
      <w:bCs/>
      <w:color w:val="4F81BD" w:themeColor="accent1"/>
      <w:sz w:val="20"/>
      <w:szCs w:val="24"/>
      <w:lang w:val="en-US"/>
    </w:rPr>
  </w:style>
  <w:style w:type="character" w:customStyle="1" w:styleId="Heading4Char">
    <w:name w:val="Heading 4 Char"/>
    <w:basedOn w:val="DefaultParagraphFont"/>
    <w:link w:val="Heading4"/>
    <w:uiPriority w:val="9"/>
    <w:semiHidden/>
    <w:rsid w:val="00224DD7"/>
    <w:rPr>
      <w:rFonts w:asciiTheme="majorHAnsi" w:eastAsiaTheme="majorEastAsia" w:hAnsiTheme="majorHAnsi" w:cstheme="majorBidi"/>
      <w:b/>
      <w:bCs/>
      <w:i/>
      <w:iCs/>
      <w:color w:val="4F81BD" w:themeColor="accent1"/>
      <w:sz w:val="20"/>
      <w:szCs w:val="24"/>
      <w:lang w:val="en-US"/>
    </w:rPr>
  </w:style>
  <w:style w:type="paragraph" w:styleId="Header">
    <w:name w:val="header"/>
    <w:basedOn w:val="Normal"/>
    <w:link w:val="HeaderChar"/>
    <w:uiPriority w:val="99"/>
    <w:unhideWhenUsed/>
    <w:rsid w:val="001C04E3"/>
    <w:pPr>
      <w:tabs>
        <w:tab w:val="center" w:pos="4536"/>
        <w:tab w:val="right" w:pos="9072"/>
      </w:tabs>
    </w:pPr>
  </w:style>
  <w:style w:type="character" w:customStyle="1" w:styleId="HeaderChar">
    <w:name w:val="Header Char"/>
    <w:basedOn w:val="DefaultParagraphFont"/>
    <w:link w:val="Header"/>
    <w:uiPriority w:val="99"/>
    <w:rsid w:val="001C04E3"/>
    <w:rPr>
      <w:rFonts w:ascii="Verdana" w:eastAsia="Times New Roman" w:hAnsi="Verdana" w:cs="Times New Roman"/>
      <w:sz w:val="20"/>
      <w:szCs w:val="24"/>
      <w:lang w:val="en-US"/>
    </w:rPr>
  </w:style>
  <w:style w:type="paragraph" w:styleId="Footer">
    <w:name w:val="footer"/>
    <w:basedOn w:val="Normal"/>
    <w:link w:val="FooterChar"/>
    <w:uiPriority w:val="99"/>
    <w:unhideWhenUsed/>
    <w:rsid w:val="001C04E3"/>
    <w:pPr>
      <w:tabs>
        <w:tab w:val="center" w:pos="4536"/>
        <w:tab w:val="right" w:pos="9072"/>
      </w:tabs>
    </w:pPr>
  </w:style>
  <w:style w:type="character" w:customStyle="1" w:styleId="FooterChar">
    <w:name w:val="Footer Char"/>
    <w:basedOn w:val="DefaultParagraphFont"/>
    <w:link w:val="Footer"/>
    <w:uiPriority w:val="99"/>
    <w:rsid w:val="001C04E3"/>
    <w:rPr>
      <w:rFonts w:ascii="Verdana" w:eastAsia="Times New Roman" w:hAnsi="Verdana" w:cs="Times New Roman"/>
      <w:sz w:val="20"/>
      <w:szCs w:val="24"/>
      <w:lang w:val="en-US"/>
    </w:rPr>
  </w:style>
  <w:style w:type="character" w:styleId="CommentReference">
    <w:name w:val="annotation reference"/>
    <w:basedOn w:val="DefaultParagraphFont"/>
    <w:uiPriority w:val="99"/>
    <w:semiHidden/>
    <w:unhideWhenUsed/>
    <w:rsid w:val="004101A3"/>
    <w:rPr>
      <w:sz w:val="16"/>
      <w:szCs w:val="16"/>
    </w:rPr>
  </w:style>
  <w:style w:type="paragraph" w:styleId="CommentSubject">
    <w:name w:val="annotation subject"/>
    <w:basedOn w:val="CommentText"/>
    <w:next w:val="CommentText"/>
    <w:link w:val="CommentSubjectChar"/>
    <w:uiPriority w:val="99"/>
    <w:semiHidden/>
    <w:unhideWhenUsed/>
    <w:rsid w:val="004101A3"/>
    <w:rPr>
      <w:rFonts w:eastAsia="Times New Roman"/>
      <w:b/>
      <w:bCs/>
      <w:sz w:val="20"/>
      <w:szCs w:val="20"/>
      <w:lang w:eastAsia="en-US"/>
    </w:rPr>
  </w:style>
  <w:style w:type="character" w:customStyle="1" w:styleId="CommentSubjectChar">
    <w:name w:val="Comment Subject Char"/>
    <w:basedOn w:val="CommentTextChar"/>
    <w:link w:val="CommentSubject"/>
    <w:uiPriority w:val="99"/>
    <w:semiHidden/>
    <w:rsid w:val="004101A3"/>
    <w:rPr>
      <w:rFonts w:ascii="Verdana" w:eastAsia="Times New Roman" w:hAnsi="Verdana" w:cs="Times New Roman"/>
      <w:b/>
      <w:bCs/>
      <w:sz w:val="20"/>
      <w:szCs w:val="20"/>
      <w:lang w:val="en-US" w:eastAsia="nl-NL"/>
    </w:rPr>
  </w:style>
  <w:style w:type="paragraph" w:customStyle="1" w:styleId="Default">
    <w:name w:val="Default"/>
    <w:rsid w:val="00261050"/>
    <w:pPr>
      <w:autoSpaceDE w:val="0"/>
      <w:autoSpaceDN w:val="0"/>
      <w:adjustRightInd w:val="0"/>
      <w:spacing w:after="0" w:line="240" w:lineRule="auto"/>
    </w:pPr>
    <w:rPr>
      <w:rFonts w:ascii="Trebuchet MS" w:hAnsi="Trebuchet MS" w:cs="Trebuchet MS"/>
      <w:color w:val="000000"/>
      <w:sz w:val="24"/>
      <w:szCs w:val="24"/>
    </w:rPr>
  </w:style>
  <w:style w:type="paragraph" w:styleId="Revision">
    <w:name w:val="Revision"/>
    <w:hidden/>
    <w:uiPriority w:val="99"/>
    <w:semiHidden/>
    <w:rsid w:val="00896075"/>
    <w:pPr>
      <w:spacing w:after="0" w:line="240" w:lineRule="auto"/>
    </w:pPr>
    <w:rPr>
      <w:rFonts w:ascii="Verdana" w:eastAsia="Times New Roman" w:hAnsi="Verdana"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30427">
      <w:bodyDiv w:val="1"/>
      <w:marLeft w:val="0"/>
      <w:marRight w:val="0"/>
      <w:marTop w:val="0"/>
      <w:marBottom w:val="0"/>
      <w:divBdr>
        <w:top w:val="none" w:sz="0" w:space="0" w:color="auto"/>
        <w:left w:val="none" w:sz="0" w:space="0" w:color="auto"/>
        <w:bottom w:val="none" w:sz="0" w:space="0" w:color="auto"/>
        <w:right w:val="none" w:sz="0" w:space="0" w:color="auto"/>
      </w:divBdr>
    </w:div>
    <w:div w:id="257494706">
      <w:bodyDiv w:val="1"/>
      <w:marLeft w:val="0"/>
      <w:marRight w:val="0"/>
      <w:marTop w:val="0"/>
      <w:marBottom w:val="0"/>
      <w:divBdr>
        <w:top w:val="none" w:sz="0" w:space="0" w:color="auto"/>
        <w:left w:val="none" w:sz="0" w:space="0" w:color="auto"/>
        <w:bottom w:val="none" w:sz="0" w:space="0" w:color="auto"/>
        <w:right w:val="none" w:sz="0" w:space="0" w:color="auto"/>
      </w:divBdr>
    </w:div>
    <w:div w:id="273290491">
      <w:bodyDiv w:val="1"/>
      <w:marLeft w:val="0"/>
      <w:marRight w:val="0"/>
      <w:marTop w:val="0"/>
      <w:marBottom w:val="0"/>
      <w:divBdr>
        <w:top w:val="none" w:sz="0" w:space="0" w:color="auto"/>
        <w:left w:val="none" w:sz="0" w:space="0" w:color="auto"/>
        <w:bottom w:val="none" w:sz="0" w:space="0" w:color="auto"/>
        <w:right w:val="none" w:sz="0" w:space="0" w:color="auto"/>
      </w:divBdr>
    </w:div>
    <w:div w:id="302277293">
      <w:bodyDiv w:val="1"/>
      <w:marLeft w:val="0"/>
      <w:marRight w:val="0"/>
      <w:marTop w:val="0"/>
      <w:marBottom w:val="0"/>
      <w:divBdr>
        <w:top w:val="none" w:sz="0" w:space="0" w:color="auto"/>
        <w:left w:val="none" w:sz="0" w:space="0" w:color="auto"/>
        <w:bottom w:val="none" w:sz="0" w:space="0" w:color="auto"/>
        <w:right w:val="none" w:sz="0" w:space="0" w:color="auto"/>
      </w:divBdr>
    </w:div>
    <w:div w:id="576938800">
      <w:bodyDiv w:val="1"/>
      <w:marLeft w:val="0"/>
      <w:marRight w:val="0"/>
      <w:marTop w:val="0"/>
      <w:marBottom w:val="0"/>
      <w:divBdr>
        <w:top w:val="none" w:sz="0" w:space="0" w:color="auto"/>
        <w:left w:val="none" w:sz="0" w:space="0" w:color="auto"/>
        <w:bottom w:val="none" w:sz="0" w:space="0" w:color="auto"/>
        <w:right w:val="none" w:sz="0" w:space="0" w:color="auto"/>
      </w:divBdr>
    </w:div>
    <w:div w:id="604920844">
      <w:bodyDiv w:val="1"/>
      <w:marLeft w:val="0"/>
      <w:marRight w:val="0"/>
      <w:marTop w:val="0"/>
      <w:marBottom w:val="0"/>
      <w:divBdr>
        <w:top w:val="none" w:sz="0" w:space="0" w:color="auto"/>
        <w:left w:val="none" w:sz="0" w:space="0" w:color="auto"/>
        <w:bottom w:val="none" w:sz="0" w:space="0" w:color="auto"/>
        <w:right w:val="none" w:sz="0" w:space="0" w:color="auto"/>
      </w:divBdr>
    </w:div>
    <w:div w:id="1055468211">
      <w:bodyDiv w:val="1"/>
      <w:marLeft w:val="0"/>
      <w:marRight w:val="0"/>
      <w:marTop w:val="0"/>
      <w:marBottom w:val="0"/>
      <w:divBdr>
        <w:top w:val="none" w:sz="0" w:space="0" w:color="auto"/>
        <w:left w:val="none" w:sz="0" w:space="0" w:color="auto"/>
        <w:bottom w:val="none" w:sz="0" w:space="0" w:color="auto"/>
        <w:right w:val="none" w:sz="0" w:space="0" w:color="auto"/>
      </w:divBdr>
    </w:div>
    <w:div w:id="1098479214">
      <w:bodyDiv w:val="1"/>
      <w:marLeft w:val="0"/>
      <w:marRight w:val="0"/>
      <w:marTop w:val="0"/>
      <w:marBottom w:val="0"/>
      <w:divBdr>
        <w:top w:val="none" w:sz="0" w:space="0" w:color="auto"/>
        <w:left w:val="none" w:sz="0" w:space="0" w:color="auto"/>
        <w:bottom w:val="none" w:sz="0" w:space="0" w:color="auto"/>
        <w:right w:val="none" w:sz="0" w:space="0" w:color="auto"/>
      </w:divBdr>
    </w:div>
    <w:div w:id="1268389949">
      <w:bodyDiv w:val="1"/>
      <w:marLeft w:val="0"/>
      <w:marRight w:val="0"/>
      <w:marTop w:val="0"/>
      <w:marBottom w:val="0"/>
      <w:divBdr>
        <w:top w:val="none" w:sz="0" w:space="0" w:color="auto"/>
        <w:left w:val="none" w:sz="0" w:space="0" w:color="auto"/>
        <w:bottom w:val="none" w:sz="0" w:space="0" w:color="auto"/>
        <w:right w:val="none" w:sz="0" w:space="0" w:color="auto"/>
      </w:divBdr>
      <w:divsChild>
        <w:div w:id="447311805">
          <w:marLeft w:val="0"/>
          <w:marRight w:val="0"/>
          <w:marTop w:val="0"/>
          <w:marBottom w:val="0"/>
          <w:divBdr>
            <w:top w:val="none" w:sz="0" w:space="0" w:color="auto"/>
            <w:left w:val="none" w:sz="0" w:space="0" w:color="auto"/>
            <w:bottom w:val="none" w:sz="0" w:space="0" w:color="auto"/>
            <w:right w:val="none" w:sz="0" w:space="0" w:color="auto"/>
          </w:divBdr>
          <w:divsChild>
            <w:div w:id="441345796">
              <w:marLeft w:val="0"/>
              <w:marRight w:val="0"/>
              <w:marTop w:val="0"/>
              <w:marBottom w:val="0"/>
              <w:divBdr>
                <w:top w:val="none" w:sz="0" w:space="0" w:color="auto"/>
                <w:left w:val="none" w:sz="0" w:space="0" w:color="auto"/>
                <w:bottom w:val="none" w:sz="0" w:space="0" w:color="auto"/>
                <w:right w:val="none" w:sz="0" w:space="0" w:color="auto"/>
              </w:divBdr>
              <w:divsChild>
                <w:div w:id="1360820280">
                  <w:marLeft w:val="390"/>
                  <w:marRight w:val="0"/>
                  <w:marTop w:val="0"/>
                  <w:marBottom w:val="0"/>
                  <w:divBdr>
                    <w:top w:val="none" w:sz="0" w:space="0" w:color="auto"/>
                    <w:left w:val="none" w:sz="0" w:space="0" w:color="auto"/>
                    <w:bottom w:val="none" w:sz="0" w:space="0" w:color="auto"/>
                    <w:right w:val="none" w:sz="0" w:space="0" w:color="auto"/>
                  </w:divBdr>
                  <w:divsChild>
                    <w:div w:id="494221305">
                      <w:marLeft w:val="0"/>
                      <w:marRight w:val="0"/>
                      <w:marTop w:val="0"/>
                      <w:marBottom w:val="0"/>
                      <w:divBdr>
                        <w:top w:val="none" w:sz="0" w:space="0" w:color="auto"/>
                        <w:left w:val="none" w:sz="0" w:space="0" w:color="auto"/>
                        <w:bottom w:val="none" w:sz="0" w:space="0" w:color="auto"/>
                        <w:right w:val="none" w:sz="0" w:space="0" w:color="auto"/>
                      </w:divBdr>
                      <w:divsChild>
                        <w:div w:id="1029456801">
                          <w:marLeft w:val="0"/>
                          <w:marRight w:val="0"/>
                          <w:marTop w:val="0"/>
                          <w:marBottom w:val="0"/>
                          <w:divBdr>
                            <w:top w:val="none" w:sz="0" w:space="0" w:color="auto"/>
                            <w:left w:val="none" w:sz="0" w:space="0" w:color="auto"/>
                            <w:bottom w:val="none" w:sz="0" w:space="0" w:color="auto"/>
                            <w:right w:val="none" w:sz="0" w:space="0" w:color="auto"/>
                          </w:divBdr>
                          <w:divsChild>
                            <w:div w:id="736898740">
                              <w:marLeft w:val="0"/>
                              <w:marRight w:val="0"/>
                              <w:marTop w:val="0"/>
                              <w:marBottom w:val="0"/>
                              <w:divBdr>
                                <w:top w:val="none" w:sz="0" w:space="0" w:color="auto"/>
                                <w:left w:val="none" w:sz="0" w:space="0" w:color="auto"/>
                                <w:bottom w:val="none" w:sz="0" w:space="0" w:color="auto"/>
                                <w:right w:val="none" w:sz="0" w:space="0" w:color="auto"/>
                              </w:divBdr>
                              <w:divsChild>
                                <w:div w:id="1588417897">
                                  <w:marLeft w:val="0"/>
                                  <w:marRight w:val="0"/>
                                  <w:marTop w:val="0"/>
                                  <w:marBottom w:val="0"/>
                                  <w:divBdr>
                                    <w:top w:val="none" w:sz="0" w:space="0" w:color="auto"/>
                                    <w:left w:val="none" w:sz="0" w:space="0" w:color="auto"/>
                                    <w:bottom w:val="none" w:sz="0" w:space="0" w:color="auto"/>
                                    <w:right w:val="none" w:sz="0" w:space="0" w:color="auto"/>
                                  </w:divBdr>
                                  <w:divsChild>
                                    <w:div w:id="1261184799">
                                      <w:marLeft w:val="0"/>
                                      <w:marRight w:val="0"/>
                                      <w:marTop w:val="0"/>
                                      <w:marBottom w:val="0"/>
                                      <w:divBdr>
                                        <w:top w:val="none" w:sz="0" w:space="0" w:color="auto"/>
                                        <w:left w:val="none" w:sz="0" w:space="0" w:color="auto"/>
                                        <w:bottom w:val="none" w:sz="0" w:space="0" w:color="auto"/>
                                        <w:right w:val="none" w:sz="0" w:space="0" w:color="auto"/>
                                      </w:divBdr>
                                      <w:divsChild>
                                        <w:div w:id="615330171">
                                          <w:marLeft w:val="0"/>
                                          <w:marRight w:val="0"/>
                                          <w:marTop w:val="0"/>
                                          <w:marBottom w:val="0"/>
                                          <w:divBdr>
                                            <w:top w:val="none" w:sz="0" w:space="0" w:color="auto"/>
                                            <w:left w:val="none" w:sz="0" w:space="0" w:color="auto"/>
                                            <w:bottom w:val="none" w:sz="0" w:space="0" w:color="auto"/>
                                            <w:right w:val="none" w:sz="0" w:space="0" w:color="auto"/>
                                          </w:divBdr>
                                          <w:divsChild>
                                            <w:div w:id="138153115">
                                              <w:marLeft w:val="0"/>
                                              <w:marRight w:val="0"/>
                                              <w:marTop w:val="0"/>
                                              <w:marBottom w:val="0"/>
                                              <w:divBdr>
                                                <w:top w:val="none" w:sz="0" w:space="0" w:color="auto"/>
                                                <w:left w:val="none" w:sz="0" w:space="0" w:color="auto"/>
                                                <w:bottom w:val="none" w:sz="0" w:space="0" w:color="auto"/>
                                                <w:right w:val="none" w:sz="0" w:space="0" w:color="auto"/>
                                              </w:divBdr>
                                              <w:divsChild>
                                                <w:div w:id="2018337912">
                                                  <w:marLeft w:val="0"/>
                                                  <w:marRight w:val="0"/>
                                                  <w:marTop w:val="0"/>
                                                  <w:marBottom w:val="0"/>
                                                  <w:divBdr>
                                                    <w:top w:val="none" w:sz="0" w:space="0" w:color="auto"/>
                                                    <w:left w:val="none" w:sz="0" w:space="0" w:color="auto"/>
                                                    <w:bottom w:val="none" w:sz="0" w:space="0" w:color="auto"/>
                                                    <w:right w:val="none" w:sz="0" w:space="0" w:color="auto"/>
                                                  </w:divBdr>
                                                  <w:divsChild>
                                                    <w:div w:id="2139639369">
                                                      <w:marLeft w:val="0"/>
                                                      <w:marRight w:val="0"/>
                                                      <w:marTop w:val="0"/>
                                                      <w:marBottom w:val="0"/>
                                                      <w:divBdr>
                                                        <w:top w:val="none" w:sz="0" w:space="0" w:color="auto"/>
                                                        <w:left w:val="none" w:sz="0" w:space="0" w:color="auto"/>
                                                        <w:bottom w:val="none" w:sz="0" w:space="0" w:color="auto"/>
                                                        <w:right w:val="none" w:sz="0" w:space="0" w:color="auto"/>
                                                      </w:divBdr>
                                                      <w:divsChild>
                                                        <w:div w:id="2016346422">
                                                          <w:marLeft w:val="0"/>
                                                          <w:marRight w:val="0"/>
                                                          <w:marTop w:val="0"/>
                                                          <w:marBottom w:val="0"/>
                                                          <w:divBdr>
                                                            <w:top w:val="none" w:sz="0" w:space="0" w:color="auto"/>
                                                            <w:left w:val="none" w:sz="0" w:space="0" w:color="auto"/>
                                                            <w:bottom w:val="none" w:sz="0" w:space="0" w:color="auto"/>
                                                            <w:right w:val="none" w:sz="0" w:space="0" w:color="auto"/>
                                                          </w:divBdr>
                                                          <w:divsChild>
                                                            <w:div w:id="628702002">
                                                              <w:marLeft w:val="0"/>
                                                              <w:marRight w:val="0"/>
                                                              <w:marTop w:val="0"/>
                                                              <w:marBottom w:val="0"/>
                                                              <w:divBdr>
                                                                <w:top w:val="none" w:sz="0" w:space="0" w:color="auto"/>
                                                                <w:left w:val="none" w:sz="0" w:space="0" w:color="auto"/>
                                                                <w:bottom w:val="none" w:sz="0" w:space="0" w:color="auto"/>
                                                                <w:right w:val="none" w:sz="0" w:space="0" w:color="auto"/>
                                                              </w:divBdr>
                                                              <w:divsChild>
                                                                <w:div w:id="17961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5138154">
      <w:bodyDiv w:val="1"/>
      <w:marLeft w:val="0"/>
      <w:marRight w:val="0"/>
      <w:marTop w:val="0"/>
      <w:marBottom w:val="0"/>
      <w:divBdr>
        <w:top w:val="none" w:sz="0" w:space="0" w:color="auto"/>
        <w:left w:val="none" w:sz="0" w:space="0" w:color="auto"/>
        <w:bottom w:val="none" w:sz="0" w:space="0" w:color="auto"/>
        <w:right w:val="none" w:sz="0" w:space="0" w:color="auto"/>
      </w:divBdr>
      <w:divsChild>
        <w:div w:id="1364986362">
          <w:marLeft w:val="0"/>
          <w:marRight w:val="0"/>
          <w:marTop w:val="0"/>
          <w:marBottom w:val="0"/>
          <w:divBdr>
            <w:top w:val="none" w:sz="0" w:space="0" w:color="auto"/>
            <w:left w:val="none" w:sz="0" w:space="0" w:color="auto"/>
            <w:bottom w:val="none" w:sz="0" w:space="0" w:color="auto"/>
            <w:right w:val="none" w:sz="0" w:space="0" w:color="auto"/>
          </w:divBdr>
          <w:divsChild>
            <w:div w:id="355276280">
              <w:marLeft w:val="0"/>
              <w:marRight w:val="0"/>
              <w:marTop w:val="0"/>
              <w:marBottom w:val="0"/>
              <w:divBdr>
                <w:top w:val="none" w:sz="0" w:space="0" w:color="auto"/>
                <w:left w:val="none" w:sz="0" w:space="0" w:color="auto"/>
                <w:bottom w:val="none" w:sz="0" w:space="0" w:color="auto"/>
                <w:right w:val="none" w:sz="0" w:space="0" w:color="auto"/>
              </w:divBdr>
              <w:divsChild>
                <w:div w:id="661352433">
                  <w:marLeft w:val="390"/>
                  <w:marRight w:val="0"/>
                  <w:marTop w:val="0"/>
                  <w:marBottom w:val="0"/>
                  <w:divBdr>
                    <w:top w:val="none" w:sz="0" w:space="0" w:color="auto"/>
                    <w:left w:val="none" w:sz="0" w:space="0" w:color="auto"/>
                    <w:bottom w:val="none" w:sz="0" w:space="0" w:color="auto"/>
                    <w:right w:val="none" w:sz="0" w:space="0" w:color="auto"/>
                  </w:divBdr>
                  <w:divsChild>
                    <w:div w:id="1691759707">
                      <w:marLeft w:val="0"/>
                      <w:marRight w:val="0"/>
                      <w:marTop w:val="0"/>
                      <w:marBottom w:val="0"/>
                      <w:divBdr>
                        <w:top w:val="none" w:sz="0" w:space="0" w:color="auto"/>
                        <w:left w:val="none" w:sz="0" w:space="0" w:color="auto"/>
                        <w:bottom w:val="none" w:sz="0" w:space="0" w:color="auto"/>
                        <w:right w:val="none" w:sz="0" w:space="0" w:color="auto"/>
                      </w:divBdr>
                      <w:divsChild>
                        <w:div w:id="848565836">
                          <w:marLeft w:val="0"/>
                          <w:marRight w:val="0"/>
                          <w:marTop w:val="0"/>
                          <w:marBottom w:val="0"/>
                          <w:divBdr>
                            <w:top w:val="none" w:sz="0" w:space="0" w:color="auto"/>
                            <w:left w:val="none" w:sz="0" w:space="0" w:color="auto"/>
                            <w:bottom w:val="none" w:sz="0" w:space="0" w:color="auto"/>
                            <w:right w:val="none" w:sz="0" w:space="0" w:color="auto"/>
                          </w:divBdr>
                          <w:divsChild>
                            <w:div w:id="1152984872">
                              <w:marLeft w:val="0"/>
                              <w:marRight w:val="0"/>
                              <w:marTop w:val="0"/>
                              <w:marBottom w:val="0"/>
                              <w:divBdr>
                                <w:top w:val="none" w:sz="0" w:space="0" w:color="auto"/>
                                <w:left w:val="none" w:sz="0" w:space="0" w:color="auto"/>
                                <w:bottom w:val="none" w:sz="0" w:space="0" w:color="auto"/>
                                <w:right w:val="none" w:sz="0" w:space="0" w:color="auto"/>
                              </w:divBdr>
                              <w:divsChild>
                                <w:div w:id="1980524823">
                                  <w:marLeft w:val="0"/>
                                  <w:marRight w:val="0"/>
                                  <w:marTop w:val="0"/>
                                  <w:marBottom w:val="0"/>
                                  <w:divBdr>
                                    <w:top w:val="none" w:sz="0" w:space="0" w:color="auto"/>
                                    <w:left w:val="none" w:sz="0" w:space="0" w:color="auto"/>
                                    <w:bottom w:val="none" w:sz="0" w:space="0" w:color="auto"/>
                                    <w:right w:val="none" w:sz="0" w:space="0" w:color="auto"/>
                                  </w:divBdr>
                                  <w:divsChild>
                                    <w:div w:id="11928569">
                                      <w:marLeft w:val="0"/>
                                      <w:marRight w:val="0"/>
                                      <w:marTop w:val="0"/>
                                      <w:marBottom w:val="0"/>
                                      <w:divBdr>
                                        <w:top w:val="none" w:sz="0" w:space="0" w:color="auto"/>
                                        <w:left w:val="none" w:sz="0" w:space="0" w:color="auto"/>
                                        <w:bottom w:val="none" w:sz="0" w:space="0" w:color="auto"/>
                                        <w:right w:val="none" w:sz="0" w:space="0" w:color="auto"/>
                                      </w:divBdr>
                                      <w:divsChild>
                                        <w:div w:id="1924293792">
                                          <w:marLeft w:val="0"/>
                                          <w:marRight w:val="0"/>
                                          <w:marTop w:val="0"/>
                                          <w:marBottom w:val="0"/>
                                          <w:divBdr>
                                            <w:top w:val="none" w:sz="0" w:space="0" w:color="auto"/>
                                            <w:left w:val="none" w:sz="0" w:space="0" w:color="auto"/>
                                            <w:bottom w:val="none" w:sz="0" w:space="0" w:color="auto"/>
                                            <w:right w:val="none" w:sz="0" w:space="0" w:color="auto"/>
                                          </w:divBdr>
                                          <w:divsChild>
                                            <w:div w:id="686566002">
                                              <w:marLeft w:val="0"/>
                                              <w:marRight w:val="0"/>
                                              <w:marTop w:val="0"/>
                                              <w:marBottom w:val="0"/>
                                              <w:divBdr>
                                                <w:top w:val="none" w:sz="0" w:space="0" w:color="auto"/>
                                                <w:left w:val="none" w:sz="0" w:space="0" w:color="auto"/>
                                                <w:bottom w:val="none" w:sz="0" w:space="0" w:color="auto"/>
                                                <w:right w:val="none" w:sz="0" w:space="0" w:color="auto"/>
                                              </w:divBdr>
                                              <w:divsChild>
                                                <w:div w:id="119734703">
                                                  <w:marLeft w:val="0"/>
                                                  <w:marRight w:val="0"/>
                                                  <w:marTop w:val="0"/>
                                                  <w:marBottom w:val="0"/>
                                                  <w:divBdr>
                                                    <w:top w:val="none" w:sz="0" w:space="0" w:color="auto"/>
                                                    <w:left w:val="none" w:sz="0" w:space="0" w:color="auto"/>
                                                    <w:bottom w:val="none" w:sz="0" w:space="0" w:color="auto"/>
                                                    <w:right w:val="none" w:sz="0" w:space="0" w:color="auto"/>
                                                  </w:divBdr>
                                                  <w:divsChild>
                                                    <w:div w:id="2021735612">
                                                      <w:marLeft w:val="0"/>
                                                      <w:marRight w:val="0"/>
                                                      <w:marTop w:val="0"/>
                                                      <w:marBottom w:val="0"/>
                                                      <w:divBdr>
                                                        <w:top w:val="none" w:sz="0" w:space="0" w:color="auto"/>
                                                        <w:left w:val="none" w:sz="0" w:space="0" w:color="auto"/>
                                                        <w:bottom w:val="none" w:sz="0" w:space="0" w:color="auto"/>
                                                        <w:right w:val="none" w:sz="0" w:space="0" w:color="auto"/>
                                                      </w:divBdr>
                                                      <w:divsChild>
                                                        <w:div w:id="409042088">
                                                          <w:marLeft w:val="0"/>
                                                          <w:marRight w:val="0"/>
                                                          <w:marTop w:val="0"/>
                                                          <w:marBottom w:val="0"/>
                                                          <w:divBdr>
                                                            <w:top w:val="none" w:sz="0" w:space="0" w:color="auto"/>
                                                            <w:left w:val="none" w:sz="0" w:space="0" w:color="auto"/>
                                                            <w:bottom w:val="none" w:sz="0" w:space="0" w:color="auto"/>
                                                            <w:right w:val="none" w:sz="0" w:space="0" w:color="auto"/>
                                                          </w:divBdr>
                                                          <w:divsChild>
                                                            <w:div w:id="1745448204">
                                                              <w:marLeft w:val="0"/>
                                                              <w:marRight w:val="0"/>
                                                              <w:marTop w:val="0"/>
                                                              <w:marBottom w:val="0"/>
                                                              <w:divBdr>
                                                                <w:top w:val="none" w:sz="0" w:space="0" w:color="auto"/>
                                                                <w:left w:val="none" w:sz="0" w:space="0" w:color="auto"/>
                                                                <w:bottom w:val="none" w:sz="0" w:space="0" w:color="auto"/>
                                                                <w:right w:val="none" w:sz="0" w:space="0" w:color="auto"/>
                                                              </w:divBdr>
                                                              <w:divsChild>
                                                                <w:div w:id="10830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7271825">
      <w:bodyDiv w:val="1"/>
      <w:marLeft w:val="0"/>
      <w:marRight w:val="0"/>
      <w:marTop w:val="0"/>
      <w:marBottom w:val="0"/>
      <w:divBdr>
        <w:top w:val="none" w:sz="0" w:space="0" w:color="auto"/>
        <w:left w:val="none" w:sz="0" w:space="0" w:color="auto"/>
        <w:bottom w:val="none" w:sz="0" w:space="0" w:color="auto"/>
        <w:right w:val="none" w:sz="0" w:space="0" w:color="auto"/>
      </w:divBdr>
    </w:div>
    <w:div w:id="1296251372">
      <w:bodyDiv w:val="1"/>
      <w:marLeft w:val="0"/>
      <w:marRight w:val="0"/>
      <w:marTop w:val="0"/>
      <w:marBottom w:val="0"/>
      <w:divBdr>
        <w:top w:val="none" w:sz="0" w:space="0" w:color="auto"/>
        <w:left w:val="none" w:sz="0" w:space="0" w:color="auto"/>
        <w:bottom w:val="none" w:sz="0" w:space="0" w:color="auto"/>
        <w:right w:val="none" w:sz="0" w:space="0" w:color="auto"/>
      </w:divBdr>
    </w:div>
    <w:div w:id="1656449527">
      <w:bodyDiv w:val="1"/>
      <w:marLeft w:val="0"/>
      <w:marRight w:val="0"/>
      <w:marTop w:val="0"/>
      <w:marBottom w:val="0"/>
      <w:divBdr>
        <w:top w:val="none" w:sz="0" w:space="0" w:color="auto"/>
        <w:left w:val="none" w:sz="0" w:space="0" w:color="auto"/>
        <w:bottom w:val="none" w:sz="0" w:space="0" w:color="auto"/>
        <w:right w:val="none" w:sz="0" w:space="0" w:color="auto"/>
      </w:divBdr>
    </w:div>
    <w:div w:id="1765496552">
      <w:bodyDiv w:val="1"/>
      <w:marLeft w:val="0"/>
      <w:marRight w:val="0"/>
      <w:marTop w:val="0"/>
      <w:marBottom w:val="0"/>
      <w:divBdr>
        <w:top w:val="none" w:sz="0" w:space="0" w:color="auto"/>
        <w:left w:val="none" w:sz="0" w:space="0" w:color="auto"/>
        <w:bottom w:val="none" w:sz="0" w:space="0" w:color="auto"/>
        <w:right w:val="none" w:sz="0" w:space="0" w:color="auto"/>
      </w:divBdr>
    </w:div>
    <w:div w:id="1816142626">
      <w:bodyDiv w:val="1"/>
      <w:marLeft w:val="0"/>
      <w:marRight w:val="0"/>
      <w:marTop w:val="0"/>
      <w:marBottom w:val="0"/>
      <w:divBdr>
        <w:top w:val="none" w:sz="0" w:space="0" w:color="auto"/>
        <w:left w:val="none" w:sz="0" w:space="0" w:color="auto"/>
        <w:bottom w:val="none" w:sz="0" w:space="0" w:color="auto"/>
        <w:right w:val="none" w:sz="0" w:space="0" w:color="auto"/>
      </w:divBdr>
    </w:div>
    <w:div w:id="1996105381">
      <w:bodyDiv w:val="1"/>
      <w:marLeft w:val="0"/>
      <w:marRight w:val="0"/>
      <w:marTop w:val="0"/>
      <w:marBottom w:val="0"/>
      <w:divBdr>
        <w:top w:val="none" w:sz="0" w:space="0" w:color="auto"/>
        <w:left w:val="none" w:sz="0" w:space="0" w:color="auto"/>
        <w:bottom w:val="none" w:sz="0" w:space="0" w:color="auto"/>
        <w:right w:val="none" w:sz="0" w:space="0" w:color="auto"/>
      </w:divBdr>
    </w:div>
    <w:div w:id="206321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9.emf"/><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ichiel.wolfswinkel@tiekinetix.com"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image" Target="media/image2.emf"/><Relationship Id="rId19" Type="http://schemas.openxmlformats.org/officeDocument/2006/relationships/image" Target="media/image10.emf"/><Relationship Id="rId31" Type="http://schemas.openxmlformats.org/officeDocument/2006/relationships/customXml" Target="../customXml/item7.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3.emf"/><Relationship Id="rId27" Type="http://schemas.openxmlformats.org/officeDocument/2006/relationships/customXml" Target="../customXml/item3.xml"/><Relationship Id="rId30"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lgemeen ingekomen document" ma:contentTypeID="0x010100AF3C3E63A8E348D0B83574E1B1F453E5003929ED3A8D04456685ACF4C22313EE1B003179F0876C424676AC6F62DFF7F73A1700F5056D1B00EC9342A7BE16B61A7AA798" ma:contentTypeVersion="292" ma:contentTypeDescription="Een nieuw document maken." ma:contentTypeScope="" ma:versionID="8c54f4bdbd1a61950b922ea10c2b7e33">
  <xsd:schema xmlns:xsd="http://www.w3.org/2001/XMLSchema" xmlns:xs="http://www.w3.org/2001/XMLSchema" xmlns:p="http://schemas.microsoft.com/office/2006/metadata/properties" xmlns:ns1="http://schemas.microsoft.com/sharepoint/v3" xmlns:ns3="936c9f6d-703f-4492-b10b-5967c53212d1" xmlns:ns4="f46de88a-a7a7-4258-812b-100abda7f277" targetNamespace="http://schemas.microsoft.com/office/2006/metadata/properties" ma:root="true" ma:fieldsID="fc6cbf0db5748441848ebcd34c0c1047" ns1:_="" ns3:_="" ns4:_="">
    <xsd:import namespace="http://schemas.microsoft.com/sharepoint/v3"/>
    <xsd:import namespace="936c9f6d-703f-4492-b10b-5967c53212d1"/>
    <xsd:import namespace="f46de88a-a7a7-4258-812b-100abda7f277"/>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Behandelaar" minOccurs="0"/>
                <xsd:element ref="ns3:Documentalist" minOccurs="0"/>
                <xsd:element ref="ns3:OrigineleBestandsnaam" minOccurs="0"/>
                <xsd:element ref="ns3:Scandatum" minOccurs="0"/>
                <xsd:element ref="ns1:AssignedTo" minOccurs="0"/>
                <xsd:element ref="ns3:Afzender" minOccurs="0"/>
                <xsd:element ref="ns3:Zaaknummer" minOccurs="0"/>
                <xsd:element ref="ns3:Registratienummer" minOccurs="0"/>
                <xsd:element ref="ns3:TaxCatchAllLabel" minOccurs="0"/>
                <xsd:element ref="ns3:DocumenttypeHTField0" minOccurs="0"/>
                <xsd:element ref="ns3:ToezichtstaakHTField0" minOccurs="0"/>
                <xsd:element ref="ns3:TaxCatchAll" minOccurs="0"/>
                <xsd:element ref="ns3:KanaalHTField0" minOccurs="0"/>
                <xsd:element ref="ns3:OrganisatieonderdeelHTField0" minOccurs="0"/>
                <xsd:element ref="ns3:TaxKeywordTaxHTField" minOccurs="0"/>
                <xsd:element ref="ns1:_dlc_Exempt" minOccurs="0"/>
                <xsd:element ref="ns3:ProcesHTField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1" nillable="true" ma:displayName="Toegewezen aan" ma:list="UserInfo" ma:SearchPeopleOnly="false" ma:SharePointGroup="0" ma:internalName="Assigned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47"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dexed="true"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dexed="true" ma:internalName="LL_subfolder_1" ma:readOnly="false">
      <xsd:simpleType>
        <xsd:restriction base="dms:Text">
          <xsd:maxLength value="255"/>
        </xsd:restriction>
      </xsd:simpleType>
    </xsd:element>
    <xsd:element name="LL_subfolder_2" ma:index="23" nillable="true" ma:displayName="LL subfolder 2" ma:indexed="true"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Behandelaar" ma:index="27" nillable="true" ma:displayName="Behandelaar" ma:internalName="Behandelaar" ma:readOnly="false">
      <xsd:simpleType>
        <xsd:restriction base="dms:Note">
          <xsd:maxLength value="255"/>
        </xsd:restriction>
      </xsd:simpleType>
    </xsd:element>
    <xsd:element name="Documentalist" ma:index="28" nillable="true" ma:displayName="Documentalist" ma:internalName="Documentalist" ma:readOnly="false">
      <xsd:simpleType>
        <xsd:restriction base="dms:Text"/>
      </xsd:simpleType>
    </xsd:element>
    <xsd:element name="OrigineleBestandsnaam" ma:index="29" nillable="true" ma:displayName="Originele bestandsnaam" ma:internalName="OrigineleBestandsnaam" ma:readOnly="false">
      <xsd:simpleType>
        <xsd:restriction base="dms:Text"/>
      </xsd:simpleType>
    </xsd:element>
    <xsd:element name="Scandatum" ma:index="30" nillable="true" ma:displayName="Scandatum" ma:format="DateOnly" ma:internalName="Scandatum" ma:readOnly="false">
      <xsd:simpleType>
        <xsd:restriction base="dms:DateTime"/>
      </xsd:simpleType>
    </xsd:element>
    <xsd:element name="Afzender" ma:index="32" nillable="true" ma:displayName="Afzender" ma:internalName="Afzender" ma:readOnly="false">
      <xsd:simpleType>
        <xsd:restriction base="dms:Text"/>
      </xsd:simpleType>
    </xsd:element>
    <xsd:element name="Zaaknummer" ma:index="33" nillable="true" ma:displayName="Zaaknummer" ma:internalName="Zaaknummer" ma:readOnly="false">
      <xsd:simpleType>
        <xsd:restriction base="dms:Text"/>
      </xsd:simpleType>
    </xsd:element>
    <xsd:element name="Registratienummer" ma:index="34" nillable="true" ma:displayName="Registratienummer" ma:internalName="Registratienummer" ma:readOnly="false">
      <xsd:simpleType>
        <xsd:restriction base="dms:Text"/>
      </xsd:simpleType>
    </xsd:element>
    <xsd:element name="TaxCatchAllLabel" ma:index="36" nillable="true" ma:displayName="Taxonomy Catch All Column1" ma:hidden="true" ma:list="{2e1d81a1-7835-418f-951e-0ba8c315fc07}" ma:internalName="TaxCatchAllLabel" ma:readOnly="true" ma:showField="CatchAllDataLabel" ma:web="f46de88a-a7a7-4258-812b-100abda7f277">
      <xsd:complexType>
        <xsd:complexContent>
          <xsd:extension base="dms:MultiChoiceLookup">
            <xsd:sequence>
              <xsd:element name="Value" type="dms:Lookup" maxOccurs="unbounded" minOccurs="0" nillable="true"/>
            </xsd:sequence>
          </xsd:extension>
        </xsd:complexContent>
      </xsd:complexType>
    </xsd:element>
    <xsd:element name="DocumenttypeHTField0" ma:index="38" nillable="true" ma:taxonomy="true" ma:internalName="DocumenttypeTaxHTField0" ma:taxonomyFieldName="Documenttype" ma:displayName="Document type" ma:indexed="tru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element name="ToezichtstaakHTField0" ma:index="39"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TaxCatchAll" ma:index="40" nillable="true" ma:displayName="Taxonomy Catch All Column" ma:hidden="true" ma:list="{2e1d81a1-7835-418f-951e-0ba8c315fc07}" ma:internalName="TaxCatchAll" ma:showField="CatchAllData" ma:web="f46de88a-a7a7-4258-812b-100abda7f277">
      <xsd:complexType>
        <xsd:complexContent>
          <xsd:extension base="dms:MultiChoiceLookup">
            <xsd:sequence>
              <xsd:element name="Value" type="dms:Lookup" maxOccurs="unbounded" minOccurs="0" nillable="true"/>
            </xsd:sequence>
          </xsd:extension>
        </xsd:complexContent>
      </xsd:complexType>
    </xsd:element>
    <xsd:element name="KanaalHTField0" ma:index="41"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43"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TaxKeywordTaxHTField" ma:index="45"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ProcesHTField0" ma:index="48" nillable="true" ma:taxonomy="true" ma:internalName="ProcesTaxHTField0" ma:taxonomyFieldName="Proces" ma:displayName="Proces" ma:indexed="true"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6de88a-a7a7-4258-812b-100abda7f277" elementFormDefault="qualified">
    <xsd:import namespace="http://schemas.microsoft.com/office/2006/documentManagement/types"/>
    <xsd:import namespace="http://schemas.microsoft.com/office/infopath/2007/PartnerControls"/>
    <xsd:element name="_dlc_DocId" ma:index="50" nillable="true" ma:displayName="Waarde van de document-id" ma:description="De waarde van de document-id die aan dit item is toegewezen." ma:internalName="_dlc_DocId" ma:readOnly="true">
      <xsd:simpleType>
        <xsd:restriction base="dms:Text"/>
      </xsd:simpleType>
    </xsd:element>
    <xsd:element name="_dlc_DocIdUrl" ma:index="5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2"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4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003179F0876C424676AC6F62DFF7F73A17"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Value>6</Value>
      <Value>4</Value>
      <Value>1</Value>
      <Value>7</Value>
    </TaxCatchAll>
    <OrigineleLLLocatie xmlns="936c9f6d-703f-4492-b10b-5967c53212d1" xsi:nil="true"/>
    <OrigineleLLObjectId xmlns="936c9f6d-703f-4492-b10b-5967c53212d1">100082945</OrigineleLLObjectId>
    <Relatienummer xmlns="936c9f6d-703f-4492-b10b-5967c53212d1">BHM180</Relatienummer>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Vergunningnummer</vergunningnummer>
    <OmschrijvingNote xmlns="936c9f6d-703f-4492-b10b-5967c53212d1" xsi:nil="true"/>
    <Betreft xmlns="936c9f6d-703f-4492-b10b-5967c53212d1" xsi:nil="true"/>
    <OrganisatieonderdeelHTField0 xmlns="936c9f6d-703f-4492-b10b-5967c53212d1">
      <Terms xmlns="http://schemas.microsoft.com/office/infopath/2007/PartnerControls">
        <TermInfo xmlns="http://schemas.microsoft.com/office/infopath/2007/PartnerControls">
          <TermName xmlns="http://schemas.microsoft.com/office/infopath/2007/PartnerControls">DIV</TermName>
          <TermId xmlns="http://schemas.microsoft.com/office/infopath/2007/PartnerControls">60ad375a-4acb-46c1-99e9-7f617816c991</TermId>
        </TermInfo>
      </Term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TermInfo xmlns="http://schemas.microsoft.com/office/infopath/2007/PartnerControls">
          <TermName xmlns="http://schemas.microsoft.com/office/infopath/2007/PartnerControls">Overig</TermName>
          <TermId xmlns="http://schemas.microsoft.com/office/infopath/2007/PartnerControls">5aa7adaa-1cd8-457e-83a9-f1693cd8f63f</TermId>
        </TermInfo>
      </Term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28420</Debiteurnummer>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TermInfo xmlns="http://schemas.microsoft.com/office/infopath/2007/PartnerControls">
          <TermName xmlns="http://schemas.microsoft.com/office/infopath/2007/PartnerControls">Loket</TermName>
          <TermId xmlns="http://schemas.microsoft.com/office/infopath/2007/PartnerControls">2d658804-9364-49db-8388-b19b0f75bc5e</TermId>
        </TermInfo>
      </Terms>
    </KanaalHTField0>
    <_dlc_DocId xmlns="f46de88a-a7a7-4258-812b-100abda7f277">BHM180-2-1074</_dlc_DocId>
    <_dlc_DocIdUrl xmlns="f46de88a-a7a7-4258-812b-100abda7f277">
      <Url>http://dms.stelan.nl/instellingen/BHM180/_layouts/15/DocIdRedir.aspx?ID=BHM180-2-1074</Url>
      <Description>BHM180-2-1074</Description>
    </_dlc_DocIdUrl>
    <Scandatum xmlns="936c9f6d-703f-4492-b10b-5967c53212d1">2018-05-16T05:02:54+00:00</Scandatum>
    <Afzender xmlns="936c9f6d-703f-4492-b10b-5967c53212d1">TIE Kinetix N.V.</Afzender>
    <Registratienummer xmlns="936c9f6d-703f-4492-b10b-5967c53212d1">33721</Registratienummer>
    <Behandelaar xmlns="936c9f6d-703f-4492-b10b-5967c53212d1">Michiel Wolfswinkel - michiel.wolfswinkel@tiekinetix.com</Behandelaar>
    <Documentalist xmlns="936c9f6d-703f-4492-b10b-5967c53212d1">Loket - Elektronische Post</Documentalist>
    <AssignedTo xmlns="http://schemas.microsoft.com/sharepoint/v3">
      <UserInfo>
        <DisplayName/>
        <AccountId xsi:nil="true"/>
        <AccountType/>
      </UserInfo>
    </AssignedTo>
    <Zaaknummer xmlns="936c9f6d-703f-4492-b10b-5967c53212d1" xsi:nil="true"/>
    <OrigineleBestandsnaam xmlns="936c9f6d-703f-4492-b10b-5967c53212d1" xsi:nil="true"/>
  </documentManagement>
</p:properties>
</file>

<file path=customXml/itemProps1.xml><?xml version="1.0" encoding="utf-8"?>
<ds:datastoreItem xmlns:ds="http://schemas.openxmlformats.org/officeDocument/2006/customXml" ds:itemID="{B3C1F7EA-7170-417E-B54B-A681418CF79D}">
  <ds:schemaRefs>
    <ds:schemaRef ds:uri="http://schemas.openxmlformats.org/officeDocument/2006/bibliography"/>
  </ds:schemaRefs>
</ds:datastoreItem>
</file>

<file path=customXml/itemProps2.xml><?xml version="1.0" encoding="utf-8"?>
<ds:datastoreItem xmlns:ds="http://schemas.openxmlformats.org/officeDocument/2006/customXml" ds:itemID="{FA125367-BD75-42F4-ADCF-C54707AF0541}"/>
</file>

<file path=customXml/itemProps3.xml><?xml version="1.0" encoding="utf-8"?>
<ds:datastoreItem xmlns:ds="http://schemas.openxmlformats.org/officeDocument/2006/customXml" ds:itemID="{B4F2B496-1158-4707-9D2E-781E26038E7B}"/>
</file>

<file path=customXml/itemProps4.xml><?xml version="1.0" encoding="utf-8"?>
<ds:datastoreItem xmlns:ds="http://schemas.openxmlformats.org/officeDocument/2006/customXml" ds:itemID="{B5850E8C-6872-4205-B2E4-483C643A6D11}"/>
</file>

<file path=customXml/itemProps5.xml><?xml version="1.0" encoding="utf-8"?>
<ds:datastoreItem xmlns:ds="http://schemas.openxmlformats.org/officeDocument/2006/customXml" ds:itemID="{C5E790AD-986E-4A6A-8680-EEEACB48CF34}"/>
</file>

<file path=customXml/itemProps6.xml><?xml version="1.0" encoding="utf-8"?>
<ds:datastoreItem xmlns:ds="http://schemas.openxmlformats.org/officeDocument/2006/customXml" ds:itemID="{F01C13CB-C7BB-44C2-9613-D6494F6C880A}"/>
</file>

<file path=customXml/itemProps7.xml><?xml version="1.0" encoding="utf-8"?>
<ds:datastoreItem xmlns:ds="http://schemas.openxmlformats.org/officeDocument/2006/customXml" ds:itemID="{F90B5FD7-A1AC-47CD-B6ED-01174F1E9180}"/>
</file>

<file path=docProps/app.xml><?xml version="1.0" encoding="utf-8"?>
<Properties xmlns="http://schemas.openxmlformats.org/officeDocument/2006/extended-properties" xmlns:vt="http://schemas.openxmlformats.org/officeDocument/2006/docPropsVTypes">
  <Template>Normal</Template>
  <TotalTime>2</TotalTime>
  <Pages>14</Pages>
  <Words>2632</Words>
  <Characters>14478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Parentix B.V.</Company>
  <LinksUpToDate>false</LinksUpToDate>
  <CharactersWithSpaces>17076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33721_Press Release TIE Kinetix NV interim consolidated financial statements first half year 2018.docx</dc:title>
  <dc:creator>Michiel Wolfswinkel</dc:creator>
  <cp:lastModifiedBy>Peter Enneking</cp:lastModifiedBy>
  <cp:revision>2</cp:revision>
  <cp:lastPrinted>2018-05-15T12:56:00Z</cp:lastPrinted>
  <dcterms:created xsi:type="dcterms:W3CDTF">2018-05-16T04:56:00Z</dcterms:created>
  <dcterms:modified xsi:type="dcterms:W3CDTF">2018-05-16T04:56:00Z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0x010100AF3C3E63A8E348D0B83574E1B1F453E5003929ED3A8D04456685ACF4C22313EE1B003179F0876C424676AC6F62DFF7F73A1700F5056D1B00EC9342A7BE16B61A7AA798</vt:lpwstr>
  </property>
  <property fmtid="{D5CDD505-2E9C-101B-9397-08002B2CF9AE}" pid="3" name="VertrouwelijkheidTaxHTField0">
    <vt:lpwstr>B - AFM intern|7b7ff21d-0bb8-4cab-b8de-f0e80c0220e6</vt:lpwstr>
  </property>
  <property fmtid="{D5CDD505-2E9C-101B-9397-08002B2CF9AE}" pid="4" name="Proces">
    <vt:lpwstr/>
  </property>
  <property fmtid="{D5CDD505-2E9C-101B-9397-08002B2CF9AE}" pid="5" name="_dlc_DocIdItemGuid">
    <vt:lpwstr>f12a7e13-6ff6-4893-a08e-b97b0717684c</vt:lpwstr>
  </property>
  <property fmtid="{D5CDD505-2E9C-101B-9397-08002B2CF9AE}" pid="6" name="Vertrouwelijkheid">
    <vt:lpwstr>1;#B - AFM intern|7b7ff21d-0bb8-4cab-b8de-f0e80c0220e6</vt:lpwstr>
  </property>
  <property fmtid="{D5CDD505-2E9C-101B-9397-08002B2CF9AE}" pid="7" name="TaxKeyword">
    <vt:lpwstr/>
  </property>
  <property fmtid="{D5CDD505-2E9C-101B-9397-08002B2CF9AE}" pid="8" name="Kanaal">
    <vt:lpwstr>7;#Loket|2d658804-9364-49db-8388-b19b0f75bc5e</vt:lpwstr>
  </property>
  <property fmtid="{D5CDD505-2E9C-101B-9397-08002B2CF9AE}" pid="9" name="Toezichtstaak">
    <vt:lpwstr/>
  </property>
  <property fmtid="{D5CDD505-2E9C-101B-9397-08002B2CF9AE}" pid="10" name="Documenttype">
    <vt:lpwstr>4;#Overig|5aa7adaa-1cd8-457e-83a9-f1693cd8f63f</vt:lpwstr>
  </property>
  <property fmtid="{D5CDD505-2E9C-101B-9397-08002B2CF9AE}" pid="11" name="Organisatieonderdeel">
    <vt:lpwstr>6;#DIV|60ad375a-4acb-46c1-99e9-7f617816c991</vt:lpwstr>
  </property>
</Properties>
</file>