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5315" w14:textId="6A43FA42" w:rsidR="00B40CAE" w:rsidRPr="00B40CAE" w:rsidRDefault="00753ABA" w:rsidP="00753ABA">
      <w:pPr>
        <w:spacing w:before="249" w:line="218" w:lineRule="exact"/>
        <w:textAlignment w:val="baseline"/>
        <w:rPr>
          <w:rFonts w:ascii="Arial" w:eastAsia="Arial" w:hAnsi="Arial"/>
          <w:b/>
          <w:color w:val="000000"/>
          <w:spacing w:val="7"/>
          <w:lang w:val="en-US"/>
        </w:rPr>
      </w:pPr>
      <w:r w:rsidRPr="00B40CAE">
        <w:rPr>
          <w:rFonts w:ascii="Arial" w:eastAsia="Arial" w:hAnsi="Arial"/>
          <w:b/>
          <w:color w:val="000000"/>
          <w:spacing w:val="7"/>
          <w:lang w:val="en-US"/>
        </w:rPr>
        <w:t>COMPANY NUMBER: 94592</w:t>
      </w:r>
    </w:p>
    <w:p w14:paraId="7E6E8B6A" w14:textId="77777777" w:rsidR="00753ABA" w:rsidRPr="00B40CAE" w:rsidRDefault="00753ABA" w:rsidP="00753ABA">
      <w:pPr>
        <w:spacing w:before="247" w:line="218" w:lineRule="exact"/>
        <w:jc w:val="center"/>
        <w:textAlignment w:val="baseline"/>
        <w:rPr>
          <w:rFonts w:ascii="Arial" w:eastAsia="Arial" w:hAnsi="Arial"/>
          <w:b/>
          <w:color w:val="000000"/>
          <w:spacing w:val="4"/>
        </w:rPr>
      </w:pPr>
      <w:r w:rsidRPr="00B40CAE">
        <w:rPr>
          <w:rFonts w:ascii="Arial" w:eastAsia="Arial" w:hAnsi="Arial"/>
          <w:b/>
          <w:color w:val="000000"/>
          <w:spacing w:val="4"/>
          <w:lang w:val="en-US"/>
        </w:rPr>
        <w:t>THE COMPANIES (JERSEY) LAW 1991</w:t>
      </w:r>
    </w:p>
    <w:p w14:paraId="71E74C81" w14:textId="6EA6682B" w:rsidR="00753ABA" w:rsidRPr="00B40CAE" w:rsidRDefault="00B40CAE" w:rsidP="00753ABA">
      <w:pPr>
        <w:spacing w:before="234" w:line="228" w:lineRule="exact"/>
        <w:jc w:val="center"/>
        <w:textAlignment w:val="baseline"/>
        <w:rPr>
          <w:rFonts w:ascii="Arial" w:hAnsi="Arial" w:cs="Arial"/>
          <w:lang w:val="en-US"/>
        </w:rPr>
      </w:pPr>
      <w:r w:rsidRPr="00B40CAE">
        <w:rPr>
          <w:rFonts w:ascii="Arial" w:hAnsi="Arial" w:cs="Arial"/>
          <w:lang w:val="en-US"/>
        </w:rPr>
        <w:t>Registered Company Public</w:t>
      </w:r>
    </w:p>
    <w:p w14:paraId="516ED963" w14:textId="144D8F63" w:rsidR="00753ABA" w:rsidRPr="00B40CAE" w:rsidRDefault="00753ABA" w:rsidP="00753ABA">
      <w:pPr>
        <w:spacing w:before="233" w:line="228" w:lineRule="exact"/>
        <w:jc w:val="center"/>
        <w:textAlignment w:val="baseline"/>
        <w:rPr>
          <w:rFonts w:ascii="Arial" w:hAnsi="Arial" w:cs="Arial"/>
          <w:lang w:val="en-US"/>
        </w:rPr>
      </w:pPr>
      <w:r w:rsidRPr="00B40CAE">
        <w:rPr>
          <w:rFonts w:ascii="Arial" w:hAnsi="Arial" w:cs="Arial"/>
          <w:lang w:val="en-US"/>
        </w:rPr>
        <w:t xml:space="preserve">Special Resolutions </w:t>
      </w:r>
      <w:r w:rsidRPr="00B40CAE">
        <w:rPr>
          <w:rFonts w:ascii="Arial" w:hAnsi="Arial" w:cs="Arial"/>
          <w:lang w:val="en-US"/>
        </w:rPr>
        <w:br/>
        <w:t xml:space="preserve">of </w:t>
      </w:r>
      <w:r w:rsidRPr="00B40CAE">
        <w:rPr>
          <w:rFonts w:ascii="Arial" w:hAnsi="Arial" w:cs="Arial"/>
          <w:lang w:val="en-US"/>
        </w:rPr>
        <w:br/>
        <w:t xml:space="preserve">Aseana Properties Limited </w:t>
      </w:r>
      <w:r w:rsidRPr="00B40CAE">
        <w:rPr>
          <w:rFonts w:ascii="Arial" w:hAnsi="Arial" w:cs="Arial"/>
          <w:lang w:val="en-US"/>
        </w:rPr>
        <w:br/>
        <w:t>(the "Company")</w:t>
      </w:r>
    </w:p>
    <w:p w14:paraId="249693CB" w14:textId="788BF98A" w:rsidR="00753ABA" w:rsidRPr="00B40CAE" w:rsidRDefault="00753ABA" w:rsidP="00753ABA">
      <w:pPr>
        <w:spacing w:before="234" w:line="228" w:lineRule="exact"/>
        <w:jc w:val="center"/>
        <w:textAlignment w:val="baseline"/>
        <w:rPr>
          <w:rFonts w:ascii="Arial" w:hAnsi="Arial" w:cs="Arial"/>
          <w:lang w:val="en-US"/>
        </w:rPr>
      </w:pPr>
      <w:r w:rsidRPr="00B40CAE">
        <w:rPr>
          <w:rFonts w:ascii="Arial" w:hAnsi="Arial" w:cs="Arial"/>
          <w:lang w:val="en-US"/>
        </w:rPr>
        <w:t>Passed on 01 September 2021</w:t>
      </w:r>
    </w:p>
    <w:p w14:paraId="630EE5E9" w14:textId="77777777" w:rsidR="00753ABA" w:rsidRDefault="00753ABA" w:rsidP="00B40CAE">
      <w:pPr>
        <w:rPr>
          <w:rFonts w:ascii="Arial" w:hAnsi="Arial" w:cs="Arial"/>
        </w:rPr>
      </w:pPr>
    </w:p>
    <w:p w14:paraId="7C90E781" w14:textId="7808ACBE" w:rsidR="00753ABA" w:rsidRDefault="00753ABA" w:rsidP="00753ABA">
      <w:pPr>
        <w:ind w:left="284"/>
        <w:rPr>
          <w:rFonts w:ascii="Arial" w:hAnsi="Arial" w:cs="Arial"/>
          <w:lang w:val="en-US"/>
        </w:rPr>
      </w:pPr>
      <w:r w:rsidRPr="00753ABA">
        <w:rPr>
          <w:rFonts w:ascii="Arial" w:hAnsi="Arial" w:cs="Arial"/>
          <w:lang w:val="en-US"/>
        </w:rPr>
        <w:t xml:space="preserve">At the Annual General Meeting of the above named Company, duly convened and held at 12 Castle Street, St Helier, Jersey JE2 3RT on </w:t>
      </w:r>
      <w:r>
        <w:rPr>
          <w:rFonts w:ascii="Arial" w:hAnsi="Arial" w:cs="Arial"/>
          <w:lang w:val="en-US"/>
        </w:rPr>
        <w:t xml:space="preserve">01 September </w:t>
      </w:r>
      <w:r w:rsidRPr="00753ABA">
        <w:rPr>
          <w:rFonts w:ascii="Arial" w:hAnsi="Arial" w:cs="Arial"/>
          <w:lang w:val="en-US"/>
        </w:rPr>
        <w:t xml:space="preserve">2021 at </w:t>
      </w:r>
      <w:r w:rsidR="00B40CAE">
        <w:rPr>
          <w:rFonts w:ascii="Arial" w:hAnsi="Arial" w:cs="Arial"/>
          <w:lang w:val="en-US"/>
        </w:rPr>
        <w:t>10</w:t>
      </w:r>
      <w:r w:rsidRPr="00753ABA">
        <w:rPr>
          <w:rFonts w:ascii="Arial" w:hAnsi="Arial" w:cs="Arial"/>
          <w:lang w:val="en-US"/>
        </w:rPr>
        <w:t>:</w:t>
      </w:r>
      <w:r w:rsidR="00B40CAE">
        <w:rPr>
          <w:rFonts w:ascii="Arial" w:hAnsi="Arial" w:cs="Arial"/>
          <w:lang w:val="en-US"/>
        </w:rPr>
        <w:t>00</w:t>
      </w:r>
      <w:r w:rsidRPr="00753ABA">
        <w:rPr>
          <w:rFonts w:ascii="Arial" w:hAnsi="Arial" w:cs="Arial"/>
          <w:lang w:val="en-US"/>
        </w:rPr>
        <w:t xml:space="preserve">am, the following Special Resolutions were duly passed: - </w:t>
      </w:r>
    </w:p>
    <w:p w14:paraId="0766C2A8" w14:textId="77777777" w:rsidR="00753ABA" w:rsidRPr="00753ABA" w:rsidRDefault="00753ABA" w:rsidP="00753ABA">
      <w:pPr>
        <w:ind w:left="284"/>
        <w:rPr>
          <w:rFonts w:ascii="Arial" w:hAnsi="Arial" w:cs="Arial"/>
          <w:lang w:val="en-US"/>
        </w:rPr>
      </w:pPr>
    </w:p>
    <w:p w14:paraId="5E0E465C" w14:textId="77777777" w:rsidR="00753ABA" w:rsidRPr="00753ABA" w:rsidRDefault="00753ABA" w:rsidP="00753ABA">
      <w:pPr>
        <w:ind w:left="284"/>
        <w:rPr>
          <w:rFonts w:ascii="Arial" w:hAnsi="Arial" w:cs="Arial"/>
          <w:b/>
          <w:lang w:val="en-US"/>
        </w:rPr>
      </w:pPr>
      <w:r w:rsidRPr="00753ABA">
        <w:rPr>
          <w:rFonts w:ascii="Arial" w:hAnsi="Arial" w:cs="Arial"/>
          <w:b/>
          <w:lang w:val="en-US"/>
        </w:rPr>
        <w:t>SPECIAL RESOLUTIONS</w:t>
      </w:r>
    </w:p>
    <w:p w14:paraId="4ED9FEC2" w14:textId="77777777" w:rsidR="00A65BC4" w:rsidRDefault="00A65BC4" w:rsidP="00A65BC4">
      <w:pPr>
        <w:ind w:left="284"/>
        <w:rPr>
          <w:rFonts w:ascii="Arial" w:hAnsi="Arial" w:cs="Arial"/>
          <w:b/>
          <w:bCs/>
        </w:rPr>
      </w:pPr>
    </w:p>
    <w:p w14:paraId="1C0F2701" w14:textId="77777777" w:rsidR="00A65BC4" w:rsidRDefault="00A65BC4" w:rsidP="00A65BC4">
      <w:pPr>
        <w:numPr>
          <w:ilvl w:val="0"/>
          <w:numId w:val="1"/>
        </w:numPr>
        <w:autoSpaceDN w:val="0"/>
        <w:spacing w:after="240" w:line="280" w:lineRule="atLeast"/>
        <w:jc w:val="both"/>
        <w:rPr>
          <w:rFonts w:ascii="Arial" w:hAnsi="Arial" w:cs="Arial"/>
        </w:rPr>
      </w:pPr>
      <w:r>
        <w:rPr>
          <w:rFonts w:ascii="Arial" w:hAnsi="Arial" w:cs="Arial"/>
        </w:rPr>
        <w:t>THAT the Company be and is hereby generally and unconditionally authorised for the purposes of Articles 55 and 57 of the Companies (Jersey) Law 1991 (as amended) to make one or more purchases on the Main Market operated by the London Stock Exchange plc, of its own Ordinary Shares provided that:</w:t>
      </w:r>
    </w:p>
    <w:p w14:paraId="0C5812A1" w14:textId="77777777" w:rsidR="00A65BC4" w:rsidRDefault="00A65BC4" w:rsidP="00A65BC4">
      <w:pPr>
        <w:spacing w:after="240" w:line="280" w:lineRule="atLeast"/>
        <w:ind w:left="1985" w:hanging="709"/>
        <w:rPr>
          <w:rFonts w:ascii="Arial" w:hAnsi="Arial" w:cs="Arial"/>
        </w:rPr>
      </w:pPr>
      <w:r>
        <w:rPr>
          <w:rFonts w:ascii="Arial" w:hAnsi="Arial" w:cs="Arial"/>
        </w:rPr>
        <w:t>(a)       the maximum aggregate number of Ordinary Shares hereby authorised to be purchased is 29,783,780 (representing approximately 14.99 per cent. of the Company’s issued ordinary share capital (excluding ordinary shares held in treasury));</w:t>
      </w:r>
    </w:p>
    <w:p w14:paraId="29CF65FC" w14:textId="77777777" w:rsidR="00A65BC4" w:rsidRDefault="00A65BC4" w:rsidP="00A65BC4">
      <w:pPr>
        <w:spacing w:after="240" w:line="280" w:lineRule="atLeast"/>
        <w:ind w:left="1985" w:hanging="709"/>
        <w:rPr>
          <w:rFonts w:ascii="Arial" w:hAnsi="Arial" w:cs="Arial"/>
        </w:rPr>
      </w:pPr>
      <w:r>
        <w:rPr>
          <w:rFonts w:ascii="Arial" w:hAnsi="Arial" w:cs="Arial"/>
        </w:rPr>
        <w:t>(b)       unless a tender offer is made to all holders of Ordinary Shares, the maximum price to be paid per Ordinary Share must not be more than the higher of:</w:t>
      </w:r>
    </w:p>
    <w:p w14:paraId="14883091" w14:textId="77777777" w:rsidR="00A65BC4" w:rsidRDefault="00A65BC4" w:rsidP="00A65BC4">
      <w:pPr>
        <w:numPr>
          <w:ilvl w:val="2"/>
          <w:numId w:val="2"/>
        </w:numPr>
        <w:autoSpaceDN w:val="0"/>
        <w:spacing w:after="240" w:line="280" w:lineRule="atLeast"/>
        <w:ind w:left="2552" w:hanging="284"/>
        <w:jc w:val="both"/>
        <w:rPr>
          <w:rFonts w:ascii="Arial" w:hAnsi="Arial" w:cs="Arial"/>
        </w:rPr>
      </w:pPr>
      <w:r>
        <w:rPr>
          <w:rFonts w:ascii="Arial" w:hAnsi="Arial" w:cs="Arial"/>
        </w:rPr>
        <w:t>105 per cent. of the average of the middle market quotations for an Ordinary Share taken from the London Stock Exchange’s Main Market for listed securities for the five Business Days immediately preceding the date of repurchase; or</w:t>
      </w:r>
    </w:p>
    <w:p w14:paraId="47BBF11C" w14:textId="77777777" w:rsidR="00A65BC4" w:rsidRDefault="00A65BC4" w:rsidP="00A65BC4">
      <w:pPr>
        <w:numPr>
          <w:ilvl w:val="2"/>
          <w:numId w:val="2"/>
        </w:numPr>
        <w:autoSpaceDN w:val="0"/>
        <w:spacing w:after="240" w:line="280" w:lineRule="atLeast"/>
        <w:ind w:left="2552" w:hanging="284"/>
        <w:jc w:val="both"/>
        <w:rPr>
          <w:rFonts w:ascii="Arial" w:hAnsi="Arial" w:cs="Arial"/>
        </w:rPr>
      </w:pPr>
      <w:r>
        <w:rPr>
          <w:rFonts w:ascii="Arial" w:hAnsi="Arial" w:cs="Arial"/>
        </w:rPr>
        <w:t>that stipulated by the regulatory technical standards adopted by the EU pursuant to the Market Abuse Regulation from time to time;</w:t>
      </w:r>
    </w:p>
    <w:p w14:paraId="101D8F20" w14:textId="77777777" w:rsidR="00A65BC4" w:rsidRDefault="00A65BC4" w:rsidP="00A65BC4">
      <w:pPr>
        <w:numPr>
          <w:ilvl w:val="0"/>
          <w:numId w:val="3"/>
        </w:numPr>
        <w:autoSpaceDN w:val="0"/>
        <w:spacing w:after="240" w:line="280" w:lineRule="atLeast"/>
        <w:jc w:val="both"/>
        <w:rPr>
          <w:rFonts w:ascii="Arial" w:hAnsi="Arial" w:cs="Arial"/>
        </w:rPr>
      </w:pPr>
      <w:r>
        <w:rPr>
          <w:rFonts w:ascii="Arial" w:hAnsi="Arial" w:cs="Arial"/>
        </w:rPr>
        <w:t>unless otherwise renewed, varied or revoked, the authority hereby conferred shall expire 12 months from the date of passing of this resolution; and</w:t>
      </w:r>
    </w:p>
    <w:p w14:paraId="59086AD5" w14:textId="77777777" w:rsidR="00A65BC4" w:rsidRDefault="00A65BC4" w:rsidP="00A65BC4">
      <w:pPr>
        <w:numPr>
          <w:ilvl w:val="0"/>
          <w:numId w:val="4"/>
        </w:numPr>
        <w:autoSpaceDN w:val="0"/>
        <w:spacing w:after="240" w:line="280" w:lineRule="atLeast"/>
        <w:ind w:left="1985" w:hanging="709"/>
        <w:jc w:val="both"/>
        <w:rPr>
          <w:rFonts w:ascii="Arial" w:hAnsi="Arial" w:cs="Arial"/>
        </w:rPr>
      </w:pPr>
      <w:r>
        <w:rPr>
          <w:rFonts w:ascii="Arial" w:hAnsi="Arial" w:cs="Arial"/>
        </w:rPr>
        <w:t>the Company may make a contract or contracts to purchase the Ordinary Shares under the authority hereby conferred prior to the expiry of such authority which will or may be executed wholly or partly after the expiry of such authority and may make a purchase of the Ordinary Shares in pursuance of any such contract or contracts.</w:t>
      </w:r>
    </w:p>
    <w:p w14:paraId="32F74DAA" w14:textId="77777777" w:rsidR="00A65BC4" w:rsidRDefault="00A65BC4" w:rsidP="00A65BC4">
      <w:pPr>
        <w:numPr>
          <w:ilvl w:val="0"/>
          <w:numId w:val="1"/>
        </w:numPr>
        <w:autoSpaceDN w:val="0"/>
        <w:spacing w:after="240" w:line="280" w:lineRule="atLeast"/>
        <w:ind w:left="1276"/>
        <w:jc w:val="both"/>
        <w:rPr>
          <w:rFonts w:ascii="Arial" w:hAnsi="Arial" w:cs="Arial"/>
        </w:rPr>
      </w:pPr>
      <w:r>
        <w:rPr>
          <w:rFonts w:ascii="Arial" w:hAnsi="Arial" w:cs="Arial"/>
        </w:rPr>
        <w:lastRenderedPageBreak/>
        <w:t>THAT, subject to the provisions of its Articles of Association, the Company be and is hereby generally and unconditionally authorised for the purposes of Article 58A of the Companies (Jersey) Law 1991 (as amended) to hold any Ordinary Shares repurchased under the share buyback authority set out above as treasury shares provided that:</w:t>
      </w:r>
    </w:p>
    <w:p w14:paraId="546B35E5" w14:textId="77777777" w:rsidR="00A65BC4" w:rsidRDefault="00A65BC4" w:rsidP="00A65BC4">
      <w:pPr>
        <w:numPr>
          <w:ilvl w:val="1"/>
          <w:numId w:val="4"/>
        </w:numPr>
        <w:autoSpaceDN w:val="0"/>
        <w:spacing w:after="240" w:line="280" w:lineRule="atLeast"/>
        <w:ind w:left="1985" w:hanging="709"/>
        <w:jc w:val="both"/>
        <w:rPr>
          <w:rFonts w:ascii="Arial" w:hAnsi="Arial" w:cs="Arial"/>
        </w:rPr>
      </w:pPr>
      <w:r>
        <w:rPr>
          <w:rFonts w:ascii="Arial" w:hAnsi="Arial" w:cs="Arial"/>
        </w:rPr>
        <w:t>the aggregate number of Ordinary Shares held in treasury does not exceed 10 per cent. of the total number of the Ordinary Shares in issue at that time; and</w:t>
      </w:r>
    </w:p>
    <w:p w14:paraId="081F5C9B" w14:textId="5725237C" w:rsidR="00A301FD" w:rsidRDefault="00A65BC4" w:rsidP="00D37D0E">
      <w:pPr>
        <w:numPr>
          <w:ilvl w:val="1"/>
          <w:numId w:val="4"/>
        </w:numPr>
        <w:autoSpaceDN w:val="0"/>
        <w:spacing w:after="240" w:line="280" w:lineRule="atLeast"/>
        <w:ind w:left="1985" w:hanging="709"/>
        <w:jc w:val="both"/>
      </w:pPr>
      <w:r w:rsidRPr="00A65BC4">
        <w:rPr>
          <w:rFonts w:ascii="Arial" w:hAnsi="Arial" w:cs="Arial"/>
        </w:rPr>
        <w:t>any treasury shares held by the Company will have the rights and be subject to the restrictions set out under Article 58A of the Companies (Jersey) Law 1991 (as amended).</w:t>
      </w:r>
    </w:p>
    <w:sectPr w:rsidR="00A30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48FE"/>
    <w:multiLevelType w:val="hybridMultilevel"/>
    <w:tmpl w:val="24149E4E"/>
    <w:lvl w:ilvl="0" w:tplc="1FCE7D90">
      <w:start w:val="500"/>
      <w:numFmt w:val="lowerRoman"/>
      <w:lvlText w:val="(%1)"/>
      <w:lvlJc w:val="left"/>
      <w:pPr>
        <w:ind w:left="1080" w:hanging="720"/>
      </w:pPr>
    </w:lvl>
    <w:lvl w:ilvl="1" w:tplc="830A8EF8">
      <w:start w:val="1"/>
      <w:numFmt w:val="lowerLetter"/>
      <w:lvlText w:val="(%2)"/>
      <w:lvlJc w:val="left"/>
      <w:pPr>
        <w:ind w:left="1440" w:hanging="360"/>
      </w:pPr>
      <w:rPr>
        <w:rFonts w:ascii="Arial" w:eastAsia="Times New Roman" w:hAnsi="Arial" w:cs="Arial"/>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3FB83366"/>
    <w:multiLevelType w:val="hybridMultilevel"/>
    <w:tmpl w:val="8768001A"/>
    <w:lvl w:ilvl="0" w:tplc="01FEE37C">
      <w:start w:val="100"/>
      <w:numFmt w:val="lowerRoman"/>
      <w:lvlText w:val="(%1)"/>
      <w:lvlJc w:val="left"/>
      <w:pPr>
        <w:ind w:left="1996" w:hanging="720"/>
      </w:pPr>
    </w:lvl>
    <w:lvl w:ilvl="1" w:tplc="44090019">
      <w:start w:val="1"/>
      <w:numFmt w:val="lowerLetter"/>
      <w:lvlText w:val="%2."/>
      <w:lvlJc w:val="left"/>
      <w:pPr>
        <w:ind w:left="2356" w:hanging="360"/>
      </w:pPr>
    </w:lvl>
    <w:lvl w:ilvl="2" w:tplc="4409001B">
      <w:start w:val="1"/>
      <w:numFmt w:val="lowerRoman"/>
      <w:lvlText w:val="%3."/>
      <w:lvlJc w:val="right"/>
      <w:pPr>
        <w:ind w:left="3076" w:hanging="180"/>
      </w:pPr>
    </w:lvl>
    <w:lvl w:ilvl="3" w:tplc="4409000F">
      <w:start w:val="1"/>
      <w:numFmt w:val="decimal"/>
      <w:lvlText w:val="%4."/>
      <w:lvlJc w:val="left"/>
      <w:pPr>
        <w:ind w:left="3796" w:hanging="360"/>
      </w:pPr>
    </w:lvl>
    <w:lvl w:ilvl="4" w:tplc="44090019">
      <w:start w:val="1"/>
      <w:numFmt w:val="lowerLetter"/>
      <w:lvlText w:val="%5."/>
      <w:lvlJc w:val="left"/>
      <w:pPr>
        <w:ind w:left="4516" w:hanging="360"/>
      </w:pPr>
    </w:lvl>
    <w:lvl w:ilvl="5" w:tplc="4409001B">
      <w:start w:val="1"/>
      <w:numFmt w:val="lowerRoman"/>
      <w:lvlText w:val="%6."/>
      <w:lvlJc w:val="right"/>
      <w:pPr>
        <w:ind w:left="5236" w:hanging="180"/>
      </w:pPr>
    </w:lvl>
    <w:lvl w:ilvl="6" w:tplc="4409000F">
      <w:start w:val="1"/>
      <w:numFmt w:val="decimal"/>
      <w:lvlText w:val="%7."/>
      <w:lvlJc w:val="left"/>
      <w:pPr>
        <w:ind w:left="5956" w:hanging="360"/>
      </w:pPr>
    </w:lvl>
    <w:lvl w:ilvl="7" w:tplc="44090019">
      <w:start w:val="1"/>
      <w:numFmt w:val="lowerLetter"/>
      <w:lvlText w:val="%8."/>
      <w:lvlJc w:val="left"/>
      <w:pPr>
        <w:ind w:left="6676" w:hanging="360"/>
      </w:pPr>
    </w:lvl>
    <w:lvl w:ilvl="8" w:tplc="4409001B">
      <w:start w:val="1"/>
      <w:numFmt w:val="lowerRoman"/>
      <w:lvlText w:val="%9."/>
      <w:lvlJc w:val="right"/>
      <w:pPr>
        <w:ind w:left="7396" w:hanging="180"/>
      </w:pPr>
    </w:lvl>
  </w:abstractNum>
  <w:abstractNum w:abstractNumId="2" w15:restartNumberingAfterBreak="0">
    <w:nsid w:val="73073735"/>
    <w:multiLevelType w:val="hybridMultilevel"/>
    <w:tmpl w:val="C2BAEDBE"/>
    <w:lvl w:ilvl="0" w:tplc="FC0AAAB0">
      <w:start w:val="1"/>
      <w:numFmt w:val="decimal"/>
      <w:lvlText w:val="%1."/>
      <w:lvlJc w:val="left"/>
      <w:pPr>
        <w:tabs>
          <w:tab w:val="num" w:pos="1872"/>
        </w:tabs>
        <w:ind w:left="1872" w:hanging="576"/>
      </w:pPr>
      <w:rPr>
        <w:strike w:val="0"/>
        <w:dstrike w:val="0"/>
        <w:color w:val="auto"/>
        <w:u w:val="none"/>
        <w:effect w:val="none"/>
      </w:rPr>
    </w:lvl>
    <w:lvl w:ilvl="1" w:tplc="DF44E300">
      <w:start w:val="1"/>
      <w:numFmt w:val="lowerRoman"/>
      <w:lvlText w:val="(%2)"/>
      <w:lvlJc w:val="left"/>
      <w:pPr>
        <w:tabs>
          <w:tab w:val="num" w:pos="2160"/>
        </w:tabs>
        <w:ind w:left="2160" w:hanging="288"/>
      </w:pPr>
    </w:lvl>
    <w:lvl w:ilvl="2" w:tplc="2C4CD124">
      <w:start w:val="1"/>
      <w:numFmt w:val="lowerRoman"/>
      <w:lvlText w:val="(%3)"/>
      <w:lvlJc w:val="right"/>
      <w:pPr>
        <w:tabs>
          <w:tab w:val="num" w:pos="3456"/>
        </w:tabs>
        <w:ind w:left="3456" w:hanging="180"/>
      </w:pPr>
      <w:rPr>
        <w:rFonts w:ascii="Arial" w:eastAsia="Times New Roman" w:hAnsi="Arial" w:cs="Arial"/>
      </w:r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start w:val="1"/>
      <w:numFmt w:val="lowerRoman"/>
      <w:lvlText w:val="%6."/>
      <w:lvlJc w:val="right"/>
      <w:pPr>
        <w:tabs>
          <w:tab w:val="num" w:pos="5616"/>
        </w:tabs>
        <w:ind w:left="5616" w:hanging="180"/>
      </w:pPr>
    </w:lvl>
    <w:lvl w:ilvl="6" w:tplc="0409000F">
      <w:start w:val="1"/>
      <w:numFmt w:val="decimal"/>
      <w:lvlText w:val="%7."/>
      <w:lvlJc w:val="left"/>
      <w:pPr>
        <w:tabs>
          <w:tab w:val="num" w:pos="6336"/>
        </w:tabs>
        <w:ind w:left="6336" w:hanging="360"/>
      </w:pPr>
    </w:lvl>
    <w:lvl w:ilvl="7" w:tplc="04090019">
      <w:start w:val="1"/>
      <w:numFmt w:val="lowerLetter"/>
      <w:lvlText w:val="%8."/>
      <w:lvlJc w:val="left"/>
      <w:pPr>
        <w:tabs>
          <w:tab w:val="num" w:pos="7056"/>
        </w:tabs>
        <w:ind w:left="7056" w:hanging="360"/>
      </w:pPr>
    </w:lvl>
    <w:lvl w:ilvl="8" w:tplc="0409001B">
      <w:start w:val="1"/>
      <w:numFmt w:val="lowerRoman"/>
      <w:lvlText w:val="%9."/>
      <w:lvlJc w:val="right"/>
      <w:pPr>
        <w:tabs>
          <w:tab w:val="num" w:pos="7776"/>
        </w:tabs>
        <w:ind w:left="7776" w:hanging="180"/>
      </w:pPr>
    </w:lvl>
  </w:abstractNum>
  <w:abstractNum w:abstractNumId="3" w15:restartNumberingAfterBreak="0">
    <w:nsid w:val="768941EC"/>
    <w:multiLevelType w:val="hybridMultilevel"/>
    <w:tmpl w:val="CF4AC5DC"/>
    <w:lvl w:ilvl="0" w:tplc="5298F2D0">
      <w:start w:val="7"/>
      <w:numFmt w:val="decimal"/>
      <w:lvlText w:val="%1."/>
      <w:lvlJc w:val="left"/>
      <w:pPr>
        <w:tabs>
          <w:tab w:val="num" w:pos="1872"/>
        </w:tabs>
        <w:ind w:left="1872" w:hanging="576"/>
      </w:pPr>
      <w:rPr>
        <w:strike w:val="0"/>
        <w:dstrike w:val="0"/>
        <w:color w:val="auto"/>
        <w:u w:val="none"/>
        <w:effect w:val="none"/>
      </w:rPr>
    </w:lvl>
    <w:lvl w:ilvl="1" w:tplc="DF44E300">
      <w:start w:val="1"/>
      <w:numFmt w:val="lowerRoman"/>
      <w:lvlText w:val="(%2)"/>
      <w:lvlJc w:val="left"/>
      <w:pPr>
        <w:tabs>
          <w:tab w:val="num" w:pos="2160"/>
        </w:tabs>
        <w:ind w:left="2160" w:hanging="288"/>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start w:val="1"/>
      <w:numFmt w:val="lowerRoman"/>
      <w:lvlText w:val="%6."/>
      <w:lvlJc w:val="right"/>
      <w:pPr>
        <w:tabs>
          <w:tab w:val="num" w:pos="5616"/>
        </w:tabs>
        <w:ind w:left="5616" w:hanging="180"/>
      </w:pPr>
    </w:lvl>
    <w:lvl w:ilvl="6" w:tplc="0409000F">
      <w:start w:val="1"/>
      <w:numFmt w:val="decimal"/>
      <w:lvlText w:val="%7."/>
      <w:lvlJc w:val="left"/>
      <w:pPr>
        <w:tabs>
          <w:tab w:val="num" w:pos="6336"/>
        </w:tabs>
        <w:ind w:left="6336" w:hanging="360"/>
      </w:pPr>
    </w:lvl>
    <w:lvl w:ilvl="7" w:tplc="04090019">
      <w:start w:val="1"/>
      <w:numFmt w:val="lowerLetter"/>
      <w:lvlText w:val="%8."/>
      <w:lvlJc w:val="left"/>
      <w:pPr>
        <w:tabs>
          <w:tab w:val="num" w:pos="7056"/>
        </w:tabs>
        <w:ind w:left="7056" w:hanging="360"/>
      </w:pPr>
    </w:lvl>
    <w:lvl w:ilvl="8" w:tplc="0409001B">
      <w:start w:val="1"/>
      <w:numFmt w:val="lowerRoman"/>
      <w:lvlText w:val="%9."/>
      <w:lvlJc w:val="right"/>
      <w:pPr>
        <w:tabs>
          <w:tab w:val="num" w:pos="7776"/>
        </w:tabs>
        <w:ind w:left="7776" w:hanging="18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C4"/>
    <w:rsid w:val="000009F7"/>
    <w:rsid w:val="00001DE2"/>
    <w:rsid w:val="0000728E"/>
    <w:rsid w:val="0006392C"/>
    <w:rsid w:val="000A7138"/>
    <w:rsid w:val="000D1014"/>
    <w:rsid w:val="000E05A1"/>
    <w:rsid w:val="000F3352"/>
    <w:rsid w:val="0010281E"/>
    <w:rsid w:val="00134419"/>
    <w:rsid w:val="00140D6E"/>
    <w:rsid w:val="00144A0F"/>
    <w:rsid w:val="00194F74"/>
    <w:rsid w:val="001D24A9"/>
    <w:rsid w:val="001D68A1"/>
    <w:rsid w:val="001F4546"/>
    <w:rsid w:val="002479BB"/>
    <w:rsid w:val="0027729D"/>
    <w:rsid w:val="002A279C"/>
    <w:rsid w:val="002A7968"/>
    <w:rsid w:val="002C36B0"/>
    <w:rsid w:val="00352A8B"/>
    <w:rsid w:val="00353AD2"/>
    <w:rsid w:val="00363672"/>
    <w:rsid w:val="003A7E6B"/>
    <w:rsid w:val="003D0906"/>
    <w:rsid w:val="003F31CB"/>
    <w:rsid w:val="00405208"/>
    <w:rsid w:val="00422449"/>
    <w:rsid w:val="00433322"/>
    <w:rsid w:val="004943A1"/>
    <w:rsid w:val="004B1E46"/>
    <w:rsid w:val="004B33AE"/>
    <w:rsid w:val="004C3DEA"/>
    <w:rsid w:val="004E2E59"/>
    <w:rsid w:val="0053017E"/>
    <w:rsid w:val="0056024E"/>
    <w:rsid w:val="005613A4"/>
    <w:rsid w:val="005631CE"/>
    <w:rsid w:val="00564D93"/>
    <w:rsid w:val="00575404"/>
    <w:rsid w:val="00594C1A"/>
    <w:rsid w:val="005A2BDF"/>
    <w:rsid w:val="005B2974"/>
    <w:rsid w:val="005D39FC"/>
    <w:rsid w:val="005F120D"/>
    <w:rsid w:val="006419F2"/>
    <w:rsid w:val="006674D1"/>
    <w:rsid w:val="006A6BCE"/>
    <w:rsid w:val="00706C30"/>
    <w:rsid w:val="00737D74"/>
    <w:rsid w:val="00753ABA"/>
    <w:rsid w:val="0077292D"/>
    <w:rsid w:val="00774093"/>
    <w:rsid w:val="0078071D"/>
    <w:rsid w:val="0079341C"/>
    <w:rsid w:val="007F2509"/>
    <w:rsid w:val="007F4017"/>
    <w:rsid w:val="007F4869"/>
    <w:rsid w:val="00807CFF"/>
    <w:rsid w:val="00815D82"/>
    <w:rsid w:val="008341D5"/>
    <w:rsid w:val="00852626"/>
    <w:rsid w:val="0085788E"/>
    <w:rsid w:val="008837CD"/>
    <w:rsid w:val="008A7FD5"/>
    <w:rsid w:val="008E0971"/>
    <w:rsid w:val="0090576A"/>
    <w:rsid w:val="0091423B"/>
    <w:rsid w:val="00941FFA"/>
    <w:rsid w:val="00947BB2"/>
    <w:rsid w:val="00956103"/>
    <w:rsid w:val="00957562"/>
    <w:rsid w:val="00966315"/>
    <w:rsid w:val="009710B6"/>
    <w:rsid w:val="00974F05"/>
    <w:rsid w:val="00A02993"/>
    <w:rsid w:val="00A11467"/>
    <w:rsid w:val="00A2088A"/>
    <w:rsid w:val="00A301FD"/>
    <w:rsid w:val="00A45860"/>
    <w:rsid w:val="00A46290"/>
    <w:rsid w:val="00A543BA"/>
    <w:rsid w:val="00A549D1"/>
    <w:rsid w:val="00A654A4"/>
    <w:rsid w:val="00A65BC4"/>
    <w:rsid w:val="00A71FF0"/>
    <w:rsid w:val="00A800EB"/>
    <w:rsid w:val="00A80CD7"/>
    <w:rsid w:val="00A86A66"/>
    <w:rsid w:val="00AB28E4"/>
    <w:rsid w:val="00AB3347"/>
    <w:rsid w:val="00AB4546"/>
    <w:rsid w:val="00AE6D95"/>
    <w:rsid w:val="00B0118F"/>
    <w:rsid w:val="00B26ECD"/>
    <w:rsid w:val="00B40CAE"/>
    <w:rsid w:val="00B910ED"/>
    <w:rsid w:val="00BC36CB"/>
    <w:rsid w:val="00BC6FC0"/>
    <w:rsid w:val="00BF6946"/>
    <w:rsid w:val="00C32B89"/>
    <w:rsid w:val="00C450C0"/>
    <w:rsid w:val="00C71376"/>
    <w:rsid w:val="00C8489A"/>
    <w:rsid w:val="00CA1588"/>
    <w:rsid w:val="00CA20EE"/>
    <w:rsid w:val="00CA3040"/>
    <w:rsid w:val="00CC78F9"/>
    <w:rsid w:val="00CE477B"/>
    <w:rsid w:val="00D13E6D"/>
    <w:rsid w:val="00D41113"/>
    <w:rsid w:val="00D914FF"/>
    <w:rsid w:val="00DA1117"/>
    <w:rsid w:val="00DD40B0"/>
    <w:rsid w:val="00E143F2"/>
    <w:rsid w:val="00E20D53"/>
    <w:rsid w:val="00E450E0"/>
    <w:rsid w:val="00E46E1E"/>
    <w:rsid w:val="00E932A5"/>
    <w:rsid w:val="00EB2605"/>
    <w:rsid w:val="00ED4F27"/>
    <w:rsid w:val="00EE0892"/>
    <w:rsid w:val="00EF5178"/>
    <w:rsid w:val="00EF581A"/>
    <w:rsid w:val="00FB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15FC"/>
  <w15:chartTrackingRefBased/>
  <w15:docId w15:val="{26CA7F59-4FA4-4CA2-9A64-2AEF95AE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2228</Characters>
  <Application>Microsoft Office Word</Application>
  <DocSecurity>4</DocSecurity>
  <Lines>18</Lines>
  <Paragraphs>5</Paragraphs>
  <ScaleCrop>false</ScaleCrop>
  <Company>Apex Group</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Chris</dc:creator>
  <cp:keywords/>
  <dc:description/>
  <cp:lastModifiedBy>Gill, Chris</cp:lastModifiedBy>
  <cp:revision>2</cp:revision>
  <cp:lastPrinted>2021-09-08T10:06:00Z</cp:lastPrinted>
  <dcterms:created xsi:type="dcterms:W3CDTF">2021-09-08T10:25:00Z</dcterms:created>
  <dcterms:modified xsi:type="dcterms:W3CDTF">2021-09-08T10:25:00Z</dcterms:modified>
</cp:coreProperties>
</file>