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1B88F" w14:textId="56442DBF" w:rsidR="00CC1AB0" w:rsidRPr="00FA233D" w:rsidRDefault="00EA0535" w:rsidP="00FA233D">
      <w:pPr>
        <w:pStyle w:val="Default"/>
        <w:rPr>
          <w:rFonts w:ascii="Arial" w:hAnsi="Arial" w:cs="Arial"/>
          <w:sz w:val="20"/>
          <w:szCs w:val="20"/>
        </w:rPr>
      </w:pPr>
      <w:r>
        <w:rPr>
          <w:rFonts w:ascii="Arial" w:hAnsi="Arial" w:cs="Arial"/>
          <w:sz w:val="20"/>
          <w:szCs w:val="20"/>
        </w:rPr>
        <w:t>18</w:t>
      </w:r>
      <w:r w:rsidRPr="00FA233D">
        <w:rPr>
          <w:rFonts w:ascii="Arial" w:hAnsi="Arial" w:cs="Arial"/>
          <w:sz w:val="20"/>
          <w:szCs w:val="20"/>
        </w:rPr>
        <w:t xml:space="preserve"> </w:t>
      </w:r>
      <w:r w:rsidR="00DA4081" w:rsidRPr="00FA233D">
        <w:rPr>
          <w:rFonts w:ascii="Arial" w:hAnsi="Arial" w:cs="Arial"/>
          <w:sz w:val="20"/>
          <w:szCs w:val="20"/>
        </w:rPr>
        <w:t>June</w:t>
      </w:r>
      <w:r w:rsidR="00051047" w:rsidRPr="00FA233D">
        <w:rPr>
          <w:rFonts w:ascii="Arial" w:hAnsi="Arial" w:cs="Arial"/>
          <w:sz w:val="20"/>
          <w:szCs w:val="20"/>
        </w:rPr>
        <w:t xml:space="preserve"> </w:t>
      </w:r>
      <w:r w:rsidRPr="00FA233D">
        <w:rPr>
          <w:rFonts w:ascii="Arial" w:hAnsi="Arial" w:cs="Arial"/>
          <w:sz w:val="20"/>
          <w:szCs w:val="20"/>
        </w:rPr>
        <w:t>202</w:t>
      </w:r>
      <w:r>
        <w:rPr>
          <w:rFonts w:ascii="Arial" w:hAnsi="Arial" w:cs="Arial"/>
          <w:sz w:val="20"/>
          <w:szCs w:val="20"/>
        </w:rPr>
        <w:t>4</w:t>
      </w:r>
    </w:p>
    <w:p w14:paraId="384215F9" w14:textId="77777777" w:rsidR="00CC1AB0" w:rsidRPr="00FA233D" w:rsidRDefault="001F1820" w:rsidP="00FA233D">
      <w:pPr>
        <w:pStyle w:val="Default"/>
        <w:jc w:val="center"/>
        <w:rPr>
          <w:rFonts w:ascii="Arial" w:hAnsi="Arial" w:cs="Arial"/>
          <w:b/>
          <w:bCs/>
        </w:rPr>
      </w:pPr>
      <w:r w:rsidRPr="00FA233D">
        <w:rPr>
          <w:rFonts w:ascii="Arial" w:hAnsi="Arial" w:cs="Arial"/>
          <w:b/>
          <w:bCs/>
        </w:rPr>
        <w:t xml:space="preserve">Bay Capital </w:t>
      </w:r>
      <w:r w:rsidR="00DA4081" w:rsidRPr="00FA233D">
        <w:rPr>
          <w:rFonts w:ascii="Arial" w:hAnsi="Arial" w:cs="Arial"/>
          <w:b/>
          <w:bCs/>
        </w:rPr>
        <w:t>Plc</w:t>
      </w:r>
    </w:p>
    <w:p w14:paraId="69EF6543" w14:textId="77777777" w:rsidR="00FA233D" w:rsidRPr="00FA233D" w:rsidRDefault="00FA233D" w:rsidP="00FA233D">
      <w:pPr>
        <w:pStyle w:val="Default"/>
        <w:jc w:val="center"/>
        <w:rPr>
          <w:rFonts w:ascii="Arial" w:hAnsi="Arial" w:cs="Arial"/>
          <w:sz w:val="20"/>
          <w:szCs w:val="20"/>
        </w:rPr>
      </w:pPr>
    </w:p>
    <w:p w14:paraId="5A51CAFF" w14:textId="200CAB23" w:rsidR="001F1820" w:rsidRPr="00FA233D" w:rsidRDefault="001F1820" w:rsidP="00FA233D">
      <w:pPr>
        <w:pStyle w:val="Default"/>
        <w:jc w:val="center"/>
        <w:rPr>
          <w:rFonts w:ascii="Arial" w:hAnsi="Arial" w:cs="Arial"/>
          <w:sz w:val="20"/>
          <w:szCs w:val="20"/>
        </w:rPr>
      </w:pPr>
      <w:r w:rsidRPr="00FA233D">
        <w:rPr>
          <w:rFonts w:ascii="Arial" w:hAnsi="Arial" w:cs="Arial"/>
          <w:sz w:val="20"/>
          <w:szCs w:val="20"/>
        </w:rPr>
        <w:t>("Bay Capital" or the "Company")</w:t>
      </w:r>
    </w:p>
    <w:p w14:paraId="210E117E" w14:textId="33C1D5F5" w:rsidR="00FA233D" w:rsidRPr="00FA233D" w:rsidRDefault="00FA233D" w:rsidP="00FA233D">
      <w:pPr>
        <w:pStyle w:val="Default"/>
        <w:jc w:val="center"/>
        <w:rPr>
          <w:rFonts w:ascii="Arial" w:hAnsi="Arial" w:cs="Arial"/>
          <w:sz w:val="20"/>
          <w:szCs w:val="20"/>
        </w:rPr>
      </w:pPr>
    </w:p>
    <w:p w14:paraId="2E39E0E9" w14:textId="77777777" w:rsidR="00FA233D" w:rsidRPr="00FA233D" w:rsidRDefault="00FA233D" w:rsidP="00FA233D">
      <w:pPr>
        <w:pStyle w:val="Default"/>
        <w:jc w:val="center"/>
        <w:rPr>
          <w:rFonts w:ascii="Arial" w:hAnsi="Arial" w:cs="Arial"/>
          <w:sz w:val="20"/>
          <w:szCs w:val="20"/>
        </w:rPr>
      </w:pPr>
    </w:p>
    <w:p w14:paraId="0EE574CD" w14:textId="489441EF" w:rsidR="00BB10E6" w:rsidRPr="00FA233D" w:rsidRDefault="00BB10E6" w:rsidP="00FA233D">
      <w:pPr>
        <w:pStyle w:val="Default"/>
        <w:jc w:val="center"/>
        <w:rPr>
          <w:rFonts w:ascii="Arial" w:hAnsi="Arial" w:cs="Arial"/>
          <w:b/>
          <w:bCs/>
        </w:rPr>
      </w:pPr>
      <w:r w:rsidRPr="00FA233D">
        <w:rPr>
          <w:rFonts w:ascii="Arial" w:hAnsi="Arial" w:cs="Arial"/>
          <w:b/>
          <w:bCs/>
        </w:rPr>
        <w:t xml:space="preserve">Result of </w:t>
      </w:r>
      <w:r w:rsidR="00EA0535">
        <w:rPr>
          <w:rFonts w:ascii="Arial" w:hAnsi="Arial" w:cs="Arial"/>
          <w:b/>
          <w:bCs/>
        </w:rPr>
        <w:t>2024</w:t>
      </w:r>
      <w:r w:rsidR="00EA0535" w:rsidRPr="00FA233D">
        <w:rPr>
          <w:rFonts w:ascii="Arial" w:hAnsi="Arial" w:cs="Arial"/>
          <w:b/>
          <w:bCs/>
        </w:rPr>
        <w:t xml:space="preserve"> </w:t>
      </w:r>
      <w:r w:rsidRPr="00FA233D">
        <w:rPr>
          <w:rFonts w:ascii="Arial" w:hAnsi="Arial" w:cs="Arial"/>
          <w:b/>
          <w:bCs/>
        </w:rPr>
        <w:t>Annual General Meeting</w:t>
      </w:r>
    </w:p>
    <w:p w14:paraId="13BE9FFC" w14:textId="7D761A5D" w:rsidR="00E244C1" w:rsidRPr="00FA233D" w:rsidRDefault="00E244C1" w:rsidP="00FA233D">
      <w:pPr>
        <w:pStyle w:val="Default"/>
        <w:rPr>
          <w:rFonts w:ascii="Arial" w:hAnsi="Arial" w:cs="Arial"/>
          <w:sz w:val="20"/>
          <w:szCs w:val="20"/>
        </w:rPr>
      </w:pPr>
    </w:p>
    <w:p w14:paraId="36DE6C2E" w14:textId="77777777" w:rsidR="00FA233D" w:rsidRPr="00FA233D" w:rsidRDefault="00FA233D" w:rsidP="00FA233D">
      <w:pPr>
        <w:pStyle w:val="Default"/>
        <w:rPr>
          <w:rFonts w:ascii="Arial" w:hAnsi="Arial" w:cs="Arial"/>
          <w:sz w:val="20"/>
          <w:szCs w:val="20"/>
        </w:rPr>
      </w:pPr>
    </w:p>
    <w:p w14:paraId="130C5347" w14:textId="129C0F44" w:rsidR="00E244C1" w:rsidRPr="00FA233D" w:rsidRDefault="001F1820" w:rsidP="00FA233D">
      <w:pPr>
        <w:pStyle w:val="Default"/>
        <w:rPr>
          <w:rFonts w:ascii="Arial" w:hAnsi="Arial" w:cs="Arial"/>
          <w:sz w:val="20"/>
          <w:szCs w:val="20"/>
        </w:rPr>
      </w:pPr>
      <w:r w:rsidRPr="00FA233D">
        <w:rPr>
          <w:rFonts w:ascii="Arial" w:hAnsi="Arial" w:cs="Arial"/>
          <w:sz w:val="20"/>
          <w:szCs w:val="20"/>
        </w:rPr>
        <w:t>Bay Capital</w:t>
      </w:r>
      <w:r w:rsidR="00DA4081" w:rsidRPr="00FA233D">
        <w:rPr>
          <w:rFonts w:ascii="Arial" w:hAnsi="Arial" w:cs="Arial"/>
          <w:sz w:val="20"/>
          <w:szCs w:val="20"/>
        </w:rPr>
        <w:t xml:space="preserve"> Plc </w:t>
      </w:r>
      <w:r w:rsidRPr="00FA233D">
        <w:rPr>
          <w:rFonts w:ascii="Arial" w:hAnsi="Arial" w:cs="Arial"/>
          <w:sz w:val="20"/>
          <w:szCs w:val="20"/>
        </w:rPr>
        <w:t>(LSE: BAY)</w:t>
      </w:r>
      <w:r w:rsidR="00DA4081" w:rsidRPr="00FA233D">
        <w:rPr>
          <w:rFonts w:ascii="Arial" w:hAnsi="Arial" w:cs="Arial"/>
          <w:sz w:val="20"/>
          <w:szCs w:val="20"/>
        </w:rPr>
        <w:t xml:space="preserve"> announces, </w:t>
      </w:r>
      <w:r w:rsidR="00E244C1" w:rsidRPr="00FA233D">
        <w:rPr>
          <w:rFonts w:ascii="Arial" w:hAnsi="Arial" w:cs="Arial"/>
          <w:sz w:val="20"/>
          <w:szCs w:val="20"/>
        </w:rPr>
        <w:t xml:space="preserve">that at the Company's </w:t>
      </w:r>
      <w:r w:rsidR="00EA0535">
        <w:rPr>
          <w:rFonts w:ascii="Arial" w:hAnsi="Arial" w:cs="Arial"/>
          <w:sz w:val="20"/>
          <w:szCs w:val="20"/>
        </w:rPr>
        <w:t>2024</w:t>
      </w:r>
      <w:r w:rsidR="00EA0535" w:rsidRPr="00FA233D">
        <w:rPr>
          <w:rFonts w:ascii="Arial" w:hAnsi="Arial" w:cs="Arial"/>
          <w:sz w:val="20"/>
          <w:szCs w:val="20"/>
        </w:rPr>
        <w:t xml:space="preserve"> </w:t>
      </w:r>
      <w:r w:rsidR="00E244C1" w:rsidRPr="00FA233D">
        <w:rPr>
          <w:rFonts w:ascii="Arial" w:hAnsi="Arial" w:cs="Arial"/>
          <w:sz w:val="20"/>
          <w:szCs w:val="20"/>
        </w:rPr>
        <w:t xml:space="preserve">Annual General Meeting held today, all resolutions were passed by way of a poll and the results of the </w:t>
      </w:r>
      <w:r w:rsidR="00B5228C" w:rsidRPr="00FA233D">
        <w:rPr>
          <w:rFonts w:ascii="Arial" w:hAnsi="Arial" w:cs="Arial"/>
          <w:sz w:val="20"/>
          <w:szCs w:val="20"/>
        </w:rPr>
        <w:t>poll</w:t>
      </w:r>
      <w:r w:rsidR="00E244C1" w:rsidRPr="00FA233D">
        <w:rPr>
          <w:rFonts w:ascii="Arial" w:hAnsi="Arial" w:cs="Arial"/>
          <w:sz w:val="20"/>
          <w:szCs w:val="20"/>
        </w:rPr>
        <w:t xml:space="preserve"> are set out below.</w:t>
      </w:r>
    </w:p>
    <w:p w14:paraId="3AF56685" w14:textId="77777777" w:rsidR="00FA233D" w:rsidRPr="00FA233D" w:rsidRDefault="00FA233D" w:rsidP="00FA233D">
      <w:pPr>
        <w:pStyle w:val="Default"/>
        <w:rPr>
          <w:rFonts w:ascii="Arial" w:hAnsi="Arial" w:cs="Arial"/>
          <w:sz w:val="20"/>
          <w:szCs w:val="20"/>
        </w:rPr>
      </w:pPr>
    </w:p>
    <w:p w14:paraId="5AE37E44" w14:textId="72FE3392" w:rsidR="00DA4081" w:rsidRPr="00FA233D" w:rsidRDefault="00E244C1" w:rsidP="00FA233D">
      <w:pPr>
        <w:pStyle w:val="Default"/>
        <w:rPr>
          <w:rFonts w:ascii="Arial" w:hAnsi="Arial" w:cs="Arial"/>
          <w:sz w:val="20"/>
          <w:szCs w:val="20"/>
        </w:rPr>
      </w:pPr>
      <w:r w:rsidRPr="00FA233D">
        <w:rPr>
          <w:rFonts w:ascii="Arial" w:hAnsi="Arial" w:cs="Arial"/>
          <w:sz w:val="20"/>
          <w:szCs w:val="20"/>
        </w:rPr>
        <w:t xml:space="preserve">Resolutions </w:t>
      </w:r>
      <w:r w:rsidR="001F1820" w:rsidRPr="00FA233D">
        <w:rPr>
          <w:rFonts w:ascii="Arial" w:hAnsi="Arial" w:cs="Arial"/>
          <w:sz w:val="20"/>
          <w:szCs w:val="20"/>
        </w:rPr>
        <w:t>1</w:t>
      </w:r>
      <w:r w:rsidRPr="00FA233D">
        <w:rPr>
          <w:rFonts w:ascii="Arial" w:hAnsi="Arial" w:cs="Arial"/>
          <w:sz w:val="20"/>
          <w:szCs w:val="20"/>
        </w:rPr>
        <w:t xml:space="preserve"> to </w:t>
      </w:r>
      <w:r w:rsidR="001F1820" w:rsidRPr="00FA233D">
        <w:rPr>
          <w:rFonts w:ascii="Arial" w:hAnsi="Arial" w:cs="Arial"/>
          <w:sz w:val="20"/>
          <w:szCs w:val="20"/>
        </w:rPr>
        <w:t>5</w:t>
      </w:r>
      <w:r w:rsidRPr="00FA233D">
        <w:rPr>
          <w:rFonts w:ascii="Arial" w:hAnsi="Arial" w:cs="Arial"/>
          <w:sz w:val="20"/>
          <w:szCs w:val="20"/>
        </w:rPr>
        <w:t xml:space="preserve"> (inclusive)</w:t>
      </w:r>
      <w:r w:rsidR="00AD45AB">
        <w:rPr>
          <w:rFonts w:ascii="Arial" w:hAnsi="Arial" w:cs="Arial"/>
          <w:sz w:val="20"/>
          <w:szCs w:val="20"/>
        </w:rPr>
        <w:t xml:space="preserve"> and 7</w:t>
      </w:r>
      <w:r w:rsidRPr="00FA233D">
        <w:rPr>
          <w:rFonts w:ascii="Arial" w:hAnsi="Arial" w:cs="Arial"/>
          <w:sz w:val="20"/>
          <w:szCs w:val="20"/>
        </w:rPr>
        <w:t xml:space="preserve"> were proposed as ordinary resolutions and resolutions </w:t>
      </w:r>
      <w:r w:rsidR="001F1820" w:rsidRPr="00FA233D">
        <w:rPr>
          <w:rFonts w:ascii="Arial" w:hAnsi="Arial" w:cs="Arial"/>
          <w:sz w:val="20"/>
          <w:szCs w:val="20"/>
        </w:rPr>
        <w:t>6</w:t>
      </w:r>
      <w:r w:rsidR="00AD45AB">
        <w:rPr>
          <w:rFonts w:ascii="Arial" w:hAnsi="Arial" w:cs="Arial"/>
          <w:sz w:val="20"/>
          <w:szCs w:val="20"/>
        </w:rPr>
        <w:t xml:space="preserve"> and</w:t>
      </w:r>
      <w:r w:rsidR="00DA4081" w:rsidRPr="00FA233D">
        <w:rPr>
          <w:rFonts w:ascii="Arial" w:hAnsi="Arial" w:cs="Arial"/>
          <w:sz w:val="20"/>
          <w:szCs w:val="20"/>
        </w:rPr>
        <w:t xml:space="preserve"> </w:t>
      </w:r>
      <w:r w:rsidR="00537771">
        <w:rPr>
          <w:rFonts w:ascii="Arial" w:hAnsi="Arial" w:cs="Arial"/>
          <w:sz w:val="20"/>
          <w:szCs w:val="20"/>
        </w:rPr>
        <w:t xml:space="preserve">8 </w:t>
      </w:r>
      <w:r w:rsidRPr="00FA233D">
        <w:rPr>
          <w:rFonts w:ascii="Arial" w:hAnsi="Arial" w:cs="Arial"/>
          <w:sz w:val="20"/>
          <w:szCs w:val="20"/>
        </w:rPr>
        <w:t xml:space="preserve">were proposed as special resolutions. </w:t>
      </w:r>
    </w:p>
    <w:p w14:paraId="646FEEBD" w14:textId="77777777" w:rsidR="00CC1AB0" w:rsidRPr="00CC1AB0" w:rsidRDefault="00CC1AB0" w:rsidP="00FA233D">
      <w:pPr>
        <w:autoSpaceDE w:val="0"/>
        <w:autoSpaceDN w:val="0"/>
        <w:adjustRightInd w:val="0"/>
        <w:spacing w:after="0" w:line="240" w:lineRule="auto"/>
        <w:ind w:left="-709"/>
        <w:jc w:val="both"/>
        <w:rPr>
          <w:rFonts w:ascii="Arial" w:hAnsi="Arial" w:cs="Arial"/>
          <w:sz w:val="20"/>
          <w:szCs w:val="20"/>
        </w:rPr>
      </w:pPr>
    </w:p>
    <w:tbl>
      <w:tblPr>
        <w:tblW w:w="11199" w:type="dxa"/>
        <w:tblInd w:w="-998" w:type="dxa"/>
        <w:tblLayout w:type="fixed"/>
        <w:tblLook w:val="04A0" w:firstRow="1" w:lastRow="0" w:firstColumn="1" w:lastColumn="0" w:noHBand="0" w:noVBand="1"/>
      </w:tblPr>
      <w:tblGrid>
        <w:gridCol w:w="680"/>
        <w:gridCol w:w="3007"/>
        <w:gridCol w:w="1275"/>
        <w:gridCol w:w="970"/>
        <w:gridCol w:w="992"/>
        <w:gridCol w:w="851"/>
        <w:gridCol w:w="1298"/>
        <w:gridCol w:w="992"/>
        <w:gridCol w:w="1134"/>
      </w:tblGrid>
      <w:tr w:rsidR="00AD45AB" w14:paraId="17D8411A" w14:textId="77777777" w:rsidTr="00245A15">
        <w:trPr>
          <w:trHeight w:val="78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4C0B2476" w14:textId="77777777" w:rsidR="00AD45AB" w:rsidRDefault="00AD45AB" w:rsidP="004B5311">
            <w:pPr>
              <w:spacing w:line="240" w:lineRule="auto"/>
              <w:jc w:val="both"/>
              <w:rPr>
                <w:rFonts w:ascii="Arial" w:hAnsi="Arial" w:cs="Arial"/>
                <w:color w:val="000000"/>
                <w:sz w:val="20"/>
                <w:lang w:eastAsia="en-GB"/>
              </w:rPr>
            </w:pPr>
          </w:p>
        </w:tc>
        <w:tc>
          <w:tcPr>
            <w:tcW w:w="3007" w:type="dxa"/>
            <w:tcBorders>
              <w:top w:val="single" w:sz="4" w:space="0" w:color="auto"/>
              <w:left w:val="single" w:sz="4" w:space="0" w:color="auto"/>
              <w:bottom w:val="single" w:sz="4" w:space="0" w:color="auto"/>
              <w:right w:val="single" w:sz="4" w:space="0" w:color="auto"/>
            </w:tcBorders>
            <w:shd w:val="clear" w:color="auto" w:fill="FFFFFF"/>
            <w:noWrap/>
            <w:hideMark/>
          </w:tcPr>
          <w:p w14:paraId="6282A8FE" w14:textId="77777777" w:rsidR="00AD45AB" w:rsidRDefault="00AD45AB" w:rsidP="004B5311">
            <w:pPr>
              <w:spacing w:line="240" w:lineRule="auto"/>
              <w:rPr>
                <w:rFonts w:ascii="Arial" w:hAnsi="Arial" w:cs="Arial"/>
                <w:color w:val="000000"/>
                <w:sz w:val="20"/>
                <w:lang w:eastAsia="en-GB"/>
              </w:rPr>
            </w:pPr>
            <w:r>
              <w:rPr>
                <w:rFonts w:ascii="Arial" w:hAnsi="Arial" w:cs="Arial"/>
                <w:sz w:val="20"/>
              </w:rPr>
              <w:t>Resolution</w:t>
            </w:r>
          </w:p>
        </w:tc>
        <w:tc>
          <w:tcPr>
            <w:tcW w:w="1275" w:type="dxa"/>
            <w:tcBorders>
              <w:top w:val="single" w:sz="4" w:space="0" w:color="auto"/>
              <w:left w:val="nil"/>
              <w:bottom w:val="single" w:sz="4" w:space="0" w:color="auto"/>
              <w:right w:val="single" w:sz="4" w:space="0" w:color="auto"/>
            </w:tcBorders>
            <w:shd w:val="clear" w:color="auto" w:fill="FFFFFF"/>
            <w:hideMark/>
          </w:tcPr>
          <w:p w14:paraId="499A0837" w14:textId="77777777" w:rsidR="00AD45AB" w:rsidRDefault="00AD45AB" w:rsidP="004B5311">
            <w:pPr>
              <w:spacing w:line="240" w:lineRule="auto"/>
              <w:jc w:val="center"/>
              <w:rPr>
                <w:rFonts w:ascii="Arial" w:hAnsi="Arial" w:cs="Arial"/>
                <w:color w:val="000000"/>
                <w:sz w:val="20"/>
                <w:lang w:eastAsia="en-GB"/>
              </w:rPr>
            </w:pPr>
            <w:r>
              <w:rPr>
                <w:rFonts w:ascii="Arial" w:hAnsi="Arial" w:cs="Arial"/>
                <w:sz w:val="20"/>
              </w:rPr>
              <w:t>Votes For*</w:t>
            </w:r>
          </w:p>
        </w:tc>
        <w:tc>
          <w:tcPr>
            <w:tcW w:w="970" w:type="dxa"/>
            <w:tcBorders>
              <w:top w:val="single" w:sz="4" w:space="0" w:color="auto"/>
              <w:left w:val="nil"/>
              <w:bottom w:val="single" w:sz="4" w:space="0" w:color="auto"/>
              <w:right w:val="single" w:sz="4" w:space="0" w:color="auto"/>
            </w:tcBorders>
            <w:shd w:val="clear" w:color="auto" w:fill="FFFFFF"/>
            <w:hideMark/>
          </w:tcPr>
          <w:p w14:paraId="353A0E0F" w14:textId="77777777" w:rsidR="00AD45AB" w:rsidRDefault="00AD45AB" w:rsidP="004B5311">
            <w:pPr>
              <w:spacing w:line="240" w:lineRule="auto"/>
              <w:jc w:val="center"/>
              <w:rPr>
                <w:rFonts w:ascii="Arial" w:hAnsi="Arial" w:cs="Arial"/>
                <w:color w:val="000000"/>
                <w:sz w:val="20"/>
                <w:lang w:eastAsia="en-GB"/>
              </w:rPr>
            </w:pPr>
            <w:r>
              <w:rPr>
                <w:rFonts w:ascii="Arial" w:hAnsi="Arial" w:cs="Arial"/>
                <w:sz w:val="20"/>
              </w:rPr>
              <w:t>%</w:t>
            </w:r>
          </w:p>
        </w:tc>
        <w:tc>
          <w:tcPr>
            <w:tcW w:w="992" w:type="dxa"/>
            <w:tcBorders>
              <w:top w:val="single" w:sz="4" w:space="0" w:color="auto"/>
              <w:left w:val="nil"/>
              <w:bottom w:val="single" w:sz="4" w:space="0" w:color="auto"/>
              <w:right w:val="single" w:sz="4" w:space="0" w:color="auto"/>
            </w:tcBorders>
            <w:shd w:val="clear" w:color="auto" w:fill="FFFFFF"/>
            <w:hideMark/>
          </w:tcPr>
          <w:p w14:paraId="0F3A1464" w14:textId="77777777" w:rsidR="00AD45AB" w:rsidRDefault="00AD45AB" w:rsidP="004B5311">
            <w:pPr>
              <w:spacing w:line="240" w:lineRule="auto"/>
              <w:jc w:val="center"/>
              <w:rPr>
                <w:rFonts w:ascii="Arial" w:hAnsi="Arial" w:cs="Arial"/>
                <w:color w:val="000000"/>
                <w:sz w:val="20"/>
                <w:lang w:eastAsia="en-GB"/>
              </w:rPr>
            </w:pPr>
            <w:r>
              <w:rPr>
                <w:rFonts w:ascii="Arial" w:hAnsi="Arial" w:cs="Arial"/>
                <w:sz w:val="20"/>
              </w:rPr>
              <w:t>Votes Against</w:t>
            </w:r>
          </w:p>
        </w:tc>
        <w:tc>
          <w:tcPr>
            <w:tcW w:w="851" w:type="dxa"/>
            <w:tcBorders>
              <w:top w:val="single" w:sz="4" w:space="0" w:color="auto"/>
              <w:left w:val="nil"/>
              <w:bottom w:val="single" w:sz="4" w:space="0" w:color="auto"/>
              <w:right w:val="single" w:sz="4" w:space="0" w:color="auto"/>
            </w:tcBorders>
            <w:shd w:val="clear" w:color="auto" w:fill="FFFFFF"/>
            <w:hideMark/>
          </w:tcPr>
          <w:p w14:paraId="422D09FC" w14:textId="77777777" w:rsidR="00AD45AB" w:rsidRDefault="00AD45AB" w:rsidP="004B5311">
            <w:pPr>
              <w:spacing w:line="240" w:lineRule="auto"/>
              <w:jc w:val="center"/>
              <w:rPr>
                <w:rFonts w:ascii="Arial" w:hAnsi="Arial" w:cs="Arial"/>
                <w:color w:val="000000"/>
                <w:sz w:val="20"/>
                <w:lang w:eastAsia="en-GB"/>
              </w:rPr>
            </w:pPr>
            <w:r>
              <w:rPr>
                <w:rFonts w:ascii="Arial" w:hAnsi="Arial" w:cs="Arial"/>
                <w:sz w:val="20"/>
              </w:rPr>
              <w:t>%</w:t>
            </w:r>
          </w:p>
        </w:tc>
        <w:tc>
          <w:tcPr>
            <w:tcW w:w="1298" w:type="dxa"/>
            <w:tcBorders>
              <w:top w:val="single" w:sz="4" w:space="0" w:color="auto"/>
              <w:left w:val="nil"/>
              <w:bottom w:val="single" w:sz="4" w:space="0" w:color="auto"/>
              <w:right w:val="single" w:sz="4" w:space="0" w:color="auto"/>
            </w:tcBorders>
            <w:shd w:val="clear" w:color="auto" w:fill="FFFFFF"/>
            <w:hideMark/>
          </w:tcPr>
          <w:p w14:paraId="54E4D13A" w14:textId="77777777" w:rsidR="00AD45AB" w:rsidRDefault="00AD45AB" w:rsidP="004B5311">
            <w:pPr>
              <w:spacing w:line="240" w:lineRule="auto"/>
              <w:jc w:val="center"/>
              <w:rPr>
                <w:rFonts w:ascii="Arial" w:hAnsi="Arial" w:cs="Arial"/>
                <w:color w:val="000000"/>
                <w:sz w:val="20"/>
                <w:lang w:eastAsia="en-GB"/>
              </w:rPr>
            </w:pPr>
            <w:r>
              <w:rPr>
                <w:rFonts w:ascii="Arial" w:hAnsi="Arial" w:cs="Arial"/>
                <w:sz w:val="20"/>
              </w:rPr>
              <w:t>Total votes validly cast</w:t>
            </w:r>
          </w:p>
        </w:tc>
        <w:tc>
          <w:tcPr>
            <w:tcW w:w="992" w:type="dxa"/>
            <w:tcBorders>
              <w:top w:val="single" w:sz="4" w:space="0" w:color="auto"/>
              <w:left w:val="nil"/>
              <w:bottom w:val="single" w:sz="4" w:space="0" w:color="auto"/>
              <w:right w:val="single" w:sz="4" w:space="0" w:color="auto"/>
            </w:tcBorders>
            <w:shd w:val="clear" w:color="auto" w:fill="FFFFFF"/>
            <w:hideMark/>
          </w:tcPr>
          <w:p w14:paraId="693B7F40" w14:textId="77777777" w:rsidR="00AD45AB" w:rsidRDefault="00AD45AB" w:rsidP="004B5311">
            <w:pPr>
              <w:spacing w:line="240" w:lineRule="auto"/>
              <w:jc w:val="center"/>
              <w:rPr>
                <w:rFonts w:ascii="Arial" w:hAnsi="Arial" w:cs="Arial"/>
                <w:sz w:val="20"/>
              </w:rPr>
            </w:pPr>
            <w:r>
              <w:rPr>
                <w:rFonts w:ascii="Arial" w:hAnsi="Arial" w:cs="Arial"/>
                <w:sz w:val="20"/>
              </w:rPr>
              <w:t>Total votes cast as % of issued share capital</w:t>
            </w:r>
          </w:p>
        </w:tc>
        <w:tc>
          <w:tcPr>
            <w:tcW w:w="1134" w:type="dxa"/>
            <w:tcBorders>
              <w:top w:val="single" w:sz="4" w:space="0" w:color="auto"/>
              <w:left w:val="nil"/>
              <w:bottom w:val="single" w:sz="4" w:space="0" w:color="auto"/>
              <w:right w:val="single" w:sz="4" w:space="0" w:color="auto"/>
            </w:tcBorders>
            <w:shd w:val="clear" w:color="auto" w:fill="FFFFFF"/>
            <w:hideMark/>
          </w:tcPr>
          <w:p w14:paraId="2A8DAAA5" w14:textId="77777777" w:rsidR="00AD45AB" w:rsidRDefault="00AD45AB" w:rsidP="004B5311">
            <w:pPr>
              <w:spacing w:line="240" w:lineRule="auto"/>
              <w:jc w:val="center"/>
              <w:rPr>
                <w:rFonts w:ascii="Arial" w:hAnsi="Arial" w:cs="Arial"/>
                <w:color w:val="000000"/>
                <w:sz w:val="20"/>
                <w:lang w:eastAsia="en-GB"/>
              </w:rPr>
            </w:pPr>
            <w:r>
              <w:rPr>
                <w:rFonts w:ascii="Arial" w:hAnsi="Arial" w:cs="Arial"/>
                <w:sz w:val="20"/>
              </w:rPr>
              <w:t>Vote Withheld **</w:t>
            </w:r>
          </w:p>
        </w:tc>
      </w:tr>
      <w:tr w:rsidR="00950F21" w14:paraId="212F5C2D" w14:textId="77777777" w:rsidTr="00245A15">
        <w:trPr>
          <w:trHeight w:val="969"/>
        </w:trPr>
        <w:tc>
          <w:tcPr>
            <w:tcW w:w="680" w:type="dxa"/>
            <w:tcBorders>
              <w:top w:val="nil"/>
              <w:left w:val="single" w:sz="4" w:space="0" w:color="auto"/>
              <w:bottom w:val="single" w:sz="4" w:space="0" w:color="auto"/>
              <w:right w:val="single" w:sz="4" w:space="0" w:color="auto"/>
            </w:tcBorders>
            <w:shd w:val="clear" w:color="auto" w:fill="FFFFFF"/>
            <w:vAlign w:val="center"/>
            <w:hideMark/>
          </w:tcPr>
          <w:p w14:paraId="5E464F05" w14:textId="77777777" w:rsidR="00950F21" w:rsidRDefault="00950F21" w:rsidP="00950F21">
            <w:pPr>
              <w:numPr>
                <w:ilvl w:val="0"/>
                <w:numId w:val="1"/>
              </w:numPr>
              <w:spacing w:after="0" w:line="300" w:lineRule="atLeast"/>
              <w:jc w:val="both"/>
              <w:rPr>
                <w:rFonts w:ascii="Arial" w:hAnsi="Arial" w:cs="Arial"/>
                <w:color w:val="000000"/>
                <w:sz w:val="20"/>
                <w:lang w:eastAsia="en-GB"/>
              </w:rPr>
            </w:pPr>
          </w:p>
        </w:tc>
        <w:tc>
          <w:tcPr>
            <w:tcW w:w="3007" w:type="dxa"/>
            <w:tcBorders>
              <w:top w:val="nil"/>
              <w:left w:val="single" w:sz="4" w:space="0" w:color="auto"/>
              <w:bottom w:val="single" w:sz="4" w:space="0" w:color="auto"/>
              <w:right w:val="single" w:sz="4" w:space="0" w:color="auto"/>
            </w:tcBorders>
            <w:shd w:val="clear" w:color="auto" w:fill="FFFFFF"/>
            <w:noWrap/>
            <w:hideMark/>
          </w:tcPr>
          <w:p w14:paraId="4A526515" w14:textId="45849E68" w:rsidR="00950F21" w:rsidRDefault="00354411" w:rsidP="00EA0535">
            <w:pPr>
              <w:spacing w:before="120" w:line="240" w:lineRule="auto"/>
              <w:rPr>
                <w:rFonts w:ascii="Arial" w:hAnsi="Arial" w:cs="Arial"/>
                <w:sz w:val="20"/>
                <w:lang w:eastAsia="en-GB"/>
              </w:rPr>
            </w:pPr>
            <w:r>
              <w:rPr>
                <w:rFonts w:ascii="Arial" w:hAnsi="Arial" w:cs="Arial"/>
                <w:sz w:val="20"/>
              </w:rPr>
              <w:t>To r</w:t>
            </w:r>
            <w:r w:rsidR="00950F21">
              <w:rPr>
                <w:rFonts w:ascii="Arial" w:hAnsi="Arial" w:cs="Arial"/>
                <w:sz w:val="20"/>
              </w:rPr>
              <w:t xml:space="preserve">eceive annual report and accounts for the year ended 31 December </w:t>
            </w:r>
            <w:r w:rsidR="00EA0535">
              <w:rPr>
                <w:rFonts w:ascii="Arial" w:hAnsi="Arial" w:cs="Arial"/>
                <w:sz w:val="20"/>
              </w:rPr>
              <w:t xml:space="preserve">2023 </w:t>
            </w:r>
            <w:r w:rsidR="00950F21">
              <w:rPr>
                <w:rFonts w:ascii="Arial" w:hAnsi="Arial" w:cs="Arial"/>
                <w:sz w:val="20"/>
              </w:rPr>
              <w:t>(together with Reports from the Directors and the Auditor)</w:t>
            </w:r>
          </w:p>
        </w:tc>
        <w:tc>
          <w:tcPr>
            <w:tcW w:w="1275" w:type="dxa"/>
            <w:tcBorders>
              <w:top w:val="nil"/>
              <w:left w:val="nil"/>
              <w:bottom w:val="single" w:sz="4" w:space="0" w:color="auto"/>
              <w:right w:val="single" w:sz="4" w:space="0" w:color="auto"/>
            </w:tcBorders>
            <w:shd w:val="clear" w:color="auto" w:fill="FFFFFF"/>
            <w:noWrap/>
            <w:vAlign w:val="center"/>
          </w:tcPr>
          <w:p w14:paraId="55FCB08B" w14:textId="06E2BCE0" w:rsidR="00950F21" w:rsidRPr="00950F21"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31,741,346</w:t>
            </w:r>
          </w:p>
        </w:tc>
        <w:tc>
          <w:tcPr>
            <w:tcW w:w="970" w:type="dxa"/>
            <w:tcBorders>
              <w:top w:val="nil"/>
              <w:left w:val="nil"/>
              <w:bottom w:val="single" w:sz="4" w:space="0" w:color="auto"/>
              <w:right w:val="single" w:sz="4" w:space="0" w:color="auto"/>
            </w:tcBorders>
            <w:shd w:val="clear" w:color="auto" w:fill="FFFFFF"/>
            <w:noWrap/>
            <w:vAlign w:val="center"/>
          </w:tcPr>
          <w:p w14:paraId="5A0D9D23" w14:textId="1642A3EB" w:rsidR="00950F21" w:rsidRPr="006E5965" w:rsidRDefault="00BA5D6E" w:rsidP="00BA5D6E">
            <w:pPr>
              <w:jc w:val="center"/>
              <w:rPr>
                <w:rFonts w:ascii="Arial" w:hAnsi="Arial" w:cs="Arial"/>
                <w:sz w:val="20"/>
                <w:szCs w:val="20"/>
                <w:lang w:eastAsia="en-GB"/>
              </w:rPr>
            </w:pPr>
            <w:r>
              <w:rPr>
                <w:rFonts w:ascii="Arial" w:hAnsi="Arial" w:cs="Arial"/>
                <w:sz w:val="20"/>
                <w:szCs w:val="20"/>
                <w:lang w:eastAsia="en-GB"/>
              </w:rPr>
              <w:t>100%</w:t>
            </w:r>
          </w:p>
        </w:tc>
        <w:tc>
          <w:tcPr>
            <w:tcW w:w="992" w:type="dxa"/>
            <w:tcBorders>
              <w:top w:val="nil"/>
              <w:left w:val="nil"/>
              <w:bottom w:val="single" w:sz="4" w:space="0" w:color="auto"/>
              <w:right w:val="single" w:sz="4" w:space="0" w:color="auto"/>
            </w:tcBorders>
            <w:shd w:val="clear" w:color="auto" w:fill="FFFFFF"/>
            <w:noWrap/>
            <w:vAlign w:val="center"/>
          </w:tcPr>
          <w:p w14:paraId="57521CFB" w14:textId="15971A0F" w:rsidR="00950F21"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0</w:t>
            </w:r>
          </w:p>
        </w:tc>
        <w:tc>
          <w:tcPr>
            <w:tcW w:w="851" w:type="dxa"/>
            <w:tcBorders>
              <w:top w:val="nil"/>
              <w:left w:val="nil"/>
              <w:bottom w:val="single" w:sz="4" w:space="0" w:color="auto"/>
              <w:right w:val="single" w:sz="4" w:space="0" w:color="auto"/>
            </w:tcBorders>
            <w:shd w:val="clear" w:color="auto" w:fill="FFFFFF"/>
            <w:noWrap/>
            <w:vAlign w:val="center"/>
          </w:tcPr>
          <w:p w14:paraId="042EBE27" w14:textId="0EC750A1" w:rsidR="00950F21"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0%</w:t>
            </w:r>
          </w:p>
        </w:tc>
        <w:tc>
          <w:tcPr>
            <w:tcW w:w="1298" w:type="dxa"/>
            <w:tcBorders>
              <w:top w:val="nil"/>
              <w:left w:val="nil"/>
              <w:bottom w:val="single" w:sz="4" w:space="0" w:color="auto"/>
              <w:right w:val="single" w:sz="4" w:space="0" w:color="auto"/>
            </w:tcBorders>
            <w:shd w:val="clear" w:color="auto" w:fill="FFFFFF"/>
            <w:noWrap/>
            <w:vAlign w:val="center"/>
          </w:tcPr>
          <w:p w14:paraId="1041800A" w14:textId="4FDA6B11" w:rsidR="00950F21"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31,741,346</w:t>
            </w:r>
          </w:p>
        </w:tc>
        <w:tc>
          <w:tcPr>
            <w:tcW w:w="992" w:type="dxa"/>
            <w:tcBorders>
              <w:top w:val="nil"/>
              <w:left w:val="nil"/>
              <w:bottom w:val="single" w:sz="4" w:space="0" w:color="auto"/>
              <w:right w:val="single" w:sz="4" w:space="0" w:color="auto"/>
            </w:tcBorders>
            <w:shd w:val="clear" w:color="auto" w:fill="FFFFFF"/>
            <w:noWrap/>
            <w:vAlign w:val="center"/>
          </w:tcPr>
          <w:p w14:paraId="3BD9B701" w14:textId="44E567EC" w:rsidR="00950F21"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45.34%</w:t>
            </w:r>
          </w:p>
        </w:tc>
        <w:tc>
          <w:tcPr>
            <w:tcW w:w="1134" w:type="dxa"/>
            <w:tcBorders>
              <w:top w:val="nil"/>
              <w:left w:val="nil"/>
              <w:bottom w:val="single" w:sz="4" w:space="0" w:color="auto"/>
              <w:right w:val="single" w:sz="4" w:space="0" w:color="auto"/>
            </w:tcBorders>
            <w:shd w:val="clear" w:color="auto" w:fill="FFFFFF"/>
            <w:noWrap/>
            <w:vAlign w:val="center"/>
          </w:tcPr>
          <w:p w14:paraId="2A4E841F" w14:textId="336CBAFF" w:rsidR="00950F21" w:rsidRPr="006E5965" w:rsidRDefault="00BA5D6E" w:rsidP="00BA5D6E">
            <w:pPr>
              <w:jc w:val="center"/>
              <w:rPr>
                <w:rFonts w:ascii="Arial" w:hAnsi="Arial" w:cs="Arial"/>
                <w:sz w:val="20"/>
                <w:szCs w:val="20"/>
                <w:lang w:eastAsia="en-GB"/>
              </w:rPr>
            </w:pPr>
            <w:r>
              <w:rPr>
                <w:rFonts w:ascii="Arial" w:hAnsi="Arial" w:cs="Arial"/>
                <w:sz w:val="20"/>
                <w:szCs w:val="20"/>
                <w:lang w:eastAsia="en-GB"/>
              </w:rPr>
              <w:t>0</w:t>
            </w:r>
          </w:p>
        </w:tc>
      </w:tr>
      <w:tr w:rsidR="00BA5D6E" w14:paraId="0B944B15" w14:textId="77777777" w:rsidTr="00245A15">
        <w:trPr>
          <w:trHeight w:val="300"/>
        </w:trPr>
        <w:tc>
          <w:tcPr>
            <w:tcW w:w="680" w:type="dxa"/>
            <w:tcBorders>
              <w:top w:val="nil"/>
              <w:left w:val="single" w:sz="4" w:space="0" w:color="auto"/>
              <w:bottom w:val="single" w:sz="4" w:space="0" w:color="auto"/>
              <w:right w:val="single" w:sz="4" w:space="0" w:color="auto"/>
            </w:tcBorders>
            <w:shd w:val="clear" w:color="auto" w:fill="FFFFFF"/>
            <w:vAlign w:val="center"/>
            <w:hideMark/>
          </w:tcPr>
          <w:p w14:paraId="30EFE5B1" w14:textId="77777777" w:rsidR="00BA5D6E" w:rsidRDefault="00BA5D6E" w:rsidP="00BA5D6E">
            <w:pPr>
              <w:numPr>
                <w:ilvl w:val="0"/>
                <w:numId w:val="1"/>
              </w:numPr>
              <w:spacing w:after="0" w:line="300" w:lineRule="atLeast"/>
              <w:jc w:val="both"/>
              <w:rPr>
                <w:rFonts w:ascii="Arial" w:hAnsi="Arial" w:cs="Arial"/>
                <w:sz w:val="20"/>
                <w:lang w:eastAsia="en-GB"/>
              </w:rPr>
            </w:pPr>
          </w:p>
        </w:tc>
        <w:tc>
          <w:tcPr>
            <w:tcW w:w="3007" w:type="dxa"/>
            <w:tcBorders>
              <w:top w:val="nil"/>
              <w:left w:val="single" w:sz="4" w:space="0" w:color="auto"/>
              <w:bottom w:val="single" w:sz="4" w:space="0" w:color="auto"/>
              <w:right w:val="single" w:sz="4" w:space="0" w:color="auto"/>
            </w:tcBorders>
            <w:shd w:val="clear" w:color="auto" w:fill="FFFFFF"/>
            <w:noWrap/>
            <w:hideMark/>
          </w:tcPr>
          <w:p w14:paraId="7E4B8BBE" w14:textId="3A770F3B" w:rsidR="00BA5D6E" w:rsidRDefault="00BA5D6E" w:rsidP="00BA5D6E">
            <w:pPr>
              <w:spacing w:before="120" w:line="240" w:lineRule="auto"/>
              <w:rPr>
                <w:rFonts w:ascii="Arial" w:hAnsi="Arial" w:cs="Arial"/>
                <w:sz w:val="20"/>
                <w:lang w:eastAsia="en-GB"/>
              </w:rPr>
            </w:pPr>
            <w:r>
              <w:rPr>
                <w:rFonts w:ascii="Arial" w:hAnsi="Arial" w:cs="Arial"/>
                <w:sz w:val="20"/>
              </w:rPr>
              <w:t>To re-elect Peter William Gregory Tom CBE as a director</w:t>
            </w:r>
          </w:p>
        </w:tc>
        <w:tc>
          <w:tcPr>
            <w:tcW w:w="1275" w:type="dxa"/>
            <w:tcBorders>
              <w:top w:val="nil"/>
              <w:left w:val="nil"/>
              <w:bottom w:val="single" w:sz="4" w:space="0" w:color="auto"/>
              <w:right w:val="single" w:sz="4" w:space="0" w:color="auto"/>
            </w:tcBorders>
            <w:shd w:val="clear" w:color="auto" w:fill="FFFFFF"/>
            <w:noWrap/>
            <w:vAlign w:val="center"/>
          </w:tcPr>
          <w:p w14:paraId="333CED10" w14:textId="40D3330D" w:rsidR="00BA5D6E" w:rsidRPr="00950F21"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31,741,346</w:t>
            </w:r>
          </w:p>
        </w:tc>
        <w:tc>
          <w:tcPr>
            <w:tcW w:w="970" w:type="dxa"/>
            <w:tcBorders>
              <w:top w:val="nil"/>
              <w:left w:val="nil"/>
              <w:bottom w:val="single" w:sz="4" w:space="0" w:color="auto"/>
              <w:right w:val="single" w:sz="4" w:space="0" w:color="auto"/>
            </w:tcBorders>
            <w:shd w:val="clear" w:color="auto" w:fill="FFFFFF"/>
            <w:noWrap/>
            <w:vAlign w:val="center"/>
          </w:tcPr>
          <w:p w14:paraId="435F4E29" w14:textId="015A6207"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sz w:val="20"/>
                <w:szCs w:val="20"/>
                <w:lang w:eastAsia="en-GB"/>
              </w:rPr>
              <w:t>100%</w:t>
            </w:r>
          </w:p>
        </w:tc>
        <w:tc>
          <w:tcPr>
            <w:tcW w:w="992" w:type="dxa"/>
            <w:tcBorders>
              <w:top w:val="nil"/>
              <w:left w:val="nil"/>
              <w:bottom w:val="single" w:sz="4" w:space="0" w:color="auto"/>
              <w:right w:val="single" w:sz="4" w:space="0" w:color="auto"/>
            </w:tcBorders>
            <w:shd w:val="clear" w:color="auto" w:fill="FFFFFF"/>
            <w:noWrap/>
            <w:vAlign w:val="center"/>
          </w:tcPr>
          <w:p w14:paraId="3A466272" w14:textId="036F5407"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0</w:t>
            </w:r>
          </w:p>
        </w:tc>
        <w:tc>
          <w:tcPr>
            <w:tcW w:w="851" w:type="dxa"/>
            <w:tcBorders>
              <w:top w:val="nil"/>
              <w:left w:val="nil"/>
              <w:bottom w:val="single" w:sz="4" w:space="0" w:color="auto"/>
              <w:right w:val="single" w:sz="4" w:space="0" w:color="auto"/>
            </w:tcBorders>
            <w:shd w:val="clear" w:color="auto" w:fill="FFFFFF"/>
            <w:noWrap/>
            <w:vAlign w:val="center"/>
          </w:tcPr>
          <w:p w14:paraId="393B8A4E" w14:textId="60F74DD5"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0%</w:t>
            </w:r>
          </w:p>
        </w:tc>
        <w:tc>
          <w:tcPr>
            <w:tcW w:w="1298" w:type="dxa"/>
            <w:tcBorders>
              <w:top w:val="nil"/>
              <w:left w:val="nil"/>
              <w:bottom w:val="single" w:sz="4" w:space="0" w:color="auto"/>
              <w:right w:val="single" w:sz="4" w:space="0" w:color="auto"/>
            </w:tcBorders>
            <w:shd w:val="clear" w:color="auto" w:fill="FFFFFF"/>
            <w:noWrap/>
            <w:vAlign w:val="center"/>
          </w:tcPr>
          <w:p w14:paraId="3C35927A" w14:textId="0A71E00C"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31,741,346</w:t>
            </w:r>
          </w:p>
        </w:tc>
        <w:tc>
          <w:tcPr>
            <w:tcW w:w="992" w:type="dxa"/>
            <w:tcBorders>
              <w:top w:val="nil"/>
              <w:left w:val="nil"/>
              <w:bottom w:val="single" w:sz="4" w:space="0" w:color="auto"/>
              <w:right w:val="single" w:sz="4" w:space="0" w:color="auto"/>
            </w:tcBorders>
            <w:shd w:val="clear" w:color="auto" w:fill="FFFFFF"/>
            <w:noWrap/>
            <w:vAlign w:val="center"/>
          </w:tcPr>
          <w:p w14:paraId="6E411860" w14:textId="4DACE3A8"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45.34%</w:t>
            </w:r>
          </w:p>
        </w:tc>
        <w:tc>
          <w:tcPr>
            <w:tcW w:w="1134" w:type="dxa"/>
            <w:tcBorders>
              <w:top w:val="nil"/>
              <w:left w:val="nil"/>
              <w:bottom w:val="single" w:sz="4" w:space="0" w:color="auto"/>
              <w:right w:val="single" w:sz="4" w:space="0" w:color="auto"/>
            </w:tcBorders>
            <w:shd w:val="clear" w:color="auto" w:fill="FFFFFF"/>
            <w:noWrap/>
            <w:vAlign w:val="center"/>
          </w:tcPr>
          <w:p w14:paraId="525114B5" w14:textId="7CA67FD1"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sz w:val="20"/>
                <w:szCs w:val="20"/>
                <w:lang w:eastAsia="en-GB"/>
              </w:rPr>
              <w:t>0</w:t>
            </w:r>
          </w:p>
        </w:tc>
      </w:tr>
      <w:tr w:rsidR="00BA5D6E" w14:paraId="1D454B29" w14:textId="77777777" w:rsidTr="00245A15">
        <w:trPr>
          <w:trHeight w:val="300"/>
        </w:trPr>
        <w:tc>
          <w:tcPr>
            <w:tcW w:w="680" w:type="dxa"/>
            <w:tcBorders>
              <w:top w:val="nil"/>
              <w:left w:val="single" w:sz="4" w:space="0" w:color="auto"/>
              <w:bottom w:val="single" w:sz="4" w:space="0" w:color="auto"/>
              <w:right w:val="single" w:sz="4" w:space="0" w:color="auto"/>
            </w:tcBorders>
            <w:shd w:val="clear" w:color="auto" w:fill="FFFFFF"/>
            <w:vAlign w:val="center"/>
            <w:hideMark/>
          </w:tcPr>
          <w:p w14:paraId="53112A9C" w14:textId="77777777" w:rsidR="00BA5D6E" w:rsidRDefault="00BA5D6E" w:rsidP="00BA5D6E">
            <w:pPr>
              <w:numPr>
                <w:ilvl w:val="0"/>
                <w:numId w:val="1"/>
              </w:numPr>
              <w:spacing w:after="0" w:line="300" w:lineRule="atLeast"/>
              <w:jc w:val="both"/>
              <w:rPr>
                <w:rFonts w:ascii="Arial" w:hAnsi="Arial" w:cs="Arial"/>
                <w:color w:val="000000"/>
                <w:sz w:val="20"/>
                <w:lang w:eastAsia="en-GB"/>
              </w:rPr>
            </w:pPr>
          </w:p>
        </w:tc>
        <w:tc>
          <w:tcPr>
            <w:tcW w:w="3007" w:type="dxa"/>
            <w:tcBorders>
              <w:top w:val="nil"/>
              <w:left w:val="single" w:sz="4" w:space="0" w:color="auto"/>
              <w:bottom w:val="single" w:sz="4" w:space="0" w:color="auto"/>
              <w:right w:val="single" w:sz="4" w:space="0" w:color="auto"/>
            </w:tcBorders>
            <w:shd w:val="clear" w:color="auto" w:fill="FFFFFF"/>
            <w:noWrap/>
            <w:hideMark/>
          </w:tcPr>
          <w:p w14:paraId="549C9589" w14:textId="59941A54" w:rsidR="00BA5D6E" w:rsidRDefault="00BA5D6E" w:rsidP="00BA5D6E">
            <w:pPr>
              <w:spacing w:before="120" w:line="240" w:lineRule="auto"/>
              <w:rPr>
                <w:rFonts w:ascii="Arial" w:hAnsi="Arial" w:cs="Arial"/>
                <w:sz w:val="20"/>
                <w:lang w:eastAsia="en-GB"/>
              </w:rPr>
            </w:pPr>
            <w:r>
              <w:rPr>
                <w:rFonts w:ascii="Arial" w:hAnsi="Arial" w:cs="Arial"/>
                <w:sz w:val="20"/>
              </w:rPr>
              <w:t>To re-elect David Jeffreys Williams as a director</w:t>
            </w:r>
          </w:p>
        </w:tc>
        <w:tc>
          <w:tcPr>
            <w:tcW w:w="1275" w:type="dxa"/>
            <w:tcBorders>
              <w:top w:val="nil"/>
              <w:left w:val="nil"/>
              <w:bottom w:val="single" w:sz="4" w:space="0" w:color="auto"/>
              <w:right w:val="single" w:sz="4" w:space="0" w:color="auto"/>
            </w:tcBorders>
            <w:shd w:val="clear" w:color="auto" w:fill="FFFFFF"/>
            <w:noWrap/>
            <w:vAlign w:val="center"/>
          </w:tcPr>
          <w:p w14:paraId="16219412" w14:textId="1A826253" w:rsidR="00BA5D6E" w:rsidRPr="00950F21"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31,741,346</w:t>
            </w:r>
          </w:p>
        </w:tc>
        <w:tc>
          <w:tcPr>
            <w:tcW w:w="970" w:type="dxa"/>
            <w:tcBorders>
              <w:top w:val="nil"/>
              <w:left w:val="nil"/>
              <w:bottom w:val="single" w:sz="4" w:space="0" w:color="auto"/>
              <w:right w:val="single" w:sz="4" w:space="0" w:color="auto"/>
            </w:tcBorders>
            <w:shd w:val="clear" w:color="auto" w:fill="FFFFFF"/>
            <w:noWrap/>
            <w:vAlign w:val="center"/>
          </w:tcPr>
          <w:p w14:paraId="213A2E37" w14:textId="1702C520"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sz w:val="20"/>
                <w:szCs w:val="20"/>
                <w:lang w:eastAsia="en-GB"/>
              </w:rPr>
              <w:t>100%</w:t>
            </w:r>
          </w:p>
        </w:tc>
        <w:tc>
          <w:tcPr>
            <w:tcW w:w="992" w:type="dxa"/>
            <w:tcBorders>
              <w:top w:val="nil"/>
              <w:left w:val="nil"/>
              <w:bottom w:val="single" w:sz="4" w:space="0" w:color="auto"/>
              <w:right w:val="single" w:sz="4" w:space="0" w:color="auto"/>
            </w:tcBorders>
            <w:shd w:val="clear" w:color="auto" w:fill="FFFFFF"/>
            <w:noWrap/>
            <w:vAlign w:val="center"/>
          </w:tcPr>
          <w:p w14:paraId="500BA5E2" w14:textId="60510E3A"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0</w:t>
            </w:r>
          </w:p>
        </w:tc>
        <w:tc>
          <w:tcPr>
            <w:tcW w:w="851" w:type="dxa"/>
            <w:tcBorders>
              <w:top w:val="nil"/>
              <w:left w:val="nil"/>
              <w:bottom w:val="single" w:sz="4" w:space="0" w:color="auto"/>
              <w:right w:val="single" w:sz="4" w:space="0" w:color="auto"/>
            </w:tcBorders>
            <w:shd w:val="clear" w:color="auto" w:fill="FFFFFF"/>
            <w:noWrap/>
            <w:vAlign w:val="center"/>
          </w:tcPr>
          <w:p w14:paraId="69E7A7E4" w14:textId="209BAA5A"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0%</w:t>
            </w:r>
          </w:p>
        </w:tc>
        <w:tc>
          <w:tcPr>
            <w:tcW w:w="1298" w:type="dxa"/>
            <w:tcBorders>
              <w:top w:val="nil"/>
              <w:left w:val="nil"/>
              <w:bottom w:val="single" w:sz="4" w:space="0" w:color="auto"/>
              <w:right w:val="single" w:sz="4" w:space="0" w:color="auto"/>
            </w:tcBorders>
            <w:shd w:val="clear" w:color="auto" w:fill="FFFFFF"/>
            <w:noWrap/>
            <w:vAlign w:val="center"/>
          </w:tcPr>
          <w:p w14:paraId="7720B908" w14:textId="0EE30C06"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31,741,346</w:t>
            </w:r>
          </w:p>
        </w:tc>
        <w:tc>
          <w:tcPr>
            <w:tcW w:w="992" w:type="dxa"/>
            <w:tcBorders>
              <w:top w:val="nil"/>
              <w:left w:val="nil"/>
              <w:bottom w:val="single" w:sz="4" w:space="0" w:color="auto"/>
              <w:right w:val="single" w:sz="4" w:space="0" w:color="auto"/>
            </w:tcBorders>
            <w:shd w:val="clear" w:color="auto" w:fill="FFFFFF"/>
            <w:noWrap/>
            <w:vAlign w:val="center"/>
          </w:tcPr>
          <w:p w14:paraId="3D6754A1" w14:textId="3751070A"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45.34%</w:t>
            </w:r>
          </w:p>
        </w:tc>
        <w:tc>
          <w:tcPr>
            <w:tcW w:w="1134" w:type="dxa"/>
            <w:tcBorders>
              <w:top w:val="nil"/>
              <w:left w:val="nil"/>
              <w:bottom w:val="single" w:sz="4" w:space="0" w:color="auto"/>
              <w:right w:val="single" w:sz="4" w:space="0" w:color="auto"/>
            </w:tcBorders>
            <w:shd w:val="clear" w:color="auto" w:fill="FFFFFF"/>
            <w:noWrap/>
            <w:vAlign w:val="center"/>
          </w:tcPr>
          <w:p w14:paraId="40266D8B" w14:textId="3A87E1B3"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sz w:val="20"/>
                <w:szCs w:val="20"/>
                <w:lang w:eastAsia="en-GB"/>
              </w:rPr>
              <w:t>0</w:t>
            </w:r>
          </w:p>
        </w:tc>
      </w:tr>
      <w:tr w:rsidR="00BA5D6E" w14:paraId="33555451" w14:textId="77777777" w:rsidTr="00245A15">
        <w:trPr>
          <w:trHeight w:val="300"/>
        </w:trPr>
        <w:tc>
          <w:tcPr>
            <w:tcW w:w="680" w:type="dxa"/>
            <w:tcBorders>
              <w:top w:val="nil"/>
              <w:left w:val="single" w:sz="4" w:space="0" w:color="auto"/>
              <w:bottom w:val="single" w:sz="4" w:space="0" w:color="auto"/>
              <w:right w:val="single" w:sz="4" w:space="0" w:color="auto"/>
            </w:tcBorders>
            <w:shd w:val="clear" w:color="auto" w:fill="FFFFFF"/>
            <w:vAlign w:val="center"/>
            <w:hideMark/>
          </w:tcPr>
          <w:p w14:paraId="06611952" w14:textId="77777777" w:rsidR="00BA5D6E" w:rsidRDefault="00BA5D6E" w:rsidP="00BA5D6E">
            <w:pPr>
              <w:numPr>
                <w:ilvl w:val="0"/>
                <w:numId w:val="1"/>
              </w:numPr>
              <w:spacing w:after="0" w:line="300" w:lineRule="atLeast"/>
              <w:jc w:val="both"/>
              <w:rPr>
                <w:rFonts w:ascii="Arial" w:hAnsi="Arial" w:cs="Arial"/>
                <w:color w:val="000000"/>
                <w:sz w:val="20"/>
                <w:lang w:eastAsia="en-GB"/>
              </w:rPr>
            </w:pPr>
          </w:p>
        </w:tc>
        <w:tc>
          <w:tcPr>
            <w:tcW w:w="3007" w:type="dxa"/>
            <w:tcBorders>
              <w:top w:val="nil"/>
              <w:left w:val="single" w:sz="4" w:space="0" w:color="auto"/>
              <w:bottom w:val="single" w:sz="4" w:space="0" w:color="auto"/>
              <w:right w:val="single" w:sz="4" w:space="0" w:color="auto"/>
            </w:tcBorders>
            <w:shd w:val="clear" w:color="auto" w:fill="FFFFFF"/>
            <w:noWrap/>
            <w:hideMark/>
          </w:tcPr>
          <w:p w14:paraId="561525D2" w14:textId="3B5E9FFF" w:rsidR="00BA5D6E" w:rsidRDefault="00BA5D6E" w:rsidP="00BA5D6E">
            <w:pPr>
              <w:spacing w:before="120" w:line="240" w:lineRule="auto"/>
              <w:rPr>
                <w:rFonts w:ascii="Arial" w:hAnsi="Arial" w:cs="Arial"/>
                <w:sz w:val="20"/>
                <w:lang w:eastAsia="en-GB"/>
              </w:rPr>
            </w:pPr>
            <w:r>
              <w:rPr>
                <w:rFonts w:ascii="Arial" w:hAnsi="Arial" w:cs="Arial"/>
                <w:sz w:val="20"/>
              </w:rPr>
              <w:t xml:space="preserve">To appoint </w:t>
            </w:r>
            <w:r w:rsidRPr="00036029">
              <w:rPr>
                <w:rFonts w:ascii="Arial" w:hAnsi="Arial" w:cs="Arial"/>
                <w:sz w:val="20"/>
              </w:rPr>
              <w:t>PKF Littlejohn LLP</w:t>
            </w:r>
            <w:r>
              <w:rPr>
                <w:rFonts w:ascii="Arial" w:hAnsi="Arial" w:cs="Arial"/>
                <w:sz w:val="20"/>
              </w:rPr>
              <w:t xml:space="preserve"> as auditors to hold office until conclusion of the next AGM</w:t>
            </w:r>
          </w:p>
        </w:tc>
        <w:tc>
          <w:tcPr>
            <w:tcW w:w="1275" w:type="dxa"/>
            <w:tcBorders>
              <w:top w:val="nil"/>
              <w:left w:val="nil"/>
              <w:bottom w:val="single" w:sz="4" w:space="0" w:color="auto"/>
              <w:right w:val="single" w:sz="4" w:space="0" w:color="auto"/>
            </w:tcBorders>
            <w:shd w:val="clear" w:color="auto" w:fill="FFFFFF"/>
            <w:noWrap/>
            <w:vAlign w:val="center"/>
          </w:tcPr>
          <w:p w14:paraId="0458CAA0" w14:textId="09EA6C6B" w:rsidR="00BA5D6E" w:rsidRPr="00950F21"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31,741,346</w:t>
            </w:r>
          </w:p>
        </w:tc>
        <w:tc>
          <w:tcPr>
            <w:tcW w:w="970" w:type="dxa"/>
            <w:tcBorders>
              <w:top w:val="nil"/>
              <w:left w:val="nil"/>
              <w:bottom w:val="single" w:sz="4" w:space="0" w:color="auto"/>
              <w:right w:val="single" w:sz="4" w:space="0" w:color="auto"/>
            </w:tcBorders>
            <w:shd w:val="clear" w:color="auto" w:fill="FFFFFF"/>
            <w:noWrap/>
            <w:vAlign w:val="center"/>
          </w:tcPr>
          <w:p w14:paraId="5D620DBA" w14:textId="014DF6ED"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sz w:val="20"/>
                <w:szCs w:val="20"/>
                <w:lang w:eastAsia="en-GB"/>
              </w:rPr>
              <w:t>100%</w:t>
            </w:r>
          </w:p>
        </w:tc>
        <w:tc>
          <w:tcPr>
            <w:tcW w:w="992" w:type="dxa"/>
            <w:tcBorders>
              <w:top w:val="nil"/>
              <w:left w:val="nil"/>
              <w:bottom w:val="single" w:sz="4" w:space="0" w:color="auto"/>
              <w:right w:val="single" w:sz="4" w:space="0" w:color="auto"/>
            </w:tcBorders>
            <w:shd w:val="clear" w:color="auto" w:fill="FFFFFF"/>
            <w:noWrap/>
            <w:vAlign w:val="center"/>
          </w:tcPr>
          <w:p w14:paraId="15B57BDA" w14:textId="2706A277"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0</w:t>
            </w:r>
          </w:p>
        </w:tc>
        <w:tc>
          <w:tcPr>
            <w:tcW w:w="851" w:type="dxa"/>
            <w:tcBorders>
              <w:top w:val="nil"/>
              <w:left w:val="nil"/>
              <w:bottom w:val="single" w:sz="4" w:space="0" w:color="auto"/>
              <w:right w:val="single" w:sz="4" w:space="0" w:color="auto"/>
            </w:tcBorders>
            <w:shd w:val="clear" w:color="auto" w:fill="FFFFFF"/>
            <w:noWrap/>
            <w:vAlign w:val="center"/>
          </w:tcPr>
          <w:p w14:paraId="6E5D2785" w14:textId="449363D5"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0%</w:t>
            </w:r>
          </w:p>
        </w:tc>
        <w:tc>
          <w:tcPr>
            <w:tcW w:w="1298" w:type="dxa"/>
            <w:tcBorders>
              <w:top w:val="nil"/>
              <w:left w:val="nil"/>
              <w:bottom w:val="single" w:sz="4" w:space="0" w:color="auto"/>
              <w:right w:val="single" w:sz="4" w:space="0" w:color="auto"/>
            </w:tcBorders>
            <w:shd w:val="clear" w:color="auto" w:fill="FFFFFF"/>
            <w:noWrap/>
            <w:vAlign w:val="center"/>
          </w:tcPr>
          <w:p w14:paraId="06C2048B" w14:textId="6569B4FC"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31,741,346</w:t>
            </w:r>
          </w:p>
        </w:tc>
        <w:tc>
          <w:tcPr>
            <w:tcW w:w="992" w:type="dxa"/>
            <w:tcBorders>
              <w:top w:val="nil"/>
              <w:left w:val="nil"/>
              <w:bottom w:val="single" w:sz="4" w:space="0" w:color="auto"/>
              <w:right w:val="single" w:sz="4" w:space="0" w:color="auto"/>
            </w:tcBorders>
            <w:shd w:val="clear" w:color="auto" w:fill="FFFFFF"/>
            <w:noWrap/>
            <w:vAlign w:val="center"/>
          </w:tcPr>
          <w:p w14:paraId="5C34F946" w14:textId="23511E89"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45.34%</w:t>
            </w:r>
          </w:p>
        </w:tc>
        <w:tc>
          <w:tcPr>
            <w:tcW w:w="1134" w:type="dxa"/>
            <w:tcBorders>
              <w:top w:val="nil"/>
              <w:left w:val="nil"/>
              <w:bottom w:val="single" w:sz="4" w:space="0" w:color="auto"/>
              <w:right w:val="single" w:sz="4" w:space="0" w:color="auto"/>
            </w:tcBorders>
            <w:shd w:val="clear" w:color="auto" w:fill="FFFFFF"/>
            <w:noWrap/>
            <w:vAlign w:val="center"/>
          </w:tcPr>
          <w:p w14:paraId="774BD5C8" w14:textId="7A0D3253"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sz w:val="20"/>
                <w:szCs w:val="20"/>
                <w:lang w:eastAsia="en-GB"/>
              </w:rPr>
              <w:t>0</w:t>
            </w:r>
          </w:p>
        </w:tc>
      </w:tr>
      <w:tr w:rsidR="00BA5D6E" w14:paraId="5C950C17" w14:textId="77777777" w:rsidTr="00245A15">
        <w:trPr>
          <w:trHeight w:val="300"/>
        </w:trPr>
        <w:tc>
          <w:tcPr>
            <w:tcW w:w="680" w:type="dxa"/>
            <w:tcBorders>
              <w:top w:val="nil"/>
              <w:left w:val="single" w:sz="4" w:space="0" w:color="auto"/>
              <w:bottom w:val="single" w:sz="4" w:space="0" w:color="auto"/>
              <w:right w:val="single" w:sz="4" w:space="0" w:color="auto"/>
            </w:tcBorders>
            <w:shd w:val="clear" w:color="auto" w:fill="FFFFFF"/>
            <w:vAlign w:val="center"/>
            <w:hideMark/>
          </w:tcPr>
          <w:p w14:paraId="6B90683D" w14:textId="77777777" w:rsidR="00BA5D6E" w:rsidRDefault="00BA5D6E" w:rsidP="00BA5D6E">
            <w:pPr>
              <w:numPr>
                <w:ilvl w:val="0"/>
                <w:numId w:val="1"/>
              </w:numPr>
              <w:spacing w:after="0" w:line="300" w:lineRule="atLeast"/>
              <w:jc w:val="both"/>
              <w:rPr>
                <w:rFonts w:ascii="Arial" w:hAnsi="Arial" w:cs="Arial"/>
                <w:color w:val="000000"/>
                <w:sz w:val="20"/>
                <w:lang w:eastAsia="en-GB"/>
              </w:rPr>
            </w:pPr>
          </w:p>
        </w:tc>
        <w:tc>
          <w:tcPr>
            <w:tcW w:w="3007" w:type="dxa"/>
            <w:tcBorders>
              <w:top w:val="nil"/>
              <w:left w:val="single" w:sz="4" w:space="0" w:color="auto"/>
              <w:bottom w:val="single" w:sz="4" w:space="0" w:color="auto"/>
              <w:right w:val="single" w:sz="4" w:space="0" w:color="auto"/>
            </w:tcBorders>
            <w:shd w:val="clear" w:color="auto" w:fill="FFFFFF"/>
            <w:noWrap/>
            <w:hideMark/>
          </w:tcPr>
          <w:p w14:paraId="1DFBCA92" w14:textId="2333A97F" w:rsidR="00BA5D6E" w:rsidRDefault="00BA5D6E" w:rsidP="00BA5D6E">
            <w:pPr>
              <w:spacing w:before="120" w:line="240" w:lineRule="auto"/>
              <w:rPr>
                <w:rFonts w:ascii="Arial" w:hAnsi="Arial" w:cs="Arial"/>
                <w:sz w:val="20"/>
              </w:rPr>
            </w:pPr>
            <w:r>
              <w:rPr>
                <w:rFonts w:ascii="Arial" w:hAnsi="Arial" w:cs="Arial"/>
                <w:sz w:val="20"/>
              </w:rPr>
              <w:t>To authorise the Directors to determine auditor’s remuneration</w:t>
            </w:r>
          </w:p>
        </w:tc>
        <w:tc>
          <w:tcPr>
            <w:tcW w:w="1275" w:type="dxa"/>
            <w:tcBorders>
              <w:top w:val="nil"/>
              <w:left w:val="nil"/>
              <w:bottom w:val="single" w:sz="4" w:space="0" w:color="auto"/>
              <w:right w:val="single" w:sz="4" w:space="0" w:color="auto"/>
            </w:tcBorders>
            <w:shd w:val="clear" w:color="auto" w:fill="FFFFFF"/>
            <w:noWrap/>
            <w:vAlign w:val="center"/>
          </w:tcPr>
          <w:p w14:paraId="5F9717C8" w14:textId="6750A212" w:rsidR="00BA5D6E" w:rsidRPr="00950F21"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31,741,346</w:t>
            </w:r>
          </w:p>
        </w:tc>
        <w:tc>
          <w:tcPr>
            <w:tcW w:w="970" w:type="dxa"/>
            <w:tcBorders>
              <w:top w:val="nil"/>
              <w:left w:val="nil"/>
              <w:bottom w:val="single" w:sz="4" w:space="0" w:color="auto"/>
              <w:right w:val="single" w:sz="4" w:space="0" w:color="auto"/>
            </w:tcBorders>
            <w:shd w:val="clear" w:color="auto" w:fill="FFFFFF"/>
            <w:noWrap/>
            <w:vAlign w:val="center"/>
          </w:tcPr>
          <w:p w14:paraId="42783E34" w14:textId="1B667990"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sz w:val="20"/>
                <w:szCs w:val="20"/>
                <w:lang w:eastAsia="en-GB"/>
              </w:rPr>
              <w:t>100%</w:t>
            </w:r>
          </w:p>
        </w:tc>
        <w:tc>
          <w:tcPr>
            <w:tcW w:w="992" w:type="dxa"/>
            <w:tcBorders>
              <w:top w:val="nil"/>
              <w:left w:val="nil"/>
              <w:bottom w:val="single" w:sz="4" w:space="0" w:color="auto"/>
              <w:right w:val="single" w:sz="4" w:space="0" w:color="auto"/>
            </w:tcBorders>
            <w:shd w:val="clear" w:color="auto" w:fill="FFFFFF"/>
            <w:noWrap/>
            <w:vAlign w:val="center"/>
          </w:tcPr>
          <w:p w14:paraId="19F735F9" w14:textId="455247CD"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0</w:t>
            </w:r>
          </w:p>
        </w:tc>
        <w:tc>
          <w:tcPr>
            <w:tcW w:w="851" w:type="dxa"/>
            <w:tcBorders>
              <w:top w:val="nil"/>
              <w:left w:val="nil"/>
              <w:bottom w:val="single" w:sz="4" w:space="0" w:color="auto"/>
              <w:right w:val="single" w:sz="4" w:space="0" w:color="auto"/>
            </w:tcBorders>
            <w:shd w:val="clear" w:color="auto" w:fill="FFFFFF"/>
            <w:noWrap/>
            <w:vAlign w:val="center"/>
          </w:tcPr>
          <w:p w14:paraId="3BDE4635" w14:textId="0099700C"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0%</w:t>
            </w:r>
          </w:p>
        </w:tc>
        <w:tc>
          <w:tcPr>
            <w:tcW w:w="1298" w:type="dxa"/>
            <w:tcBorders>
              <w:top w:val="nil"/>
              <w:left w:val="nil"/>
              <w:bottom w:val="single" w:sz="4" w:space="0" w:color="auto"/>
              <w:right w:val="single" w:sz="4" w:space="0" w:color="auto"/>
            </w:tcBorders>
            <w:shd w:val="clear" w:color="auto" w:fill="FFFFFF"/>
            <w:noWrap/>
            <w:vAlign w:val="center"/>
          </w:tcPr>
          <w:p w14:paraId="5938344C" w14:textId="196C3768"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31,741,346</w:t>
            </w:r>
          </w:p>
        </w:tc>
        <w:tc>
          <w:tcPr>
            <w:tcW w:w="992" w:type="dxa"/>
            <w:tcBorders>
              <w:top w:val="nil"/>
              <w:left w:val="nil"/>
              <w:bottom w:val="single" w:sz="4" w:space="0" w:color="auto"/>
              <w:right w:val="single" w:sz="4" w:space="0" w:color="auto"/>
            </w:tcBorders>
            <w:shd w:val="clear" w:color="auto" w:fill="FFFFFF"/>
            <w:noWrap/>
            <w:vAlign w:val="center"/>
          </w:tcPr>
          <w:p w14:paraId="5C3B27AB" w14:textId="6796495A"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45.34%</w:t>
            </w:r>
          </w:p>
        </w:tc>
        <w:tc>
          <w:tcPr>
            <w:tcW w:w="1134" w:type="dxa"/>
            <w:tcBorders>
              <w:top w:val="nil"/>
              <w:left w:val="nil"/>
              <w:bottom w:val="single" w:sz="4" w:space="0" w:color="auto"/>
              <w:right w:val="single" w:sz="4" w:space="0" w:color="auto"/>
            </w:tcBorders>
            <w:shd w:val="clear" w:color="auto" w:fill="FFFFFF"/>
            <w:noWrap/>
            <w:vAlign w:val="center"/>
          </w:tcPr>
          <w:p w14:paraId="646D9FB7" w14:textId="0B88EC5C"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sz w:val="20"/>
                <w:szCs w:val="20"/>
                <w:lang w:eastAsia="en-GB"/>
              </w:rPr>
              <w:t>0</w:t>
            </w:r>
          </w:p>
        </w:tc>
      </w:tr>
      <w:tr w:rsidR="00BA5D6E" w14:paraId="1EB8D0B3" w14:textId="77777777" w:rsidTr="00245A15">
        <w:trPr>
          <w:trHeight w:val="300"/>
        </w:trPr>
        <w:tc>
          <w:tcPr>
            <w:tcW w:w="680" w:type="dxa"/>
            <w:tcBorders>
              <w:top w:val="nil"/>
              <w:left w:val="single" w:sz="4" w:space="0" w:color="auto"/>
              <w:bottom w:val="single" w:sz="4" w:space="0" w:color="auto"/>
              <w:right w:val="single" w:sz="4" w:space="0" w:color="auto"/>
            </w:tcBorders>
            <w:shd w:val="clear" w:color="auto" w:fill="FFFFFF"/>
            <w:vAlign w:val="center"/>
            <w:hideMark/>
          </w:tcPr>
          <w:p w14:paraId="5CFDBBAD" w14:textId="77777777" w:rsidR="00BA5D6E" w:rsidRDefault="00BA5D6E" w:rsidP="00BA5D6E">
            <w:pPr>
              <w:numPr>
                <w:ilvl w:val="0"/>
                <w:numId w:val="1"/>
              </w:numPr>
              <w:spacing w:after="0" w:line="300" w:lineRule="atLeast"/>
              <w:jc w:val="both"/>
              <w:rPr>
                <w:rFonts w:ascii="Arial" w:hAnsi="Arial" w:cs="Arial"/>
                <w:color w:val="000000"/>
                <w:sz w:val="20"/>
                <w:lang w:eastAsia="en-GB"/>
              </w:rPr>
            </w:pPr>
          </w:p>
        </w:tc>
        <w:tc>
          <w:tcPr>
            <w:tcW w:w="3007" w:type="dxa"/>
            <w:tcBorders>
              <w:top w:val="nil"/>
              <w:left w:val="single" w:sz="4" w:space="0" w:color="auto"/>
              <w:bottom w:val="single" w:sz="4" w:space="0" w:color="auto"/>
              <w:right w:val="single" w:sz="4" w:space="0" w:color="auto"/>
            </w:tcBorders>
            <w:shd w:val="clear" w:color="auto" w:fill="FFFFFF"/>
            <w:noWrap/>
            <w:hideMark/>
          </w:tcPr>
          <w:p w14:paraId="0D15B637" w14:textId="6FC8086B" w:rsidR="00BA5D6E" w:rsidRDefault="00BA5D6E" w:rsidP="00BA5D6E">
            <w:pPr>
              <w:spacing w:before="120" w:line="240" w:lineRule="auto"/>
              <w:rPr>
                <w:rFonts w:ascii="Arial" w:hAnsi="Arial" w:cs="Arial"/>
                <w:sz w:val="20"/>
              </w:rPr>
            </w:pPr>
            <w:r>
              <w:rPr>
                <w:rFonts w:ascii="Arial" w:hAnsi="Arial" w:cs="Arial"/>
                <w:sz w:val="20"/>
              </w:rPr>
              <w:t>To authorise the Company to  purchase of its own shares</w:t>
            </w:r>
          </w:p>
        </w:tc>
        <w:tc>
          <w:tcPr>
            <w:tcW w:w="1275" w:type="dxa"/>
            <w:tcBorders>
              <w:top w:val="nil"/>
              <w:left w:val="nil"/>
              <w:bottom w:val="single" w:sz="4" w:space="0" w:color="auto"/>
              <w:right w:val="single" w:sz="4" w:space="0" w:color="auto"/>
            </w:tcBorders>
            <w:shd w:val="clear" w:color="auto" w:fill="FFFFFF"/>
            <w:noWrap/>
            <w:vAlign w:val="center"/>
          </w:tcPr>
          <w:p w14:paraId="14FC11B5" w14:textId="1EE03B5F" w:rsidR="00BA5D6E" w:rsidRPr="00950F21"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31,741,346</w:t>
            </w:r>
          </w:p>
        </w:tc>
        <w:tc>
          <w:tcPr>
            <w:tcW w:w="970" w:type="dxa"/>
            <w:tcBorders>
              <w:top w:val="nil"/>
              <w:left w:val="nil"/>
              <w:bottom w:val="single" w:sz="4" w:space="0" w:color="auto"/>
              <w:right w:val="single" w:sz="4" w:space="0" w:color="auto"/>
            </w:tcBorders>
            <w:shd w:val="clear" w:color="auto" w:fill="FFFFFF"/>
            <w:noWrap/>
            <w:vAlign w:val="center"/>
          </w:tcPr>
          <w:p w14:paraId="2540094C" w14:textId="1B527CF6"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sz w:val="20"/>
                <w:szCs w:val="20"/>
                <w:lang w:eastAsia="en-GB"/>
              </w:rPr>
              <w:t>100%</w:t>
            </w:r>
          </w:p>
        </w:tc>
        <w:tc>
          <w:tcPr>
            <w:tcW w:w="992" w:type="dxa"/>
            <w:tcBorders>
              <w:top w:val="nil"/>
              <w:left w:val="nil"/>
              <w:bottom w:val="single" w:sz="4" w:space="0" w:color="auto"/>
              <w:right w:val="single" w:sz="4" w:space="0" w:color="auto"/>
            </w:tcBorders>
            <w:shd w:val="clear" w:color="auto" w:fill="FFFFFF"/>
            <w:noWrap/>
            <w:vAlign w:val="center"/>
          </w:tcPr>
          <w:p w14:paraId="24B17976" w14:textId="4690ADDA"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0</w:t>
            </w:r>
          </w:p>
        </w:tc>
        <w:tc>
          <w:tcPr>
            <w:tcW w:w="851" w:type="dxa"/>
            <w:tcBorders>
              <w:top w:val="nil"/>
              <w:left w:val="nil"/>
              <w:bottom w:val="single" w:sz="4" w:space="0" w:color="auto"/>
              <w:right w:val="single" w:sz="4" w:space="0" w:color="auto"/>
            </w:tcBorders>
            <w:shd w:val="clear" w:color="auto" w:fill="FFFFFF"/>
            <w:noWrap/>
            <w:vAlign w:val="center"/>
          </w:tcPr>
          <w:p w14:paraId="478D56F8" w14:textId="376A5EC9"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0%</w:t>
            </w:r>
          </w:p>
        </w:tc>
        <w:tc>
          <w:tcPr>
            <w:tcW w:w="1298" w:type="dxa"/>
            <w:tcBorders>
              <w:top w:val="nil"/>
              <w:left w:val="nil"/>
              <w:bottom w:val="single" w:sz="4" w:space="0" w:color="auto"/>
              <w:right w:val="single" w:sz="4" w:space="0" w:color="auto"/>
            </w:tcBorders>
            <w:shd w:val="clear" w:color="auto" w:fill="FFFFFF"/>
            <w:noWrap/>
            <w:vAlign w:val="center"/>
          </w:tcPr>
          <w:p w14:paraId="144E3D4A" w14:textId="06C30FA7"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31,741,346</w:t>
            </w:r>
          </w:p>
        </w:tc>
        <w:tc>
          <w:tcPr>
            <w:tcW w:w="992" w:type="dxa"/>
            <w:tcBorders>
              <w:top w:val="nil"/>
              <w:left w:val="nil"/>
              <w:bottom w:val="single" w:sz="4" w:space="0" w:color="auto"/>
              <w:right w:val="single" w:sz="4" w:space="0" w:color="auto"/>
            </w:tcBorders>
            <w:shd w:val="clear" w:color="auto" w:fill="FFFFFF"/>
            <w:noWrap/>
            <w:vAlign w:val="center"/>
          </w:tcPr>
          <w:p w14:paraId="18920784" w14:textId="043C29DA"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45.34%</w:t>
            </w:r>
          </w:p>
        </w:tc>
        <w:tc>
          <w:tcPr>
            <w:tcW w:w="1134" w:type="dxa"/>
            <w:tcBorders>
              <w:top w:val="nil"/>
              <w:left w:val="nil"/>
              <w:bottom w:val="single" w:sz="4" w:space="0" w:color="auto"/>
              <w:right w:val="single" w:sz="4" w:space="0" w:color="auto"/>
            </w:tcBorders>
            <w:shd w:val="clear" w:color="auto" w:fill="FFFFFF"/>
            <w:noWrap/>
            <w:vAlign w:val="center"/>
          </w:tcPr>
          <w:p w14:paraId="35371F4E" w14:textId="131E3BCF"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sz w:val="20"/>
                <w:szCs w:val="20"/>
                <w:lang w:eastAsia="en-GB"/>
              </w:rPr>
              <w:t>0</w:t>
            </w:r>
          </w:p>
        </w:tc>
      </w:tr>
      <w:tr w:rsidR="00BA5D6E" w14:paraId="115C4067" w14:textId="77777777" w:rsidTr="00245A15">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2B22F1" w14:textId="77777777" w:rsidR="00BA5D6E" w:rsidRDefault="00BA5D6E" w:rsidP="00BA5D6E">
            <w:pPr>
              <w:numPr>
                <w:ilvl w:val="0"/>
                <w:numId w:val="1"/>
              </w:numPr>
              <w:spacing w:after="0" w:line="300" w:lineRule="atLeast"/>
              <w:jc w:val="both"/>
              <w:rPr>
                <w:rFonts w:ascii="Arial" w:hAnsi="Arial" w:cs="Arial"/>
                <w:color w:val="000000"/>
                <w:sz w:val="20"/>
                <w:lang w:eastAsia="en-GB"/>
              </w:rPr>
            </w:pPr>
          </w:p>
        </w:tc>
        <w:tc>
          <w:tcPr>
            <w:tcW w:w="3007" w:type="dxa"/>
            <w:tcBorders>
              <w:top w:val="single" w:sz="4" w:space="0" w:color="auto"/>
              <w:left w:val="single" w:sz="4" w:space="0" w:color="auto"/>
              <w:bottom w:val="single" w:sz="4" w:space="0" w:color="auto"/>
              <w:right w:val="single" w:sz="4" w:space="0" w:color="auto"/>
            </w:tcBorders>
            <w:shd w:val="clear" w:color="auto" w:fill="FFFFFF"/>
            <w:noWrap/>
            <w:hideMark/>
          </w:tcPr>
          <w:p w14:paraId="18E84F12" w14:textId="73AE06CD" w:rsidR="00BA5D6E" w:rsidRDefault="00BA5D6E" w:rsidP="00BA5D6E">
            <w:pPr>
              <w:spacing w:before="120" w:line="240" w:lineRule="auto"/>
              <w:rPr>
                <w:rFonts w:ascii="Arial" w:hAnsi="Arial" w:cs="Arial"/>
                <w:sz w:val="20"/>
              </w:rPr>
            </w:pPr>
            <w:r>
              <w:rPr>
                <w:rFonts w:ascii="Arial" w:hAnsi="Arial" w:cs="Arial"/>
                <w:sz w:val="20"/>
              </w:rPr>
              <w:t>To approve the authority to allot shares</w:t>
            </w:r>
          </w:p>
        </w:tc>
        <w:tc>
          <w:tcPr>
            <w:tcW w:w="1275" w:type="dxa"/>
            <w:tcBorders>
              <w:top w:val="single" w:sz="4" w:space="0" w:color="auto"/>
              <w:left w:val="nil"/>
              <w:bottom w:val="single" w:sz="4" w:space="0" w:color="auto"/>
              <w:right w:val="single" w:sz="4" w:space="0" w:color="auto"/>
            </w:tcBorders>
            <w:shd w:val="clear" w:color="auto" w:fill="FFFFFF"/>
            <w:noWrap/>
            <w:vAlign w:val="center"/>
          </w:tcPr>
          <w:p w14:paraId="232E1F03" w14:textId="09E91CBD" w:rsidR="00BA5D6E" w:rsidRPr="00950F21"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31,741,346</w:t>
            </w:r>
          </w:p>
        </w:tc>
        <w:tc>
          <w:tcPr>
            <w:tcW w:w="970" w:type="dxa"/>
            <w:tcBorders>
              <w:top w:val="single" w:sz="4" w:space="0" w:color="auto"/>
              <w:left w:val="nil"/>
              <w:bottom w:val="single" w:sz="4" w:space="0" w:color="auto"/>
              <w:right w:val="single" w:sz="4" w:space="0" w:color="auto"/>
            </w:tcBorders>
            <w:shd w:val="clear" w:color="auto" w:fill="FFFFFF"/>
            <w:noWrap/>
            <w:vAlign w:val="center"/>
          </w:tcPr>
          <w:p w14:paraId="3B6875C8" w14:textId="4F003C67"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sz w:val="20"/>
                <w:szCs w:val="20"/>
                <w:lang w:eastAsia="en-GB"/>
              </w:rPr>
              <w:t>100%</w:t>
            </w:r>
          </w:p>
        </w:tc>
        <w:tc>
          <w:tcPr>
            <w:tcW w:w="992" w:type="dxa"/>
            <w:tcBorders>
              <w:top w:val="single" w:sz="4" w:space="0" w:color="auto"/>
              <w:left w:val="nil"/>
              <w:bottom w:val="single" w:sz="4" w:space="0" w:color="auto"/>
              <w:right w:val="single" w:sz="4" w:space="0" w:color="auto"/>
            </w:tcBorders>
            <w:shd w:val="clear" w:color="auto" w:fill="FFFFFF"/>
            <w:noWrap/>
            <w:vAlign w:val="center"/>
          </w:tcPr>
          <w:p w14:paraId="317B3C45" w14:textId="571A08AB"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0</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5FC3E8E6" w14:textId="1CCB6C61"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0%</w:t>
            </w:r>
          </w:p>
        </w:tc>
        <w:tc>
          <w:tcPr>
            <w:tcW w:w="1298" w:type="dxa"/>
            <w:tcBorders>
              <w:top w:val="single" w:sz="4" w:space="0" w:color="auto"/>
              <w:left w:val="nil"/>
              <w:bottom w:val="single" w:sz="4" w:space="0" w:color="auto"/>
              <w:right w:val="single" w:sz="4" w:space="0" w:color="auto"/>
            </w:tcBorders>
            <w:shd w:val="clear" w:color="auto" w:fill="FFFFFF"/>
            <w:noWrap/>
            <w:vAlign w:val="center"/>
          </w:tcPr>
          <w:p w14:paraId="79CAA47B" w14:textId="43097A10"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31,741,346</w:t>
            </w:r>
          </w:p>
        </w:tc>
        <w:tc>
          <w:tcPr>
            <w:tcW w:w="992" w:type="dxa"/>
            <w:tcBorders>
              <w:top w:val="single" w:sz="4" w:space="0" w:color="auto"/>
              <w:left w:val="nil"/>
              <w:bottom w:val="single" w:sz="4" w:space="0" w:color="auto"/>
              <w:right w:val="single" w:sz="4" w:space="0" w:color="auto"/>
            </w:tcBorders>
            <w:shd w:val="clear" w:color="auto" w:fill="FFFFFF"/>
            <w:noWrap/>
            <w:vAlign w:val="center"/>
          </w:tcPr>
          <w:p w14:paraId="6E14F638" w14:textId="5D9C93D3"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45.34%</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14:paraId="3536C625" w14:textId="5ADFE197"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sz w:val="20"/>
                <w:szCs w:val="20"/>
                <w:lang w:eastAsia="en-GB"/>
              </w:rPr>
              <w:t>0</w:t>
            </w:r>
          </w:p>
        </w:tc>
      </w:tr>
      <w:tr w:rsidR="00BA5D6E" w14:paraId="72C32DF8" w14:textId="77777777" w:rsidTr="00245A15">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1F636C" w14:textId="77777777" w:rsidR="00BA5D6E" w:rsidRDefault="00BA5D6E" w:rsidP="00BA5D6E">
            <w:pPr>
              <w:numPr>
                <w:ilvl w:val="0"/>
                <w:numId w:val="1"/>
              </w:numPr>
              <w:spacing w:after="0" w:line="300" w:lineRule="atLeast"/>
              <w:jc w:val="both"/>
              <w:rPr>
                <w:rFonts w:ascii="Arial" w:hAnsi="Arial" w:cs="Arial"/>
                <w:color w:val="000000"/>
                <w:sz w:val="20"/>
                <w:lang w:eastAsia="en-GB"/>
              </w:rPr>
            </w:pPr>
          </w:p>
        </w:tc>
        <w:tc>
          <w:tcPr>
            <w:tcW w:w="3007" w:type="dxa"/>
            <w:tcBorders>
              <w:top w:val="single" w:sz="4" w:space="0" w:color="auto"/>
              <w:left w:val="single" w:sz="4" w:space="0" w:color="auto"/>
              <w:bottom w:val="single" w:sz="4" w:space="0" w:color="auto"/>
              <w:right w:val="single" w:sz="4" w:space="0" w:color="auto"/>
            </w:tcBorders>
            <w:shd w:val="clear" w:color="auto" w:fill="FFFFFF"/>
            <w:noWrap/>
            <w:hideMark/>
          </w:tcPr>
          <w:p w14:paraId="1E35DBF6" w14:textId="48FEAC74" w:rsidR="00BA5D6E" w:rsidRDefault="00BA5D6E" w:rsidP="00BA5D6E">
            <w:pPr>
              <w:spacing w:before="120" w:line="240" w:lineRule="auto"/>
              <w:rPr>
                <w:rFonts w:ascii="Arial" w:hAnsi="Arial" w:cs="Arial"/>
                <w:sz w:val="20"/>
              </w:rPr>
            </w:pPr>
            <w:r>
              <w:rPr>
                <w:rFonts w:ascii="Arial" w:hAnsi="Arial" w:cs="Arial"/>
                <w:sz w:val="20"/>
              </w:rPr>
              <w:t>To approve the disapplication of pre- emption rights</w:t>
            </w:r>
          </w:p>
        </w:tc>
        <w:tc>
          <w:tcPr>
            <w:tcW w:w="1275" w:type="dxa"/>
            <w:tcBorders>
              <w:top w:val="single" w:sz="4" w:space="0" w:color="auto"/>
              <w:left w:val="nil"/>
              <w:bottom w:val="single" w:sz="4" w:space="0" w:color="auto"/>
              <w:right w:val="single" w:sz="4" w:space="0" w:color="auto"/>
            </w:tcBorders>
            <w:shd w:val="clear" w:color="auto" w:fill="FFFFFF"/>
            <w:noWrap/>
            <w:vAlign w:val="center"/>
          </w:tcPr>
          <w:p w14:paraId="134428EA" w14:textId="59DE32D3" w:rsidR="00BA5D6E" w:rsidRPr="00950F21"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31,741,346</w:t>
            </w:r>
          </w:p>
        </w:tc>
        <w:tc>
          <w:tcPr>
            <w:tcW w:w="970" w:type="dxa"/>
            <w:tcBorders>
              <w:top w:val="single" w:sz="4" w:space="0" w:color="auto"/>
              <w:left w:val="nil"/>
              <w:bottom w:val="single" w:sz="4" w:space="0" w:color="auto"/>
              <w:right w:val="single" w:sz="4" w:space="0" w:color="auto"/>
            </w:tcBorders>
            <w:shd w:val="clear" w:color="auto" w:fill="FFFFFF"/>
            <w:noWrap/>
            <w:vAlign w:val="center"/>
          </w:tcPr>
          <w:p w14:paraId="38E2437E" w14:textId="3C50A1BE"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sz w:val="20"/>
                <w:szCs w:val="20"/>
                <w:lang w:eastAsia="en-GB"/>
              </w:rPr>
              <w:t>100%</w:t>
            </w:r>
          </w:p>
        </w:tc>
        <w:tc>
          <w:tcPr>
            <w:tcW w:w="992" w:type="dxa"/>
            <w:tcBorders>
              <w:top w:val="single" w:sz="4" w:space="0" w:color="auto"/>
              <w:left w:val="nil"/>
              <w:bottom w:val="single" w:sz="4" w:space="0" w:color="auto"/>
              <w:right w:val="single" w:sz="4" w:space="0" w:color="auto"/>
            </w:tcBorders>
            <w:shd w:val="clear" w:color="auto" w:fill="FFFFFF"/>
            <w:noWrap/>
            <w:vAlign w:val="center"/>
          </w:tcPr>
          <w:p w14:paraId="5B44123D" w14:textId="7C59CEBC"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0</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5D7C835A" w14:textId="1C5D04E6"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0%</w:t>
            </w:r>
          </w:p>
        </w:tc>
        <w:tc>
          <w:tcPr>
            <w:tcW w:w="1298" w:type="dxa"/>
            <w:tcBorders>
              <w:top w:val="single" w:sz="4" w:space="0" w:color="auto"/>
              <w:left w:val="nil"/>
              <w:bottom w:val="single" w:sz="4" w:space="0" w:color="auto"/>
              <w:right w:val="single" w:sz="4" w:space="0" w:color="auto"/>
            </w:tcBorders>
            <w:shd w:val="clear" w:color="auto" w:fill="FFFFFF"/>
            <w:noWrap/>
            <w:vAlign w:val="center"/>
          </w:tcPr>
          <w:p w14:paraId="0CC801B2" w14:textId="3791B61C"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31,741,346</w:t>
            </w:r>
          </w:p>
        </w:tc>
        <w:tc>
          <w:tcPr>
            <w:tcW w:w="992" w:type="dxa"/>
            <w:tcBorders>
              <w:top w:val="single" w:sz="4" w:space="0" w:color="auto"/>
              <w:left w:val="nil"/>
              <w:bottom w:val="single" w:sz="4" w:space="0" w:color="auto"/>
              <w:right w:val="single" w:sz="4" w:space="0" w:color="auto"/>
            </w:tcBorders>
            <w:shd w:val="clear" w:color="auto" w:fill="FFFFFF"/>
            <w:noWrap/>
            <w:vAlign w:val="center"/>
          </w:tcPr>
          <w:p w14:paraId="6FF5AFA6" w14:textId="6C041FBE"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color w:val="000000"/>
                <w:sz w:val="20"/>
                <w:szCs w:val="20"/>
                <w:lang w:eastAsia="en-GB"/>
              </w:rPr>
              <w:t>45.34%</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14:paraId="3F607707" w14:textId="7542B87A" w:rsidR="00BA5D6E" w:rsidRPr="006E5965" w:rsidRDefault="00BA5D6E" w:rsidP="00BA5D6E">
            <w:pPr>
              <w:spacing w:line="240" w:lineRule="auto"/>
              <w:jc w:val="center"/>
              <w:rPr>
                <w:rFonts w:ascii="Arial" w:hAnsi="Arial" w:cs="Arial"/>
                <w:color w:val="000000"/>
                <w:sz w:val="20"/>
                <w:szCs w:val="20"/>
                <w:lang w:eastAsia="en-GB"/>
              </w:rPr>
            </w:pPr>
            <w:r>
              <w:rPr>
                <w:rFonts w:ascii="Arial" w:hAnsi="Arial" w:cs="Arial"/>
                <w:sz w:val="20"/>
                <w:szCs w:val="20"/>
                <w:lang w:eastAsia="en-GB"/>
              </w:rPr>
              <w:t>0</w:t>
            </w:r>
          </w:p>
        </w:tc>
      </w:tr>
    </w:tbl>
    <w:p w14:paraId="502CBFD8" w14:textId="77777777" w:rsidR="00DA4081" w:rsidRPr="00FA233D" w:rsidRDefault="00DA4081" w:rsidP="00FA233D">
      <w:pPr>
        <w:pStyle w:val="Default"/>
        <w:rPr>
          <w:rFonts w:ascii="Arial" w:hAnsi="Arial" w:cs="Arial"/>
          <w:sz w:val="20"/>
          <w:szCs w:val="20"/>
        </w:rPr>
      </w:pPr>
    </w:p>
    <w:p w14:paraId="59B4E9DB" w14:textId="77777777" w:rsidR="00BA780F" w:rsidRDefault="00BA780F" w:rsidP="00FA233D">
      <w:pPr>
        <w:pStyle w:val="Default"/>
        <w:rPr>
          <w:rFonts w:ascii="Arial" w:hAnsi="Arial" w:cs="Arial"/>
          <w:sz w:val="20"/>
          <w:szCs w:val="20"/>
        </w:rPr>
      </w:pPr>
    </w:p>
    <w:p w14:paraId="17E02DD5" w14:textId="77777777" w:rsidR="00BA780F" w:rsidRDefault="00BA780F" w:rsidP="00FA233D">
      <w:pPr>
        <w:pStyle w:val="Default"/>
        <w:rPr>
          <w:rFonts w:ascii="Arial" w:hAnsi="Arial" w:cs="Arial"/>
          <w:sz w:val="20"/>
          <w:szCs w:val="20"/>
        </w:rPr>
      </w:pPr>
    </w:p>
    <w:p w14:paraId="5FC8A040" w14:textId="0C7C4E9A" w:rsidR="00BB10E6" w:rsidRPr="001F1820" w:rsidRDefault="00BB10E6" w:rsidP="00FA233D">
      <w:pPr>
        <w:pStyle w:val="Default"/>
        <w:rPr>
          <w:rFonts w:ascii="Arial" w:hAnsi="Arial" w:cs="Arial"/>
          <w:sz w:val="20"/>
          <w:szCs w:val="20"/>
        </w:rPr>
      </w:pPr>
      <w:r w:rsidRPr="001F1820">
        <w:rPr>
          <w:rFonts w:ascii="Arial" w:hAnsi="Arial" w:cs="Arial"/>
          <w:sz w:val="20"/>
          <w:szCs w:val="20"/>
        </w:rPr>
        <w:lastRenderedPageBreak/>
        <w:t>* Includes discretionary votes</w:t>
      </w:r>
    </w:p>
    <w:p w14:paraId="2EB8AED6" w14:textId="77777777" w:rsidR="00CC1AB0" w:rsidRDefault="00BB10E6" w:rsidP="00FA233D">
      <w:pPr>
        <w:pStyle w:val="Default"/>
        <w:rPr>
          <w:rFonts w:ascii="Arial" w:hAnsi="Arial" w:cs="Arial"/>
          <w:sz w:val="20"/>
          <w:szCs w:val="20"/>
        </w:rPr>
      </w:pPr>
      <w:r w:rsidRPr="001F1820">
        <w:rPr>
          <w:rFonts w:ascii="Arial" w:hAnsi="Arial" w:cs="Arial"/>
          <w:sz w:val="20"/>
          <w:szCs w:val="20"/>
        </w:rPr>
        <w:t>** A vote withheld is not a vote in law and is not counted in the calculation of the votes for or against a resolution.</w:t>
      </w:r>
    </w:p>
    <w:p w14:paraId="7E181DAE" w14:textId="77777777" w:rsidR="00CC1AB0" w:rsidRDefault="00CC1AB0" w:rsidP="00FA233D">
      <w:pPr>
        <w:pStyle w:val="Default"/>
        <w:rPr>
          <w:rFonts w:ascii="Arial" w:hAnsi="Arial" w:cs="Arial"/>
          <w:sz w:val="20"/>
          <w:szCs w:val="20"/>
        </w:rPr>
      </w:pPr>
    </w:p>
    <w:p w14:paraId="7E37A986" w14:textId="4FFCD627" w:rsidR="00CC1AB0" w:rsidRPr="001F1820" w:rsidRDefault="00CC1AB0" w:rsidP="00FA233D">
      <w:pPr>
        <w:pStyle w:val="Default"/>
        <w:rPr>
          <w:rFonts w:ascii="Arial" w:hAnsi="Arial" w:cs="Arial"/>
          <w:sz w:val="20"/>
          <w:szCs w:val="20"/>
        </w:rPr>
      </w:pPr>
      <w:r w:rsidRPr="001F1820">
        <w:rPr>
          <w:rFonts w:ascii="Arial" w:hAnsi="Arial" w:cs="Arial"/>
          <w:sz w:val="20"/>
          <w:szCs w:val="20"/>
        </w:rPr>
        <w:t xml:space="preserve">In accordance with Listing Rule 9.6.2 copies of all the resolutions passed, other than ordinary business, will be submitted to the National Storage Mechanism and will shortly be available for inspection at </w:t>
      </w:r>
      <w:hyperlink r:id="rId7" w:anchor="/nsm/nationalstoragemechanism" w:history="1">
        <w:r w:rsidR="00537771" w:rsidRPr="00293C77">
          <w:rPr>
            <w:rStyle w:val="Hyperlink"/>
            <w:rFonts w:ascii="Arial" w:hAnsi="Arial" w:cs="Arial"/>
            <w:sz w:val="20"/>
            <w:szCs w:val="20"/>
          </w:rPr>
          <w:t>https://data.fca.org.uk/#/nsm/nationalstoragemechanism</w:t>
        </w:r>
      </w:hyperlink>
      <w:r w:rsidR="00537771">
        <w:rPr>
          <w:rFonts w:ascii="Arial" w:hAnsi="Arial" w:cs="Arial"/>
          <w:sz w:val="20"/>
          <w:szCs w:val="20"/>
        </w:rPr>
        <w:t>.</w:t>
      </w:r>
    </w:p>
    <w:p w14:paraId="386F69B3" w14:textId="77777777" w:rsidR="00CC1AB0" w:rsidRPr="001F1820" w:rsidRDefault="00CC1AB0" w:rsidP="00FA233D">
      <w:pPr>
        <w:pStyle w:val="Default"/>
        <w:rPr>
          <w:rFonts w:ascii="Arial" w:hAnsi="Arial" w:cs="Arial"/>
          <w:sz w:val="20"/>
          <w:szCs w:val="20"/>
        </w:rPr>
      </w:pPr>
    </w:p>
    <w:p w14:paraId="2536C0C9" w14:textId="77777777" w:rsidR="001F1820" w:rsidRPr="00FA233D" w:rsidRDefault="001F1820" w:rsidP="00FA233D">
      <w:pPr>
        <w:pStyle w:val="Default"/>
        <w:rPr>
          <w:rFonts w:ascii="Arial" w:hAnsi="Arial" w:cs="Arial"/>
          <w:sz w:val="20"/>
          <w:szCs w:val="20"/>
        </w:rPr>
      </w:pPr>
    </w:p>
    <w:p w14:paraId="408EA0CF" w14:textId="77777777" w:rsidR="001F1820" w:rsidRPr="00200366" w:rsidRDefault="001F1820" w:rsidP="00FA233D">
      <w:pPr>
        <w:spacing w:after="0" w:line="240" w:lineRule="auto"/>
        <w:jc w:val="center"/>
        <w:rPr>
          <w:rFonts w:ascii="Arial" w:hAnsi="Arial" w:cs="Arial"/>
          <w:b/>
          <w:bCs/>
          <w:sz w:val="20"/>
          <w:szCs w:val="20"/>
        </w:rPr>
      </w:pPr>
      <w:r>
        <w:rPr>
          <w:rFonts w:ascii="Arial" w:hAnsi="Arial" w:cs="Arial"/>
          <w:b/>
          <w:bCs/>
          <w:sz w:val="20"/>
          <w:szCs w:val="20"/>
        </w:rPr>
        <w:t>– Ends –</w:t>
      </w:r>
    </w:p>
    <w:p w14:paraId="3ABBEB1C" w14:textId="77777777" w:rsidR="001F1820" w:rsidRPr="00200366" w:rsidRDefault="001F1820" w:rsidP="00FA233D">
      <w:pPr>
        <w:spacing w:after="0" w:line="240" w:lineRule="auto"/>
        <w:jc w:val="center"/>
        <w:rPr>
          <w:rFonts w:ascii="Arial" w:hAnsi="Arial" w:cs="Arial"/>
          <w:b/>
          <w:bCs/>
          <w:sz w:val="20"/>
          <w:szCs w:val="20"/>
        </w:rPr>
      </w:pPr>
    </w:p>
    <w:p w14:paraId="563756B4" w14:textId="77777777" w:rsidR="001F1820" w:rsidRPr="00200366" w:rsidRDefault="001F1820" w:rsidP="00FA233D">
      <w:pPr>
        <w:pStyle w:val="Default"/>
        <w:rPr>
          <w:rFonts w:ascii="Arial" w:hAnsi="Arial" w:cs="Arial"/>
          <w:sz w:val="20"/>
          <w:szCs w:val="20"/>
        </w:rPr>
      </w:pPr>
      <w:r w:rsidRPr="00200366">
        <w:rPr>
          <w:rFonts w:ascii="Arial" w:hAnsi="Arial" w:cs="Arial"/>
          <w:sz w:val="20"/>
          <w:szCs w:val="20"/>
        </w:rPr>
        <w:t>LEI: 213800F59868OZQU6E56</w:t>
      </w:r>
    </w:p>
    <w:p w14:paraId="240626D0" w14:textId="77777777" w:rsidR="001F1820" w:rsidRPr="005D1382" w:rsidRDefault="001F1820" w:rsidP="00FA233D">
      <w:pPr>
        <w:spacing w:after="0" w:line="240" w:lineRule="auto"/>
        <w:rPr>
          <w:rStyle w:val="ac"/>
          <w:rFonts w:ascii="Arial" w:eastAsia="Times New Roman" w:hAnsi="Arial" w:cs="Arial"/>
          <w:sz w:val="20"/>
          <w:szCs w:val="20"/>
          <w:lang w:val="en" w:eastAsia="en-GB"/>
        </w:rPr>
      </w:pPr>
    </w:p>
    <w:p w14:paraId="1B0BB0DD" w14:textId="77777777" w:rsidR="001F1820" w:rsidRPr="005D1382" w:rsidRDefault="001F1820" w:rsidP="00FA233D">
      <w:pPr>
        <w:pStyle w:val="Default"/>
        <w:rPr>
          <w:rStyle w:val="ac"/>
          <w:rFonts w:ascii="Arial" w:eastAsia="Times New Roman" w:hAnsi="Arial" w:cs="Arial"/>
          <w:color w:val="auto"/>
          <w:sz w:val="20"/>
          <w:szCs w:val="20"/>
          <w:lang w:val="en" w:eastAsia="en-GB"/>
        </w:rPr>
      </w:pPr>
    </w:p>
    <w:p w14:paraId="2A8CC3B6" w14:textId="77777777" w:rsidR="001F1820" w:rsidRPr="005D1382" w:rsidRDefault="001F1820" w:rsidP="00FA233D">
      <w:pPr>
        <w:spacing w:after="0" w:line="240" w:lineRule="auto"/>
        <w:jc w:val="both"/>
        <w:rPr>
          <w:rFonts w:ascii="Arial" w:eastAsia="Times New Roman" w:hAnsi="Arial" w:cs="Arial"/>
          <w:color w:val="16202C"/>
          <w:sz w:val="20"/>
          <w:szCs w:val="20"/>
          <w:lang w:eastAsia="en-GB"/>
        </w:rPr>
      </w:pPr>
      <w:r w:rsidRPr="00200366">
        <w:rPr>
          <w:rFonts w:ascii="Arial" w:eastAsia="Times New Roman" w:hAnsi="Arial" w:cs="Arial"/>
          <w:b/>
          <w:bCs/>
          <w:color w:val="212721"/>
          <w:sz w:val="20"/>
          <w:szCs w:val="20"/>
          <w:lang w:eastAsia="en-GB"/>
        </w:rPr>
        <w:t>Enquiries</w:t>
      </w:r>
    </w:p>
    <w:p w14:paraId="685BDE6F" w14:textId="4A540013" w:rsidR="00772A34" w:rsidRPr="005D1382" w:rsidRDefault="00772A34" w:rsidP="00FA233D">
      <w:pPr>
        <w:spacing w:after="0" w:line="240" w:lineRule="auto"/>
        <w:jc w:val="both"/>
        <w:rPr>
          <w:rFonts w:ascii="Arial" w:eastAsia="Times New Roman" w:hAnsi="Arial" w:cs="Arial"/>
          <w:b/>
          <w:bCs/>
          <w:color w:val="16202C"/>
          <w:sz w:val="20"/>
          <w:szCs w:val="20"/>
          <w:lang w:eastAsia="en-GB"/>
        </w:rPr>
      </w:pPr>
    </w:p>
    <w:tbl>
      <w:tblPr>
        <w:tblW w:w="0" w:type="auto"/>
        <w:tblInd w:w="-118" w:type="dxa"/>
        <w:tblCellMar>
          <w:left w:w="0" w:type="dxa"/>
          <w:right w:w="0" w:type="dxa"/>
        </w:tblCellMar>
        <w:tblLook w:val="04A0" w:firstRow="1" w:lastRow="0" w:firstColumn="1" w:lastColumn="0" w:noHBand="0" w:noVBand="1"/>
      </w:tblPr>
      <w:tblGrid>
        <w:gridCol w:w="6031"/>
        <w:gridCol w:w="2117"/>
      </w:tblGrid>
      <w:tr w:rsidR="001F1820" w:rsidRPr="00200366" w14:paraId="0D6CB35D" w14:textId="77777777" w:rsidTr="0028618D">
        <w:tc>
          <w:tcPr>
            <w:tcW w:w="6031" w:type="dxa"/>
            <w:tcMar>
              <w:top w:w="0" w:type="dxa"/>
              <w:left w:w="108" w:type="dxa"/>
              <w:bottom w:w="0" w:type="dxa"/>
              <w:right w:w="108" w:type="dxa"/>
            </w:tcMar>
            <w:hideMark/>
          </w:tcPr>
          <w:p w14:paraId="42B32552" w14:textId="77777777" w:rsidR="00FA233D" w:rsidRPr="003153A5" w:rsidRDefault="00FA233D" w:rsidP="00FA233D">
            <w:pPr>
              <w:spacing w:after="0" w:line="240" w:lineRule="auto"/>
              <w:jc w:val="both"/>
              <w:rPr>
                <w:rFonts w:ascii="Arial" w:eastAsia="Times New Roman" w:hAnsi="Arial" w:cs="Arial"/>
                <w:b/>
                <w:bCs/>
                <w:color w:val="212721"/>
                <w:sz w:val="20"/>
                <w:szCs w:val="20"/>
                <w:lang w:eastAsia="en-GB"/>
              </w:rPr>
            </w:pPr>
            <w:proofErr w:type="spellStart"/>
            <w:r w:rsidRPr="00200366">
              <w:rPr>
                <w:rFonts w:ascii="Arial" w:eastAsia="Times New Roman" w:hAnsi="Arial" w:cs="Arial"/>
                <w:b/>
                <w:bCs/>
                <w:color w:val="212721"/>
                <w:sz w:val="20"/>
                <w:szCs w:val="20"/>
                <w:lang w:eastAsia="en-GB"/>
              </w:rPr>
              <w:t>Tessera</w:t>
            </w:r>
            <w:proofErr w:type="spellEnd"/>
            <w:r w:rsidRPr="00200366">
              <w:rPr>
                <w:rFonts w:ascii="Arial" w:eastAsia="Times New Roman" w:hAnsi="Arial" w:cs="Arial"/>
                <w:b/>
                <w:bCs/>
                <w:color w:val="212721"/>
                <w:sz w:val="20"/>
                <w:szCs w:val="20"/>
                <w:lang w:eastAsia="en-GB"/>
              </w:rPr>
              <w:t xml:space="preserve"> </w:t>
            </w:r>
            <w:r>
              <w:rPr>
                <w:rFonts w:ascii="Arial" w:eastAsia="Times New Roman" w:hAnsi="Arial" w:cs="Arial"/>
                <w:b/>
                <w:bCs/>
                <w:color w:val="212721"/>
                <w:sz w:val="20"/>
                <w:szCs w:val="20"/>
                <w:lang w:eastAsia="en-GB"/>
              </w:rPr>
              <w:t>–</w:t>
            </w:r>
            <w:r w:rsidRPr="00200366">
              <w:rPr>
                <w:rFonts w:ascii="Arial" w:eastAsia="Times New Roman" w:hAnsi="Arial" w:cs="Arial"/>
                <w:b/>
                <w:bCs/>
                <w:color w:val="212721"/>
                <w:sz w:val="20"/>
                <w:szCs w:val="20"/>
                <w:lang w:eastAsia="en-GB"/>
              </w:rPr>
              <w:t xml:space="preserve"> Strategic Adviser</w:t>
            </w:r>
          </w:p>
          <w:p w14:paraId="6DAB8078" w14:textId="5864DFC9" w:rsidR="00FA233D" w:rsidRDefault="00FA233D" w:rsidP="00FA233D">
            <w:pPr>
              <w:spacing w:after="0" w:line="240" w:lineRule="auto"/>
              <w:jc w:val="both"/>
              <w:rPr>
                <w:rFonts w:ascii="Arial" w:eastAsia="Times New Roman" w:hAnsi="Arial" w:cs="Arial"/>
                <w:color w:val="16202C"/>
                <w:sz w:val="20"/>
                <w:szCs w:val="20"/>
                <w:lang w:eastAsia="en-GB"/>
              </w:rPr>
            </w:pPr>
            <w:r w:rsidRPr="00200366">
              <w:rPr>
                <w:rFonts w:ascii="Arial" w:eastAsia="Times New Roman" w:hAnsi="Arial" w:cs="Arial"/>
                <w:color w:val="16202C"/>
                <w:sz w:val="20"/>
                <w:szCs w:val="20"/>
                <w:lang w:eastAsia="en-GB"/>
              </w:rPr>
              <w:t>Tony Morris</w:t>
            </w:r>
          </w:p>
          <w:p w14:paraId="30E9FA83" w14:textId="77777777" w:rsidR="00FA233D" w:rsidRDefault="00FA233D" w:rsidP="00FA233D">
            <w:pPr>
              <w:spacing w:after="0" w:line="240" w:lineRule="auto"/>
              <w:jc w:val="both"/>
              <w:rPr>
                <w:rFonts w:ascii="Arial" w:eastAsia="Times New Roman" w:hAnsi="Arial" w:cs="Arial"/>
                <w:color w:val="16202C"/>
                <w:sz w:val="20"/>
                <w:szCs w:val="20"/>
                <w:lang w:eastAsia="en-GB"/>
              </w:rPr>
            </w:pPr>
          </w:p>
          <w:p w14:paraId="3C096723" w14:textId="77777777" w:rsidR="001F1820" w:rsidRPr="005D1382" w:rsidRDefault="001F1820" w:rsidP="00FA233D">
            <w:pPr>
              <w:spacing w:after="0" w:line="240" w:lineRule="auto"/>
              <w:jc w:val="both"/>
              <w:rPr>
                <w:rFonts w:ascii="Arial" w:eastAsia="Times New Roman" w:hAnsi="Arial" w:cs="Arial"/>
                <w:b/>
                <w:bCs/>
                <w:color w:val="16202C"/>
                <w:sz w:val="20"/>
                <w:szCs w:val="20"/>
                <w:lang w:eastAsia="en-GB"/>
              </w:rPr>
            </w:pPr>
          </w:p>
        </w:tc>
        <w:tc>
          <w:tcPr>
            <w:tcW w:w="2117" w:type="dxa"/>
            <w:tcMar>
              <w:top w:w="0" w:type="dxa"/>
              <w:left w:w="108" w:type="dxa"/>
              <w:bottom w:w="0" w:type="dxa"/>
              <w:right w:w="108" w:type="dxa"/>
            </w:tcMar>
            <w:hideMark/>
          </w:tcPr>
          <w:p w14:paraId="70AD4693" w14:textId="77777777" w:rsidR="00FA233D" w:rsidRDefault="00FA233D" w:rsidP="00FA233D">
            <w:pPr>
              <w:spacing w:after="0" w:line="240" w:lineRule="auto"/>
              <w:jc w:val="right"/>
              <w:rPr>
                <w:rFonts w:ascii="Arial" w:eastAsia="Times New Roman" w:hAnsi="Arial" w:cs="Arial"/>
                <w:color w:val="212721"/>
                <w:sz w:val="20"/>
                <w:szCs w:val="20"/>
                <w:lang w:eastAsia="en-GB"/>
              </w:rPr>
            </w:pPr>
          </w:p>
          <w:p w14:paraId="61FA3F8D" w14:textId="1B3C3AED" w:rsidR="00FA233D" w:rsidRDefault="00FA233D" w:rsidP="00FA233D">
            <w:pPr>
              <w:spacing w:after="0" w:line="240" w:lineRule="auto"/>
              <w:jc w:val="right"/>
              <w:rPr>
                <w:rFonts w:ascii="Arial" w:eastAsia="Times New Roman" w:hAnsi="Arial" w:cs="Arial"/>
                <w:color w:val="212721"/>
                <w:sz w:val="20"/>
                <w:szCs w:val="20"/>
                <w:lang w:eastAsia="en-GB"/>
              </w:rPr>
            </w:pPr>
            <w:r w:rsidRPr="00200366">
              <w:rPr>
                <w:rFonts w:ascii="Arial" w:eastAsia="Times New Roman" w:hAnsi="Arial" w:cs="Arial"/>
                <w:color w:val="212721"/>
                <w:sz w:val="20"/>
                <w:szCs w:val="20"/>
                <w:lang w:eastAsia="en-GB"/>
              </w:rPr>
              <w:t>+44 (0)77 4218 9145</w:t>
            </w:r>
          </w:p>
          <w:p w14:paraId="4FC681C1" w14:textId="77777777" w:rsidR="001F1820" w:rsidRPr="005D1382" w:rsidRDefault="001F1820" w:rsidP="00FA233D">
            <w:pPr>
              <w:spacing w:after="0" w:line="240" w:lineRule="auto"/>
              <w:jc w:val="right"/>
              <w:rPr>
                <w:rFonts w:ascii="Arial" w:eastAsia="Times New Roman" w:hAnsi="Arial" w:cs="Arial"/>
                <w:color w:val="16202C"/>
                <w:sz w:val="20"/>
                <w:szCs w:val="20"/>
                <w:lang w:eastAsia="en-GB"/>
              </w:rPr>
            </w:pPr>
            <w:r w:rsidRPr="005D1382">
              <w:rPr>
                <w:rFonts w:ascii="Arial" w:eastAsia="Times New Roman" w:hAnsi="Arial" w:cs="Arial"/>
                <w:color w:val="16202C"/>
                <w:sz w:val="20"/>
                <w:szCs w:val="20"/>
                <w:lang w:eastAsia="en-GB"/>
              </w:rPr>
              <w:t> </w:t>
            </w:r>
          </w:p>
        </w:tc>
      </w:tr>
    </w:tbl>
    <w:p w14:paraId="3407354B" w14:textId="77777777" w:rsidR="00051047" w:rsidRPr="000E4838" w:rsidRDefault="00051047" w:rsidP="00FA233D">
      <w:pPr>
        <w:autoSpaceDE w:val="0"/>
        <w:autoSpaceDN w:val="0"/>
        <w:adjustRightInd w:val="0"/>
        <w:spacing w:after="0" w:line="240" w:lineRule="auto"/>
        <w:ind w:left="-709"/>
        <w:rPr>
          <w:rStyle w:val="cf"/>
          <w:rFonts w:ascii="Arial" w:hAnsi="Arial" w:cs="Arial"/>
        </w:rPr>
      </w:pPr>
    </w:p>
    <w:p w14:paraId="13945B29" w14:textId="77777777" w:rsidR="00051047" w:rsidRPr="000E4838" w:rsidRDefault="00051047" w:rsidP="00FA233D">
      <w:pPr>
        <w:pStyle w:val="paragraph"/>
        <w:spacing w:before="0" w:beforeAutospacing="0" w:after="0" w:afterAutospacing="0"/>
        <w:ind w:left="-709"/>
        <w:jc w:val="both"/>
        <w:textAlignment w:val="baseline"/>
        <w:rPr>
          <w:rFonts w:ascii="Arial" w:hAnsi="Arial" w:cs="Arial"/>
          <w:sz w:val="22"/>
          <w:szCs w:val="22"/>
        </w:rPr>
      </w:pPr>
    </w:p>
    <w:sectPr w:rsidR="00051047" w:rsidRPr="000E4838" w:rsidSect="00CC1AB0">
      <w:pgSz w:w="11906" w:h="16838"/>
      <w:pgMar w:top="1440" w:right="1440" w:bottom="1440" w:left="1440" w:header="1440" w:footer="14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D49AF" w14:textId="77777777" w:rsidR="00F637DB" w:rsidRDefault="00F637DB" w:rsidP="006620C4">
      <w:pPr>
        <w:spacing w:after="0" w:line="240" w:lineRule="auto"/>
      </w:pPr>
      <w:r>
        <w:separator/>
      </w:r>
    </w:p>
  </w:endnote>
  <w:endnote w:type="continuationSeparator" w:id="0">
    <w:p w14:paraId="2EBE4D8C" w14:textId="77777777" w:rsidR="00F637DB" w:rsidRDefault="00F637DB" w:rsidP="00662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0CD29" w14:textId="77777777" w:rsidR="00F637DB" w:rsidRDefault="00F637DB" w:rsidP="006620C4">
      <w:pPr>
        <w:spacing w:after="0" w:line="240" w:lineRule="auto"/>
      </w:pPr>
      <w:r>
        <w:separator/>
      </w:r>
    </w:p>
  </w:footnote>
  <w:footnote w:type="continuationSeparator" w:id="0">
    <w:p w14:paraId="1E082745" w14:textId="77777777" w:rsidR="00F637DB" w:rsidRDefault="00F637DB" w:rsidP="00662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33679"/>
    <w:multiLevelType w:val="hybridMultilevel"/>
    <w:tmpl w:val="0AFEF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4904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0E6"/>
    <w:rsid w:val="00002E5E"/>
    <w:rsid w:val="00020CFA"/>
    <w:rsid w:val="00036029"/>
    <w:rsid w:val="00051047"/>
    <w:rsid w:val="00064208"/>
    <w:rsid w:val="000A0127"/>
    <w:rsid w:val="000B7651"/>
    <w:rsid w:val="000E4838"/>
    <w:rsid w:val="0013126E"/>
    <w:rsid w:val="001344B6"/>
    <w:rsid w:val="001F1820"/>
    <w:rsid w:val="00245A15"/>
    <w:rsid w:val="003071C6"/>
    <w:rsid w:val="00354411"/>
    <w:rsid w:val="00375BD7"/>
    <w:rsid w:val="0039139D"/>
    <w:rsid w:val="004139E2"/>
    <w:rsid w:val="00415655"/>
    <w:rsid w:val="004737FA"/>
    <w:rsid w:val="0049410B"/>
    <w:rsid w:val="00506F7B"/>
    <w:rsid w:val="00523A50"/>
    <w:rsid w:val="00537771"/>
    <w:rsid w:val="00557F9A"/>
    <w:rsid w:val="006363D2"/>
    <w:rsid w:val="006620C4"/>
    <w:rsid w:val="006C5007"/>
    <w:rsid w:val="006E5965"/>
    <w:rsid w:val="007605D9"/>
    <w:rsid w:val="00772A34"/>
    <w:rsid w:val="007C6D3B"/>
    <w:rsid w:val="007F0D21"/>
    <w:rsid w:val="007F11A1"/>
    <w:rsid w:val="00803A17"/>
    <w:rsid w:val="008F181D"/>
    <w:rsid w:val="009169AA"/>
    <w:rsid w:val="00950F21"/>
    <w:rsid w:val="00AD0A06"/>
    <w:rsid w:val="00AD45AB"/>
    <w:rsid w:val="00B10977"/>
    <w:rsid w:val="00B5228C"/>
    <w:rsid w:val="00B70806"/>
    <w:rsid w:val="00BA5D6E"/>
    <w:rsid w:val="00BA780F"/>
    <w:rsid w:val="00BB10E6"/>
    <w:rsid w:val="00BC6555"/>
    <w:rsid w:val="00C02432"/>
    <w:rsid w:val="00C846B8"/>
    <w:rsid w:val="00CC1AB0"/>
    <w:rsid w:val="00CF0EB3"/>
    <w:rsid w:val="00CF4E35"/>
    <w:rsid w:val="00D556E0"/>
    <w:rsid w:val="00DA4081"/>
    <w:rsid w:val="00DB7DA1"/>
    <w:rsid w:val="00DD4C75"/>
    <w:rsid w:val="00DE2712"/>
    <w:rsid w:val="00E050CF"/>
    <w:rsid w:val="00E244C1"/>
    <w:rsid w:val="00EA0535"/>
    <w:rsid w:val="00F637DB"/>
    <w:rsid w:val="00FA233D"/>
    <w:rsid w:val="00FB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30D0"/>
  <w15:docId w15:val="{2593C401-DB6A-4598-905C-21208369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B10E6"/>
    <w:rPr>
      <w:color w:val="0000FF"/>
      <w:u w:val="single"/>
    </w:rPr>
  </w:style>
  <w:style w:type="table" w:styleId="TableGrid">
    <w:name w:val="Table Grid"/>
    <w:basedOn w:val="TableNormal"/>
    <w:uiPriority w:val="39"/>
    <w:rsid w:val="00BB1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h">
    <w:name w:val="dh"/>
    <w:basedOn w:val="DefaultParagraphFont"/>
    <w:rsid w:val="0013126E"/>
  </w:style>
  <w:style w:type="character" w:customStyle="1" w:styleId="cf">
    <w:name w:val="cf"/>
    <w:basedOn w:val="DefaultParagraphFont"/>
    <w:rsid w:val="0013126E"/>
  </w:style>
  <w:style w:type="paragraph" w:customStyle="1" w:styleId="ba">
    <w:name w:val="ba"/>
    <w:basedOn w:val="Normal"/>
    <w:rsid w:val="000510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x">
    <w:name w:val="ax"/>
    <w:basedOn w:val="DefaultParagraphFont"/>
    <w:rsid w:val="00051047"/>
  </w:style>
  <w:style w:type="paragraph" w:customStyle="1" w:styleId="paragraph">
    <w:name w:val="paragraph"/>
    <w:basedOn w:val="Normal"/>
    <w:rsid w:val="00506F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506F7B"/>
  </w:style>
  <w:style w:type="character" w:customStyle="1" w:styleId="eop">
    <w:name w:val="eop"/>
    <w:basedOn w:val="DefaultParagraphFont"/>
    <w:rsid w:val="00506F7B"/>
  </w:style>
  <w:style w:type="character" w:customStyle="1" w:styleId="spellingerror">
    <w:name w:val="spellingerror"/>
    <w:basedOn w:val="DefaultParagraphFont"/>
    <w:rsid w:val="00506F7B"/>
  </w:style>
  <w:style w:type="character" w:styleId="CommentReference">
    <w:name w:val="annotation reference"/>
    <w:basedOn w:val="DefaultParagraphFont"/>
    <w:uiPriority w:val="99"/>
    <w:semiHidden/>
    <w:unhideWhenUsed/>
    <w:rsid w:val="001344B6"/>
    <w:rPr>
      <w:sz w:val="16"/>
      <w:szCs w:val="16"/>
    </w:rPr>
  </w:style>
  <w:style w:type="paragraph" w:styleId="CommentText">
    <w:name w:val="annotation text"/>
    <w:basedOn w:val="Normal"/>
    <w:link w:val="CommentTextChar"/>
    <w:uiPriority w:val="99"/>
    <w:semiHidden/>
    <w:unhideWhenUsed/>
    <w:rsid w:val="001344B6"/>
    <w:pPr>
      <w:spacing w:line="240" w:lineRule="auto"/>
    </w:pPr>
    <w:rPr>
      <w:sz w:val="20"/>
      <w:szCs w:val="20"/>
    </w:rPr>
  </w:style>
  <w:style w:type="character" w:customStyle="1" w:styleId="CommentTextChar">
    <w:name w:val="Comment Text Char"/>
    <w:basedOn w:val="DefaultParagraphFont"/>
    <w:link w:val="CommentText"/>
    <w:uiPriority w:val="99"/>
    <w:semiHidden/>
    <w:rsid w:val="001344B6"/>
    <w:rPr>
      <w:sz w:val="20"/>
      <w:szCs w:val="20"/>
    </w:rPr>
  </w:style>
  <w:style w:type="paragraph" w:styleId="CommentSubject">
    <w:name w:val="annotation subject"/>
    <w:basedOn w:val="CommentText"/>
    <w:next w:val="CommentText"/>
    <w:link w:val="CommentSubjectChar"/>
    <w:uiPriority w:val="99"/>
    <w:semiHidden/>
    <w:unhideWhenUsed/>
    <w:rsid w:val="001344B6"/>
    <w:rPr>
      <w:b/>
      <w:bCs/>
    </w:rPr>
  </w:style>
  <w:style w:type="character" w:customStyle="1" w:styleId="CommentSubjectChar">
    <w:name w:val="Comment Subject Char"/>
    <w:basedOn w:val="CommentTextChar"/>
    <w:link w:val="CommentSubject"/>
    <w:uiPriority w:val="99"/>
    <w:semiHidden/>
    <w:rsid w:val="001344B6"/>
    <w:rPr>
      <w:b/>
      <w:bCs/>
      <w:sz w:val="20"/>
      <w:szCs w:val="20"/>
    </w:rPr>
  </w:style>
  <w:style w:type="paragraph" w:styleId="BalloonText">
    <w:name w:val="Balloon Text"/>
    <w:basedOn w:val="Normal"/>
    <w:link w:val="BalloonTextChar"/>
    <w:uiPriority w:val="99"/>
    <w:semiHidden/>
    <w:unhideWhenUsed/>
    <w:rsid w:val="001344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4B6"/>
    <w:rPr>
      <w:rFonts w:ascii="Segoe UI" w:hAnsi="Segoe UI" w:cs="Segoe UI"/>
      <w:sz w:val="18"/>
      <w:szCs w:val="18"/>
    </w:rPr>
  </w:style>
  <w:style w:type="paragraph" w:customStyle="1" w:styleId="by">
    <w:name w:val="by"/>
    <w:basedOn w:val="Normal"/>
    <w:rsid w:val="006C50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m">
    <w:name w:val="am"/>
    <w:basedOn w:val="DefaultParagraphFont"/>
    <w:rsid w:val="006C5007"/>
  </w:style>
  <w:style w:type="paragraph" w:customStyle="1" w:styleId="cg">
    <w:name w:val="cg"/>
    <w:basedOn w:val="Normal"/>
    <w:rsid w:val="006C50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i">
    <w:name w:val="bi"/>
    <w:basedOn w:val="DefaultParagraphFont"/>
    <w:rsid w:val="006C5007"/>
  </w:style>
  <w:style w:type="paragraph" w:styleId="Header">
    <w:name w:val="header"/>
    <w:basedOn w:val="Normal"/>
    <w:link w:val="HeaderChar"/>
    <w:uiPriority w:val="99"/>
    <w:unhideWhenUsed/>
    <w:rsid w:val="00662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0C4"/>
  </w:style>
  <w:style w:type="paragraph" w:styleId="Footer">
    <w:name w:val="footer"/>
    <w:basedOn w:val="Normal"/>
    <w:link w:val="FooterChar"/>
    <w:uiPriority w:val="99"/>
    <w:unhideWhenUsed/>
    <w:rsid w:val="00662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0C4"/>
  </w:style>
  <w:style w:type="paragraph" w:customStyle="1" w:styleId="pc">
    <w:name w:val="pc"/>
    <w:basedOn w:val="Normal"/>
    <w:rsid w:val="00DA40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d">
    <w:name w:val="pd"/>
    <w:basedOn w:val="DefaultParagraphFont"/>
    <w:rsid w:val="00DA4081"/>
  </w:style>
  <w:style w:type="paragraph" w:customStyle="1" w:styleId="pf">
    <w:name w:val="pf"/>
    <w:basedOn w:val="Normal"/>
    <w:rsid w:val="00DA40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g">
    <w:name w:val="pg"/>
    <w:basedOn w:val="DefaultParagraphFont"/>
    <w:rsid w:val="00DA4081"/>
  </w:style>
  <w:style w:type="character" w:customStyle="1" w:styleId="ac">
    <w:name w:val="ac"/>
    <w:basedOn w:val="DefaultParagraphFont"/>
    <w:rsid w:val="00DA4081"/>
  </w:style>
  <w:style w:type="paragraph" w:customStyle="1" w:styleId="Default">
    <w:name w:val="Default"/>
    <w:rsid w:val="00DA4081"/>
    <w:pPr>
      <w:autoSpaceDE w:val="0"/>
      <w:autoSpaceDN w:val="0"/>
      <w:adjustRightInd w:val="0"/>
      <w:spacing w:after="0" w:line="240" w:lineRule="auto"/>
    </w:pPr>
    <w:rPr>
      <w:rFonts w:ascii="Calibri" w:hAnsi="Calibri" w:cs="Calibri"/>
      <w:color w:val="000000"/>
      <w:sz w:val="24"/>
      <w:szCs w:val="24"/>
    </w:rPr>
  </w:style>
  <w:style w:type="paragraph" w:customStyle="1" w:styleId="ds">
    <w:name w:val="ds"/>
    <w:basedOn w:val="Normal"/>
    <w:rsid w:val="00DA40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3544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929578">
      <w:bodyDiv w:val="1"/>
      <w:marLeft w:val="0"/>
      <w:marRight w:val="0"/>
      <w:marTop w:val="0"/>
      <w:marBottom w:val="0"/>
      <w:divBdr>
        <w:top w:val="none" w:sz="0" w:space="0" w:color="auto"/>
        <w:left w:val="none" w:sz="0" w:space="0" w:color="auto"/>
        <w:bottom w:val="none" w:sz="0" w:space="0" w:color="auto"/>
        <w:right w:val="none" w:sz="0" w:space="0" w:color="auto"/>
      </w:divBdr>
    </w:div>
    <w:div w:id="1314527715">
      <w:bodyDiv w:val="1"/>
      <w:marLeft w:val="0"/>
      <w:marRight w:val="0"/>
      <w:marTop w:val="0"/>
      <w:marBottom w:val="0"/>
      <w:divBdr>
        <w:top w:val="none" w:sz="0" w:space="0" w:color="auto"/>
        <w:left w:val="none" w:sz="0" w:space="0" w:color="auto"/>
        <w:bottom w:val="none" w:sz="0" w:space="0" w:color="auto"/>
        <w:right w:val="none" w:sz="0" w:space="0" w:color="auto"/>
      </w:divBdr>
    </w:div>
    <w:div w:id="1473451216">
      <w:bodyDiv w:val="1"/>
      <w:marLeft w:val="0"/>
      <w:marRight w:val="0"/>
      <w:marTop w:val="0"/>
      <w:marBottom w:val="0"/>
      <w:divBdr>
        <w:top w:val="none" w:sz="0" w:space="0" w:color="auto"/>
        <w:left w:val="none" w:sz="0" w:space="0" w:color="auto"/>
        <w:bottom w:val="none" w:sz="0" w:space="0" w:color="auto"/>
        <w:right w:val="none" w:sz="0" w:space="0" w:color="auto"/>
      </w:divBdr>
    </w:div>
    <w:div w:id="1537891142">
      <w:bodyDiv w:val="1"/>
      <w:marLeft w:val="0"/>
      <w:marRight w:val="0"/>
      <w:marTop w:val="0"/>
      <w:marBottom w:val="0"/>
      <w:divBdr>
        <w:top w:val="none" w:sz="0" w:space="0" w:color="auto"/>
        <w:left w:val="none" w:sz="0" w:space="0" w:color="auto"/>
        <w:bottom w:val="none" w:sz="0" w:space="0" w:color="auto"/>
        <w:right w:val="none" w:sz="0" w:space="0" w:color="auto"/>
      </w:divBdr>
      <w:divsChild>
        <w:div w:id="1809592733">
          <w:marLeft w:val="0"/>
          <w:marRight w:val="0"/>
          <w:marTop w:val="0"/>
          <w:marBottom w:val="0"/>
          <w:divBdr>
            <w:top w:val="single" w:sz="6" w:space="0" w:color="E5E5E5"/>
            <w:left w:val="single" w:sz="6" w:space="0" w:color="E5E5E5"/>
            <w:bottom w:val="single" w:sz="6" w:space="0" w:color="E5E5E5"/>
            <w:right w:val="single" w:sz="6" w:space="0" w:color="E5E5E5"/>
          </w:divBdr>
          <w:divsChild>
            <w:div w:id="965354208">
              <w:marLeft w:val="0"/>
              <w:marRight w:val="0"/>
              <w:marTop w:val="0"/>
              <w:marBottom w:val="0"/>
              <w:divBdr>
                <w:top w:val="none" w:sz="0" w:space="0" w:color="auto"/>
                <w:left w:val="none" w:sz="0" w:space="0" w:color="auto"/>
                <w:bottom w:val="none" w:sz="0" w:space="0" w:color="auto"/>
                <w:right w:val="none" w:sz="0" w:space="0" w:color="auto"/>
              </w:divBdr>
              <w:divsChild>
                <w:div w:id="18443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93507">
      <w:bodyDiv w:val="1"/>
      <w:marLeft w:val="0"/>
      <w:marRight w:val="0"/>
      <w:marTop w:val="0"/>
      <w:marBottom w:val="0"/>
      <w:divBdr>
        <w:top w:val="none" w:sz="0" w:space="0" w:color="auto"/>
        <w:left w:val="none" w:sz="0" w:space="0" w:color="auto"/>
        <w:bottom w:val="none" w:sz="0" w:space="0" w:color="auto"/>
        <w:right w:val="none" w:sz="0" w:space="0" w:color="auto"/>
      </w:divBdr>
    </w:div>
    <w:div w:id="1849516067">
      <w:bodyDiv w:val="1"/>
      <w:marLeft w:val="0"/>
      <w:marRight w:val="0"/>
      <w:marTop w:val="0"/>
      <w:marBottom w:val="0"/>
      <w:divBdr>
        <w:top w:val="none" w:sz="0" w:space="0" w:color="auto"/>
        <w:left w:val="none" w:sz="0" w:space="0" w:color="auto"/>
        <w:bottom w:val="none" w:sz="0" w:space="0" w:color="auto"/>
        <w:right w:val="none" w:sz="0" w:space="0" w:color="auto"/>
      </w:divBdr>
    </w:div>
    <w:div w:id="18976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ta.fc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JTC Group</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fadil</dc:creator>
  <cp:lastModifiedBy>Abbie Streeton</cp:lastModifiedBy>
  <cp:revision>7</cp:revision>
  <dcterms:created xsi:type="dcterms:W3CDTF">2024-02-05T11:34:00Z</dcterms:created>
  <dcterms:modified xsi:type="dcterms:W3CDTF">2024-06-18T11:50:00Z</dcterms:modified>
</cp:coreProperties>
</file>