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95249" w14:textId="77777777" w:rsidR="003C7BC3" w:rsidRPr="003C7BC3" w:rsidRDefault="003C7BC3" w:rsidP="00995948">
      <w:pPr>
        <w:widowControl w:val="0"/>
        <w:autoSpaceDE w:val="0"/>
        <w:autoSpaceDN w:val="0"/>
        <w:spacing w:line="240" w:lineRule="auto"/>
        <w:jc w:val="both"/>
        <w:rPr>
          <w:rFonts w:ascii="Calibri" w:eastAsia="Calibri" w:hAnsi="Calibri" w:cs="Arial"/>
          <w:b/>
          <w:sz w:val="20"/>
          <w:szCs w:val="18"/>
          <w:lang w:eastAsia="en-GB" w:bidi="en-GB"/>
        </w:rPr>
      </w:pPr>
      <w:r w:rsidRPr="003C7BC3">
        <w:rPr>
          <w:rFonts w:ascii="Calibri" w:eastAsia="Calibri" w:hAnsi="Calibri" w:cs="Arial"/>
          <w:b/>
          <w:sz w:val="18"/>
          <w:szCs w:val="18"/>
          <w:lang w:eastAsia="en-GB" w:bidi="en-GB"/>
        </w:rPr>
        <w:t>19 May 2020</w:t>
      </w:r>
    </w:p>
    <w:p w14:paraId="41B6DB79" w14:textId="4F146AAE" w:rsidR="003C7BC3" w:rsidRPr="005B3BEE" w:rsidRDefault="00B8124C" w:rsidP="005B3BEE">
      <w:pPr>
        <w:widowControl w:val="0"/>
        <w:autoSpaceDE w:val="0"/>
        <w:autoSpaceDN w:val="0"/>
        <w:spacing w:after="120" w:line="240" w:lineRule="auto"/>
        <w:jc w:val="center"/>
        <w:rPr>
          <w:rFonts w:ascii="Calibri" w:eastAsia="Calibri" w:hAnsi="Calibri" w:cs="Arial"/>
          <w:b/>
          <w:sz w:val="12"/>
          <w:szCs w:val="10"/>
          <w:lang w:eastAsia="en-GB" w:bidi="en-GB"/>
        </w:rPr>
      </w:pPr>
      <w:r>
        <w:rPr>
          <w:rFonts w:ascii="Calibri" w:eastAsia="Calibri" w:hAnsi="Calibri" w:cs="Arial"/>
          <w:b/>
          <w:sz w:val="20"/>
          <w:szCs w:val="18"/>
          <w:lang w:eastAsia="en-GB" w:bidi="en-GB"/>
        </w:rPr>
        <w:t>Decisive</w:t>
      </w:r>
      <w:r w:rsidRPr="003C7BC3">
        <w:rPr>
          <w:rFonts w:ascii="Calibri" w:eastAsia="Calibri" w:hAnsi="Calibri" w:cs="Arial"/>
          <w:b/>
          <w:sz w:val="20"/>
          <w:szCs w:val="18"/>
          <w:lang w:eastAsia="en-GB" w:bidi="en-GB"/>
        </w:rPr>
        <w:t xml:space="preserve"> </w:t>
      </w:r>
      <w:r w:rsidR="003C7BC3" w:rsidRPr="003C7BC3">
        <w:rPr>
          <w:rFonts w:ascii="Calibri" w:eastAsia="Calibri" w:hAnsi="Calibri" w:cs="Arial"/>
          <w:b/>
          <w:sz w:val="20"/>
          <w:szCs w:val="18"/>
          <w:lang w:eastAsia="en-GB" w:bidi="en-GB"/>
        </w:rPr>
        <w:t xml:space="preserve">response to COVID-19; strong financial and operational model in place </w:t>
      </w:r>
      <w:r w:rsidR="00DF339C">
        <w:rPr>
          <w:rFonts w:ascii="Calibri" w:eastAsia="Calibri" w:hAnsi="Calibri" w:cs="Arial"/>
          <w:b/>
          <w:sz w:val="20"/>
          <w:szCs w:val="18"/>
          <w:lang w:eastAsia="en-GB" w:bidi="en-GB"/>
        </w:rPr>
        <w:t xml:space="preserve">to </w:t>
      </w:r>
      <w:r w:rsidR="00836AD1">
        <w:rPr>
          <w:rFonts w:ascii="Calibri" w:eastAsia="Calibri" w:hAnsi="Calibri" w:cs="Arial"/>
          <w:b/>
          <w:sz w:val="20"/>
          <w:szCs w:val="18"/>
          <w:lang w:eastAsia="en-GB" w:bidi="en-GB"/>
        </w:rPr>
        <w:t>build back the business</w:t>
      </w:r>
      <w:r>
        <w:rPr>
          <w:rFonts w:ascii="Calibri" w:eastAsia="Calibri" w:hAnsi="Calibri" w:cs="Arial"/>
          <w:b/>
          <w:sz w:val="20"/>
          <w:szCs w:val="18"/>
          <w:lang w:eastAsia="en-GB" w:bidi="en-GB"/>
        </w:rPr>
        <w:t xml:space="preserve"> </w:t>
      </w:r>
    </w:p>
    <w:p w14:paraId="1F0E8A0D" w14:textId="77777777" w:rsidR="003C7BC3" w:rsidRDefault="003C7BC3"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Greencore Group plc (‘Greencore’ or the ‘Group’), a leading manufacturer of convenience food in the UK, today issues its interim results for the 26 weeks ending 27 March 2020 and updates on its</w:t>
      </w:r>
      <w:r w:rsidR="00500ACC">
        <w:rPr>
          <w:rFonts w:ascii="Calibri" w:eastAsia="Calibri" w:hAnsi="Calibri" w:cs="Arial"/>
          <w:sz w:val="18"/>
          <w:szCs w:val="18"/>
          <w:lang w:eastAsia="en-GB" w:bidi="en-GB"/>
        </w:rPr>
        <w:t xml:space="preserve"> response to the COVID-19 pandemic</w:t>
      </w:r>
      <w:r w:rsidRPr="003C7BC3">
        <w:rPr>
          <w:rFonts w:ascii="Calibri" w:eastAsia="Calibri" w:hAnsi="Calibri" w:cs="Arial"/>
          <w:sz w:val="18"/>
          <w:szCs w:val="18"/>
          <w:lang w:eastAsia="en-GB" w:bidi="en-GB"/>
        </w:rPr>
        <w:t>.</w:t>
      </w:r>
    </w:p>
    <w:p w14:paraId="302C0024" w14:textId="173ED056" w:rsidR="003C7BC3" w:rsidRDefault="003C7BC3" w:rsidP="005B3BEE">
      <w:pPr>
        <w:widowControl w:val="0"/>
        <w:autoSpaceDE w:val="0"/>
        <w:autoSpaceDN w:val="0"/>
        <w:spacing w:after="120" w:line="240" w:lineRule="auto"/>
        <w:jc w:val="both"/>
        <w:rPr>
          <w:rFonts w:ascii="Calibri" w:eastAsia="Calibri" w:hAnsi="Calibri" w:cs="Arial"/>
          <w:b/>
          <w:sz w:val="20"/>
          <w:szCs w:val="18"/>
          <w:vertAlign w:val="superscript"/>
          <w:lang w:eastAsia="en-GB" w:bidi="en-GB"/>
        </w:rPr>
      </w:pPr>
      <w:r w:rsidRPr="003C7BC3">
        <w:rPr>
          <w:rFonts w:ascii="Calibri" w:eastAsia="Calibri" w:hAnsi="Calibri" w:cs="Arial"/>
          <w:b/>
          <w:sz w:val="20"/>
          <w:szCs w:val="18"/>
          <w:lang w:eastAsia="en-GB" w:bidi="en-GB"/>
        </w:rPr>
        <w:t xml:space="preserve">HIGHLIGHTS </w:t>
      </w:r>
      <w:r w:rsidRPr="003C7BC3">
        <w:rPr>
          <w:rFonts w:ascii="Calibri" w:eastAsia="Calibri" w:hAnsi="Calibri" w:cs="Arial"/>
          <w:b/>
          <w:sz w:val="20"/>
          <w:szCs w:val="18"/>
          <w:vertAlign w:val="superscript"/>
          <w:lang w:eastAsia="en-GB" w:bidi="en-GB"/>
        </w:rPr>
        <w:t>1,2</w:t>
      </w:r>
      <w:r w:rsidR="00A14F58">
        <w:rPr>
          <w:rFonts w:ascii="Calibri" w:eastAsia="Calibri" w:hAnsi="Calibri" w:cs="Arial"/>
          <w:b/>
          <w:sz w:val="20"/>
          <w:szCs w:val="18"/>
          <w:vertAlign w:val="superscript"/>
          <w:lang w:eastAsia="en-GB" w:bidi="en-GB"/>
        </w:rPr>
        <w:t>,3</w:t>
      </w:r>
    </w:p>
    <w:p w14:paraId="230E2F8F" w14:textId="7796178C" w:rsidR="003C7BC3" w:rsidRPr="003C7BC3" w:rsidRDefault="003C7BC3" w:rsidP="00C26CE0">
      <w:pPr>
        <w:widowControl w:val="0"/>
        <w:numPr>
          <w:ilvl w:val="0"/>
          <w:numId w:val="29"/>
        </w:numPr>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Comprehensive and rapid response to COVID-19</w:t>
      </w:r>
      <w:r w:rsidR="00625910">
        <w:rPr>
          <w:rFonts w:ascii="Calibri" w:eastAsia="Calibri" w:hAnsi="Calibri" w:cs="Arial"/>
          <w:sz w:val="18"/>
          <w:szCs w:val="18"/>
          <w:lang w:eastAsia="en-GB" w:bidi="en-GB"/>
        </w:rPr>
        <w:t xml:space="preserve"> </w:t>
      </w:r>
      <w:r w:rsidR="00B8124C">
        <w:rPr>
          <w:rFonts w:ascii="Calibri" w:eastAsia="Calibri" w:hAnsi="Calibri" w:cs="Arial"/>
          <w:sz w:val="18"/>
          <w:szCs w:val="18"/>
          <w:lang w:eastAsia="en-GB" w:bidi="en-GB"/>
        </w:rPr>
        <w:t xml:space="preserve">by keeping our people safe, feeding the UK, and protecting our business </w:t>
      </w:r>
      <w:r w:rsidR="00625910">
        <w:rPr>
          <w:rFonts w:ascii="Calibri" w:eastAsia="Calibri" w:hAnsi="Calibri" w:cs="Arial"/>
          <w:sz w:val="18"/>
          <w:szCs w:val="18"/>
          <w:lang w:eastAsia="en-GB" w:bidi="en-GB"/>
        </w:rPr>
        <w:t xml:space="preserve">with focus </w:t>
      </w:r>
      <w:r w:rsidR="00B8124C">
        <w:rPr>
          <w:rFonts w:ascii="Calibri" w:eastAsia="Calibri" w:hAnsi="Calibri" w:cs="Arial"/>
          <w:sz w:val="18"/>
          <w:szCs w:val="18"/>
          <w:lang w:eastAsia="en-GB" w:bidi="en-GB"/>
        </w:rPr>
        <w:t xml:space="preserve">now </w:t>
      </w:r>
      <w:r w:rsidR="00625910">
        <w:rPr>
          <w:rFonts w:ascii="Calibri" w:eastAsia="Calibri" w:hAnsi="Calibri" w:cs="Arial"/>
          <w:sz w:val="18"/>
          <w:szCs w:val="18"/>
          <w:lang w:eastAsia="en-GB" w:bidi="en-GB"/>
        </w:rPr>
        <w:t xml:space="preserve">turning to </w:t>
      </w:r>
      <w:r w:rsidR="00836AD1">
        <w:rPr>
          <w:rFonts w:ascii="Calibri" w:eastAsia="Calibri" w:hAnsi="Calibri" w:cs="Arial"/>
          <w:sz w:val="18"/>
          <w:szCs w:val="18"/>
          <w:lang w:eastAsia="en-GB" w:bidi="en-GB"/>
        </w:rPr>
        <w:t xml:space="preserve">building back </w:t>
      </w:r>
      <w:r w:rsidR="009C289B">
        <w:rPr>
          <w:rFonts w:ascii="Calibri" w:eastAsia="Calibri" w:hAnsi="Calibri" w:cs="Arial"/>
          <w:sz w:val="18"/>
          <w:szCs w:val="18"/>
          <w:lang w:eastAsia="en-GB" w:bidi="en-GB"/>
        </w:rPr>
        <w:t>Greencore</w:t>
      </w:r>
      <w:r w:rsidR="00836AD1">
        <w:rPr>
          <w:rFonts w:ascii="Calibri" w:eastAsia="Calibri" w:hAnsi="Calibri" w:cs="Arial"/>
          <w:sz w:val="18"/>
          <w:szCs w:val="18"/>
          <w:lang w:eastAsia="en-GB" w:bidi="en-GB"/>
        </w:rPr>
        <w:t xml:space="preserve"> </w:t>
      </w:r>
      <w:r w:rsidR="0098248B">
        <w:rPr>
          <w:rFonts w:ascii="Calibri" w:eastAsia="Calibri" w:hAnsi="Calibri" w:cs="Arial"/>
          <w:sz w:val="18"/>
          <w:szCs w:val="18"/>
          <w:lang w:eastAsia="en-GB" w:bidi="en-GB"/>
        </w:rPr>
        <w:t xml:space="preserve">volumes </w:t>
      </w:r>
      <w:r w:rsidR="00836AD1">
        <w:rPr>
          <w:rFonts w:ascii="Calibri" w:eastAsia="Calibri" w:hAnsi="Calibri" w:cs="Arial"/>
          <w:sz w:val="18"/>
          <w:szCs w:val="18"/>
          <w:lang w:eastAsia="en-GB" w:bidi="en-GB"/>
        </w:rPr>
        <w:t>as social restriction measures are eased</w:t>
      </w:r>
    </w:p>
    <w:p w14:paraId="7243498D" w14:textId="276AF260" w:rsidR="003C7BC3" w:rsidRPr="003C7BC3" w:rsidRDefault="00B8124C" w:rsidP="00C26CE0">
      <w:pPr>
        <w:widowControl w:val="0"/>
        <w:numPr>
          <w:ilvl w:val="0"/>
          <w:numId w:val="29"/>
        </w:numPr>
        <w:autoSpaceDE w:val="0"/>
        <w:autoSpaceDN w:val="0"/>
        <w:spacing w:after="0" w:line="240" w:lineRule="auto"/>
        <w:jc w:val="both"/>
        <w:rPr>
          <w:rFonts w:ascii="Calibri" w:eastAsia="Calibri" w:hAnsi="Calibri" w:cs="Arial"/>
          <w:sz w:val="18"/>
          <w:szCs w:val="18"/>
          <w:lang w:eastAsia="en-GB" w:bidi="en-GB"/>
        </w:rPr>
      </w:pPr>
      <w:r>
        <w:rPr>
          <w:rFonts w:ascii="Calibri" w:eastAsia="Calibri" w:hAnsi="Calibri" w:cs="Arial"/>
          <w:sz w:val="18"/>
          <w:szCs w:val="18"/>
          <w:lang w:eastAsia="en-GB" w:bidi="en-GB"/>
        </w:rPr>
        <w:t xml:space="preserve">Reported revenue growth of 1.6% and </w:t>
      </w:r>
      <w:r w:rsidR="003C7BC3" w:rsidRPr="003C7BC3">
        <w:rPr>
          <w:rFonts w:ascii="Calibri" w:eastAsia="Calibri" w:hAnsi="Calibri" w:cs="Arial"/>
          <w:sz w:val="18"/>
          <w:szCs w:val="18"/>
          <w:lang w:eastAsia="en-GB" w:bidi="en-GB"/>
        </w:rPr>
        <w:t>Pro Forma Revenue Growth of 0.</w:t>
      </w:r>
      <w:r w:rsidR="00F601FE">
        <w:rPr>
          <w:rFonts w:ascii="Calibri" w:eastAsia="Calibri" w:hAnsi="Calibri" w:cs="Arial"/>
          <w:sz w:val="18"/>
          <w:szCs w:val="18"/>
          <w:lang w:eastAsia="en-GB" w:bidi="en-GB"/>
        </w:rPr>
        <w:t>1</w:t>
      </w:r>
      <w:r w:rsidR="003C7BC3" w:rsidRPr="003C7BC3">
        <w:rPr>
          <w:rFonts w:ascii="Calibri" w:eastAsia="Calibri" w:hAnsi="Calibri" w:cs="Arial"/>
          <w:sz w:val="18"/>
          <w:szCs w:val="18"/>
          <w:lang w:eastAsia="en-GB" w:bidi="en-GB"/>
        </w:rPr>
        <w:t>%, impac</w:t>
      </w:r>
      <w:r w:rsidR="00500ACC">
        <w:rPr>
          <w:rFonts w:ascii="Calibri" w:eastAsia="Calibri" w:hAnsi="Calibri" w:cs="Arial"/>
          <w:sz w:val="18"/>
          <w:szCs w:val="18"/>
          <w:lang w:eastAsia="en-GB" w:bidi="en-GB"/>
        </w:rPr>
        <w:t xml:space="preserve">ted by effect of COVID-19 </w:t>
      </w:r>
      <w:r w:rsidR="003C7BC3" w:rsidRPr="003C7BC3">
        <w:rPr>
          <w:rFonts w:ascii="Calibri" w:eastAsia="Calibri" w:hAnsi="Calibri" w:cs="Arial"/>
          <w:sz w:val="18"/>
          <w:szCs w:val="18"/>
          <w:lang w:eastAsia="en-GB" w:bidi="en-GB"/>
        </w:rPr>
        <w:t>on food to go categories at the end of the period</w:t>
      </w:r>
    </w:p>
    <w:p w14:paraId="1A69A6CD" w14:textId="77777777" w:rsidR="003C7BC3" w:rsidRPr="00FA2805" w:rsidRDefault="003C7BC3" w:rsidP="00C26CE0">
      <w:pPr>
        <w:widowControl w:val="0"/>
        <w:numPr>
          <w:ilvl w:val="0"/>
          <w:numId w:val="29"/>
        </w:numPr>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Adjusted Operating Profit of £38.3m</w:t>
      </w:r>
      <w:r w:rsidR="00625910">
        <w:rPr>
          <w:rFonts w:ascii="Calibri" w:eastAsia="Calibri" w:hAnsi="Calibri" w:cs="Arial"/>
          <w:sz w:val="18"/>
          <w:szCs w:val="18"/>
          <w:lang w:eastAsia="en-GB" w:bidi="en-GB"/>
        </w:rPr>
        <w:t xml:space="preserve"> and </w:t>
      </w:r>
      <w:r w:rsidRPr="00FA2805">
        <w:rPr>
          <w:rFonts w:ascii="Calibri" w:eastAsia="Calibri" w:hAnsi="Calibri" w:cs="Arial"/>
          <w:sz w:val="18"/>
          <w:szCs w:val="18"/>
          <w:lang w:eastAsia="en-GB" w:bidi="en-GB"/>
        </w:rPr>
        <w:t>Adjusted EPS of 5.8 pence</w:t>
      </w:r>
    </w:p>
    <w:p w14:paraId="6230D49F" w14:textId="65E8C950" w:rsidR="003C7BC3" w:rsidRPr="003C7BC3" w:rsidRDefault="003C7BC3" w:rsidP="00C26CE0">
      <w:pPr>
        <w:widowControl w:val="0"/>
        <w:numPr>
          <w:ilvl w:val="0"/>
          <w:numId w:val="29"/>
        </w:numPr>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Net Debt (excludi</w:t>
      </w:r>
      <w:r w:rsidR="00A642FA">
        <w:rPr>
          <w:rFonts w:ascii="Calibri" w:eastAsia="Calibri" w:hAnsi="Calibri" w:cs="Arial"/>
          <w:sz w:val="18"/>
          <w:szCs w:val="18"/>
          <w:lang w:eastAsia="en-GB" w:bidi="en-GB"/>
        </w:rPr>
        <w:t xml:space="preserve">ng lease liabilities) of £311.1m </w:t>
      </w:r>
      <w:r w:rsidRPr="003C7BC3">
        <w:rPr>
          <w:rFonts w:ascii="Calibri" w:eastAsia="Calibri" w:hAnsi="Calibri" w:cs="Arial"/>
          <w:sz w:val="18"/>
          <w:szCs w:val="18"/>
          <w:lang w:eastAsia="en-GB" w:bidi="en-GB"/>
        </w:rPr>
        <w:t>at 27 March 2020 with Net Debt:</w:t>
      </w:r>
      <w:r w:rsidR="005B3BEE">
        <w:rPr>
          <w:rFonts w:ascii="Calibri" w:eastAsia="Calibri" w:hAnsi="Calibri" w:cs="Arial"/>
          <w:sz w:val="18"/>
          <w:szCs w:val="18"/>
          <w:lang w:eastAsia="en-GB" w:bidi="en-GB"/>
        </w:rPr>
        <w:t xml:space="preserve"> </w:t>
      </w:r>
      <w:r w:rsidRPr="003C7BC3">
        <w:rPr>
          <w:rFonts w:ascii="Calibri" w:eastAsia="Calibri" w:hAnsi="Calibri" w:cs="Arial"/>
          <w:sz w:val="18"/>
          <w:szCs w:val="18"/>
          <w:lang w:eastAsia="en-GB" w:bidi="en-GB"/>
        </w:rPr>
        <w:t xml:space="preserve">EBITDA of </w:t>
      </w:r>
      <w:r w:rsidR="00B8124C">
        <w:rPr>
          <w:rFonts w:ascii="Calibri" w:eastAsia="Calibri" w:hAnsi="Calibri" w:cs="Arial"/>
          <w:sz w:val="18"/>
          <w:szCs w:val="18"/>
          <w:lang w:eastAsia="en-GB" w:bidi="en-GB"/>
        </w:rPr>
        <w:t>2.1</w:t>
      </w:r>
      <w:r w:rsidRPr="003C7BC3">
        <w:rPr>
          <w:rFonts w:ascii="Calibri" w:eastAsia="Calibri" w:hAnsi="Calibri" w:cs="Arial"/>
          <w:sz w:val="18"/>
          <w:szCs w:val="18"/>
          <w:lang w:eastAsia="en-GB" w:bidi="en-GB"/>
        </w:rPr>
        <w:t>x as measured under financing agreements</w:t>
      </w:r>
    </w:p>
    <w:p w14:paraId="0659C2EA" w14:textId="71EDF105" w:rsidR="003C7BC3" w:rsidRPr="009A0CE8" w:rsidRDefault="003C7BC3" w:rsidP="00C26CE0">
      <w:pPr>
        <w:widowControl w:val="0"/>
        <w:numPr>
          <w:ilvl w:val="0"/>
          <w:numId w:val="29"/>
        </w:numPr>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Total cash and undrawn committed facilities of £267.5m at 27 Mar</w:t>
      </w:r>
      <w:r w:rsidRPr="009A0CE8">
        <w:rPr>
          <w:rFonts w:ascii="Calibri" w:eastAsia="Calibri" w:hAnsi="Calibri" w:cs="Arial"/>
          <w:sz w:val="18"/>
          <w:szCs w:val="18"/>
          <w:lang w:eastAsia="en-GB" w:bidi="en-GB"/>
        </w:rPr>
        <w:t xml:space="preserve">ch </w:t>
      </w:r>
      <w:r w:rsidRPr="00B52070">
        <w:rPr>
          <w:rFonts w:ascii="Calibri" w:eastAsia="Calibri" w:hAnsi="Calibri" w:cs="Arial"/>
          <w:sz w:val="18"/>
          <w:szCs w:val="18"/>
          <w:lang w:eastAsia="en-GB" w:bidi="en-GB"/>
        </w:rPr>
        <w:t xml:space="preserve">2020 with covenant waivers </w:t>
      </w:r>
      <w:r w:rsidR="00CB2AF1" w:rsidRPr="00B52070">
        <w:rPr>
          <w:rFonts w:ascii="Calibri" w:eastAsia="Calibri" w:hAnsi="Calibri" w:cs="Arial"/>
          <w:sz w:val="18"/>
          <w:szCs w:val="18"/>
          <w:lang w:eastAsia="en-GB" w:bidi="en-GB"/>
        </w:rPr>
        <w:t xml:space="preserve">agreed </w:t>
      </w:r>
      <w:r w:rsidRPr="00B52070">
        <w:rPr>
          <w:rFonts w:ascii="Calibri" w:eastAsia="Calibri" w:hAnsi="Calibri" w:cs="Arial"/>
          <w:sz w:val="18"/>
          <w:szCs w:val="18"/>
          <w:lang w:eastAsia="en-GB" w:bidi="en-GB"/>
        </w:rPr>
        <w:t xml:space="preserve">for </w:t>
      </w:r>
      <w:r w:rsidR="00313FBC" w:rsidRPr="00B52070">
        <w:rPr>
          <w:rFonts w:ascii="Calibri" w:eastAsia="Calibri" w:hAnsi="Calibri" w:cs="Arial"/>
          <w:sz w:val="18"/>
          <w:szCs w:val="18"/>
          <w:lang w:eastAsia="en-GB" w:bidi="en-GB"/>
        </w:rPr>
        <w:t>bank</w:t>
      </w:r>
      <w:r w:rsidRPr="00B52070">
        <w:rPr>
          <w:rFonts w:ascii="Calibri" w:eastAsia="Calibri" w:hAnsi="Calibri" w:cs="Arial"/>
          <w:sz w:val="18"/>
          <w:szCs w:val="18"/>
          <w:lang w:eastAsia="en-GB" w:bidi="en-GB"/>
        </w:rPr>
        <w:t xml:space="preserve"> facilities; in addition, confirm</w:t>
      </w:r>
      <w:r w:rsidR="00F96738" w:rsidRPr="00B52070">
        <w:rPr>
          <w:rFonts w:ascii="Calibri" w:eastAsia="Calibri" w:hAnsi="Calibri" w:cs="Arial"/>
          <w:sz w:val="18"/>
          <w:szCs w:val="18"/>
          <w:lang w:eastAsia="en-GB" w:bidi="en-GB"/>
        </w:rPr>
        <w:t>ation of eligibility,</w:t>
      </w:r>
      <w:r w:rsidR="000727B8" w:rsidRPr="00B52070">
        <w:rPr>
          <w:rFonts w:ascii="Calibri" w:eastAsia="Calibri" w:hAnsi="Calibri" w:cs="Arial"/>
          <w:sz w:val="18"/>
          <w:szCs w:val="18"/>
          <w:lang w:eastAsia="en-GB" w:bidi="en-GB"/>
        </w:rPr>
        <w:t xml:space="preserve"> </w:t>
      </w:r>
      <w:r w:rsidR="00F96738" w:rsidRPr="00B52070">
        <w:rPr>
          <w:rFonts w:ascii="Calibri" w:eastAsia="Calibri" w:hAnsi="Calibri" w:cs="Arial"/>
          <w:sz w:val="18"/>
          <w:szCs w:val="18"/>
          <w:lang w:eastAsia="en-GB" w:bidi="en-GB"/>
        </w:rPr>
        <w:t xml:space="preserve">in principle, </w:t>
      </w:r>
      <w:r w:rsidRPr="00B52070">
        <w:rPr>
          <w:rFonts w:ascii="Calibri" w:eastAsia="Calibri" w:hAnsi="Calibri" w:cs="Arial"/>
          <w:sz w:val="18"/>
          <w:szCs w:val="18"/>
          <w:lang w:eastAsia="en-GB" w:bidi="en-GB"/>
        </w:rPr>
        <w:t xml:space="preserve">to </w:t>
      </w:r>
      <w:r w:rsidR="00F96738" w:rsidRPr="00B52070">
        <w:rPr>
          <w:rFonts w:ascii="Calibri" w:eastAsia="Calibri" w:hAnsi="Calibri" w:cs="Arial"/>
          <w:sz w:val="18"/>
          <w:szCs w:val="18"/>
          <w:lang w:eastAsia="en-GB" w:bidi="en-GB"/>
        </w:rPr>
        <w:t xml:space="preserve">access funding under the </w:t>
      </w:r>
      <w:proofErr w:type="spellStart"/>
      <w:r w:rsidR="00F96738" w:rsidRPr="00B52070">
        <w:rPr>
          <w:rFonts w:ascii="Calibri" w:eastAsia="Calibri" w:hAnsi="Calibri" w:cs="Arial"/>
          <w:sz w:val="18"/>
          <w:szCs w:val="18"/>
          <w:lang w:eastAsia="en-GB" w:bidi="en-GB"/>
        </w:rPr>
        <w:t>Covid</w:t>
      </w:r>
      <w:proofErr w:type="spellEnd"/>
      <w:r w:rsidR="00F96738" w:rsidRPr="00B52070">
        <w:rPr>
          <w:rFonts w:ascii="Calibri" w:eastAsia="Calibri" w:hAnsi="Calibri" w:cs="Arial"/>
          <w:sz w:val="18"/>
          <w:szCs w:val="18"/>
          <w:lang w:eastAsia="en-GB" w:bidi="en-GB"/>
        </w:rPr>
        <w:t xml:space="preserve"> Commercial Finance Facility (</w:t>
      </w:r>
      <w:r w:rsidRPr="00B52070">
        <w:rPr>
          <w:rFonts w:ascii="Calibri" w:eastAsia="Calibri" w:hAnsi="Calibri" w:cs="Arial"/>
          <w:sz w:val="18"/>
          <w:szCs w:val="18"/>
          <w:lang w:eastAsia="en-GB" w:bidi="en-GB"/>
        </w:rPr>
        <w:t>CCFF</w:t>
      </w:r>
      <w:r w:rsidR="00F96738" w:rsidRPr="009A0CE8">
        <w:rPr>
          <w:rFonts w:ascii="Calibri" w:eastAsia="Calibri" w:hAnsi="Calibri" w:cs="Arial"/>
          <w:sz w:val="18"/>
          <w:szCs w:val="18"/>
          <w:lang w:eastAsia="en-GB" w:bidi="en-GB"/>
        </w:rPr>
        <w:t>)</w:t>
      </w:r>
    </w:p>
    <w:p w14:paraId="3C9734BE" w14:textId="4DF6B0E9" w:rsidR="00B8124C" w:rsidRPr="009A0CE8" w:rsidRDefault="003C7BC3" w:rsidP="00C26CE0">
      <w:pPr>
        <w:widowControl w:val="0"/>
        <w:numPr>
          <w:ilvl w:val="0"/>
          <w:numId w:val="29"/>
        </w:numPr>
        <w:autoSpaceDE w:val="0"/>
        <w:autoSpaceDN w:val="0"/>
        <w:spacing w:after="0" w:line="240" w:lineRule="auto"/>
        <w:jc w:val="both"/>
        <w:rPr>
          <w:rFonts w:ascii="Calibri" w:eastAsia="Calibri" w:hAnsi="Calibri" w:cs="Arial"/>
          <w:sz w:val="18"/>
          <w:szCs w:val="18"/>
          <w:lang w:eastAsia="en-GB" w:bidi="en-GB"/>
        </w:rPr>
      </w:pPr>
      <w:r w:rsidRPr="009A0CE8">
        <w:rPr>
          <w:rFonts w:ascii="Calibri" w:eastAsia="Calibri" w:hAnsi="Calibri" w:cs="Arial"/>
          <w:sz w:val="18"/>
          <w:szCs w:val="18"/>
          <w:lang w:eastAsia="en-GB" w:bidi="en-GB"/>
        </w:rPr>
        <w:t>As announced on 30 March 2020, the Group will not be proceeding with an interim FY20 dividend payment</w:t>
      </w:r>
      <w:r w:rsidR="008D6420" w:rsidRPr="009A0CE8">
        <w:rPr>
          <w:rFonts w:ascii="Calibri" w:eastAsia="Calibri" w:hAnsi="Calibri" w:cs="Arial"/>
          <w:sz w:val="18"/>
          <w:szCs w:val="18"/>
          <w:lang w:eastAsia="en-GB" w:bidi="en-GB"/>
        </w:rPr>
        <w:t xml:space="preserve"> and today announces that</w:t>
      </w:r>
      <w:r w:rsidR="00C06B52" w:rsidRPr="009A0CE8">
        <w:rPr>
          <w:rFonts w:ascii="Calibri" w:eastAsia="Calibri" w:hAnsi="Calibri" w:cs="Arial"/>
          <w:sz w:val="18"/>
          <w:szCs w:val="18"/>
          <w:lang w:eastAsia="en-GB" w:bidi="en-GB"/>
        </w:rPr>
        <w:t xml:space="preserve"> </w:t>
      </w:r>
      <w:r w:rsidR="008D6420" w:rsidRPr="009A0CE8">
        <w:rPr>
          <w:rFonts w:ascii="Calibri" w:eastAsia="Calibri" w:hAnsi="Calibri" w:cs="Arial"/>
          <w:sz w:val="18"/>
          <w:szCs w:val="18"/>
          <w:lang w:eastAsia="en-GB" w:bidi="en-GB"/>
        </w:rPr>
        <w:t xml:space="preserve">it will not be proceeding with </w:t>
      </w:r>
      <w:r w:rsidR="00D673F5" w:rsidRPr="009A0CE8">
        <w:rPr>
          <w:rFonts w:ascii="Calibri" w:eastAsia="Calibri" w:hAnsi="Calibri" w:cs="Arial"/>
          <w:sz w:val="18"/>
          <w:szCs w:val="18"/>
          <w:lang w:eastAsia="en-GB" w:bidi="en-GB"/>
        </w:rPr>
        <w:t xml:space="preserve">either </w:t>
      </w:r>
      <w:r w:rsidR="00383ACB" w:rsidRPr="009A0CE8">
        <w:rPr>
          <w:rFonts w:ascii="Calibri" w:eastAsia="Calibri" w:hAnsi="Calibri" w:cs="Arial"/>
          <w:sz w:val="18"/>
          <w:szCs w:val="18"/>
          <w:lang w:eastAsia="en-GB" w:bidi="en-GB"/>
        </w:rPr>
        <w:t xml:space="preserve">a </w:t>
      </w:r>
      <w:r w:rsidR="00D673F5" w:rsidRPr="00B52070">
        <w:rPr>
          <w:rFonts w:ascii="Calibri" w:eastAsia="Calibri" w:hAnsi="Calibri" w:cs="Arial"/>
          <w:sz w:val="18"/>
          <w:szCs w:val="18"/>
          <w:lang w:eastAsia="en-GB" w:bidi="en-GB"/>
        </w:rPr>
        <w:t>final</w:t>
      </w:r>
      <w:r w:rsidR="00383ACB" w:rsidRPr="009A0CE8">
        <w:rPr>
          <w:rFonts w:ascii="Calibri" w:eastAsia="Calibri" w:hAnsi="Calibri" w:cs="Arial"/>
          <w:sz w:val="18"/>
          <w:szCs w:val="18"/>
          <w:lang w:eastAsia="en-GB" w:bidi="en-GB"/>
        </w:rPr>
        <w:t xml:space="preserve"> FY20 </w:t>
      </w:r>
      <w:r w:rsidR="00D673F5" w:rsidRPr="00B52070">
        <w:rPr>
          <w:rFonts w:ascii="Calibri" w:eastAsia="Calibri" w:hAnsi="Calibri" w:cs="Arial"/>
          <w:sz w:val="18"/>
          <w:szCs w:val="18"/>
          <w:lang w:eastAsia="en-GB" w:bidi="en-GB"/>
        </w:rPr>
        <w:t xml:space="preserve">or </w:t>
      </w:r>
      <w:r w:rsidR="00383ACB" w:rsidRPr="009A0CE8">
        <w:rPr>
          <w:rFonts w:ascii="Calibri" w:eastAsia="Calibri" w:hAnsi="Calibri" w:cs="Arial"/>
          <w:sz w:val="18"/>
          <w:szCs w:val="18"/>
          <w:lang w:eastAsia="en-GB" w:bidi="en-GB"/>
        </w:rPr>
        <w:t>an interim FY21</w:t>
      </w:r>
      <w:r w:rsidR="00D673F5" w:rsidRPr="009A0CE8">
        <w:rPr>
          <w:rFonts w:ascii="Calibri" w:eastAsia="Calibri" w:hAnsi="Calibri" w:cs="Arial"/>
          <w:sz w:val="18"/>
          <w:szCs w:val="18"/>
          <w:lang w:eastAsia="en-GB" w:bidi="en-GB"/>
        </w:rPr>
        <w:t xml:space="preserve"> dividend payment</w:t>
      </w:r>
    </w:p>
    <w:p w14:paraId="0FCF3D89" w14:textId="77777777" w:rsidR="003C7BC3" w:rsidRPr="003C7BC3" w:rsidRDefault="00B8124C" w:rsidP="00C26CE0">
      <w:pPr>
        <w:widowControl w:val="0"/>
        <w:numPr>
          <w:ilvl w:val="0"/>
          <w:numId w:val="29"/>
        </w:numPr>
        <w:autoSpaceDE w:val="0"/>
        <w:autoSpaceDN w:val="0"/>
        <w:spacing w:after="0" w:line="240" w:lineRule="auto"/>
        <w:jc w:val="both"/>
        <w:rPr>
          <w:rFonts w:ascii="Calibri" w:eastAsia="Calibri" w:hAnsi="Calibri" w:cs="Arial"/>
          <w:sz w:val="18"/>
          <w:szCs w:val="18"/>
          <w:lang w:eastAsia="en-GB" w:bidi="en-GB"/>
        </w:rPr>
      </w:pPr>
      <w:r w:rsidRPr="009A0CE8">
        <w:rPr>
          <w:rFonts w:ascii="Calibri" w:eastAsia="Calibri" w:hAnsi="Calibri" w:cs="Arial"/>
          <w:sz w:val="18"/>
          <w:szCs w:val="18"/>
          <w:lang w:eastAsia="en-GB" w:bidi="en-GB"/>
        </w:rPr>
        <w:t xml:space="preserve">Appointment of Emma Hynes as </w:t>
      </w:r>
      <w:r w:rsidR="00836AD1" w:rsidRPr="009A0CE8">
        <w:rPr>
          <w:rFonts w:ascii="Calibri" w:eastAsia="Calibri" w:hAnsi="Calibri" w:cs="Arial"/>
          <w:sz w:val="18"/>
          <w:szCs w:val="18"/>
          <w:lang w:eastAsia="en-GB" w:bidi="en-GB"/>
        </w:rPr>
        <w:t xml:space="preserve">Executive Director and </w:t>
      </w:r>
      <w:r w:rsidRPr="009A0CE8">
        <w:rPr>
          <w:rFonts w:ascii="Calibri" w:eastAsia="Calibri" w:hAnsi="Calibri" w:cs="Arial"/>
          <w:sz w:val="18"/>
          <w:szCs w:val="18"/>
          <w:lang w:eastAsia="en-GB" w:bidi="en-GB"/>
        </w:rPr>
        <w:t>Chief Finan</w:t>
      </w:r>
      <w:r>
        <w:rPr>
          <w:rFonts w:ascii="Calibri" w:eastAsia="Calibri" w:hAnsi="Calibri" w:cs="Arial"/>
          <w:sz w:val="18"/>
          <w:szCs w:val="18"/>
          <w:lang w:eastAsia="en-GB" w:bidi="en-GB"/>
        </w:rPr>
        <w:t xml:space="preserve">cial Officer </w:t>
      </w:r>
      <w:r w:rsidR="00836AD1">
        <w:rPr>
          <w:rFonts w:ascii="Calibri" w:eastAsia="Calibri" w:hAnsi="Calibri" w:cs="Arial"/>
          <w:sz w:val="18"/>
          <w:szCs w:val="18"/>
          <w:lang w:eastAsia="en-GB" w:bidi="en-GB"/>
        </w:rPr>
        <w:t>with effect from 19 May 2020</w:t>
      </w:r>
    </w:p>
    <w:p w14:paraId="1C786273" w14:textId="27FD6EC0" w:rsidR="003C7BC3" w:rsidRPr="005B3BEE" w:rsidRDefault="004E715C" w:rsidP="003C7BC3">
      <w:pPr>
        <w:widowControl w:val="0"/>
        <w:autoSpaceDE w:val="0"/>
        <w:autoSpaceDN w:val="0"/>
        <w:spacing w:after="0" w:line="240" w:lineRule="auto"/>
        <w:jc w:val="both"/>
        <w:rPr>
          <w:rFonts w:ascii="Calibri" w:eastAsia="Calibri" w:hAnsi="Calibri" w:cs="Arial"/>
          <w:b/>
          <w:sz w:val="12"/>
          <w:szCs w:val="10"/>
          <w:lang w:eastAsia="en-GB" w:bidi="en-GB"/>
        </w:rPr>
      </w:pPr>
      <w:r>
        <w:rPr>
          <w:rFonts w:ascii="Calibri" w:eastAsia="Calibri" w:hAnsi="Calibri" w:cs="Arial"/>
          <w:b/>
          <w:sz w:val="20"/>
          <w:szCs w:val="18"/>
          <w:lang w:eastAsia="en-GB" w:bidi="en-GB"/>
        </w:rPr>
        <w:t xml:space="preserve">  </w:t>
      </w:r>
    </w:p>
    <w:p w14:paraId="516599A9" w14:textId="77777777" w:rsidR="003C7BC3" w:rsidRPr="003C7BC3" w:rsidRDefault="003C7BC3" w:rsidP="005B3BEE">
      <w:pPr>
        <w:widowControl w:val="0"/>
        <w:autoSpaceDE w:val="0"/>
        <w:autoSpaceDN w:val="0"/>
        <w:spacing w:after="120" w:line="240" w:lineRule="auto"/>
        <w:jc w:val="both"/>
        <w:rPr>
          <w:rFonts w:ascii="Calibri" w:eastAsia="Calibri" w:hAnsi="Calibri" w:cs="Arial"/>
          <w:b/>
          <w:sz w:val="20"/>
          <w:szCs w:val="18"/>
          <w:vertAlign w:val="superscript"/>
          <w:lang w:eastAsia="en-GB" w:bidi="en-GB"/>
        </w:rPr>
      </w:pPr>
      <w:r w:rsidRPr="003C7BC3">
        <w:rPr>
          <w:rFonts w:ascii="Calibri" w:eastAsia="Calibri" w:hAnsi="Calibri" w:cs="Arial"/>
          <w:b/>
          <w:sz w:val="20"/>
          <w:szCs w:val="18"/>
          <w:lang w:eastAsia="en-GB" w:bidi="en-GB"/>
        </w:rPr>
        <w:t xml:space="preserve">SUMMARY FINANCIAL PERFORMANCE </w:t>
      </w:r>
      <w:r w:rsidRPr="003C7BC3">
        <w:rPr>
          <w:rFonts w:ascii="Calibri" w:eastAsia="Calibri" w:hAnsi="Calibri" w:cs="Arial"/>
          <w:b/>
          <w:sz w:val="20"/>
          <w:szCs w:val="18"/>
          <w:vertAlign w:val="superscript"/>
          <w:lang w:eastAsia="en-GB" w:bidi="en-GB"/>
        </w:rPr>
        <w:t>1,2</w:t>
      </w:r>
      <w:r w:rsidR="00A14F58">
        <w:rPr>
          <w:rFonts w:ascii="Calibri" w:eastAsia="Calibri" w:hAnsi="Calibri" w:cs="Arial"/>
          <w:b/>
          <w:sz w:val="20"/>
          <w:szCs w:val="18"/>
          <w:vertAlign w:val="superscript"/>
          <w:lang w:eastAsia="en-GB" w:bidi="en-GB"/>
        </w:rPr>
        <w:t>,3</w:t>
      </w:r>
    </w:p>
    <w:tbl>
      <w:tblPr>
        <w:tblW w:w="7513" w:type="dxa"/>
        <w:jc w:val="center"/>
        <w:tblLayout w:type="fixed"/>
        <w:tblCellMar>
          <w:left w:w="0" w:type="dxa"/>
          <w:right w:w="0" w:type="dxa"/>
        </w:tblCellMar>
        <w:tblLook w:val="04A0" w:firstRow="1" w:lastRow="0" w:firstColumn="1" w:lastColumn="0" w:noHBand="0" w:noVBand="1"/>
      </w:tblPr>
      <w:tblGrid>
        <w:gridCol w:w="4111"/>
        <w:gridCol w:w="1134"/>
        <w:gridCol w:w="1134"/>
        <w:gridCol w:w="1134"/>
      </w:tblGrid>
      <w:tr w:rsidR="003C7BC3" w:rsidRPr="003C7BC3" w14:paraId="03D0FEB2" w14:textId="77777777" w:rsidTr="001413EA">
        <w:trPr>
          <w:jc w:val="center"/>
        </w:trPr>
        <w:tc>
          <w:tcPr>
            <w:tcW w:w="4111" w:type="dxa"/>
            <w:noWrap/>
            <w:tcMar>
              <w:top w:w="15" w:type="dxa"/>
              <w:left w:w="15" w:type="dxa"/>
              <w:bottom w:w="0" w:type="dxa"/>
              <w:right w:w="15" w:type="dxa"/>
            </w:tcMar>
            <w:vAlign w:val="bottom"/>
            <w:hideMark/>
          </w:tcPr>
          <w:p w14:paraId="41C4D7F7" w14:textId="77777777" w:rsidR="003C7BC3" w:rsidRPr="003C7BC3" w:rsidRDefault="003C7BC3" w:rsidP="003C7BC3">
            <w:pPr>
              <w:widowControl w:val="0"/>
              <w:autoSpaceDE w:val="0"/>
              <w:autoSpaceDN w:val="0"/>
              <w:spacing w:after="0" w:line="240" w:lineRule="auto"/>
              <w:jc w:val="both"/>
              <w:rPr>
                <w:rFonts w:ascii="Calibri" w:eastAsia="Calibri" w:hAnsi="Calibri" w:cs="Arial"/>
                <w:b/>
                <w:bCs/>
                <w:sz w:val="18"/>
                <w:szCs w:val="18"/>
                <w:lang w:val="en-US" w:eastAsia="en-GB" w:bidi="en-GB"/>
              </w:rPr>
            </w:pPr>
            <w:r w:rsidRPr="003C7BC3">
              <w:rPr>
                <w:rFonts w:ascii="Calibri" w:eastAsia="Calibri" w:hAnsi="Calibri" w:cs="Arial"/>
                <w:b/>
                <w:bCs/>
                <w:sz w:val="18"/>
                <w:szCs w:val="18"/>
                <w:lang w:val="en-US" w:eastAsia="en-GB" w:bidi="en-GB"/>
              </w:rPr>
              <w:tab/>
            </w:r>
          </w:p>
        </w:tc>
        <w:tc>
          <w:tcPr>
            <w:tcW w:w="1134" w:type="dxa"/>
            <w:tcMar>
              <w:top w:w="15" w:type="dxa"/>
              <w:left w:w="15" w:type="dxa"/>
              <w:bottom w:w="0" w:type="dxa"/>
              <w:right w:w="15" w:type="dxa"/>
            </w:tcMar>
            <w:vAlign w:val="bottom"/>
            <w:hideMark/>
          </w:tcPr>
          <w:p w14:paraId="379DE3F7"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
                <w:bCs/>
                <w:sz w:val="18"/>
                <w:szCs w:val="18"/>
                <w:lang w:val="en-US" w:eastAsia="en-GB" w:bidi="en-GB"/>
              </w:rPr>
            </w:pPr>
            <w:r w:rsidRPr="003C7BC3">
              <w:rPr>
                <w:rFonts w:ascii="Calibri" w:eastAsia="Calibri" w:hAnsi="Calibri" w:cs="Arial"/>
                <w:b/>
                <w:bCs/>
                <w:sz w:val="18"/>
                <w:szCs w:val="18"/>
                <w:lang w:val="en-US" w:eastAsia="en-GB" w:bidi="en-GB"/>
              </w:rPr>
              <w:t>H1 20</w:t>
            </w:r>
          </w:p>
        </w:tc>
        <w:tc>
          <w:tcPr>
            <w:tcW w:w="1134" w:type="dxa"/>
            <w:hideMark/>
          </w:tcPr>
          <w:p w14:paraId="3F3F4E47"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
                <w:bCs/>
                <w:sz w:val="18"/>
                <w:szCs w:val="18"/>
                <w:lang w:val="en-US" w:eastAsia="en-GB" w:bidi="en-GB"/>
              </w:rPr>
            </w:pPr>
            <w:r w:rsidRPr="003C7BC3">
              <w:rPr>
                <w:rFonts w:ascii="Calibri" w:eastAsia="Calibri" w:hAnsi="Calibri" w:cs="Arial"/>
                <w:b/>
                <w:bCs/>
                <w:sz w:val="18"/>
                <w:szCs w:val="18"/>
                <w:lang w:val="en-US" w:eastAsia="en-GB" w:bidi="en-GB"/>
              </w:rPr>
              <w:t>H1 19</w:t>
            </w:r>
          </w:p>
        </w:tc>
        <w:tc>
          <w:tcPr>
            <w:tcW w:w="1134" w:type="dxa"/>
            <w:hideMark/>
          </w:tcPr>
          <w:p w14:paraId="7AAAC192"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
                <w:bCs/>
                <w:sz w:val="18"/>
                <w:szCs w:val="18"/>
                <w:lang w:val="en-US" w:eastAsia="en-GB" w:bidi="en-GB"/>
              </w:rPr>
            </w:pPr>
            <w:r w:rsidRPr="003C7BC3">
              <w:rPr>
                <w:rFonts w:ascii="Calibri" w:eastAsia="Calibri" w:hAnsi="Calibri" w:cs="Arial"/>
                <w:b/>
                <w:bCs/>
                <w:sz w:val="18"/>
                <w:szCs w:val="18"/>
                <w:lang w:val="en-US" w:eastAsia="en-GB" w:bidi="en-GB"/>
              </w:rPr>
              <w:t>Change</w:t>
            </w:r>
          </w:p>
        </w:tc>
      </w:tr>
      <w:tr w:rsidR="003C7BC3" w:rsidRPr="003C7BC3" w14:paraId="25B74536" w14:textId="77777777" w:rsidTr="001413EA">
        <w:trPr>
          <w:trHeight w:val="191"/>
          <w:jc w:val="center"/>
        </w:trPr>
        <w:tc>
          <w:tcPr>
            <w:tcW w:w="4111" w:type="dxa"/>
            <w:noWrap/>
            <w:tcMar>
              <w:top w:w="15" w:type="dxa"/>
              <w:left w:w="15" w:type="dxa"/>
              <w:bottom w:w="0" w:type="dxa"/>
              <w:right w:w="15" w:type="dxa"/>
            </w:tcMar>
            <w:vAlign w:val="bottom"/>
          </w:tcPr>
          <w:p w14:paraId="03C7A180" w14:textId="77777777" w:rsidR="003C7BC3" w:rsidRPr="003C7BC3" w:rsidRDefault="003C7BC3" w:rsidP="003C7BC3">
            <w:pPr>
              <w:widowControl w:val="0"/>
              <w:autoSpaceDE w:val="0"/>
              <w:autoSpaceDN w:val="0"/>
              <w:spacing w:after="0" w:line="240" w:lineRule="auto"/>
              <w:jc w:val="both"/>
              <w:rPr>
                <w:rFonts w:ascii="Calibri" w:eastAsia="Calibri" w:hAnsi="Calibri" w:cs="Arial"/>
                <w:b/>
                <w:bCs/>
                <w:sz w:val="18"/>
                <w:szCs w:val="18"/>
                <w:lang w:val="en-US" w:eastAsia="en-GB" w:bidi="en-GB"/>
              </w:rPr>
            </w:pPr>
          </w:p>
        </w:tc>
        <w:tc>
          <w:tcPr>
            <w:tcW w:w="1134" w:type="dxa"/>
            <w:tcMar>
              <w:top w:w="15" w:type="dxa"/>
              <w:left w:w="15" w:type="dxa"/>
              <w:bottom w:w="0" w:type="dxa"/>
              <w:right w:w="15" w:type="dxa"/>
            </w:tcMar>
            <w:hideMark/>
          </w:tcPr>
          <w:p w14:paraId="1C8B4CC5"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
                <w:bCs/>
                <w:sz w:val="18"/>
                <w:szCs w:val="18"/>
                <w:lang w:val="en-US" w:eastAsia="en-GB" w:bidi="en-GB"/>
              </w:rPr>
            </w:pPr>
            <w:r w:rsidRPr="003C7BC3">
              <w:rPr>
                <w:rFonts w:ascii="Calibri" w:eastAsia="Calibri" w:hAnsi="Calibri" w:cs="Arial"/>
                <w:b/>
                <w:bCs/>
                <w:sz w:val="18"/>
                <w:szCs w:val="18"/>
                <w:lang w:val="en-US" w:eastAsia="en-GB" w:bidi="en-GB"/>
              </w:rPr>
              <w:t>£m</w:t>
            </w:r>
          </w:p>
        </w:tc>
        <w:tc>
          <w:tcPr>
            <w:tcW w:w="1134" w:type="dxa"/>
            <w:hideMark/>
          </w:tcPr>
          <w:p w14:paraId="270CEDEC"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
                <w:bCs/>
                <w:sz w:val="18"/>
                <w:szCs w:val="18"/>
                <w:lang w:val="en-US" w:eastAsia="en-GB" w:bidi="en-GB"/>
              </w:rPr>
            </w:pPr>
            <w:r w:rsidRPr="003C7BC3">
              <w:rPr>
                <w:rFonts w:ascii="Calibri" w:eastAsia="Calibri" w:hAnsi="Calibri" w:cs="Arial"/>
                <w:b/>
                <w:bCs/>
                <w:sz w:val="18"/>
                <w:szCs w:val="18"/>
                <w:lang w:val="en-US" w:eastAsia="en-GB" w:bidi="en-GB"/>
              </w:rPr>
              <w:t>£m</w:t>
            </w:r>
          </w:p>
        </w:tc>
        <w:tc>
          <w:tcPr>
            <w:tcW w:w="1134" w:type="dxa"/>
            <w:hideMark/>
          </w:tcPr>
          <w:p w14:paraId="36102DBC"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
                <w:bCs/>
                <w:sz w:val="18"/>
                <w:szCs w:val="18"/>
                <w:lang w:val="en-US" w:eastAsia="en-GB" w:bidi="en-GB"/>
              </w:rPr>
            </w:pPr>
          </w:p>
        </w:tc>
      </w:tr>
      <w:tr w:rsidR="003C7BC3" w:rsidRPr="003C7BC3" w14:paraId="2805A706" w14:textId="77777777" w:rsidTr="001413EA">
        <w:trPr>
          <w:jc w:val="center"/>
        </w:trPr>
        <w:tc>
          <w:tcPr>
            <w:tcW w:w="4111" w:type="dxa"/>
            <w:shd w:val="clear" w:color="auto" w:fill="auto"/>
            <w:noWrap/>
            <w:tcMar>
              <w:top w:w="15" w:type="dxa"/>
              <w:left w:w="15" w:type="dxa"/>
              <w:bottom w:w="0" w:type="dxa"/>
              <w:right w:w="15" w:type="dxa"/>
            </w:tcMar>
            <w:vAlign w:val="center"/>
            <w:hideMark/>
          </w:tcPr>
          <w:p w14:paraId="02E70023" w14:textId="2EF8EF73"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Group Revenue</w:t>
            </w:r>
          </w:p>
        </w:tc>
        <w:tc>
          <w:tcPr>
            <w:tcW w:w="1134" w:type="dxa"/>
            <w:shd w:val="clear" w:color="auto" w:fill="auto"/>
            <w:noWrap/>
            <w:tcMar>
              <w:top w:w="15" w:type="dxa"/>
              <w:left w:w="15" w:type="dxa"/>
              <w:bottom w:w="0" w:type="dxa"/>
              <w:right w:w="15" w:type="dxa"/>
            </w:tcMar>
          </w:tcPr>
          <w:p w14:paraId="72FCF82F"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712.7</w:t>
            </w:r>
          </w:p>
        </w:tc>
        <w:tc>
          <w:tcPr>
            <w:tcW w:w="1134" w:type="dxa"/>
            <w:shd w:val="clear" w:color="auto" w:fill="auto"/>
          </w:tcPr>
          <w:p w14:paraId="6DCA0920"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701.4</w:t>
            </w:r>
          </w:p>
        </w:tc>
        <w:tc>
          <w:tcPr>
            <w:tcW w:w="1134" w:type="dxa"/>
            <w:shd w:val="clear" w:color="auto" w:fill="auto"/>
          </w:tcPr>
          <w:p w14:paraId="7ACD10AD"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+1.6%</w:t>
            </w:r>
          </w:p>
        </w:tc>
      </w:tr>
      <w:tr w:rsidR="003C7BC3" w:rsidRPr="003C7BC3" w14:paraId="4E8786EA" w14:textId="77777777" w:rsidTr="001413EA">
        <w:trPr>
          <w:jc w:val="center"/>
        </w:trPr>
        <w:tc>
          <w:tcPr>
            <w:tcW w:w="4111" w:type="dxa"/>
            <w:shd w:val="clear" w:color="auto" w:fill="auto"/>
            <w:noWrap/>
            <w:tcMar>
              <w:top w:w="15" w:type="dxa"/>
              <w:left w:w="15" w:type="dxa"/>
              <w:bottom w:w="0" w:type="dxa"/>
              <w:right w:w="15" w:type="dxa"/>
            </w:tcMar>
            <w:vAlign w:val="center"/>
          </w:tcPr>
          <w:p w14:paraId="7BE5537D"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Pro Forma Revenue Growth</w:t>
            </w:r>
          </w:p>
        </w:tc>
        <w:tc>
          <w:tcPr>
            <w:tcW w:w="1134" w:type="dxa"/>
            <w:shd w:val="clear" w:color="auto" w:fill="auto"/>
            <w:noWrap/>
            <w:tcMar>
              <w:top w:w="15" w:type="dxa"/>
              <w:left w:w="15" w:type="dxa"/>
              <w:bottom w:w="0" w:type="dxa"/>
              <w:right w:w="15" w:type="dxa"/>
            </w:tcMar>
          </w:tcPr>
          <w:p w14:paraId="27C0D919"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p>
        </w:tc>
        <w:tc>
          <w:tcPr>
            <w:tcW w:w="1134" w:type="dxa"/>
            <w:shd w:val="clear" w:color="auto" w:fill="auto"/>
          </w:tcPr>
          <w:p w14:paraId="2C556322"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p>
        </w:tc>
        <w:tc>
          <w:tcPr>
            <w:tcW w:w="1134" w:type="dxa"/>
            <w:shd w:val="clear" w:color="auto" w:fill="auto"/>
          </w:tcPr>
          <w:p w14:paraId="62C8DB07"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+0.1%</w:t>
            </w:r>
          </w:p>
        </w:tc>
      </w:tr>
      <w:tr w:rsidR="003C7BC3" w:rsidRPr="003C7BC3" w14:paraId="630CC0D6" w14:textId="77777777" w:rsidTr="001413EA">
        <w:trPr>
          <w:jc w:val="center"/>
        </w:trPr>
        <w:tc>
          <w:tcPr>
            <w:tcW w:w="4111" w:type="dxa"/>
            <w:shd w:val="clear" w:color="auto" w:fill="auto"/>
            <w:noWrap/>
            <w:tcMar>
              <w:top w:w="15" w:type="dxa"/>
              <w:left w:w="15" w:type="dxa"/>
              <w:bottom w:w="0" w:type="dxa"/>
              <w:right w:w="15" w:type="dxa"/>
            </w:tcMar>
            <w:vAlign w:val="center"/>
          </w:tcPr>
          <w:p w14:paraId="404FA403"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Adjusted EBITDA</w:t>
            </w:r>
          </w:p>
        </w:tc>
        <w:tc>
          <w:tcPr>
            <w:tcW w:w="1134" w:type="dxa"/>
            <w:shd w:val="clear" w:color="auto" w:fill="auto"/>
            <w:noWrap/>
            <w:tcMar>
              <w:top w:w="15" w:type="dxa"/>
              <w:left w:w="15" w:type="dxa"/>
              <w:bottom w:w="0" w:type="dxa"/>
              <w:right w:w="15" w:type="dxa"/>
            </w:tcMar>
          </w:tcPr>
          <w:p w14:paraId="4A53DB3C"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63.8</w:t>
            </w:r>
          </w:p>
        </w:tc>
        <w:tc>
          <w:tcPr>
            <w:tcW w:w="1134" w:type="dxa"/>
            <w:shd w:val="clear" w:color="auto" w:fill="auto"/>
          </w:tcPr>
          <w:p w14:paraId="0E0E65F7"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62.5</w:t>
            </w:r>
          </w:p>
        </w:tc>
        <w:tc>
          <w:tcPr>
            <w:tcW w:w="1134" w:type="dxa"/>
            <w:shd w:val="clear" w:color="auto" w:fill="auto"/>
          </w:tcPr>
          <w:p w14:paraId="596A6E0D"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+2.1%</w:t>
            </w:r>
          </w:p>
        </w:tc>
      </w:tr>
      <w:tr w:rsidR="003C7BC3" w:rsidRPr="003C7BC3" w14:paraId="184AA541" w14:textId="77777777" w:rsidTr="001413EA">
        <w:trPr>
          <w:jc w:val="center"/>
        </w:trPr>
        <w:tc>
          <w:tcPr>
            <w:tcW w:w="4111" w:type="dxa"/>
            <w:shd w:val="clear" w:color="auto" w:fill="auto"/>
            <w:noWrap/>
            <w:tcMar>
              <w:top w:w="15" w:type="dxa"/>
              <w:left w:w="15" w:type="dxa"/>
              <w:bottom w:w="0" w:type="dxa"/>
              <w:right w:w="15" w:type="dxa"/>
            </w:tcMar>
            <w:vAlign w:val="center"/>
            <w:hideMark/>
          </w:tcPr>
          <w:p w14:paraId="7B4EC2F5" w14:textId="77777777" w:rsidR="003C7BC3" w:rsidRPr="00D571CD"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D571CD">
              <w:rPr>
                <w:rFonts w:ascii="Calibri" w:eastAsia="Calibri" w:hAnsi="Calibri" w:cs="Arial"/>
                <w:bCs/>
                <w:sz w:val="18"/>
                <w:szCs w:val="18"/>
                <w:lang w:val="en-US" w:eastAsia="en-GB" w:bidi="en-GB"/>
              </w:rPr>
              <w:t>Adjusted Operating Profit</w:t>
            </w:r>
          </w:p>
        </w:tc>
        <w:tc>
          <w:tcPr>
            <w:tcW w:w="1134" w:type="dxa"/>
            <w:shd w:val="clear" w:color="auto" w:fill="auto"/>
            <w:noWrap/>
            <w:tcMar>
              <w:top w:w="15" w:type="dxa"/>
              <w:left w:w="15" w:type="dxa"/>
              <w:bottom w:w="0" w:type="dxa"/>
              <w:right w:w="15" w:type="dxa"/>
            </w:tcMar>
            <w:vAlign w:val="bottom"/>
          </w:tcPr>
          <w:p w14:paraId="179A1C74"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38.3</w:t>
            </w:r>
          </w:p>
        </w:tc>
        <w:tc>
          <w:tcPr>
            <w:tcW w:w="1134" w:type="dxa"/>
            <w:shd w:val="clear" w:color="auto" w:fill="auto"/>
            <w:vAlign w:val="bottom"/>
          </w:tcPr>
          <w:p w14:paraId="0E4253E7"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44.7</w:t>
            </w:r>
          </w:p>
        </w:tc>
        <w:tc>
          <w:tcPr>
            <w:tcW w:w="1134" w:type="dxa"/>
            <w:shd w:val="clear" w:color="auto" w:fill="auto"/>
          </w:tcPr>
          <w:p w14:paraId="21997C84"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-14.3%</w:t>
            </w:r>
          </w:p>
        </w:tc>
      </w:tr>
      <w:tr w:rsidR="003C7BC3" w:rsidRPr="003C7BC3" w14:paraId="23029AE7" w14:textId="77777777" w:rsidTr="001413EA">
        <w:trPr>
          <w:jc w:val="center"/>
        </w:trPr>
        <w:tc>
          <w:tcPr>
            <w:tcW w:w="4111" w:type="dxa"/>
            <w:shd w:val="clear" w:color="auto" w:fill="auto"/>
            <w:noWrap/>
            <w:tcMar>
              <w:top w:w="15" w:type="dxa"/>
              <w:left w:w="15" w:type="dxa"/>
              <w:bottom w:w="0" w:type="dxa"/>
              <w:right w:w="15" w:type="dxa"/>
            </w:tcMar>
            <w:vAlign w:val="center"/>
            <w:hideMark/>
          </w:tcPr>
          <w:p w14:paraId="02B2652A" w14:textId="77777777" w:rsidR="003C7BC3" w:rsidRPr="00D571CD"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D571CD">
              <w:rPr>
                <w:rFonts w:ascii="Calibri" w:eastAsia="Calibri" w:hAnsi="Calibri" w:cs="Arial"/>
                <w:bCs/>
                <w:sz w:val="18"/>
                <w:szCs w:val="18"/>
                <w:lang w:val="en-US" w:eastAsia="en-GB" w:bidi="en-GB"/>
              </w:rPr>
              <w:t>Adjusted Operating Margin</w:t>
            </w:r>
          </w:p>
        </w:tc>
        <w:tc>
          <w:tcPr>
            <w:tcW w:w="1134" w:type="dxa"/>
            <w:shd w:val="clear" w:color="auto" w:fill="auto"/>
            <w:noWrap/>
            <w:tcMar>
              <w:top w:w="15" w:type="dxa"/>
              <w:left w:w="15" w:type="dxa"/>
              <w:bottom w:w="0" w:type="dxa"/>
              <w:right w:w="15" w:type="dxa"/>
            </w:tcMar>
            <w:vAlign w:val="bottom"/>
          </w:tcPr>
          <w:p w14:paraId="10DFB8BA"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5.4%</w:t>
            </w:r>
          </w:p>
        </w:tc>
        <w:tc>
          <w:tcPr>
            <w:tcW w:w="1134" w:type="dxa"/>
            <w:shd w:val="clear" w:color="auto" w:fill="auto"/>
            <w:vAlign w:val="bottom"/>
          </w:tcPr>
          <w:p w14:paraId="71BE8173"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6.4%</w:t>
            </w:r>
          </w:p>
        </w:tc>
        <w:tc>
          <w:tcPr>
            <w:tcW w:w="1134" w:type="dxa"/>
            <w:shd w:val="clear" w:color="auto" w:fill="auto"/>
          </w:tcPr>
          <w:p w14:paraId="34790D5E"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-100 bps</w:t>
            </w:r>
          </w:p>
        </w:tc>
      </w:tr>
      <w:tr w:rsidR="003C7BC3" w:rsidRPr="003C7BC3" w14:paraId="28C910D1" w14:textId="77777777" w:rsidTr="001413EA">
        <w:trPr>
          <w:trHeight w:val="163"/>
          <w:jc w:val="center"/>
        </w:trPr>
        <w:tc>
          <w:tcPr>
            <w:tcW w:w="4111" w:type="dxa"/>
            <w:shd w:val="clear" w:color="auto" w:fill="auto"/>
            <w:noWrap/>
            <w:tcMar>
              <w:top w:w="15" w:type="dxa"/>
              <w:left w:w="15" w:type="dxa"/>
              <w:bottom w:w="0" w:type="dxa"/>
              <w:right w:w="15" w:type="dxa"/>
            </w:tcMar>
            <w:vAlign w:val="center"/>
          </w:tcPr>
          <w:p w14:paraId="35FD5BE5" w14:textId="77777777" w:rsidR="003C7BC3" w:rsidRPr="00D571CD"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D571CD">
              <w:rPr>
                <w:rFonts w:ascii="Calibri" w:eastAsia="Calibri" w:hAnsi="Calibri" w:cs="Arial"/>
                <w:bCs/>
                <w:sz w:val="18"/>
                <w:szCs w:val="18"/>
                <w:lang w:val="en-US" w:eastAsia="en-GB" w:bidi="en-GB"/>
              </w:rPr>
              <w:t>Group Operating Profit</w:t>
            </w:r>
          </w:p>
        </w:tc>
        <w:tc>
          <w:tcPr>
            <w:tcW w:w="1134" w:type="dxa"/>
            <w:shd w:val="clear" w:color="auto" w:fill="auto"/>
            <w:noWrap/>
            <w:tcMar>
              <w:top w:w="15" w:type="dxa"/>
              <w:left w:w="15" w:type="dxa"/>
              <w:bottom w:w="0" w:type="dxa"/>
              <w:right w:w="15" w:type="dxa"/>
            </w:tcMar>
            <w:vAlign w:val="center"/>
          </w:tcPr>
          <w:p w14:paraId="53BB4113"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35.6</w:t>
            </w:r>
          </w:p>
        </w:tc>
        <w:tc>
          <w:tcPr>
            <w:tcW w:w="1134" w:type="dxa"/>
            <w:shd w:val="clear" w:color="auto" w:fill="auto"/>
            <w:vAlign w:val="center"/>
          </w:tcPr>
          <w:p w14:paraId="51BC4A6C"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41.3</w:t>
            </w:r>
          </w:p>
        </w:tc>
        <w:tc>
          <w:tcPr>
            <w:tcW w:w="1134" w:type="dxa"/>
            <w:shd w:val="clear" w:color="auto" w:fill="auto"/>
          </w:tcPr>
          <w:p w14:paraId="3F7FE6E1"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-13.8</w:t>
            </w:r>
            <w:r w:rsidR="005F112A">
              <w:rPr>
                <w:rFonts w:ascii="Calibri" w:eastAsia="Calibri" w:hAnsi="Calibri" w:cs="Arial"/>
                <w:sz w:val="18"/>
                <w:szCs w:val="18"/>
                <w:lang w:val="en-US" w:eastAsia="en-GB" w:bidi="en-GB"/>
              </w:rPr>
              <w:t>%</w:t>
            </w:r>
          </w:p>
        </w:tc>
      </w:tr>
      <w:tr w:rsidR="003C7BC3" w:rsidRPr="003C7BC3" w14:paraId="26A84453" w14:textId="77777777" w:rsidTr="001413EA">
        <w:trPr>
          <w:jc w:val="center"/>
        </w:trPr>
        <w:tc>
          <w:tcPr>
            <w:tcW w:w="4111" w:type="dxa"/>
            <w:shd w:val="clear" w:color="auto" w:fill="auto"/>
            <w:noWrap/>
            <w:tcMar>
              <w:top w:w="15" w:type="dxa"/>
              <w:left w:w="15" w:type="dxa"/>
              <w:bottom w:w="0" w:type="dxa"/>
              <w:right w:w="15" w:type="dxa"/>
            </w:tcMar>
            <w:vAlign w:val="center"/>
            <w:hideMark/>
          </w:tcPr>
          <w:p w14:paraId="4496FBEA" w14:textId="77777777" w:rsidR="003C7BC3" w:rsidRPr="00D571CD"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D571CD">
              <w:rPr>
                <w:rFonts w:ascii="Calibri" w:eastAsia="Calibri" w:hAnsi="Calibri" w:cs="Arial"/>
                <w:bCs/>
                <w:sz w:val="18"/>
                <w:szCs w:val="18"/>
                <w:lang w:val="en-US" w:eastAsia="en-GB" w:bidi="en-GB"/>
              </w:rPr>
              <w:t>Adjusted Profit Before Tax</w:t>
            </w:r>
          </w:p>
        </w:tc>
        <w:tc>
          <w:tcPr>
            <w:tcW w:w="1134" w:type="dxa"/>
            <w:shd w:val="clear" w:color="auto" w:fill="auto"/>
            <w:noWrap/>
            <w:tcMar>
              <w:top w:w="15" w:type="dxa"/>
              <w:left w:w="15" w:type="dxa"/>
              <w:bottom w:w="0" w:type="dxa"/>
              <w:right w:w="15" w:type="dxa"/>
            </w:tcMar>
            <w:vAlign w:val="bottom"/>
          </w:tcPr>
          <w:p w14:paraId="6F4B1F9D"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31.1</w:t>
            </w:r>
          </w:p>
        </w:tc>
        <w:tc>
          <w:tcPr>
            <w:tcW w:w="1134" w:type="dxa"/>
            <w:shd w:val="clear" w:color="auto" w:fill="auto"/>
            <w:vAlign w:val="bottom"/>
          </w:tcPr>
          <w:p w14:paraId="3008C18C"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37.7</w:t>
            </w:r>
          </w:p>
        </w:tc>
        <w:tc>
          <w:tcPr>
            <w:tcW w:w="1134" w:type="dxa"/>
            <w:shd w:val="clear" w:color="auto" w:fill="auto"/>
            <w:vAlign w:val="bottom"/>
          </w:tcPr>
          <w:p w14:paraId="5AF5E6E8"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-17.5%</w:t>
            </w:r>
          </w:p>
        </w:tc>
      </w:tr>
      <w:tr w:rsidR="003C7BC3" w:rsidRPr="003C7BC3" w14:paraId="5C8C0806" w14:textId="77777777" w:rsidTr="001413EA">
        <w:trPr>
          <w:trHeight w:val="163"/>
          <w:jc w:val="center"/>
        </w:trPr>
        <w:tc>
          <w:tcPr>
            <w:tcW w:w="4111" w:type="dxa"/>
            <w:shd w:val="clear" w:color="auto" w:fill="auto"/>
            <w:noWrap/>
            <w:tcMar>
              <w:top w:w="15" w:type="dxa"/>
              <w:left w:w="15" w:type="dxa"/>
              <w:bottom w:w="0" w:type="dxa"/>
              <w:right w:w="15" w:type="dxa"/>
            </w:tcMar>
            <w:vAlign w:val="center"/>
          </w:tcPr>
          <w:p w14:paraId="2051E92A" w14:textId="77777777" w:rsidR="003C7BC3" w:rsidRPr="00D571CD"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D571CD">
              <w:rPr>
                <w:rFonts w:ascii="Calibri" w:eastAsia="Calibri" w:hAnsi="Calibri" w:cs="Arial"/>
                <w:bCs/>
                <w:sz w:val="18"/>
                <w:szCs w:val="18"/>
                <w:lang w:val="en-US" w:eastAsia="en-GB" w:bidi="en-GB"/>
              </w:rPr>
              <w:t xml:space="preserve">Group Profit </w:t>
            </w:r>
            <w:r w:rsidR="0004743B">
              <w:rPr>
                <w:rFonts w:ascii="Calibri" w:eastAsia="Calibri" w:hAnsi="Calibri" w:cs="Arial"/>
                <w:bCs/>
                <w:sz w:val="18"/>
                <w:szCs w:val="18"/>
                <w:lang w:val="en-US" w:eastAsia="en-GB" w:bidi="en-GB"/>
              </w:rPr>
              <w:t>B</w:t>
            </w:r>
            <w:r w:rsidRPr="00D571CD">
              <w:rPr>
                <w:rFonts w:ascii="Calibri" w:eastAsia="Calibri" w:hAnsi="Calibri" w:cs="Arial"/>
                <w:bCs/>
                <w:sz w:val="18"/>
                <w:szCs w:val="18"/>
                <w:lang w:val="en-US" w:eastAsia="en-GB" w:bidi="en-GB"/>
              </w:rPr>
              <w:t>efore</w:t>
            </w:r>
            <w:r w:rsidR="00415CDB">
              <w:rPr>
                <w:rFonts w:ascii="Calibri" w:eastAsia="Calibri" w:hAnsi="Calibri" w:cs="Arial"/>
                <w:bCs/>
                <w:sz w:val="18"/>
                <w:szCs w:val="18"/>
                <w:lang w:val="en-US" w:eastAsia="en-GB" w:bidi="en-GB"/>
              </w:rPr>
              <w:t xml:space="preserve"> </w:t>
            </w:r>
            <w:r w:rsidR="009C6F05">
              <w:rPr>
                <w:rFonts w:ascii="Calibri" w:eastAsia="Calibri" w:hAnsi="Calibri" w:cs="Arial"/>
                <w:bCs/>
                <w:sz w:val="18"/>
                <w:szCs w:val="18"/>
                <w:lang w:val="en-US" w:eastAsia="en-GB" w:bidi="en-GB"/>
              </w:rPr>
              <w:t>Tax</w:t>
            </w:r>
          </w:p>
        </w:tc>
        <w:tc>
          <w:tcPr>
            <w:tcW w:w="1134" w:type="dxa"/>
            <w:shd w:val="clear" w:color="auto" w:fill="auto"/>
            <w:noWrap/>
            <w:tcMar>
              <w:top w:w="15" w:type="dxa"/>
              <w:left w:w="15" w:type="dxa"/>
              <w:bottom w:w="0" w:type="dxa"/>
              <w:right w:w="15" w:type="dxa"/>
            </w:tcMar>
            <w:vAlign w:val="center"/>
          </w:tcPr>
          <w:p w14:paraId="016AAEE7"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27.3</w:t>
            </w:r>
          </w:p>
        </w:tc>
        <w:tc>
          <w:tcPr>
            <w:tcW w:w="1134" w:type="dxa"/>
            <w:shd w:val="clear" w:color="auto" w:fill="auto"/>
            <w:vAlign w:val="center"/>
          </w:tcPr>
          <w:p w14:paraId="74C481B2"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5.7</w:t>
            </w:r>
          </w:p>
        </w:tc>
        <w:tc>
          <w:tcPr>
            <w:tcW w:w="1134" w:type="dxa"/>
            <w:shd w:val="clear" w:color="auto" w:fill="auto"/>
          </w:tcPr>
          <w:p w14:paraId="31B08932" w14:textId="6F73DAEF" w:rsidR="003C7BC3" w:rsidRPr="003C7BC3" w:rsidRDefault="00BD5017"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Pr>
                <w:rFonts w:ascii="Calibri" w:eastAsia="Calibri" w:hAnsi="Calibri" w:cs="Arial"/>
                <w:sz w:val="18"/>
                <w:szCs w:val="18"/>
                <w:lang w:val="en-US" w:eastAsia="en-GB" w:bidi="en-GB"/>
              </w:rPr>
              <w:t>+</w:t>
            </w:r>
            <w:r w:rsidR="002D6B38">
              <w:rPr>
                <w:rFonts w:ascii="Calibri" w:eastAsia="Calibri" w:hAnsi="Calibri" w:cs="Arial"/>
                <w:sz w:val="18"/>
                <w:szCs w:val="18"/>
                <w:lang w:val="en-US" w:eastAsia="en-GB" w:bidi="en-GB"/>
              </w:rPr>
              <w:t>378.9</w:t>
            </w:r>
            <w:r w:rsidR="003C7BC3" w:rsidRPr="003C7BC3">
              <w:rPr>
                <w:rFonts w:ascii="Calibri" w:eastAsia="Calibri" w:hAnsi="Calibri" w:cs="Arial"/>
                <w:sz w:val="18"/>
                <w:szCs w:val="18"/>
                <w:lang w:val="en-US" w:eastAsia="en-GB" w:bidi="en-GB"/>
              </w:rPr>
              <w:t>%</w:t>
            </w:r>
          </w:p>
        </w:tc>
      </w:tr>
      <w:tr w:rsidR="003C7BC3" w:rsidRPr="003C7BC3" w14:paraId="3BA9B55F" w14:textId="77777777" w:rsidTr="002E0E9E">
        <w:trPr>
          <w:trHeight w:val="45"/>
          <w:jc w:val="center"/>
        </w:trPr>
        <w:tc>
          <w:tcPr>
            <w:tcW w:w="4111" w:type="dxa"/>
            <w:shd w:val="clear" w:color="auto" w:fill="auto"/>
            <w:noWrap/>
            <w:tcMar>
              <w:top w:w="15" w:type="dxa"/>
              <w:left w:w="15" w:type="dxa"/>
              <w:bottom w:w="0" w:type="dxa"/>
              <w:right w:w="15" w:type="dxa"/>
            </w:tcMar>
            <w:vAlign w:val="center"/>
          </w:tcPr>
          <w:p w14:paraId="031CA540" w14:textId="77777777" w:rsidR="003C7BC3" w:rsidRPr="00D571CD"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p>
        </w:tc>
        <w:tc>
          <w:tcPr>
            <w:tcW w:w="1134" w:type="dxa"/>
            <w:shd w:val="clear" w:color="auto" w:fill="auto"/>
            <w:noWrap/>
            <w:tcMar>
              <w:top w:w="15" w:type="dxa"/>
              <w:left w:w="15" w:type="dxa"/>
              <w:bottom w:w="0" w:type="dxa"/>
              <w:right w:w="15" w:type="dxa"/>
            </w:tcMar>
            <w:vAlign w:val="bottom"/>
          </w:tcPr>
          <w:p w14:paraId="7CFC3E45"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p>
        </w:tc>
        <w:tc>
          <w:tcPr>
            <w:tcW w:w="1134" w:type="dxa"/>
            <w:shd w:val="clear" w:color="auto" w:fill="auto"/>
            <w:vAlign w:val="bottom"/>
          </w:tcPr>
          <w:p w14:paraId="73EDDBD8"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p>
        </w:tc>
        <w:tc>
          <w:tcPr>
            <w:tcW w:w="1134" w:type="dxa"/>
            <w:shd w:val="clear" w:color="auto" w:fill="auto"/>
          </w:tcPr>
          <w:p w14:paraId="0717EB47"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bCs/>
                <w:sz w:val="18"/>
                <w:szCs w:val="18"/>
                <w:lang w:val="en-US" w:eastAsia="en-GB" w:bidi="en-GB"/>
              </w:rPr>
            </w:pPr>
          </w:p>
        </w:tc>
      </w:tr>
      <w:tr w:rsidR="003C7BC3" w:rsidRPr="003C7BC3" w14:paraId="2CB5A5E6" w14:textId="77777777" w:rsidTr="001413EA">
        <w:trPr>
          <w:jc w:val="center"/>
        </w:trPr>
        <w:tc>
          <w:tcPr>
            <w:tcW w:w="4111" w:type="dxa"/>
            <w:shd w:val="clear" w:color="auto" w:fill="auto"/>
            <w:noWrap/>
            <w:tcMar>
              <w:top w:w="15" w:type="dxa"/>
              <w:left w:w="15" w:type="dxa"/>
              <w:bottom w:w="0" w:type="dxa"/>
              <w:right w:w="15" w:type="dxa"/>
            </w:tcMar>
            <w:vAlign w:val="center"/>
          </w:tcPr>
          <w:p w14:paraId="789FC849" w14:textId="77777777" w:rsidR="003C7BC3" w:rsidRPr="00D571CD"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D571CD">
              <w:rPr>
                <w:rFonts w:ascii="Calibri" w:eastAsia="Calibri" w:hAnsi="Calibri" w:cs="Arial"/>
                <w:bCs/>
                <w:sz w:val="18"/>
                <w:szCs w:val="18"/>
                <w:lang w:val="en-US" w:eastAsia="en-GB" w:bidi="en-GB"/>
              </w:rPr>
              <w:t>Adjusted EPS (pence)</w:t>
            </w:r>
          </w:p>
        </w:tc>
        <w:tc>
          <w:tcPr>
            <w:tcW w:w="1134" w:type="dxa"/>
            <w:shd w:val="clear" w:color="auto" w:fill="auto"/>
            <w:noWrap/>
            <w:tcMar>
              <w:top w:w="15" w:type="dxa"/>
              <w:left w:w="15" w:type="dxa"/>
              <w:bottom w:w="0" w:type="dxa"/>
              <w:right w:w="15" w:type="dxa"/>
            </w:tcMar>
            <w:vAlign w:val="center"/>
          </w:tcPr>
          <w:p w14:paraId="24D3A35D"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5.8</w:t>
            </w:r>
          </w:p>
        </w:tc>
        <w:tc>
          <w:tcPr>
            <w:tcW w:w="1134" w:type="dxa"/>
            <w:shd w:val="clear" w:color="auto" w:fill="auto"/>
            <w:vAlign w:val="center"/>
          </w:tcPr>
          <w:p w14:paraId="662EF096"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6.4</w:t>
            </w:r>
          </w:p>
        </w:tc>
        <w:tc>
          <w:tcPr>
            <w:tcW w:w="1134" w:type="dxa"/>
            <w:shd w:val="clear" w:color="auto" w:fill="auto"/>
            <w:vAlign w:val="bottom"/>
          </w:tcPr>
          <w:p w14:paraId="31D0A779"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-9.4%</w:t>
            </w:r>
          </w:p>
        </w:tc>
      </w:tr>
      <w:tr w:rsidR="003C7BC3" w:rsidRPr="003C7BC3" w14:paraId="6DE20CFD" w14:textId="77777777" w:rsidTr="001413EA">
        <w:trPr>
          <w:trHeight w:val="163"/>
          <w:jc w:val="center"/>
        </w:trPr>
        <w:tc>
          <w:tcPr>
            <w:tcW w:w="4111" w:type="dxa"/>
            <w:shd w:val="clear" w:color="auto" w:fill="auto"/>
            <w:noWrap/>
            <w:tcMar>
              <w:top w:w="15" w:type="dxa"/>
              <w:left w:w="15" w:type="dxa"/>
              <w:bottom w:w="0" w:type="dxa"/>
              <w:right w:w="15" w:type="dxa"/>
            </w:tcMar>
            <w:vAlign w:val="center"/>
          </w:tcPr>
          <w:p w14:paraId="4FAA3355" w14:textId="77777777" w:rsidR="003C7BC3" w:rsidRPr="00D571CD"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D571CD">
              <w:rPr>
                <w:rFonts w:ascii="Calibri" w:eastAsia="Calibri" w:hAnsi="Calibri" w:cs="Arial"/>
                <w:bCs/>
                <w:sz w:val="18"/>
                <w:szCs w:val="18"/>
                <w:lang w:val="en-US" w:eastAsia="en-GB" w:bidi="en-GB"/>
              </w:rPr>
              <w:t>Group Exceptional Items (after tax)</w:t>
            </w:r>
          </w:p>
        </w:tc>
        <w:tc>
          <w:tcPr>
            <w:tcW w:w="1134" w:type="dxa"/>
            <w:shd w:val="clear" w:color="auto" w:fill="auto"/>
            <w:noWrap/>
            <w:tcMar>
              <w:top w:w="15" w:type="dxa"/>
              <w:left w:w="15" w:type="dxa"/>
              <w:bottom w:w="0" w:type="dxa"/>
              <w:right w:w="15" w:type="dxa"/>
            </w:tcMar>
            <w:vAlign w:val="center"/>
          </w:tcPr>
          <w:p w14:paraId="4F80285B" w14:textId="77777777" w:rsidR="003C7BC3" w:rsidRPr="003C7BC3" w:rsidRDefault="003C7BC3" w:rsidP="007F2987">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0.4</w:t>
            </w:r>
          </w:p>
        </w:tc>
        <w:tc>
          <w:tcPr>
            <w:tcW w:w="1134" w:type="dxa"/>
            <w:shd w:val="clear" w:color="auto" w:fill="auto"/>
            <w:vAlign w:val="center"/>
          </w:tcPr>
          <w:p w14:paraId="02991B28"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28.8</w:t>
            </w:r>
          </w:p>
        </w:tc>
        <w:tc>
          <w:tcPr>
            <w:tcW w:w="1134" w:type="dxa"/>
            <w:shd w:val="clear" w:color="auto" w:fill="auto"/>
          </w:tcPr>
          <w:p w14:paraId="46B376D1"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p>
        </w:tc>
      </w:tr>
      <w:tr w:rsidR="003C7BC3" w:rsidRPr="003C7BC3" w14:paraId="1A1272B8" w14:textId="77777777" w:rsidTr="001413EA">
        <w:trPr>
          <w:trHeight w:val="163"/>
          <w:jc w:val="center"/>
        </w:trPr>
        <w:tc>
          <w:tcPr>
            <w:tcW w:w="4111" w:type="dxa"/>
            <w:shd w:val="clear" w:color="auto" w:fill="auto"/>
            <w:noWrap/>
            <w:tcMar>
              <w:top w:w="15" w:type="dxa"/>
              <w:left w:w="15" w:type="dxa"/>
              <w:bottom w:w="0" w:type="dxa"/>
              <w:right w:w="15" w:type="dxa"/>
            </w:tcMar>
            <w:vAlign w:val="center"/>
          </w:tcPr>
          <w:p w14:paraId="14192752"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Basic EPS (pence)</w:t>
            </w:r>
          </w:p>
        </w:tc>
        <w:tc>
          <w:tcPr>
            <w:tcW w:w="1134" w:type="dxa"/>
            <w:shd w:val="clear" w:color="auto" w:fill="auto"/>
            <w:noWrap/>
            <w:tcMar>
              <w:top w:w="15" w:type="dxa"/>
              <w:left w:w="15" w:type="dxa"/>
              <w:bottom w:w="0" w:type="dxa"/>
              <w:right w:w="15" w:type="dxa"/>
            </w:tcMar>
            <w:vAlign w:val="center"/>
          </w:tcPr>
          <w:p w14:paraId="24062D5D"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5.3</w:t>
            </w:r>
          </w:p>
        </w:tc>
        <w:tc>
          <w:tcPr>
            <w:tcW w:w="1134" w:type="dxa"/>
            <w:shd w:val="clear" w:color="auto" w:fill="auto"/>
            <w:vAlign w:val="center"/>
          </w:tcPr>
          <w:p w14:paraId="1C070195"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10.5</w:t>
            </w:r>
          </w:p>
        </w:tc>
        <w:tc>
          <w:tcPr>
            <w:tcW w:w="1134" w:type="dxa"/>
            <w:shd w:val="clear" w:color="auto" w:fill="auto"/>
          </w:tcPr>
          <w:p w14:paraId="53D47ED4"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w:t>
            </w:r>
            <w:r w:rsidR="005E5BD2">
              <w:rPr>
                <w:rFonts w:ascii="Calibri" w:eastAsia="Calibri" w:hAnsi="Calibri" w:cs="Arial"/>
                <w:sz w:val="18"/>
                <w:szCs w:val="18"/>
                <w:lang w:val="en-US" w:eastAsia="en-GB" w:bidi="en-GB"/>
              </w:rPr>
              <w:t>49.5</w:t>
            </w:r>
            <w:r w:rsidRPr="003C7BC3">
              <w:rPr>
                <w:rFonts w:ascii="Calibri" w:eastAsia="Calibri" w:hAnsi="Calibri" w:cs="Arial"/>
                <w:sz w:val="18"/>
                <w:szCs w:val="18"/>
                <w:lang w:val="en-US" w:eastAsia="en-GB" w:bidi="en-GB"/>
              </w:rPr>
              <w:t>%</w:t>
            </w:r>
          </w:p>
        </w:tc>
      </w:tr>
      <w:tr w:rsidR="003C7BC3" w:rsidRPr="003C7BC3" w14:paraId="7C348170" w14:textId="77777777" w:rsidTr="001413EA">
        <w:trPr>
          <w:jc w:val="center"/>
        </w:trPr>
        <w:tc>
          <w:tcPr>
            <w:tcW w:w="4111" w:type="dxa"/>
            <w:shd w:val="clear" w:color="auto" w:fill="auto"/>
            <w:noWrap/>
            <w:tcMar>
              <w:top w:w="15" w:type="dxa"/>
              <w:left w:w="15" w:type="dxa"/>
              <w:bottom w:w="0" w:type="dxa"/>
              <w:right w:w="15" w:type="dxa"/>
            </w:tcMar>
            <w:vAlign w:val="center"/>
            <w:hideMark/>
          </w:tcPr>
          <w:p w14:paraId="50C7BF4E"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Interim dividend per share (pence)</w:t>
            </w:r>
          </w:p>
        </w:tc>
        <w:tc>
          <w:tcPr>
            <w:tcW w:w="1134" w:type="dxa"/>
            <w:shd w:val="clear" w:color="auto" w:fill="auto"/>
            <w:noWrap/>
            <w:tcMar>
              <w:top w:w="15" w:type="dxa"/>
              <w:left w:w="15" w:type="dxa"/>
              <w:bottom w:w="0" w:type="dxa"/>
              <w:right w:w="15" w:type="dxa"/>
            </w:tcMar>
            <w:vAlign w:val="bottom"/>
          </w:tcPr>
          <w:p w14:paraId="1A02F199"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w:t>
            </w:r>
          </w:p>
        </w:tc>
        <w:tc>
          <w:tcPr>
            <w:tcW w:w="1134" w:type="dxa"/>
            <w:shd w:val="clear" w:color="auto" w:fill="auto"/>
            <w:vAlign w:val="bottom"/>
          </w:tcPr>
          <w:p w14:paraId="7DFB4163"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bCs/>
                <w:sz w:val="18"/>
                <w:szCs w:val="18"/>
                <w:lang w:val="en-US" w:eastAsia="en-GB" w:bidi="en-GB"/>
              </w:rPr>
              <w:t>2.45</w:t>
            </w:r>
          </w:p>
        </w:tc>
        <w:tc>
          <w:tcPr>
            <w:tcW w:w="1134" w:type="dxa"/>
            <w:shd w:val="clear" w:color="auto" w:fill="auto"/>
            <w:vAlign w:val="bottom"/>
          </w:tcPr>
          <w:p w14:paraId="2B0865C2"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p>
        </w:tc>
      </w:tr>
      <w:tr w:rsidR="003C7BC3" w:rsidRPr="003C7BC3" w14:paraId="4DA67C34" w14:textId="77777777" w:rsidTr="00C26CE0">
        <w:trPr>
          <w:trHeight w:val="121"/>
          <w:jc w:val="center"/>
        </w:trPr>
        <w:tc>
          <w:tcPr>
            <w:tcW w:w="4111" w:type="dxa"/>
            <w:shd w:val="clear" w:color="auto" w:fill="auto"/>
            <w:noWrap/>
            <w:tcMar>
              <w:top w:w="15" w:type="dxa"/>
              <w:left w:w="15" w:type="dxa"/>
              <w:bottom w:w="0" w:type="dxa"/>
              <w:right w:w="15" w:type="dxa"/>
            </w:tcMar>
            <w:vAlign w:val="center"/>
          </w:tcPr>
          <w:p w14:paraId="0556AE36" w14:textId="77777777" w:rsidR="003C7BC3" w:rsidRPr="003C7BC3" w:rsidRDefault="003C7BC3" w:rsidP="003C7BC3">
            <w:pPr>
              <w:widowControl w:val="0"/>
              <w:autoSpaceDE w:val="0"/>
              <w:autoSpaceDN w:val="0"/>
              <w:spacing w:after="0" w:line="240" w:lineRule="auto"/>
              <w:jc w:val="both"/>
              <w:rPr>
                <w:rFonts w:ascii="Calibri" w:eastAsia="Calibri" w:hAnsi="Calibri" w:cs="Arial"/>
                <w:b/>
                <w:bCs/>
                <w:sz w:val="18"/>
                <w:szCs w:val="18"/>
                <w:u w:val="single"/>
                <w:lang w:val="en-US" w:eastAsia="en-GB" w:bidi="en-GB"/>
              </w:rPr>
            </w:pPr>
          </w:p>
        </w:tc>
        <w:tc>
          <w:tcPr>
            <w:tcW w:w="1134" w:type="dxa"/>
            <w:shd w:val="clear" w:color="auto" w:fill="auto"/>
            <w:noWrap/>
            <w:tcMar>
              <w:top w:w="15" w:type="dxa"/>
              <w:left w:w="15" w:type="dxa"/>
              <w:bottom w:w="0" w:type="dxa"/>
              <w:right w:w="15" w:type="dxa"/>
            </w:tcMar>
            <w:vAlign w:val="center"/>
          </w:tcPr>
          <w:p w14:paraId="6965FF4B"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p>
        </w:tc>
        <w:tc>
          <w:tcPr>
            <w:tcW w:w="1134" w:type="dxa"/>
            <w:shd w:val="clear" w:color="auto" w:fill="auto"/>
            <w:vAlign w:val="center"/>
          </w:tcPr>
          <w:p w14:paraId="08FFCA80"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p>
        </w:tc>
        <w:tc>
          <w:tcPr>
            <w:tcW w:w="1134" w:type="dxa"/>
            <w:shd w:val="clear" w:color="auto" w:fill="auto"/>
          </w:tcPr>
          <w:p w14:paraId="58083357"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p>
        </w:tc>
      </w:tr>
      <w:tr w:rsidR="003C7BC3" w:rsidRPr="003C7BC3" w14:paraId="48C0295F" w14:textId="77777777" w:rsidTr="001413EA">
        <w:trPr>
          <w:trHeight w:val="163"/>
          <w:jc w:val="center"/>
        </w:trPr>
        <w:tc>
          <w:tcPr>
            <w:tcW w:w="4111" w:type="dxa"/>
            <w:shd w:val="clear" w:color="auto" w:fill="auto"/>
            <w:noWrap/>
            <w:tcMar>
              <w:top w:w="15" w:type="dxa"/>
              <w:left w:w="15" w:type="dxa"/>
              <w:bottom w:w="0" w:type="dxa"/>
              <w:right w:w="15" w:type="dxa"/>
            </w:tcMar>
            <w:vAlign w:val="center"/>
          </w:tcPr>
          <w:p w14:paraId="06F7AA71"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Free Cash Flow</w:t>
            </w:r>
          </w:p>
        </w:tc>
        <w:tc>
          <w:tcPr>
            <w:tcW w:w="1134" w:type="dxa"/>
            <w:shd w:val="clear" w:color="auto" w:fill="auto"/>
            <w:noWrap/>
            <w:tcMar>
              <w:top w:w="15" w:type="dxa"/>
              <w:left w:w="15" w:type="dxa"/>
              <w:bottom w:w="0" w:type="dxa"/>
              <w:right w:w="15" w:type="dxa"/>
            </w:tcMar>
            <w:vAlign w:val="center"/>
          </w:tcPr>
          <w:p w14:paraId="66525277" w14:textId="77777777" w:rsidR="003C7BC3" w:rsidRPr="003C7BC3" w:rsidRDefault="001737BC"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Pr>
                <w:rFonts w:ascii="Calibri" w:eastAsia="Calibri" w:hAnsi="Calibri" w:cs="Arial"/>
                <w:sz w:val="18"/>
                <w:szCs w:val="18"/>
                <w:lang w:val="en-US" w:eastAsia="en-GB" w:bidi="en-GB"/>
              </w:rPr>
              <w:t>2.</w:t>
            </w:r>
            <w:r w:rsidR="00A72050">
              <w:rPr>
                <w:rFonts w:ascii="Calibri" w:eastAsia="Calibri" w:hAnsi="Calibri" w:cs="Arial"/>
                <w:sz w:val="18"/>
                <w:szCs w:val="18"/>
                <w:lang w:val="en-US" w:eastAsia="en-GB" w:bidi="en-GB"/>
              </w:rPr>
              <w:t>6</w:t>
            </w:r>
          </w:p>
        </w:tc>
        <w:tc>
          <w:tcPr>
            <w:tcW w:w="1134" w:type="dxa"/>
            <w:shd w:val="clear" w:color="auto" w:fill="auto"/>
            <w:vAlign w:val="center"/>
          </w:tcPr>
          <w:p w14:paraId="7F329FE1"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(19.4)</w:t>
            </w:r>
          </w:p>
        </w:tc>
        <w:tc>
          <w:tcPr>
            <w:tcW w:w="1134" w:type="dxa"/>
            <w:shd w:val="clear" w:color="auto" w:fill="auto"/>
          </w:tcPr>
          <w:p w14:paraId="542C7638" w14:textId="77777777" w:rsidR="003C7BC3" w:rsidRPr="003C7BC3" w:rsidRDefault="00F601FE" w:rsidP="001737BC">
            <w:pPr>
              <w:widowControl w:val="0"/>
              <w:autoSpaceDE w:val="0"/>
              <w:autoSpaceDN w:val="0"/>
              <w:spacing w:after="0" w:line="240" w:lineRule="auto"/>
              <w:ind w:right="103"/>
              <w:jc w:val="right"/>
              <w:rPr>
                <w:rFonts w:ascii="Calibri" w:eastAsia="Calibri" w:hAnsi="Calibri" w:cs="Arial"/>
                <w:sz w:val="18"/>
                <w:szCs w:val="18"/>
                <w:lang w:val="en-US" w:eastAsia="en-GB" w:bidi="en-GB"/>
              </w:rPr>
            </w:pPr>
            <w:r>
              <w:rPr>
                <w:rFonts w:ascii="Calibri" w:eastAsia="Calibri" w:hAnsi="Calibri" w:cs="Arial"/>
                <w:sz w:val="18"/>
                <w:szCs w:val="18"/>
                <w:lang w:val="en-US" w:eastAsia="en-GB" w:bidi="en-GB"/>
              </w:rPr>
              <w:t>+£</w:t>
            </w:r>
            <w:r w:rsidR="001737BC">
              <w:rPr>
                <w:rFonts w:ascii="Calibri" w:eastAsia="Calibri" w:hAnsi="Calibri" w:cs="Arial"/>
                <w:sz w:val="18"/>
                <w:szCs w:val="18"/>
                <w:lang w:val="en-US" w:eastAsia="en-GB" w:bidi="en-GB"/>
              </w:rPr>
              <w:t>2</w:t>
            </w:r>
            <w:r w:rsidR="00A72050">
              <w:rPr>
                <w:rFonts w:ascii="Calibri" w:eastAsia="Calibri" w:hAnsi="Calibri" w:cs="Arial"/>
                <w:sz w:val="18"/>
                <w:szCs w:val="18"/>
                <w:lang w:val="en-US" w:eastAsia="en-GB" w:bidi="en-GB"/>
              </w:rPr>
              <w:t>2</w:t>
            </w:r>
            <w:r w:rsidR="001737BC">
              <w:rPr>
                <w:rFonts w:ascii="Calibri" w:eastAsia="Calibri" w:hAnsi="Calibri" w:cs="Arial"/>
                <w:sz w:val="18"/>
                <w:szCs w:val="18"/>
                <w:lang w:val="en-US" w:eastAsia="en-GB" w:bidi="en-GB"/>
              </w:rPr>
              <w:t>.</w:t>
            </w:r>
            <w:r w:rsidR="00A72050">
              <w:rPr>
                <w:rFonts w:ascii="Calibri" w:eastAsia="Calibri" w:hAnsi="Calibri" w:cs="Arial"/>
                <w:sz w:val="18"/>
                <w:szCs w:val="18"/>
                <w:lang w:val="en-US" w:eastAsia="en-GB" w:bidi="en-GB"/>
              </w:rPr>
              <w:t>0</w:t>
            </w:r>
            <w:r>
              <w:rPr>
                <w:rFonts w:ascii="Calibri" w:eastAsia="Calibri" w:hAnsi="Calibri" w:cs="Arial"/>
                <w:sz w:val="18"/>
                <w:szCs w:val="18"/>
                <w:lang w:val="en-US" w:eastAsia="en-GB" w:bidi="en-GB"/>
              </w:rPr>
              <w:t>m</w:t>
            </w:r>
          </w:p>
        </w:tc>
      </w:tr>
      <w:tr w:rsidR="003C7BC3" w:rsidRPr="003C7BC3" w14:paraId="2928900D" w14:textId="77777777" w:rsidTr="001413EA">
        <w:trPr>
          <w:jc w:val="center"/>
        </w:trPr>
        <w:tc>
          <w:tcPr>
            <w:tcW w:w="4111" w:type="dxa"/>
            <w:shd w:val="clear" w:color="auto" w:fill="auto"/>
            <w:noWrap/>
            <w:tcMar>
              <w:top w:w="15" w:type="dxa"/>
              <w:left w:w="15" w:type="dxa"/>
              <w:bottom w:w="0" w:type="dxa"/>
              <w:right w:w="15" w:type="dxa"/>
            </w:tcMar>
            <w:vAlign w:val="center"/>
          </w:tcPr>
          <w:p w14:paraId="0EFFF1FD"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Net Debt</w:t>
            </w:r>
          </w:p>
        </w:tc>
        <w:tc>
          <w:tcPr>
            <w:tcW w:w="1134" w:type="dxa"/>
            <w:shd w:val="clear" w:color="auto" w:fill="auto"/>
            <w:noWrap/>
            <w:tcMar>
              <w:top w:w="15" w:type="dxa"/>
              <w:left w:w="15" w:type="dxa"/>
              <w:bottom w:w="0" w:type="dxa"/>
              <w:right w:w="15" w:type="dxa"/>
            </w:tcMar>
            <w:vAlign w:val="center"/>
          </w:tcPr>
          <w:p w14:paraId="0BF32D89" w14:textId="77777777" w:rsidR="003C7BC3" w:rsidRPr="003C7BC3" w:rsidRDefault="0054010B"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Pr>
                <w:rFonts w:ascii="Calibri" w:eastAsia="Calibri" w:hAnsi="Calibri" w:cs="Arial"/>
                <w:sz w:val="18"/>
                <w:szCs w:val="18"/>
                <w:lang w:val="en-US" w:eastAsia="en-GB" w:bidi="en-GB"/>
              </w:rPr>
              <w:t>374.4</w:t>
            </w:r>
          </w:p>
        </w:tc>
        <w:tc>
          <w:tcPr>
            <w:tcW w:w="1134" w:type="dxa"/>
            <w:shd w:val="clear" w:color="auto" w:fill="auto"/>
            <w:vAlign w:val="center"/>
          </w:tcPr>
          <w:p w14:paraId="0B26A435"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284.1</w:t>
            </w:r>
          </w:p>
        </w:tc>
        <w:tc>
          <w:tcPr>
            <w:tcW w:w="1134" w:type="dxa"/>
            <w:shd w:val="clear" w:color="auto" w:fill="auto"/>
          </w:tcPr>
          <w:p w14:paraId="64764B03"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p>
        </w:tc>
      </w:tr>
      <w:tr w:rsidR="003C7BC3" w:rsidRPr="003C7BC3" w14:paraId="5664A832" w14:textId="77777777" w:rsidTr="001413EA">
        <w:trPr>
          <w:jc w:val="center"/>
        </w:trPr>
        <w:tc>
          <w:tcPr>
            <w:tcW w:w="4111" w:type="dxa"/>
            <w:shd w:val="clear" w:color="auto" w:fill="auto"/>
            <w:noWrap/>
            <w:tcMar>
              <w:top w:w="15" w:type="dxa"/>
              <w:left w:w="15" w:type="dxa"/>
              <w:bottom w:w="0" w:type="dxa"/>
              <w:right w:w="15" w:type="dxa"/>
            </w:tcMar>
            <w:vAlign w:val="center"/>
            <w:hideMark/>
          </w:tcPr>
          <w:p w14:paraId="142B1406"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Net Debt (excluding lease liabilities)</w:t>
            </w:r>
          </w:p>
        </w:tc>
        <w:tc>
          <w:tcPr>
            <w:tcW w:w="1134" w:type="dxa"/>
            <w:shd w:val="clear" w:color="auto" w:fill="auto"/>
            <w:noWrap/>
            <w:tcMar>
              <w:top w:w="15" w:type="dxa"/>
              <w:left w:w="15" w:type="dxa"/>
              <w:bottom w:w="0" w:type="dxa"/>
              <w:right w:w="15" w:type="dxa"/>
            </w:tcMar>
            <w:vAlign w:val="center"/>
          </w:tcPr>
          <w:p w14:paraId="53ABE0BA"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311.1</w:t>
            </w:r>
          </w:p>
        </w:tc>
        <w:tc>
          <w:tcPr>
            <w:tcW w:w="1134" w:type="dxa"/>
            <w:shd w:val="clear" w:color="auto" w:fill="auto"/>
            <w:vAlign w:val="center"/>
          </w:tcPr>
          <w:p w14:paraId="03D92268"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284.1</w:t>
            </w:r>
          </w:p>
        </w:tc>
        <w:tc>
          <w:tcPr>
            <w:tcW w:w="1134" w:type="dxa"/>
            <w:shd w:val="clear" w:color="auto" w:fill="auto"/>
          </w:tcPr>
          <w:p w14:paraId="3C09934C"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p>
        </w:tc>
      </w:tr>
      <w:tr w:rsidR="003C7BC3" w:rsidRPr="003C7BC3" w14:paraId="4CB9028D" w14:textId="77777777" w:rsidTr="001413EA">
        <w:trPr>
          <w:jc w:val="center"/>
        </w:trPr>
        <w:tc>
          <w:tcPr>
            <w:tcW w:w="4111" w:type="dxa"/>
            <w:shd w:val="clear" w:color="auto" w:fill="auto"/>
            <w:noWrap/>
            <w:tcMar>
              <w:top w:w="15" w:type="dxa"/>
              <w:left w:w="15" w:type="dxa"/>
              <w:bottom w:w="0" w:type="dxa"/>
              <w:right w:w="15" w:type="dxa"/>
            </w:tcMar>
            <w:vAlign w:val="center"/>
          </w:tcPr>
          <w:p w14:paraId="6E955AFB"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 xml:space="preserve">Net </w:t>
            </w:r>
            <w:proofErr w:type="spellStart"/>
            <w:r w:rsidRPr="003C7BC3">
              <w:rPr>
                <w:rFonts w:ascii="Calibri" w:eastAsia="Calibri" w:hAnsi="Calibri" w:cs="Arial"/>
                <w:bCs/>
                <w:sz w:val="18"/>
                <w:szCs w:val="18"/>
                <w:lang w:val="en-US" w:eastAsia="en-GB" w:bidi="en-GB"/>
              </w:rPr>
              <w:t>Debt:EBITDA</w:t>
            </w:r>
            <w:proofErr w:type="spellEnd"/>
            <w:r w:rsidRPr="003C7BC3">
              <w:rPr>
                <w:rFonts w:ascii="Calibri" w:eastAsia="Calibri" w:hAnsi="Calibri" w:cs="Arial"/>
                <w:bCs/>
                <w:sz w:val="18"/>
                <w:szCs w:val="18"/>
                <w:lang w:val="en-US" w:eastAsia="en-GB" w:bidi="en-GB"/>
              </w:rPr>
              <w:t xml:space="preserve"> as per financing agreements</w:t>
            </w:r>
          </w:p>
        </w:tc>
        <w:tc>
          <w:tcPr>
            <w:tcW w:w="1134" w:type="dxa"/>
            <w:shd w:val="clear" w:color="auto" w:fill="auto"/>
            <w:noWrap/>
            <w:tcMar>
              <w:top w:w="15" w:type="dxa"/>
              <w:left w:w="15" w:type="dxa"/>
              <w:bottom w:w="0" w:type="dxa"/>
              <w:right w:w="15" w:type="dxa"/>
            </w:tcMar>
            <w:vAlign w:val="center"/>
          </w:tcPr>
          <w:p w14:paraId="72D040B2" w14:textId="38B78940" w:rsidR="003C7BC3" w:rsidRPr="003C7BC3" w:rsidRDefault="002868F4"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Pr>
                <w:rFonts w:ascii="Calibri" w:eastAsia="Calibri" w:hAnsi="Calibri" w:cs="Arial"/>
                <w:sz w:val="18"/>
                <w:szCs w:val="18"/>
                <w:lang w:val="en-US" w:eastAsia="en-GB" w:bidi="en-GB"/>
              </w:rPr>
              <w:t>2.1x</w:t>
            </w:r>
          </w:p>
        </w:tc>
        <w:tc>
          <w:tcPr>
            <w:tcW w:w="1134" w:type="dxa"/>
            <w:shd w:val="clear" w:color="auto" w:fill="auto"/>
            <w:vAlign w:val="center"/>
          </w:tcPr>
          <w:p w14:paraId="3A4EF40F"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1.9x</w:t>
            </w:r>
          </w:p>
        </w:tc>
        <w:tc>
          <w:tcPr>
            <w:tcW w:w="1134" w:type="dxa"/>
            <w:shd w:val="clear" w:color="auto" w:fill="auto"/>
          </w:tcPr>
          <w:p w14:paraId="01F5C5FC"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p>
        </w:tc>
      </w:tr>
      <w:tr w:rsidR="003C7BC3" w:rsidRPr="003C7BC3" w14:paraId="7E424E87" w14:textId="77777777" w:rsidTr="001413EA">
        <w:trPr>
          <w:trHeight w:val="163"/>
          <w:jc w:val="center"/>
        </w:trPr>
        <w:tc>
          <w:tcPr>
            <w:tcW w:w="4111" w:type="dxa"/>
            <w:shd w:val="clear" w:color="auto" w:fill="auto"/>
            <w:noWrap/>
            <w:tcMar>
              <w:top w:w="15" w:type="dxa"/>
              <w:left w:w="15" w:type="dxa"/>
              <w:bottom w:w="0" w:type="dxa"/>
              <w:right w:w="15" w:type="dxa"/>
            </w:tcMar>
            <w:vAlign w:val="center"/>
          </w:tcPr>
          <w:p w14:paraId="70A3C94B"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Return on Invested Capital (“ROIC”)</w:t>
            </w:r>
          </w:p>
        </w:tc>
        <w:tc>
          <w:tcPr>
            <w:tcW w:w="1134" w:type="dxa"/>
            <w:shd w:val="clear" w:color="auto" w:fill="auto"/>
            <w:noWrap/>
            <w:tcMar>
              <w:top w:w="15" w:type="dxa"/>
              <w:left w:w="15" w:type="dxa"/>
              <w:bottom w:w="0" w:type="dxa"/>
              <w:right w:w="15" w:type="dxa"/>
            </w:tcMar>
            <w:vAlign w:val="center"/>
          </w:tcPr>
          <w:p w14:paraId="566E2C91" w14:textId="77777777" w:rsidR="003C7BC3" w:rsidRPr="003C7BC3" w:rsidRDefault="00B71AB8"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Pr>
                <w:rFonts w:ascii="Calibri" w:eastAsia="Calibri" w:hAnsi="Calibri" w:cs="Arial"/>
                <w:sz w:val="18"/>
                <w:szCs w:val="18"/>
                <w:lang w:val="en-US" w:eastAsia="en-GB" w:bidi="en-GB"/>
              </w:rPr>
              <w:t>12.3</w:t>
            </w:r>
            <w:r w:rsidR="00D1572A">
              <w:rPr>
                <w:rFonts w:ascii="Calibri" w:eastAsia="Calibri" w:hAnsi="Calibri" w:cs="Arial"/>
                <w:sz w:val="18"/>
                <w:szCs w:val="18"/>
                <w:lang w:val="en-US" w:eastAsia="en-GB" w:bidi="en-GB"/>
              </w:rPr>
              <w:t>%</w:t>
            </w:r>
          </w:p>
        </w:tc>
        <w:tc>
          <w:tcPr>
            <w:tcW w:w="1134" w:type="dxa"/>
            <w:shd w:val="clear" w:color="auto" w:fill="auto"/>
            <w:vAlign w:val="center"/>
          </w:tcPr>
          <w:p w14:paraId="5BB0AD49" w14:textId="77777777" w:rsidR="003C7BC3" w:rsidRPr="003C7BC3" w:rsidRDefault="003C7BC3"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14.6%</w:t>
            </w:r>
          </w:p>
        </w:tc>
        <w:tc>
          <w:tcPr>
            <w:tcW w:w="1134" w:type="dxa"/>
            <w:shd w:val="clear" w:color="auto" w:fill="auto"/>
          </w:tcPr>
          <w:p w14:paraId="23F4B7F7" w14:textId="77777777" w:rsidR="003C7BC3" w:rsidRPr="003C7BC3" w:rsidRDefault="00F601FE" w:rsidP="003C7BC3">
            <w:pPr>
              <w:widowControl w:val="0"/>
              <w:autoSpaceDE w:val="0"/>
              <w:autoSpaceDN w:val="0"/>
              <w:spacing w:after="0" w:line="240" w:lineRule="auto"/>
              <w:ind w:right="103"/>
              <w:jc w:val="right"/>
              <w:rPr>
                <w:rFonts w:ascii="Calibri" w:eastAsia="Calibri" w:hAnsi="Calibri" w:cs="Arial"/>
                <w:sz w:val="18"/>
                <w:szCs w:val="18"/>
                <w:lang w:val="en-US" w:eastAsia="en-GB" w:bidi="en-GB"/>
              </w:rPr>
            </w:pPr>
            <w:r>
              <w:rPr>
                <w:rFonts w:ascii="Calibri" w:eastAsia="Calibri" w:hAnsi="Calibri" w:cs="Arial"/>
                <w:sz w:val="18"/>
                <w:szCs w:val="18"/>
                <w:lang w:val="en-US" w:eastAsia="en-GB" w:bidi="en-GB"/>
              </w:rPr>
              <w:t>-230</w:t>
            </w:r>
            <w:r w:rsidR="003C7BC3" w:rsidRPr="003C7BC3">
              <w:rPr>
                <w:rFonts w:ascii="Calibri" w:eastAsia="Calibri" w:hAnsi="Calibri" w:cs="Arial"/>
                <w:sz w:val="18"/>
                <w:szCs w:val="18"/>
                <w:lang w:val="en-US" w:eastAsia="en-GB" w:bidi="en-GB"/>
              </w:rPr>
              <w:t>bps</w:t>
            </w:r>
          </w:p>
        </w:tc>
      </w:tr>
    </w:tbl>
    <w:p w14:paraId="29627429" w14:textId="77777777" w:rsidR="003C7BC3" w:rsidRPr="003C7BC3" w:rsidRDefault="003C7BC3" w:rsidP="005B3BEE">
      <w:pPr>
        <w:widowControl w:val="0"/>
        <w:autoSpaceDE w:val="0"/>
        <w:autoSpaceDN w:val="0"/>
        <w:spacing w:before="120" w:after="120" w:line="240" w:lineRule="auto"/>
        <w:jc w:val="both"/>
        <w:rPr>
          <w:rFonts w:ascii="Calibri" w:eastAsia="Calibri" w:hAnsi="Calibri" w:cs="Arial"/>
          <w:b/>
          <w:sz w:val="20"/>
          <w:szCs w:val="18"/>
          <w:lang w:eastAsia="en-GB" w:bidi="en-GB"/>
        </w:rPr>
      </w:pPr>
      <w:r w:rsidRPr="003C7BC3">
        <w:rPr>
          <w:rFonts w:ascii="Calibri" w:eastAsia="Calibri" w:hAnsi="Calibri" w:cs="Arial"/>
          <w:b/>
          <w:sz w:val="20"/>
          <w:szCs w:val="18"/>
          <w:lang w:eastAsia="en-GB" w:bidi="en-GB"/>
        </w:rPr>
        <w:t>Commenting on the results, Patrick Coveney, Chief Executive Officer, said:</w:t>
      </w:r>
      <w:r w:rsidRPr="003C7BC3">
        <w:rPr>
          <w:rFonts w:ascii="Calibri" w:eastAsia="Calibri" w:hAnsi="Calibri" w:cs="Arial"/>
          <w:noProof/>
          <w:sz w:val="18"/>
          <w:szCs w:val="18"/>
          <w:lang w:eastAsia="en-GB" w:bidi="en-GB"/>
        </w:rPr>
        <w:t xml:space="preserve"> </w:t>
      </w:r>
    </w:p>
    <w:p w14:paraId="410F0B48" w14:textId="5BD5D589" w:rsidR="003C7BC3" w:rsidRPr="009C289B"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r w:rsidRPr="009C289B">
        <w:rPr>
          <w:rFonts w:ascii="Calibri" w:eastAsia="Calibri" w:hAnsi="Calibri" w:cs="Arial"/>
          <w:sz w:val="18"/>
          <w:szCs w:val="18"/>
          <w:lang w:eastAsia="en-GB" w:bidi="en-GB"/>
        </w:rPr>
        <w:t>“</w:t>
      </w:r>
      <w:r w:rsidR="003D7381" w:rsidRPr="00B8208C">
        <w:rPr>
          <w:rFonts w:ascii="Calibri" w:eastAsia="Calibri" w:hAnsi="Calibri" w:cs="Arial"/>
          <w:sz w:val="18"/>
          <w:szCs w:val="18"/>
          <w:lang w:eastAsia="en-GB" w:bidi="en-GB"/>
        </w:rPr>
        <w:t xml:space="preserve">I am hugely proud of the way in which our people have responded to the extraordinary challenges </w:t>
      </w:r>
      <w:r w:rsidR="0098248B">
        <w:rPr>
          <w:rFonts w:ascii="Calibri" w:eastAsia="Calibri" w:hAnsi="Calibri" w:cs="Arial"/>
          <w:sz w:val="18"/>
          <w:szCs w:val="18"/>
          <w:lang w:eastAsia="en-GB" w:bidi="en-GB"/>
        </w:rPr>
        <w:t xml:space="preserve">of </w:t>
      </w:r>
      <w:r w:rsidR="003D7381" w:rsidRPr="00B8208C">
        <w:rPr>
          <w:rFonts w:ascii="Calibri" w:eastAsia="Calibri" w:hAnsi="Calibri" w:cs="Arial"/>
          <w:sz w:val="18"/>
          <w:szCs w:val="18"/>
          <w:lang w:eastAsia="en-GB" w:bidi="en-GB"/>
        </w:rPr>
        <w:t xml:space="preserve"> COVID-19, and  take this opportunity to publicly thank them for</w:t>
      </w:r>
      <w:r w:rsidR="0098248B">
        <w:rPr>
          <w:rFonts w:ascii="Calibri" w:eastAsia="Calibri" w:hAnsi="Calibri" w:cs="Arial"/>
          <w:sz w:val="18"/>
          <w:szCs w:val="18"/>
          <w:lang w:eastAsia="en-GB" w:bidi="en-GB"/>
        </w:rPr>
        <w:t xml:space="preserve"> their</w:t>
      </w:r>
      <w:r w:rsidR="003D7381" w:rsidRPr="00B8208C">
        <w:rPr>
          <w:rFonts w:ascii="Calibri" w:eastAsia="Calibri" w:hAnsi="Calibri" w:cs="Arial"/>
          <w:sz w:val="18"/>
          <w:szCs w:val="18"/>
          <w:lang w:eastAsia="en-GB" w:bidi="en-GB"/>
        </w:rPr>
        <w:t xml:space="preserve"> role in keeping the UK fed over the last two months. We have implemented a </w:t>
      </w:r>
      <w:r w:rsidR="0098248B">
        <w:rPr>
          <w:rFonts w:ascii="Calibri" w:eastAsia="Calibri" w:hAnsi="Calibri" w:cs="Arial"/>
          <w:sz w:val="18"/>
          <w:szCs w:val="18"/>
          <w:lang w:eastAsia="en-GB" w:bidi="en-GB"/>
        </w:rPr>
        <w:t xml:space="preserve">broad </w:t>
      </w:r>
      <w:r w:rsidR="003D7381" w:rsidRPr="00B8208C">
        <w:rPr>
          <w:rFonts w:ascii="Calibri" w:eastAsia="Calibri" w:hAnsi="Calibri" w:cs="Arial"/>
          <w:sz w:val="18"/>
          <w:szCs w:val="18"/>
          <w:lang w:eastAsia="en-GB" w:bidi="en-GB"/>
        </w:rPr>
        <w:t xml:space="preserve">range of actions to mitigate the impact of COVID-19 on our business and to position us for growth </w:t>
      </w:r>
      <w:r w:rsidR="0098248B">
        <w:rPr>
          <w:rFonts w:ascii="Calibri" w:eastAsia="Calibri" w:hAnsi="Calibri" w:cs="Arial"/>
          <w:sz w:val="18"/>
          <w:szCs w:val="18"/>
          <w:lang w:eastAsia="en-GB" w:bidi="en-GB"/>
        </w:rPr>
        <w:t>as</w:t>
      </w:r>
      <w:r w:rsidR="003D7381" w:rsidRPr="00B8208C">
        <w:rPr>
          <w:rFonts w:ascii="Calibri" w:eastAsia="Calibri" w:hAnsi="Calibri" w:cs="Arial"/>
          <w:sz w:val="18"/>
          <w:szCs w:val="18"/>
          <w:lang w:eastAsia="en-GB" w:bidi="en-GB"/>
        </w:rPr>
        <w:t xml:space="preserve"> </w:t>
      </w:r>
      <w:r w:rsidR="00415CDB">
        <w:rPr>
          <w:rFonts w:ascii="Calibri" w:eastAsia="Calibri" w:hAnsi="Calibri" w:cs="Arial"/>
          <w:sz w:val="18"/>
          <w:szCs w:val="18"/>
          <w:lang w:eastAsia="en-GB" w:bidi="en-GB"/>
        </w:rPr>
        <w:t xml:space="preserve">the pandemic eases. </w:t>
      </w:r>
      <w:r w:rsidR="003D7381" w:rsidRPr="00B8208C">
        <w:rPr>
          <w:rFonts w:ascii="Calibri" w:eastAsia="Calibri" w:hAnsi="Calibri" w:cs="Arial"/>
          <w:sz w:val="18"/>
          <w:szCs w:val="18"/>
          <w:lang w:eastAsia="en-GB" w:bidi="en-GB"/>
        </w:rPr>
        <w:t>More than ever before, our deep customer relationships, leadership positions in key food categories, well invested network</w:t>
      </w:r>
      <w:r w:rsidR="0098248B">
        <w:rPr>
          <w:rFonts w:ascii="Calibri" w:eastAsia="Calibri" w:hAnsi="Calibri" w:cs="Arial"/>
          <w:sz w:val="18"/>
          <w:szCs w:val="18"/>
          <w:lang w:eastAsia="en-GB" w:bidi="en-GB"/>
        </w:rPr>
        <w:t>, flexible model,</w:t>
      </w:r>
      <w:r w:rsidR="003D7381" w:rsidRPr="00B8208C">
        <w:rPr>
          <w:rFonts w:ascii="Calibri" w:eastAsia="Calibri" w:hAnsi="Calibri" w:cs="Arial"/>
          <w:sz w:val="18"/>
          <w:szCs w:val="18"/>
          <w:lang w:eastAsia="en-GB" w:bidi="en-GB"/>
        </w:rPr>
        <w:t xml:space="preserve"> and outstanding people </w:t>
      </w:r>
      <w:r w:rsidR="008A28B6">
        <w:rPr>
          <w:rFonts w:ascii="Calibri" w:eastAsia="Calibri" w:hAnsi="Calibri" w:cs="Arial"/>
          <w:sz w:val="18"/>
          <w:szCs w:val="18"/>
          <w:lang w:eastAsia="en-GB" w:bidi="en-GB"/>
        </w:rPr>
        <w:t>are key strengths</w:t>
      </w:r>
      <w:r w:rsidR="003D7381" w:rsidRPr="00B8208C">
        <w:rPr>
          <w:rFonts w:ascii="Calibri" w:eastAsia="Calibri" w:hAnsi="Calibri" w:cs="Arial"/>
          <w:sz w:val="18"/>
          <w:szCs w:val="18"/>
          <w:lang w:eastAsia="en-GB" w:bidi="en-GB"/>
        </w:rPr>
        <w:t xml:space="preserve"> </w:t>
      </w:r>
      <w:r w:rsidR="0098248B">
        <w:rPr>
          <w:rFonts w:ascii="Calibri" w:eastAsia="Calibri" w:hAnsi="Calibri" w:cs="Arial"/>
          <w:sz w:val="18"/>
          <w:szCs w:val="18"/>
          <w:lang w:eastAsia="en-GB" w:bidi="en-GB"/>
        </w:rPr>
        <w:t>that ensure</w:t>
      </w:r>
      <w:r w:rsidR="003D7381" w:rsidRPr="00B8208C">
        <w:rPr>
          <w:rFonts w:ascii="Calibri" w:eastAsia="Calibri" w:hAnsi="Calibri" w:cs="Arial"/>
          <w:sz w:val="18"/>
          <w:szCs w:val="18"/>
          <w:lang w:eastAsia="en-GB" w:bidi="en-GB"/>
        </w:rPr>
        <w:t xml:space="preserve"> we trade our way </w:t>
      </w:r>
      <w:r w:rsidR="0098248B">
        <w:rPr>
          <w:rFonts w:ascii="Calibri" w:eastAsia="Calibri" w:hAnsi="Calibri" w:cs="Arial"/>
          <w:sz w:val="18"/>
          <w:szCs w:val="18"/>
          <w:lang w:eastAsia="en-GB" w:bidi="en-GB"/>
        </w:rPr>
        <w:t xml:space="preserve">resiliently </w:t>
      </w:r>
      <w:r w:rsidR="003D7381" w:rsidRPr="00B8208C">
        <w:rPr>
          <w:rFonts w:ascii="Calibri" w:eastAsia="Calibri" w:hAnsi="Calibri" w:cs="Arial"/>
          <w:sz w:val="18"/>
          <w:szCs w:val="18"/>
          <w:lang w:eastAsia="en-GB" w:bidi="en-GB"/>
        </w:rPr>
        <w:t>through this uncertain period</w:t>
      </w:r>
      <w:r w:rsidR="0098248B">
        <w:rPr>
          <w:rFonts w:ascii="Calibri" w:eastAsia="Calibri" w:hAnsi="Calibri" w:cs="Arial"/>
          <w:sz w:val="18"/>
          <w:szCs w:val="18"/>
          <w:lang w:eastAsia="en-GB" w:bidi="en-GB"/>
        </w:rPr>
        <w:t>”</w:t>
      </w:r>
    </w:p>
    <w:p w14:paraId="7930A072" w14:textId="77777777" w:rsidR="003C7BC3" w:rsidRPr="003C7BC3" w:rsidRDefault="003C7BC3" w:rsidP="003C7BC3">
      <w:pPr>
        <w:widowControl w:val="0"/>
        <w:autoSpaceDE w:val="0"/>
        <w:autoSpaceDN w:val="0"/>
        <w:spacing w:after="0" w:line="240" w:lineRule="auto"/>
        <w:rPr>
          <w:rFonts w:ascii="Calibri" w:eastAsia="Calibri" w:hAnsi="Calibri" w:cs="Arial"/>
          <w:b/>
          <w:sz w:val="18"/>
          <w:szCs w:val="18"/>
          <w:lang w:eastAsia="en-GB" w:bidi="en-GB"/>
        </w:rPr>
      </w:pPr>
      <w:r w:rsidRPr="003C7BC3">
        <w:rPr>
          <w:rFonts w:ascii="Calibri" w:eastAsia="Calibri" w:hAnsi="Calibri" w:cs="Arial"/>
          <w:b/>
          <w:sz w:val="18"/>
          <w:szCs w:val="18"/>
          <w:lang w:eastAsia="en-GB" w:bidi="en-GB"/>
        </w:rPr>
        <w:t>___________________________________________________________________________________________________</w:t>
      </w:r>
    </w:p>
    <w:p w14:paraId="598826B4" w14:textId="77777777" w:rsidR="003C7BC3" w:rsidRPr="00773F7B" w:rsidRDefault="003C7BC3" w:rsidP="003C7BC3">
      <w:pPr>
        <w:widowControl w:val="0"/>
        <w:autoSpaceDE w:val="0"/>
        <w:autoSpaceDN w:val="0"/>
        <w:adjustRightInd w:val="0"/>
        <w:spacing w:after="0" w:line="240" w:lineRule="auto"/>
        <w:jc w:val="both"/>
        <w:rPr>
          <w:rFonts w:ascii="Calibri" w:eastAsia="Calibri" w:hAnsi="Calibri" w:cs="Calibri"/>
          <w:sz w:val="16"/>
          <w:szCs w:val="16"/>
          <w:lang w:eastAsia="en-GB" w:bidi="en-GB"/>
        </w:rPr>
      </w:pPr>
      <w:r w:rsidRPr="00773F7B">
        <w:rPr>
          <w:rFonts w:ascii="Calibri" w:eastAsia="Calibri" w:hAnsi="Calibri" w:cs="Calibri"/>
          <w:sz w:val="16"/>
          <w:szCs w:val="16"/>
          <w:vertAlign w:val="superscript"/>
          <w:lang w:eastAsia="en-GB" w:bidi="en-GB"/>
        </w:rPr>
        <w:t xml:space="preserve">1 </w:t>
      </w:r>
      <w:r w:rsidRPr="00773F7B">
        <w:rPr>
          <w:rFonts w:ascii="Calibri" w:eastAsia="Calibri" w:hAnsi="Calibri" w:cs="Calibri"/>
          <w:sz w:val="16"/>
          <w:szCs w:val="16"/>
          <w:lang w:eastAsia="en-GB" w:bidi="en-GB"/>
        </w:rPr>
        <w:t>The Group uses Alternative Performance Measures ('APMs') which are non-IFRS measures to monitor the performance of its operations and of the Group as a whole. These APMs along with their definitions are provided in the Appendix to the Interim Financial Report.</w:t>
      </w:r>
    </w:p>
    <w:p w14:paraId="5741B9CE" w14:textId="1BF188CF" w:rsidR="003C7BC3" w:rsidRDefault="003C7BC3" w:rsidP="003C7BC3">
      <w:pPr>
        <w:widowControl w:val="0"/>
        <w:autoSpaceDE w:val="0"/>
        <w:autoSpaceDN w:val="0"/>
        <w:adjustRightInd w:val="0"/>
        <w:spacing w:after="0" w:line="240" w:lineRule="auto"/>
        <w:jc w:val="both"/>
        <w:rPr>
          <w:rFonts w:ascii="Calibri" w:eastAsia="Calibri" w:hAnsi="Calibri" w:cs="Calibri"/>
          <w:sz w:val="16"/>
          <w:szCs w:val="16"/>
          <w:lang w:eastAsia="en-GB" w:bidi="en-GB"/>
        </w:rPr>
      </w:pPr>
      <w:r w:rsidRPr="00773F7B">
        <w:rPr>
          <w:rFonts w:ascii="Calibri" w:eastAsia="Calibri" w:hAnsi="Calibri" w:cs="Calibri"/>
          <w:sz w:val="16"/>
          <w:szCs w:val="16"/>
          <w:vertAlign w:val="superscript"/>
          <w:lang w:eastAsia="en-GB" w:bidi="en-GB"/>
        </w:rPr>
        <w:t>2</w:t>
      </w:r>
      <w:r w:rsidRPr="00773F7B">
        <w:rPr>
          <w:rFonts w:ascii="Calibri" w:eastAsia="Calibri" w:hAnsi="Calibri" w:cs="Calibri"/>
          <w:sz w:val="16"/>
          <w:szCs w:val="16"/>
          <w:lang w:eastAsia="en-GB" w:bidi="en-GB"/>
        </w:rPr>
        <w:t xml:space="preserve"> </w:t>
      </w:r>
      <w:r w:rsidR="00805360" w:rsidRPr="00773F7B">
        <w:rPr>
          <w:rFonts w:ascii="Calibri" w:eastAsia="Calibri" w:hAnsi="Calibri" w:cs="Calibri"/>
          <w:sz w:val="16"/>
          <w:szCs w:val="16"/>
          <w:lang w:eastAsia="en-GB" w:bidi="en-GB"/>
        </w:rPr>
        <w:t>The implementation of IFRS 16 Leases has been adopted by the Group in its Interim Financial Report, with no restatement of comparative information for prior periods. The impact on the Group’s results for the period are highlighted in th</w:t>
      </w:r>
      <w:r w:rsidR="00BD5017">
        <w:rPr>
          <w:rFonts w:ascii="Calibri" w:eastAsia="Calibri" w:hAnsi="Calibri" w:cs="Calibri"/>
          <w:sz w:val="16"/>
          <w:szCs w:val="16"/>
          <w:lang w:eastAsia="en-GB" w:bidi="en-GB"/>
        </w:rPr>
        <w:t>is report with f</w:t>
      </w:r>
      <w:r w:rsidR="00805360" w:rsidRPr="00773F7B">
        <w:rPr>
          <w:rFonts w:ascii="Calibri" w:eastAsia="Calibri" w:hAnsi="Calibri" w:cs="Calibri"/>
          <w:sz w:val="16"/>
          <w:szCs w:val="16"/>
          <w:lang w:eastAsia="en-GB" w:bidi="en-GB"/>
        </w:rPr>
        <w:t>urther detail</w:t>
      </w:r>
      <w:r w:rsidR="00BD5017">
        <w:rPr>
          <w:rFonts w:ascii="Calibri" w:eastAsia="Calibri" w:hAnsi="Calibri" w:cs="Calibri"/>
          <w:sz w:val="16"/>
          <w:szCs w:val="16"/>
          <w:lang w:eastAsia="en-GB" w:bidi="en-GB"/>
        </w:rPr>
        <w:t>s</w:t>
      </w:r>
      <w:r w:rsidR="00805360" w:rsidRPr="00773F7B">
        <w:rPr>
          <w:rFonts w:ascii="Calibri" w:eastAsia="Calibri" w:hAnsi="Calibri" w:cs="Calibri"/>
          <w:sz w:val="16"/>
          <w:szCs w:val="16"/>
          <w:lang w:eastAsia="en-GB" w:bidi="en-GB"/>
        </w:rPr>
        <w:t xml:space="preserve"> on the transition</w:t>
      </w:r>
      <w:r w:rsidR="00BE7FD5">
        <w:rPr>
          <w:rFonts w:ascii="Calibri" w:eastAsia="Calibri" w:hAnsi="Calibri" w:cs="Calibri"/>
          <w:sz w:val="16"/>
          <w:szCs w:val="16"/>
          <w:lang w:eastAsia="en-GB" w:bidi="en-GB"/>
        </w:rPr>
        <w:t xml:space="preserve"> impact</w:t>
      </w:r>
      <w:r w:rsidR="00805360" w:rsidRPr="00773F7B">
        <w:rPr>
          <w:rFonts w:ascii="Calibri" w:eastAsia="Calibri" w:hAnsi="Calibri" w:cs="Calibri"/>
          <w:sz w:val="16"/>
          <w:szCs w:val="16"/>
          <w:lang w:eastAsia="en-GB" w:bidi="en-GB"/>
        </w:rPr>
        <w:t xml:space="preserve"> </w:t>
      </w:r>
      <w:r w:rsidR="00BE7FD5">
        <w:rPr>
          <w:rFonts w:ascii="Calibri" w:eastAsia="Calibri" w:hAnsi="Calibri" w:cs="Calibri"/>
          <w:sz w:val="16"/>
          <w:szCs w:val="16"/>
          <w:lang w:eastAsia="en-GB" w:bidi="en-GB"/>
        </w:rPr>
        <w:t xml:space="preserve">outlined </w:t>
      </w:r>
      <w:r w:rsidR="00805360" w:rsidRPr="00773F7B">
        <w:rPr>
          <w:rFonts w:ascii="Calibri" w:eastAsia="Calibri" w:hAnsi="Calibri" w:cs="Calibri"/>
          <w:sz w:val="16"/>
          <w:szCs w:val="16"/>
          <w:lang w:eastAsia="en-GB" w:bidi="en-GB"/>
        </w:rPr>
        <w:t xml:space="preserve">in Note </w:t>
      </w:r>
      <w:r w:rsidR="00BD5017">
        <w:rPr>
          <w:rFonts w:ascii="Calibri" w:eastAsia="Calibri" w:hAnsi="Calibri" w:cs="Calibri"/>
          <w:sz w:val="16"/>
          <w:szCs w:val="16"/>
          <w:lang w:eastAsia="en-GB" w:bidi="en-GB"/>
        </w:rPr>
        <w:t>2</w:t>
      </w:r>
      <w:r w:rsidR="00805360" w:rsidRPr="00773F7B">
        <w:rPr>
          <w:rFonts w:ascii="Calibri" w:eastAsia="Calibri" w:hAnsi="Calibri" w:cs="Calibri"/>
          <w:sz w:val="16"/>
          <w:szCs w:val="16"/>
          <w:lang w:eastAsia="en-GB" w:bidi="en-GB"/>
        </w:rPr>
        <w:t xml:space="preserve"> and Note 11 to the Interim Financial Report.</w:t>
      </w:r>
    </w:p>
    <w:p w14:paraId="0F81FBB1" w14:textId="50DF783D" w:rsidR="00A14F58" w:rsidRPr="00773F7B" w:rsidRDefault="00A14F58" w:rsidP="003C7BC3">
      <w:pPr>
        <w:widowControl w:val="0"/>
        <w:autoSpaceDE w:val="0"/>
        <w:autoSpaceDN w:val="0"/>
        <w:adjustRightInd w:val="0"/>
        <w:spacing w:after="0" w:line="240" w:lineRule="auto"/>
        <w:jc w:val="both"/>
        <w:rPr>
          <w:rFonts w:ascii="Calibri" w:eastAsia="Calibri" w:hAnsi="Calibri" w:cs="Calibri"/>
          <w:sz w:val="16"/>
          <w:szCs w:val="16"/>
          <w:lang w:eastAsia="en-GB" w:bidi="en-GB"/>
        </w:rPr>
      </w:pPr>
      <w:r>
        <w:rPr>
          <w:rFonts w:ascii="Calibri" w:eastAsia="Calibri" w:hAnsi="Calibri" w:cs="Calibri"/>
          <w:sz w:val="16"/>
          <w:szCs w:val="16"/>
          <w:vertAlign w:val="superscript"/>
          <w:lang w:eastAsia="en-GB" w:bidi="en-GB"/>
        </w:rPr>
        <w:t>3</w:t>
      </w:r>
      <w:r w:rsidRPr="00773F7B">
        <w:rPr>
          <w:rFonts w:ascii="Calibri" w:eastAsia="Calibri" w:hAnsi="Calibri" w:cs="Calibri"/>
          <w:sz w:val="16"/>
          <w:szCs w:val="16"/>
          <w:lang w:eastAsia="en-GB" w:bidi="en-GB"/>
        </w:rPr>
        <w:t xml:space="preserve"> </w:t>
      </w:r>
      <w:r>
        <w:rPr>
          <w:rFonts w:ascii="Calibri" w:eastAsia="Calibri" w:hAnsi="Calibri" w:cs="Calibri"/>
          <w:sz w:val="16"/>
          <w:szCs w:val="16"/>
          <w:lang w:eastAsia="en-GB" w:bidi="en-GB"/>
        </w:rPr>
        <w:t>Net Debt:</w:t>
      </w:r>
      <w:r w:rsidR="0098248B">
        <w:rPr>
          <w:rFonts w:ascii="Calibri" w:eastAsia="Calibri" w:hAnsi="Calibri" w:cs="Calibri"/>
          <w:sz w:val="16"/>
          <w:szCs w:val="16"/>
          <w:lang w:eastAsia="en-GB" w:bidi="en-GB"/>
        </w:rPr>
        <w:t xml:space="preserve"> </w:t>
      </w:r>
      <w:r>
        <w:rPr>
          <w:rFonts w:ascii="Calibri" w:eastAsia="Calibri" w:hAnsi="Calibri" w:cs="Calibri"/>
          <w:sz w:val="16"/>
          <w:szCs w:val="16"/>
          <w:lang w:eastAsia="en-GB" w:bidi="en-GB"/>
        </w:rPr>
        <w:t xml:space="preserve">EBITDA as per financing agreements </w:t>
      </w:r>
      <w:r w:rsidR="001E4F4B">
        <w:rPr>
          <w:rFonts w:ascii="Calibri" w:eastAsia="Calibri" w:hAnsi="Calibri" w:cs="Calibri"/>
          <w:sz w:val="16"/>
          <w:szCs w:val="16"/>
          <w:lang w:eastAsia="en-GB" w:bidi="en-GB"/>
        </w:rPr>
        <w:t xml:space="preserve">and </w:t>
      </w:r>
      <w:r>
        <w:rPr>
          <w:rFonts w:ascii="Calibri" w:eastAsia="Calibri" w:hAnsi="Calibri" w:cs="Calibri"/>
          <w:sz w:val="16"/>
          <w:szCs w:val="16"/>
          <w:lang w:eastAsia="en-GB" w:bidi="en-GB"/>
        </w:rPr>
        <w:t>is calculated excluding the impact of IFRS</w:t>
      </w:r>
      <w:r w:rsidR="00B246A1">
        <w:rPr>
          <w:rFonts w:ascii="Calibri" w:eastAsia="Calibri" w:hAnsi="Calibri" w:cs="Calibri"/>
          <w:sz w:val="16"/>
          <w:szCs w:val="16"/>
          <w:lang w:eastAsia="en-GB" w:bidi="en-GB"/>
        </w:rPr>
        <w:t xml:space="preserve"> </w:t>
      </w:r>
      <w:r>
        <w:rPr>
          <w:rFonts w:ascii="Calibri" w:eastAsia="Calibri" w:hAnsi="Calibri" w:cs="Calibri"/>
          <w:sz w:val="16"/>
          <w:szCs w:val="16"/>
          <w:lang w:eastAsia="en-GB" w:bidi="en-GB"/>
        </w:rPr>
        <w:t>16</w:t>
      </w:r>
      <w:r w:rsidR="00555434">
        <w:rPr>
          <w:rFonts w:ascii="Calibri" w:eastAsia="Calibri" w:hAnsi="Calibri" w:cs="Calibri"/>
          <w:sz w:val="16"/>
          <w:szCs w:val="16"/>
          <w:lang w:eastAsia="en-GB" w:bidi="en-GB"/>
        </w:rPr>
        <w:t>.</w:t>
      </w:r>
    </w:p>
    <w:p w14:paraId="2E2BD964" w14:textId="77777777" w:rsidR="0030694B" w:rsidRPr="00995948" w:rsidRDefault="0030694B" w:rsidP="003C7BC3">
      <w:pPr>
        <w:widowControl w:val="0"/>
        <w:autoSpaceDE w:val="0"/>
        <w:autoSpaceDN w:val="0"/>
        <w:spacing w:after="0" w:line="240" w:lineRule="auto"/>
        <w:jc w:val="both"/>
        <w:rPr>
          <w:rFonts w:ascii="Calibri" w:eastAsia="Calibri" w:hAnsi="Calibri" w:cs="Arial"/>
          <w:b/>
          <w:sz w:val="12"/>
          <w:szCs w:val="12"/>
          <w:lang w:eastAsia="en-GB" w:bidi="en-GB"/>
        </w:rPr>
      </w:pPr>
      <w:bookmarkStart w:id="0" w:name="_Hlk38471762"/>
    </w:p>
    <w:p w14:paraId="6DC837B7" w14:textId="77777777" w:rsidR="00000B37" w:rsidRDefault="00000B37" w:rsidP="005B3BEE">
      <w:pPr>
        <w:pStyle w:val="SectionH2"/>
      </w:pPr>
    </w:p>
    <w:p w14:paraId="035385D8" w14:textId="77777777" w:rsidR="00000B37" w:rsidRDefault="00000B37" w:rsidP="005B3BEE">
      <w:pPr>
        <w:pStyle w:val="SectionH2"/>
      </w:pPr>
    </w:p>
    <w:p w14:paraId="31D33C43" w14:textId="350E5EB1" w:rsidR="003C7BC3" w:rsidRPr="00BB1BE6" w:rsidRDefault="003C7BC3" w:rsidP="005B3BEE">
      <w:pPr>
        <w:pStyle w:val="SectionH2"/>
      </w:pPr>
      <w:r w:rsidRPr="00BB1BE6">
        <w:lastRenderedPageBreak/>
        <w:t>COVID-19 UPDATE</w:t>
      </w:r>
    </w:p>
    <w:p w14:paraId="2BA545F1" w14:textId="0CD7C538" w:rsidR="00D714BD" w:rsidRDefault="00D714BD" w:rsidP="005B3BEE">
      <w:pPr>
        <w:pStyle w:val="SectionH3"/>
      </w:pPr>
      <w:r w:rsidRPr="008B4F3E">
        <w:t xml:space="preserve">Three clear </w:t>
      </w:r>
      <w:r w:rsidR="00DF339C" w:rsidRPr="008B4F3E">
        <w:t>priorities</w:t>
      </w:r>
    </w:p>
    <w:p w14:paraId="7FA92B05" w14:textId="34F2840E" w:rsidR="00E30E97" w:rsidRDefault="003C7BC3"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The Group is managing through this </w:t>
      </w:r>
      <w:r w:rsidR="009C289B">
        <w:rPr>
          <w:rFonts w:ascii="Calibri" w:eastAsia="Calibri" w:hAnsi="Calibri" w:cs="Arial"/>
          <w:sz w:val="18"/>
          <w:szCs w:val="18"/>
          <w:lang w:eastAsia="en-GB" w:bidi="en-GB"/>
        </w:rPr>
        <w:t>challenging</w:t>
      </w:r>
      <w:r w:rsidR="009C289B" w:rsidRPr="003C7BC3">
        <w:rPr>
          <w:rFonts w:ascii="Calibri" w:eastAsia="Calibri" w:hAnsi="Calibri" w:cs="Arial"/>
          <w:sz w:val="18"/>
          <w:szCs w:val="18"/>
          <w:lang w:eastAsia="en-GB" w:bidi="en-GB"/>
        </w:rPr>
        <w:t xml:space="preserve"> </w:t>
      </w:r>
      <w:r w:rsidRPr="003C7BC3">
        <w:rPr>
          <w:rFonts w:ascii="Calibri" w:eastAsia="Calibri" w:hAnsi="Calibri" w:cs="Arial"/>
          <w:sz w:val="18"/>
          <w:szCs w:val="18"/>
          <w:lang w:eastAsia="en-GB" w:bidi="en-GB"/>
        </w:rPr>
        <w:t xml:space="preserve">trading environment with three </w:t>
      </w:r>
      <w:r w:rsidR="003D7381">
        <w:rPr>
          <w:rFonts w:ascii="Calibri" w:eastAsia="Calibri" w:hAnsi="Calibri" w:cs="Arial"/>
          <w:sz w:val="18"/>
          <w:szCs w:val="18"/>
          <w:lang w:eastAsia="en-GB" w:bidi="en-GB"/>
        </w:rPr>
        <w:t>priorities</w:t>
      </w:r>
      <w:r w:rsidR="003D7381" w:rsidRPr="003C7BC3">
        <w:rPr>
          <w:rFonts w:ascii="Calibri" w:eastAsia="Calibri" w:hAnsi="Calibri" w:cs="Arial"/>
          <w:sz w:val="18"/>
          <w:szCs w:val="18"/>
          <w:lang w:eastAsia="en-GB" w:bidi="en-GB"/>
        </w:rPr>
        <w:t xml:space="preserve"> </w:t>
      </w:r>
      <w:r w:rsidRPr="003C7BC3">
        <w:rPr>
          <w:rFonts w:ascii="Calibri" w:eastAsia="Calibri" w:hAnsi="Calibri" w:cs="Arial"/>
          <w:sz w:val="18"/>
          <w:szCs w:val="18"/>
          <w:lang w:eastAsia="en-GB" w:bidi="en-GB"/>
        </w:rPr>
        <w:t xml:space="preserve">– keeping our people safe, feeding the UK, and protecting our </w:t>
      </w:r>
      <w:r w:rsidR="0098248B">
        <w:rPr>
          <w:rFonts w:ascii="Calibri" w:eastAsia="Calibri" w:hAnsi="Calibri" w:cs="Arial"/>
          <w:sz w:val="18"/>
          <w:szCs w:val="18"/>
          <w:lang w:eastAsia="en-GB" w:bidi="en-GB"/>
        </w:rPr>
        <w:t xml:space="preserve">flexible </w:t>
      </w:r>
      <w:r w:rsidRPr="003C7BC3">
        <w:rPr>
          <w:rFonts w:ascii="Calibri" w:eastAsia="Calibri" w:hAnsi="Calibri" w:cs="Arial"/>
          <w:sz w:val="18"/>
          <w:szCs w:val="18"/>
          <w:lang w:eastAsia="en-GB" w:bidi="en-GB"/>
        </w:rPr>
        <w:t xml:space="preserve">business. </w:t>
      </w:r>
      <w:r w:rsidR="00E30E97">
        <w:rPr>
          <w:rFonts w:ascii="Calibri" w:eastAsia="Calibri" w:hAnsi="Calibri" w:cs="Arial"/>
          <w:sz w:val="18"/>
          <w:szCs w:val="18"/>
          <w:lang w:eastAsia="en-GB" w:bidi="en-GB"/>
        </w:rPr>
        <w:t xml:space="preserve">The </w:t>
      </w:r>
      <w:r w:rsidR="008D6420">
        <w:rPr>
          <w:rFonts w:ascii="Calibri" w:eastAsia="Calibri" w:hAnsi="Calibri" w:cs="Arial"/>
          <w:sz w:val="18"/>
          <w:szCs w:val="18"/>
          <w:lang w:eastAsia="en-GB" w:bidi="en-GB"/>
        </w:rPr>
        <w:t>organisation is</w:t>
      </w:r>
      <w:r w:rsidR="00E30E97">
        <w:rPr>
          <w:rFonts w:ascii="Calibri" w:eastAsia="Calibri" w:hAnsi="Calibri" w:cs="Arial"/>
          <w:sz w:val="18"/>
          <w:szCs w:val="18"/>
          <w:lang w:eastAsia="en-GB" w:bidi="en-GB"/>
        </w:rPr>
        <w:t xml:space="preserve"> functioning well in </w:t>
      </w:r>
      <w:r w:rsidR="009C289B">
        <w:rPr>
          <w:rFonts w:ascii="Calibri" w:eastAsia="Calibri" w:hAnsi="Calibri" w:cs="Arial"/>
          <w:sz w:val="18"/>
          <w:szCs w:val="18"/>
          <w:lang w:eastAsia="en-GB" w:bidi="en-GB"/>
        </w:rPr>
        <w:t>demanding</w:t>
      </w:r>
      <w:r w:rsidR="00E30E97">
        <w:rPr>
          <w:rFonts w:ascii="Calibri" w:eastAsia="Calibri" w:hAnsi="Calibri" w:cs="Arial"/>
          <w:sz w:val="18"/>
          <w:szCs w:val="18"/>
          <w:lang w:eastAsia="en-GB" w:bidi="en-GB"/>
        </w:rPr>
        <w:t xml:space="preserve"> working </w:t>
      </w:r>
      <w:r w:rsidR="009C289B">
        <w:rPr>
          <w:rFonts w:ascii="Calibri" w:eastAsia="Calibri" w:hAnsi="Calibri" w:cs="Arial"/>
          <w:sz w:val="18"/>
          <w:szCs w:val="18"/>
          <w:lang w:eastAsia="en-GB" w:bidi="en-GB"/>
        </w:rPr>
        <w:t>circumstances</w:t>
      </w:r>
      <w:r w:rsidR="00E30E97">
        <w:rPr>
          <w:rFonts w:ascii="Calibri" w:eastAsia="Calibri" w:hAnsi="Calibri" w:cs="Arial"/>
          <w:sz w:val="18"/>
          <w:szCs w:val="18"/>
          <w:lang w:eastAsia="en-GB" w:bidi="en-GB"/>
        </w:rPr>
        <w:t xml:space="preserve">, with a resilient </w:t>
      </w:r>
      <w:r w:rsidR="00E30E97" w:rsidRPr="00E30E97">
        <w:rPr>
          <w:rFonts w:ascii="Calibri" w:eastAsia="Calibri" w:hAnsi="Calibri" w:cs="Arial"/>
          <w:sz w:val="18"/>
          <w:szCs w:val="18"/>
          <w:lang w:eastAsia="en-GB" w:bidi="en-GB"/>
        </w:rPr>
        <w:t xml:space="preserve">supply chain and production network </w:t>
      </w:r>
      <w:r w:rsidR="00E30E97">
        <w:rPr>
          <w:rFonts w:ascii="Calibri" w:eastAsia="Calibri" w:hAnsi="Calibri" w:cs="Arial"/>
          <w:sz w:val="18"/>
          <w:szCs w:val="18"/>
          <w:lang w:eastAsia="en-GB" w:bidi="en-GB"/>
        </w:rPr>
        <w:t>enabling</w:t>
      </w:r>
      <w:r w:rsidR="0098248B">
        <w:rPr>
          <w:rFonts w:ascii="Calibri" w:eastAsia="Calibri" w:hAnsi="Calibri" w:cs="Arial"/>
          <w:sz w:val="18"/>
          <w:szCs w:val="18"/>
          <w:lang w:eastAsia="en-GB" w:bidi="en-GB"/>
        </w:rPr>
        <w:t xml:space="preserve"> strong</w:t>
      </w:r>
      <w:r w:rsidR="00E30E97">
        <w:rPr>
          <w:rFonts w:ascii="Calibri" w:eastAsia="Calibri" w:hAnsi="Calibri" w:cs="Arial"/>
          <w:sz w:val="18"/>
          <w:szCs w:val="18"/>
          <w:lang w:eastAsia="en-GB" w:bidi="en-GB"/>
        </w:rPr>
        <w:t xml:space="preserve"> </w:t>
      </w:r>
      <w:r w:rsidR="00E30E97" w:rsidRPr="00E30E97">
        <w:rPr>
          <w:rFonts w:ascii="Calibri" w:eastAsia="Calibri" w:hAnsi="Calibri" w:cs="Arial"/>
          <w:sz w:val="18"/>
          <w:szCs w:val="18"/>
          <w:lang w:eastAsia="en-GB" w:bidi="en-GB"/>
        </w:rPr>
        <w:t>levels of customer service</w:t>
      </w:r>
      <w:r w:rsidR="0098248B">
        <w:rPr>
          <w:rFonts w:ascii="Calibri" w:eastAsia="Calibri" w:hAnsi="Calibri" w:cs="Arial"/>
          <w:sz w:val="18"/>
          <w:szCs w:val="18"/>
          <w:lang w:eastAsia="en-GB" w:bidi="en-GB"/>
        </w:rPr>
        <w:t xml:space="preserve"> in a volatile demand environment</w:t>
      </w:r>
      <w:r w:rsidR="00E30E97">
        <w:rPr>
          <w:rFonts w:ascii="Calibri" w:eastAsia="Calibri" w:hAnsi="Calibri" w:cs="Arial"/>
          <w:sz w:val="18"/>
          <w:szCs w:val="18"/>
          <w:lang w:eastAsia="en-GB" w:bidi="en-GB"/>
        </w:rPr>
        <w:t xml:space="preserve">. </w:t>
      </w:r>
    </w:p>
    <w:p w14:paraId="2F4C127F" w14:textId="3AD26F89" w:rsidR="003C7BC3" w:rsidRPr="003C7BC3" w:rsidRDefault="003C7BC3"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Greencore is playing a</w:t>
      </w:r>
      <w:r w:rsidR="00472A6F">
        <w:rPr>
          <w:rFonts w:ascii="Calibri" w:eastAsia="Calibri" w:hAnsi="Calibri" w:cs="Arial"/>
          <w:sz w:val="18"/>
          <w:szCs w:val="18"/>
          <w:lang w:eastAsia="en-GB" w:bidi="en-GB"/>
        </w:rPr>
        <w:t xml:space="preserve">n </w:t>
      </w:r>
      <w:r w:rsidRPr="003C7BC3">
        <w:rPr>
          <w:rFonts w:ascii="Calibri" w:eastAsia="Calibri" w:hAnsi="Calibri" w:cs="Arial"/>
          <w:sz w:val="18"/>
          <w:szCs w:val="18"/>
          <w:lang w:eastAsia="en-GB" w:bidi="en-GB"/>
        </w:rPr>
        <w:t xml:space="preserve">important role in a food industry that has become a critical component of UK infrastructure through this pandemic. The Group’s colleagues have been designated as ‘key workers’ and have performed with a powerful sense of commitment, skill, spirit, and purpose. Greencore is immensely grateful and proud of its own </w:t>
      </w:r>
      <w:r w:rsidRPr="003C7BC3">
        <w:rPr>
          <w:rFonts w:ascii="Calibri" w:eastAsia="Calibri" w:hAnsi="Calibri" w:cs="Arial"/>
          <w:i/>
          <w:iCs/>
          <w:sz w:val="18"/>
          <w:szCs w:val="18"/>
          <w:lang w:eastAsia="en-GB" w:bidi="en-GB"/>
        </w:rPr>
        <w:t>Food Heroes</w:t>
      </w:r>
      <w:r w:rsidRPr="003C7BC3">
        <w:rPr>
          <w:rFonts w:ascii="Calibri" w:eastAsia="Calibri" w:hAnsi="Calibri" w:cs="Arial"/>
          <w:sz w:val="18"/>
          <w:szCs w:val="18"/>
          <w:lang w:eastAsia="en-GB" w:bidi="en-GB"/>
        </w:rPr>
        <w:t xml:space="preserve"> at this time.</w:t>
      </w:r>
      <w:r w:rsidR="00D714BD">
        <w:rPr>
          <w:rFonts w:ascii="Calibri" w:eastAsia="Calibri" w:hAnsi="Calibri" w:cs="Arial"/>
          <w:sz w:val="18"/>
          <w:szCs w:val="18"/>
          <w:lang w:eastAsia="en-GB" w:bidi="en-GB"/>
        </w:rPr>
        <w:t xml:space="preserve"> </w:t>
      </w:r>
      <w:r w:rsidRPr="003C7BC3">
        <w:rPr>
          <w:rFonts w:ascii="Calibri" w:eastAsia="Calibri" w:hAnsi="Calibri" w:cs="Arial"/>
          <w:sz w:val="18"/>
          <w:szCs w:val="18"/>
          <w:lang w:eastAsia="en-GB" w:bidi="en-GB"/>
        </w:rPr>
        <w:t xml:space="preserve">The Group </w:t>
      </w:r>
      <w:r w:rsidR="0098248B">
        <w:rPr>
          <w:rFonts w:ascii="Calibri" w:eastAsia="Calibri" w:hAnsi="Calibri" w:cs="Arial"/>
          <w:sz w:val="18"/>
          <w:szCs w:val="18"/>
          <w:lang w:eastAsia="en-GB" w:bidi="en-GB"/>
        </w:rPr>
        <w:t>is engaging contin</w:t>
      </w:r>
      <w:r w:rsidR="00337EED">
        <w:rPr>
          <w:rFonts w:ascii="Calibri" w:eastAsia="Calibri" w:hAnsi="Calibri" w:cs="Arial"/>
          <w:sz w:val="18"/>
          <w:szCs w:val="18"/>
          <w:lang w:eastAsia="en-GB" w:bidi="en-GB"/>
        </w:rPr>
        <w:t>uously</w:t>
      </w:r>
      <w:r w:rsidRPr="003C7BC3">
        <w:rPr>
          <w:rFonts w:ascii="Calibri" w:eastAsia="Calibri" w:hAnsi="Calibri" w:cs="Arial"/>
          <w:sz w:val="18"/>
          <w:szCs w:val="18"/>
          <w:lang w:eastAsia="en-GB" w:bidi="en-GB"/>
        </w:rPr>
        <w:t xml:space="preserve"> with </w:t>
      </w:r>
      <w:r w:rsidR="00337EED">
        <w:rPr>
          <w:rFonts w:ascii="Calibri" w:eastAsia="Calibri" w:hAnsi="Calibri" w:cs="Arial"/>
          <w:sz w:val="18"/>
          <w:szCs w:val="18"/>
          <w:lang w:eastAsia="en-GB" w:bidi="en-GB"/>
        </w:rPr>
        <w:t>regulatory</w:t>
      </w:r>
      <w:r w:rsidRPr="003C7BC3">
        <w:rPr>
          <w:rFonts w:ascii="Calibri" w:eastAsia="Calibri" w:hAnsi="Calibri" w:cs="Arial"/>
          <w:sz w:val="18"/>
          <w:szCs w:val="18"/>
          <w:lang w:eastAsia="en-GB" w:bidi="en-GB"/>
        </w:rPr>
        <w:t xml:space="preserve"> bodies including the Health &amp; Safety Executive and Public Health England, and in doing so has carried out an extensive range of measures to support </w:t>
      </w:r>
      <w:r w:rsidR="00E30E97">
        <w:rPr>
          <w:rFonts w:ascii="Calibri" w:eastAsia="Calibri" w:hAnsi="Calibri" w:cs="Arial"/>
          <w:sz w:val="18"/>
          <w:szCs w:val="18"/>
          <w:lang w:eastAsia="en-GB" w:bidi="en-GB"/>
        </w:rPr>
        <w:t xml:space="preserve">and improve </w:t>
      </w:r>
      <w:r w:rsidRPr="003C7BC3">
        <w:rPr>
          <w:rFonts w:ascii="Calibri" w:eastAsia="Calibri" w:hAnsi="Calibri" w:cs="Arial"/>
          <w:sz w:val="18"/>
          <w:szCs w:val="18"/>
          <w:lang w:eastAsia="en-GB" w:bidi="en-GB"/>
        </w:rPr>
        <w:t>colleague safety across its manufacturing and distribution network</w:t>
      </w:r>
      <w:r w:rsidR="00337EED">
        <w:rPr>
          <w:rFonts w:ascii="Calibri" w:eastAsia="Calibri" w:hAnsi="Calibri" w:cs="Arial"/>
          <w:sz w:val="18"/>
          <w:szCs w:val="18"/>
          <w:lang w:eastAsia="en-GB" w:bidi="en-GB"/>
        </w:rPr>
        <w:t>. This strategy and these initiatives are</w:t>
      </w:r>
      <w:r w:rsidRPr="003C7BC3">
        <w:rPr>
          <w:rFonts w:ascii="Calibri" w:eastAsia="Calibri" w:hAnsi="Calibri" w:cs="Arial"/>
          <w:sz w:val="18"/>
          <w:szCs w:val="18"/>
          <w:lang w:eastAsia="en-GB" w:bidi="en-GB"/>
        </w:rPr>
        <w:t xml:space="preserve"> consistent with the Group’s broader sustainability agenda. </w:t>
      </w:r>
      <w:r w:rsidR="008B3970" w:rsidRPr="003C7BC3">
        <w:rPr>
          <w:rFonts w:ascii="Calibri" w:eastAsia="Calibri" w:hAnsi="Calibri" w:cs="Arial"/>
          <w:sz w:val="18"/>
          <w:szCs w:val="18"/>
          <w:lang w:eastAsia="en-GB" w:bidi="en-GB"/>
        </w:rPr>
        <w:t xml:space="preserve">These measures include a large number </w:t>
      </w:r>
      <w:r w:rsidR="00337EED">
        <w:rPr>
          <w:rFonts w:ascii="Calibri" w:eastAsia="Calibri" w:hAnsi="Calibri" w:cs="Arial"/>
          <w:sz w:val="18"/>
          <w:szCs w:val="18"/>
          <w:lang w:eastAsia="en-GB" w:bidi="en-GB"/>
        </w:rPr>
        <w:t>of</w:t>
      </w:r>
      <w:r w:rsidR="008B3970" w:rsidRPr="003C7BC3">
        <w:rPr>
          <w:rFonts w:ascii="Calibri" w:eastAsia="Calibri" w:hAnsi="Calibri" w:cs="Arial"/>
          <w:sz w:val="18"/>
          <w:szCs w:val="18"/>
          <w:lang w:eastAsia="en-GB" w:bidi="en-GB"/>
        </w:rPr>
        <w:t xml:space="preserve"> social distancing</w:t>
      </w:r>
      <w:r w:rsidR="00337EED">
        <w:rPr>
          <w:rFonts w:ascii="Calibri" w:eastAsia="Calibri" w:hAnsi="Calibri" w:cs="Arial"/>
          <w:sz w:val="18"/>
          <w:szCs w:val="18"/>
          <w:lang w:eastAsia="en-GB" w:bidi="en-GB"/>
        </w:rPr>
        <w:t xml:space="preserve"> measures</w:t>
      </w:r>
      <w:r w:rsidR="008B3970" w:rsidRPr="003C7BC3">
        <w:rPr>
          <w:rFonts w:ascii="Calibri" w:eastAsia="Calibri" w:hAnsi="Calibri" w:cs="Arial"/>
          <w:sz w:val="18"/>
          <w:szCs w:val="18"/>
          <w:lang w:eastAsia="en-GB" w:bidi="en-GB"/>
        </w:rPr>
        <w:t xml:space="preserve"> in the workplace, the introduction of a range of new hygiene </w:t>
      </w:r>
      <w:r w:rsidR="00337EED" w:rsidRPr="003C7BC3">
        <w:rPr>
          <w:rFonts w:ascii="Calibri" w:eastAsia="Calibri" w:hAnsi="Calibri" w:cs="Arial"/>
          <w:sz w:val="18"/>
          <w:szCs w:val="18"/>
          <w:lang w:eastAsia="en-GB" w:bidi="en-GB"/>
        </w:rPr>
        <w:t>p</w:t>
      </w:r>
      <w:r w:rsidR="00337EED">
        <w:rPr>
          <w:rFonts w:ascii="Calibri" w:eastAsia="Calibri" w:hAnsi="Calibri" w:cs="Arial"/>
          <w:sz w:val="18"/>
          <w:szCs w:val="18"/>
          <w:lang w:eastAsia="en-GB" w:bidi="en-GB"/>
        </w:rPr>
        <w:t>rotocols</w:t>
      </w:r>
      <w:r w:rsidR="008B3970">
        <w:rPr>
          <w:rFonts w:ascii="Calibri" w:eastAsia="Calibri" w:hAnsi="Calibri" w:cs="Arial"/>
          <w:sz w:val="18"/>
          <w:szCs w:val="18"/>
          <w:lang w:eastAsia="en-GB" w:bidi="en-GB"/>
        </w:rPr>
        <w:t>,</w:t>
      </w:r>
      <w:r w:rsidR="008B3970" w:rsidRPr="003C7BC3">
        <w:rPr>
          <w:rFonts w:ascii="Calibri" w:eastAsia="Calibri" w:hAnsi="Calibri" w:cs="Arial"/>
          <w:sz w:val="18"/>
          <w:szCs w:val="18"/>
          <w:lang w:eastAsia="en-GB" w:bidi="en-GB"/>
        </w:rPr>
        <w:t xml:space="preserve"> and</w:t>
      </w:r>
      <w:r w:rsidR="008B3970">
        <w:rPr>
          <w:rFonts w:ascii="Calibri" w:eastAsia="Calibri" w:hAnsi="Calibri" w:cs="Arial"/>
          <w:sz w:val="18"/>
          <w:szCs w:val="18"/>
          <w:lang w:eastAsia="en-GB" w:bidi="en-GB"/>
        </w:rPr>
        <w:t xml:space="preserve"> the </w:t>
      </w:r>
      <w:r w:rsidR="008B3970" w:rsidRPr="003C7BC3">
        <w:rPr>
          <w:rFonts w:ascii="Calibri" w:eastAsia="Calibri" w:hAnsi="Calibri" w:cs="Arial"/>
          <w:sz w:val="18"/>
          <w:szCs w:val="18"/>
          <w:lang w:eastAsia="en-GB" w:bidi="en-GB"/>
        </w:rPr>
        <w:t>provi</w:t>
      </w:r>
      <w:r w:rsidR="008B3970">
        <w:rPr>
          <w:rFonts w:ascii="Calibri" w:eastAsia="Calibri" w:hAnsi="Calibri" w:cs="Arial"/>
          <w:sz w:val="18"/>
          <w:szCs w:val="18"/>
          <w:lang w:eastAsia="en-GB" w:bidi="en-GB"/>
        </w:rPr>
        <w:t xml:space="preserve">sion of </w:t>
      </w:r>
      <w:r w:rsidR="008B3970" w:rsidRPr="003C7BC3">
        <w:rPr>
          <w:rFonts w:ascii="Calibri" w:eastAsia="Calibri" w:hAnsi="Calibri" w:cs="Arial"/>
          <w:sz w:val="18"/>
          <w:szCs w:val="18"/>
          <w:lang w:eastAsia="en-GB" w:bidi="en-GB"/>
        </w:rPr>
        <w:t xml:space="preserve">support to colleagues who are working in manufacturing facilities and those </w:t>
      </w:r>
      <w:r w:rsidR="008B3970">
        <w:rPr>
          <w:rFonts w:ascii="Calibri" w:eastAsia="Calibri" w:hAnsi="Calibri" w:cs="Arial"/>
          <w:sz w:val="18"/>
          <w:szCs w:val="18"/>
          <w:lang w:eastAsia="en-GB" w:bidi="en-GB"/>
        </w:rPr>
        <w:t xml:space="preserve">who are </w:t>
      </w:r>
      <w:r w:rsidR="008B3970" w:rsidRPr="003C7BC3">
        <w:rPr>
          <w:rFonts w:ascii="Calibri" w:eastAsia="Calibri" w:hAnsi="Calibri" w:cs="Arial"/>
          <w:sz w:val="18"/>
          <w:szCs w:val="18"/>
          <w:lang w:eastAsia="en-GB" w:bidi="en-GB"/>
        </w:rPr>
        <w:t xml:space="preserve">working from home. </w:t>
      </w:r>
      <w:r w:rsidRPr="003C7BC3">
        <w:rPr>
          <w:rFonts w:ascii="Calibri" w:eastAsia="Calibri" w:hAnsi="Calibri" w:cs="Arial"/>
          <w:sz w:val="18"/>
          <w:szCs w:val="18"/>
          <w:lang w:eastAsia="en-GB" w:bidi="en-GB"/>
        </w:rPr>
        <w:t xml:space="preserve"> </w:t>
      </w:r>
      <w:r w:rsidR="00C949A8">
        <w:rPr>
          <w:rFonts w:ascii="Calibri" w:eastAsia="Calibri" w:hAnsi="Calibri" w:cs="Arial"/>
          <w:sz w:val="18"/>
          <w:szCs w:val="18"/>
          <w:lang w:eastAsia="en-GB" w:bidi="en-GB"/>
        </w:rPr>
        <w:t xml:space="preserve">Labour absence, either through illness or through caring for ill </w:t>
      </w:r>
      <w:r w:rsidR="008B3970">
        <w:rPr>
          <w:rFonts w:ascii="Calibri" w:eastAsia="Calibri" w:hAnsi="Calibri" w:cs="Arial"/>
          <w:sz w:val="18"/>
          <w:szCs w:val="18"/>
          <w:lang w:eastAsia="en-GB" w:bidi="en-GB"/>
        </w:rPr>
        <w:t>or</w:t>
      </w:r>
      <w:r w:rsidR="00C949A8">
        <w:rPr>
          <w:rFonts w:ascii="Calibri" w:eastAsia="Calibri" w:hAnsi="Calibri" w:cs="Arial"/>
          <w:sz w:val="18"/>
          <w:szCs w:val="18"/>
          <w:lang w:eastAsia="en-GB" w:bidi="en-GB"/>
        </w:rPr>
        <w:t xml:space="preserve"> vulnerable family members, has been managed effectively and sensitively. </w:t>
      </w:r>
    </w:p>
    <w:p w14:paraId="146E56ED" w14:textId="6E6C0215" w:rsidR="003C7BC3" w:rsidRPr="003C7BC3" w:rsidRDefault="003B6F17" w:rsidP="005B3BEE">
      <w:pPr>
        <w:widowControl w:val="0"/>
        <w:autoSpaceDE w:val="0"/>
        <w:autoSpaceDN w:val="0"/>
        <w:spacing w:after="120" w:line="240" w:lineRule="auto"/>
        <w:jc w:val="both"/>
        <w:rPr>
          <w:rFonts w:ascii="Calibri" w:eastAsia="Calibri" w:hAnsi="Calibri" w:cs="Arial"/>
          <w:sz w:val="18"/>
          <w:szCs w:val="18"/>
          <w:lang w:eastAsia="en-GB" w:bidi="en-GB"/>
        </w:rPr>
      </w:pPr>
      <w:r w:rsidRPr="003B6F17">
        <w:rPr>
          <w:rFonts w:ascii="Calibri" w:eastAsia="Calibri" w:hAnsi="Calibri" w:cs="Arial"/>
          <w:sz w:val="18"/>
          <w:szCs w:val="18"/>
          <w:lang w:eastAsia="en-GB" w:bidi="en-GB"/>
        </w:rPr>
        <w:t xml:space="preserve">Greencore is working hard with its customers, the </w:t>
      </w:r>
      <w:r w:rsidR="00DF3EC7">
        <w:rPr>
          <w:rFonts w:ascii="Calibri" w:eastAsia="Calibri" w:hAnsi="Calibri" w:cs="Arial"/>
          <w:sz w:val="18"/>
          <w:szCs w:val="18"/>
          <w:lang w:eastAsia="en-GB" w:bidi="en-GB"/>
        </w:rPr>
        <w:t>Government</w:t>
      </w:r>
      <w:r w:rsidRPr="003B6F17">
        <w:rPr>
          <w:rFonts w:ascii="Calibri" w:eastAsia="Calibri" w:hAnsi="Calibri" w:cs="Arial"/>
          <w:sz w:val="18"/>
          <w:szCs w:val="18"/>
          <w:lang w:eastAsia="en-GB" w:bidi="en-GB"/>
        </w:rPr>
        <w:t xml:space="preserve"> and the local communities in which it operates to provide high quality freshly prepared food to both consumers and frontline workers during this pandemic. The Group is contributing to the Government’s food parcels for the most vulnerable housebound people in the UK and is donating thousands of food to go products to NHS workers across </w:t>
      </w:r>
      <w:r w:rsidR="00A14F58">
        <w:rPr>
          <w:rFonts w:ascii="Calibri" w:eastAsia="Calibri" w:hAnsi="Calibri" w:cs="Arial"/>
          <w:sz w:val="18"/>
          <w:szCs w:val="18"/>
          <w:lang w:eastAsia="en-GB" w:bidi="en-GB"/>
        </w:rPr>
        <w:t>numerous</w:t>
      </w:r>
      <w:r w:rsidRPr="003B6F17">
        <w:rPr>
          <w:rFonts w:ascii="Calibri" w:eastAsia="Calibri" w:hAnsi="Calibri" w:cs="Arial"/>
          <w:sz w:val="18"/>
          <w:szCs w:val="18"/>
          <w:lang w:eastAsia="en-GB" w:bidi="en-GB"/>
        </w:rPr>
        <w:t xml:space="preserve"> UK hospitals</w:t>
      </w:r>
      <w:r w:rsidR="00337EED">
        <w:rPr>
          <w:rFonts w:ascii="Calibri" w:eastAsia="Calibri" w:hAnsi="Calibri" w:cs="Arial"/>
          <w:sz w:val="18"/>
          <w:szCs w:val="18"/>
          <w:lang w:eastAsia="en-GB" w:bidi="en-GB"/>
        </w:rPr>
        <w:t xml:space="preserve"> and care homes</w:t>
      </w:r>
      <w:r w:rsidRPr="003B6F17">
        <w:rPr>
          <w:rFonts w:ascii="Calibri" w:eastAsia="Calibri" w:hAnsi="Calibri" w:cs="Arial"/>
          <w:sz w:val="18"/>
          <w:szCs w:val="18"/>
          <w:lang w:eastAsia="en-GB" w:bidi="en-GB"/>
        </w:rPr>
        <w:t xml:space="preserve">. In addition, it is supporting the food industry charity, </w:t>
      </w:r>
      <w:proofErr w:type="spellStart"/>
      <w:r w:rsidRPr="003B6F17">
        <w:rPr>
          <w:rFonts w:ascii="Calibri" w:eastAsia="Calibri" w:hAnsi="Calibri" w:cs="Arial"/>
          <w:sz w:val="18"/>
          <w:szCs w:val="18"/>
          <w:lang w:eastAsia="en-GB" w:bidi="en-GB"/>
        </w:rPr>
        <w:t>FareShare</w:t>
      </w:r>
      <w:proofErr w:type="spellEnd"/>
      <w:r w:rsidRPr="003B6F17">
        <w:rPr>
          <w:rFonts w:ascii="Calibri" w:eastAsia="Calibri" w:hAnsi="Calibri" w:cs="Arial"/>
          <w:sz w:val="18"/>
          <w:szCs w:val="18"/>
          <w:lang w:eastAsia="en-GB" w:bidi="en-GB"/>
        </w:rPr>
        <w:t>, and many other local organisations and charities that provide support for those in need at this time.</w:t>
      </w:r>
    </w:p>
    <w:p w14:paraId="68096BD5"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p>
    <w:p w14:paraId="18FA9E82" w14:textId="373194AC" w:rsidR="00D714BD" w:rsidRDefault="00D714BD" w:rsidP="005B3BEE">
      <w:pPr>
        <w:pStyle w:val="SectionH3"/>
      </w:pPr>
      <w:r w:rsidRPr="008B4F3E">
        <w:t>Performance since period end</w:t>
      </w:r>
    </w:p>
    <w:p w14:paraId="448E12BD" w14:textId="2BB916F6" w:rsidR="00D714BD" w:rsidRPr="009A0CE8" w:rsidRDefault="00D714BD"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In the first six weeks of H2 20, the COVID-19 </w:t>
      </w:r>
      <w:r w:rsidR="00BD5017">
        <w:rPr>
          <w:rFonts w:ascii="Calibri" w:eastAsia="Calibri" w:hAnsi="Calibri" w:cs="Arial"/>
          <w:sz w:val="18"/>
          <w:szCs w:val="18"/>
          <w:lang w:eastAsia="en-GB" w:bidi="en-GB"/>
        </w:rPr>
        <w:t>pandemic</w:t>
      </w:r>
      <w:r w:rsidRPr="003C7BC3">
        <w:rPr>
          <w:rFonts w:ascii="Calibri" w:eastAsia="Calibri" w:hAnsi="Calibri" w:cs="Arial"/>
          <w:sz w:val="18"/>
          <w:szCs w:val="18"/>
          <w:lang w:eastAsia="en-GB" w:bidi="en-GB"/>
        </w:rPr>
        <w:t xml:space="preserve"> has </w:t>
      </w:r>
      <w:r w:rsidR="00337EED">
        <w:rPr>
          <w:rFonts w:ascii="Calibri" w:eastAsia="Calibri" w:hAnsi="Calibri" w:cs="Arial"/>
          <w:sz w:val="18"/>
          <w:szCs w:val="18"/>
          <w:lang w:eastAsia="en-GB" w:bidi="en-GB"/>
        </w:rPr>
        <w:t>had a dramatic and volatile impact on</w:t>
      </w:r>
      <w:r w:rsidRPr="003C7BC3">
        <w:rPr>
          <w:rFonts w:ascii="Calibri" w:eastAsia="Calibri" w:hAnsi="Calibri" w:cs="Arial"/>
          <w:sz w:val="18"/>
          <w:szCs w:val="18"/>
          <w:lang w:eastAsia="en-GB" w:bidi="en-GB"/>
        </w:rPr>
        <w:t xml:space="preserve"> the shape of UK food </w:t>
      </w:r>
      <w:r w:rsidR="009C289B">
        <w:rPr>
          <w:rFonts w:ascii="Calibri" w:eastAsia="Calibri" w:hAnsi="Calibri" w:cs="Arial"/>
          <w:sz w:val="18"/>
          <w:szCs w:val="18"/>
          <w:lang w:eastAsia="en-GB" w:bidi="en-GB"/>
        </w:rPr>
        <w:t xml:space="preserve">consumption, though there </w:t>
      </w:r>
      <w:r w:rsidR="009C289B" w:rsidRPr="009A0CE8">
        <w:rPr>
          <w:rFonts w:ascii="Calibri" w:eastAsia="Calibri" w:hAnsi="Calibri" w:cs="Arial"/>
          <w:sz w:val="18"/>
          <w:szCs w:val="18"/>
          <w:lang w:eastAsia="en-GB" w:bidi="en-GB"/>
        </w:rPr>
        <w:t xml:space="preserve">are signs that </w:t>
      </w:r>
      <w:r w:rsidRPr="009A0CE8">
        <w:rPr>
          <w:rFonts w:ascii="Calibri" w:eastAsia="Calibri" w:hAnsi="Calibri" w:cs="Arial"/>
          <w:sz w:val="18"/>
          <w:szCs w:val="18"/>
          <w:lang w:eastAsia="en-GB" w:bidi="en-GB"/>
        </w:rPr>
        <w:t xml:space="preserve">demand patterns have recently begun to stabilise. Weekly demand in the Group’s food to go categories declined by </w:t>
      </w:r>
      <w:r w:rsidR="00383ACB" w:rsidRPr="009A0CE8">
        <w:rPr>
          <w:rFonts w:ascii="Calibri" w:eastAsia="Calibri" w:hAnsi="Calibri" w:cs="Arial"/>
          <w:sz w:val="18"/>
          <w:szCs w:val="18"/>
          <w:lang w:eastAsia="en-GB" w:bidi="en-GB"/>
        </w:rPr>
        <w:t>up to</w:t>
      </w:r>
      <w:r w:rsidR="007E37D5" w:rsidRPr="009A0CE8">
        <w:rPr>
          <w:rFonts w:ascii="Calibri" w:eastAsia="Calibri" w:hAnsi="Calibri" w:cs="Arial"/>
          <w:sz w:val="18"/>
          <w:szCs w:val="18"/>
          <w:lang w:eastAsia="en-GB" w:bidi="en-GB"/>
        </w:rPr>
        <w:t xml:space="preserve"> </w:t>
      </w:r>
      <w:r w:rsidR="00337EED" w:rsidRPr="00B52070">
        <w:rPr>
          <w:rFonts w:ascii="Calibri" w:eastAsia="Calibri" w:hAnsi="Calibri" w:cs="Arial"/>
          <w:sz w:val="18"/>
          <w:szCs w:val="18"/>
          <w:lang w:eastAsia="en-GB" w:bidi="en-GB"/>
        </w:rPr>
        <w:t>70</w:t>
      </w:r>
      <w:r w:rsidRPr="00B52070">
        <w:rPr>
          <w:rFonts w:ascii="Calibri" w:eastAsia="Calibri" w:hAnsi="Calibri" w:cs="Arial"/>
          <w:sz w:val="18"/>
          <w:szCs w:val="18"/>
          <w:lang w:eastAsia="en-GB" w:bidi="en-GB"/>
        </w:rPr>
        <w:t>%</w:t>
      </w:r>
      <w:r w:rsidRPr="009A0CE8">
        <w:rPr>
          <w:rFonts w:ascii="Calibri" w:eastAsia="Calibri" w:hAnsi="Calibri" w:cs="Arial"/>
          <w:sz w:val="18"/>
          <w:szCs w:val="18"/>
          <w:lang w:eastAsia="en-GB" w:bidi="en-GB"/>
        </w:rPr>
        <w:t xml:space="preserve"> and is currently </w:t>
      </w:r>
      <w:r w:rsidR="007E37D5" w:rsidRPr="009A0CE8">
        <w:rPr>
          <w:rFonts w:ascii="Calibri" w:eastAsia="Calibri" w:hAnsi="Calibri" w:cs="Arial"/>
          <w:sz w:val="18"/>
          <w:szCs w:val="18"/>
          <w:lang w:eastAsia="en-GB" w:bidi="en-GB"/>
        </w:rPr>
        <w:t xml:space="preserve">less than </w:t>
      </w:r>
      <w:r w:rsidR="00337EED" w:rsidRPr="00B52070">
        <w:rPr>
          <w:rFonts w:ascii="Calibri" w:eastAsia="Calibri" w:hAnsi="Calibri" w:cs="Arial"/>
          <w:sz w:val="18"/>
          <w:szCs w:val="18"/>
          <w:lang w:eastAsia="en-GB" w:bidi="en-GB"/>
        </w:rPr>
        <w:t>60</w:t>
      </w:r>
      <w:r w:rsidRPr="00B52070">
        <w:rPr>
          <w:rFonts w:ascii="Calibri" w:eastAsia="Calibri" w:hAnsi="Calibri" w:cs="Arial"/>
          <w:sz w:val="18"/>
          <w:szCs w:val="18"/>
          <w:lang w:eastAsia="en-GB" w:bidi="en-GB"/>
        </w:rPr>
        <w:t>%</w:t>
      </w:r>
      <w:r w:rsidRPr="009A0CE8">
        <w:rPr>
          <w:rFonts w:ascii="Calibri" w:eastAsia="Calibri" w:hAnsi="Calibri" w:cs="Arial"/>
          <w:sz w:val="18"/>
          <w:szCs w:val="18"/>
          <w:lang w:eastAsia="en-GB" w:bidi="en-GB"/>
        </w:rPr>
        <w:t xml:space="preserve"> below prior year levels. There has been sustained growth in the Group’s other convenience categories, in particular cooking sauces, with growth currently a</w:t>
      </w:r>
      <w:r w:rsidR="00BD5B9E" w:rsidRPr="009A0CE8">
        <w:rPr>
          <w:rFonts w:ascii="Calibri" w:eastAsia="Calibri" w:hAnsi="Calibri" w:cs="Arial"/>
          <w:sz w:val="18"/>
          <w:szCs w:val="18"/>
          <w:lang w:eastAsia="en-GB" w:bidi="en-GB"/>
        </w:rPr>
        <w:t xml:space="preserve">bout 5% </w:t>
      </w:r>
      <w:r w:rsidRPr="009A0CE8">
        <w:rPr>
          <w:rFonts w:ascii="Calibri" w:eastAsia="Calibri" w:hAnsi="Calibri" w:cs="Arial"/>
          <w:sz w:val="18"/>
          <w:szCs w:val="18"/>
          <w:lang w:eastAsia="en-GB" w:bidi="en-GB"/>
        </w:rPr>
        <w:t xml:space="preserve">above prior year levels. </w:t>
      </w:r>
      <w:r w:rsidR="00383ACB" w:rsidRPr="009A0CE8">
        <w:rPr>
          <w:rFonts w:ascii="Calibri" w:eastAsia="Calibri" w:hAnsi="Calibri" w:cs="Arial"/>
          <w:sz w:val="18"/>
          <w:szCs w:val="18"/>
          <w:lang w:eastAsia="en-GB" w:bidi="en-GB"/>
        </w:rPr>
        <w:t xml:space="preserve">Group revenue is now </w:t>
      </w:r>
      <w:r w:rsidR="00665E74" w:rsidRPr="00B52070">
        <w:rPr>
          <w:rFonts w:ascii="Calibri" w:eastAsia="Calibri" w:hAnsi="Calibri" w:cs="Arial"/>
          <w:sz w:val="18"/>
          <w:szCs w:val="18"/>
          <w:lang w:eastAsia="en-GB" w:bidi="en-GB"/>
        </w:rPr>
        <w:t>app</w:t>
      </w:r>
      <w:r w:rsidR="00BD5B9E" w:rsidRPr="00B52070">
        <w:rPr>
          <w:rFonts w:ascii="Calibri" w:eastAsia="Calibri" w:hAnsi="Calibri" w:cs="Arial"/>
          <w:sz w:val="18"/>
          <w:szCs w:val="18"/>
          <w:lang w:eastAsia="en-GB" w:bidi="en-GB"/>
        </w:rPr>
        <w:t xml:space="preserve">roximately </w:t>
      </w:r>
      <w:r w:rsidR="00383ACB" w:rsidRPr="009A0CE8">
        <w:rPr>
          <w:rFonts w:ascii="Calibri" w:eastAsia="Calibri" w:hAnsi="Calibri" w:cs="Arial"/>
          <w:sz w:val="18"/>
          <w:szCs w:val="18"/>
          <w:lang w:eastAsia="en-GB" w:bidi="en-GB"/>
        </w:rPr>
        <w:t>60% of prior year levels on a proforma basis.</w:t>
      </w:r>
    </w:p>
    <w:p w14:paraId="3D1C5F86" w14:textId="291F7B6F" w:rsidR="00D714BD" w:rsidRDefault="00D714BD" w:rsidP="005B3BEE">
      <w:pPr>
        <w:widowControl w:val="0"/>
        <w:autoSpaceDE w:val="0"/>
        <w:autoSpaceDN w:val="0"/>
        <w:spacing w:after="120" w:line="240" w:lineRule="auto"/>
        <w:jc w:val="both"/>
        <w:rPr>
          <w:rFonts w:ascii="Calibri" w:eastAsia="Calibri" w:hAnsi="Calibri" w:cs="Arial"/>
          <w:b/>
          <w:sz w:val="18"/>
          <w:szCs w:val="18"/>
          <w:lang w:eastAsia="en-GB" w:bidi="en-GB"/>
        </w:rPr>
      </w:pPr>
      <w:r w:rsidRPr="009A0CE8">
        <w:rPr>
          <w:rFonts w:ascii="Calibri" w:eastAsia="Calibri" w:hAnsi="Calibri" w:cs="Arial"/>
          <w:sz w:val="18"/>
          <w:szCs w:val="18"/>
          <w:lang w:eastAsia="en-GB" w:bidi="en-GB"/>
        </w:rPr>
        <w:t xml:space="preserve">In response to these changed levels of consumer demand and in order to maintain efficient production, the Group moved </w:t>
      </w:r>
      <w:r w:rsidR="00337EED" w:rsidRPr="009A0CE8">
        <w:rPr>
          <w:rFonts w:ascii="Calibri" w:eastAsia="Calibri" w:hAnsi="Calibri" w:cs="Arial"/>
          <w:sz w:val="18"/>
          <w:szCs w:val="18"/>
          <w:lang w:eastAsia="en-GB" w:bidi="en-GB"/>
        </w:rPr>
        <w:t>rapidly</w:t>
      </w:r>
      <w:r w:rsidRPr="009A0CE8">
        <w:rPr>
          <w:rFonts w:ascii="Calibri" w:eastAsia="Calibri" w:hAnsi="Calibri" w:cs="Arial"/>
          <w:sz w:val="18"/>
          <w:szCs w:val="18"/>
          <w:lang w:eastAsia="en-GB" w:bidi="en-GB"/>
        </w:rPr>
        <w:t xml:space="preserve"> to simplify its produ</w:t>
      </w:r>
      <w:r w:rsidRPr="003C7BC3">
        <w:rPr>
          <w:rFonts w:ascii="Calibri" w:eastAsia="Calibri" w:hAnsi="Calibri" w:cs="Arial"/>
          <w:sz w:val="18"/>
          <w:szCs w:val="18"/>
          <w:lang w:eastAsia="en-GB" w:bidi="en-GB"/>
        </w:rPr>
        <w:t>ct ranges</w:t>
      </w:r>
      <w:r>
        <w:rPr>
          <w:rFonts w:ascii="Calibri" w:eastAsia="Calibri" w:hAnsi="Calibri" w:cs="Arial"/>
          <w:sz w:val="18"/>
          <w:szCs w:val="18"/>
          <w:lang w:eastAsia="en-GB" w:bidi="en-GB"/>
        </w:rPr>
        <w:t xml:space="preserve"> with its customers. </w:t>
      </w:r>
      <w:r w:rsidRPr="00C949A8">
        <w:rPr>
          <w:rFonts w:ascii="Calibri" w:eastAsia="Calibri" w:hAnsi="Calibri" w:cs="Arial"/>
          <w:sz w:val="18"/>
          <w:szCs w:val="18"/>
          <w:lang w:eastAsia="en-GB" w:bidi="en-GB"/>
        </w:rPr>
        <w:t xml:space="preserve">Greencore has worked </w:t>
      </w:r>
      <w:r w:rsidR="00337EED">
        <w:rPr>
          <w:rFonts w:ascii="Calibri" w:eastAsia="Calibri" w:hAnsi="Calibri" w:cs="Arial"/>
          <w:sz w:val="18"/>
          <w:szCs w:val="18"/>
          <w:lang w:eastAsia="en-GB" w:bidi="en-GB"/>
        </w:rPr>
        <w:t>collaboratively</w:t>
      </w:r>
      <w:r w:rsidR="00337EED" w:rsidRPr="00C949A8">
        <w:rPr>
          <w:rFonts w:ascii="Calibri" w:eastAsia="Calibri" w:hAnsi="Calibri" w:cs="Arial"/>
          <w:sz w:val="18"/>
          <w:szCs w:val="18"/>
          <w:lang w:eastAsia="en-GB" w:bidi="en-GB"/>
        </w:rPr>
        <w:t xml:space="preserve"> </w:t>
      </w:r>
      <w:r w:rsidRPr="00C949A8">
        <w:rPr>
          <w:rFonts w:ascii="Calibri" w:eastAsia="Calibri" w:hAnsi="Calibri" w:cs="Arial"/>
          <w:sz w:val="18"/>
          <w:szCs w:val="18"/>
          <w:lang w:eastAsia="en-GB" w:bidi="en-GB"/>
        </w:rPr>
        <w:t>with its customers t</w:t>
      </w:r>
      <w:r>
        <w:rPr>
          <w:rFonts w:ascii="Calibri" w:eastAsia="Calibri" w:hAnsi="Calibri" w:cs="Arial"/>
          <w:sz w:val="18"/>
          <w:szCs w:val="18"/>
          <w:lang w:eastAsia="en-GB" w:bidi="en-GB"/>
        </w:rPr>
        <w:t>o quickly adapt to the effects of the lockdown while maintaining customer service and work</w:t>
      </w:r>
      <w:r w:rsidR="0034411F">
        <w:rPr>
          <w:rFonts w:ascii="Calibri" w:eastAsia="Calibri" w:hAnsi="Calibri" w:cs="Arial"/>
          <w:sz w:val="18"/>
          <w:szCs w:val="18"/>
          <w:lang w:eastAsia="en-GB" w:bidi="en-GB"/>
        </w:rPr>
        <w:t>ing</w:t>
      </w:r>
      <w:r>
        <w:rPr>
          <w:rFonts w:ascii="Calibri" w:eastAsia="Calibri" w:hAnsi="Calibri" w:cs="Arial"/>
          <w:sz w:val="18"/>
          <w:szCs w:val="18"/>
          <w:lang w:eastAsia="en-GB" w:bidi="en-GB"/>
        </w:rPr>
        <w:t xml:space="preserve"> together on ways to maintain the integrity of the supply chain</w:t>
      </w:r>
      <w:r w:rsidR="00337EED">
        <w:rPr>
          <w:rFonts w:ascii="Calibri" w:eastAsia="Calibri" w:hAnsi="Calibri" w:cs="Arial"/>
          <w:sz w:val="18"/>
          <w:szCs w:val="18"/>
          <w:lang w:eastAsia="en-GB" w:bidi="en-GB"/>
        </w:rPr>
        <w:t>,</w:t>
      </w:r>
      <w:r>
        <w:rPr>
          <w:rFonts w:ascii="Calibri" w:eastAsia="Calibri" w:hAnsi="Calibri" w:cs="Arial"/>
          <w:sz w:val="18"/>
          <w:szCs w:val="18"/>
          <w:lang w:eastAsia="en-GB" w:bidi="en-GB"/>
        </w:rPr>
        <w:t xml:space="preserve"> </w:t>
      </w:r>
      <w:r w:rsidR="00337EED">
        <w:rPr>
          <w:rFonts w:ascii="Calibri" w:eastAsia="Calibri" w:hAnsi="Calibri" w:cs="Arial"/>
          <w:sz w:val="18"/>
          <w:szCs w:val="18"/>
          <w:lang w:eastAsia="en-GB" w:bidi="en-GB"/>
        </w:rPr>
        <w:t>while</w:t>
      </w:r>
      <w:r>
        <w:rPr>
          <w:rFonts w:ascii="Calibri" w:eastAsia="Calibri" w:hAnsi="Calibri" w:cs="Arial"/>
          <w:sz w:val="18"/>
          <w:szCs w:val="18"/>
          <w:lang w:eastAsia="en-GB" w:bidi="en-GB"/>
        </w:rPr>
        <w:t xml:space="preserve"> plan</w:t>
      </w:r>
      <w:r w:rsidR="00337EED">
        <w:rPr>
          <w:rFonts w:ascii="Calibri" w:eastAsia="Calibri" w:hAnsi="Calibri" w:cs="Arial"/>
          <w:sz w:val="18"/>
          <w:szCs w:val="18"/>
          <w:lang w:eastAsia="en-GB" w:bidi="en-GB"/>
        </w:rPr>
        <w:t>ning</w:t>
      </w:r>
      <w:r>
        <w:rPr>
          <w:rFonts w:ascii="Calibri" w:eastAsia="Calibri" w:hAnsi="Calibri" w:cs="Arial"/>
          <w:sz w:val="18"/>
          <w:szCs w:val="18"/>
          <w:lang w:eastAsia="en-GB" w:bidi="en-GB"/>
        </w:rPr>
        <w:t xml:space="preserve"> for activation </w:t>
      </w:r>
      <w:r w:rsidR="00337EED">
        <w:rPr>
          <w:rFonts w:ascii="Calibri" w:eastAsia="Calibri" w:hAnsi="Calibri" w:cs="Arial"/>
          <w:sz w:val="18"/>
          <w:szCs w:val="18"/>
          <w:lang w:eastAsia="en-GB" w:bidi="en-GB"/>
        </w:rPr>
        <w:t>as</w:t>
      </w:r>
      <w:r>
        <w:rPr>
          <w:rFonts w:ascii="Calibri" w:eastAsia="Calibri" w:hAnsi="Calibri" w:cs="Arial"/>
          <w:sz w:val="18"/>
          <w:szCs w:val="18"/>
          <w:lang w:eastAsia="en-GB" w:bidi="en-GB"/>
        </w:rPr>
        <w:t xml:space="preserve"> </w:t>
      </w:r>
      <w:r w:rsidR="003D7381">
        <w:rPr>
          <w:rFonts w:ascii="Calibri" w:eastAsia="Calibri" w:hAnsi="Calibri" w:cs="Arial"/>
          <w:sz w:val="18"/>
          <w:szCs w:val="18"/>
          <w:lang w:eastAsia="en-GB" w:bidi="en-GB"/>
        </w:rPr>
        <w:t xml:space="preserve">social restrictions </w:t>
      </w:r>
      <w:r w:rsidR="00337EED">
        <w:rPr>
          <w:rFonts w:ascii="Calibri" w:eastAsia="Calibri" w:hAnsi="Calibri" w:cs="Arial"/>
          <w:sz w:val="18"/>
          <w:szCs w:val="18"/>
          <w:lang w:eastAsia="en-GB" w:bidi="en-GB"/>
        </w:rPr>
        <w:t>begin to ease</w:t>
      </w:r>
      <w:r>
        <w:rPr>
          <w:rFonts w:ascii="Calibri" w:eastAsia="Calibri" w:hAnsi="Calibri" w:cs="Arial"/>
          <w:sz w:val="18"/>
          <w:szCs w:val="18"/>
          <w:lang w:eastAsia="en-GB" w:bidi="en-GB"/>
        </w:rPr>
        <w:t>.</w:t>
      </w:r>
    </w:p>
    <w:p w14:paraId="25200C28" w14:textId="1CE97349" w:rsidR="003C7BC3" w:rsidRPr="003C7BC3" w:rsidRDefault="008B3970"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The Group </w:t>
      </w:r>
      <w:r w:rsidR="00337EED">
        <w:rPr>
          <w:rFonts w:ascii="Calibri" w:eastAsia="Calibri" w:hAnsi="Calibri" w:cs="Arial"/>
          <w:sz w:val="18"/>
          <w:szCs w:val="18"/>
          <w:lang w:eastAsia="en-GB" w:bidi="en-GB"/>
        </w:rPr>
        <w:t>has taken</w:t>
      </w:r>
      <w:r w:rsidRPr="003C7BC3">
        <w:rPr>
          <w:rFonts w:ascii="Calibri" w:eastAsia="Calibri" w:hAnsi="Calibri" w:cs="Arial"/>
          <w:sz w:val="18"/>
          <w:szCs w:val="18"/>
          <w:lang w:eastAsia="en-GB" w:bidi="en-GB"/>
        </w:rPr>
        <w:t xml:space="preserve"> prudent measures to protect profitability and cashflow</w:t>
      </w:r>
      <w:r>
        <w:rPr>
          <w:rFonts w:ascii="Calibri" w:eastAsia="Calibri" w:hAnsi="Calibri" w:cs="Arial"/>
          <w:sz w:val="18"/>
          <w:szCs w:val="18"/>
          <w:lang w:eastAsia="en-GB" w:bidi="en-GB"/>
        </w:rPr>
        <w:t xml:space="preserve"> to</w:t>
      </w:r>
      <w:r w:rsidRPr="003C7BC3">
        <w:rPr>
          <w:rFonts w:ascii="Calibri" w:eastAsia="Calibri" w:hAnsi="Calibri" w:cs="Arial"/>
          <w:sz w:val="18"/>
          <w:szCs w:val="18"/>
          <w:lang w:eastAsia="en-GB" w:bidi="en-GB"/>
        </w:rPr>
        <w:t xml:space="preserve"> ensur</w:t>
      </w:r>
      <w:r>
        <w:rPr>
          <w:rFonts w:ascii="Calibri" w:eastAsia="Calibri" w:hAnsi="Calibri" w:cs="Arial"/>
          <w:sz w:val="18"/>
          <w:szCs w:val="18"/>
          <w:lang w:eastAsia="en-GB" w:bidi="en-GB"/>
        </w:rPr>
        <w:t>e</w:t>
      </w:r>
      <w:r w:rsidRPr="003C7BC3">
        <w:rPr>
          <w:rFonts w:ascii="Calibri" w:eastAsia="Calibri" w:hAnsi="Calibri" w:cs="Arial"/>
          <w:sz w:val="18"/>
          <w:szCs w:val="18"/>
          <w:lang w:eastAsia="en-GB" w:bidi="en-GB"/>
        </w:rPr>
        <w:t xml:space="preserve"> maximum flexibility through this uncertain environment. </w:t>
      </w:r>
      <w:r>
        <w:rPr>
          <w:rFonts w:ascii="Calibri" w:eastAsia="Calibri" w:hAnsi="Calibri" w:cs="Arial"/>
          <w:sz w:val="18"/>
          <w:szCs w:val="18"/>
          <w:lang w:eastAsia="en-GB" w:bidi="en-GB"/>
        </w:rPr>
        <w:t>It has:</w:t>
      </w:r>
    </w:p>
    <w:p w14:paraId="597F2FA6" w14:textId="77777777" w:rsidR="003C7BC3" w:rsidRPr="003C7BC3" w:rsidRDefault="008B3970" w:rsidP="00C26CE0">
      <w:pPr>
        <w:widowControl w:val="0"/>
        <w:numPr>
          <w:ilvl w:val="0"/>
          <w:numId w:val="28"/>
        </w:numPr>
        <w:autoSpaceDE w:val="0"/>
        <w:autoSpaceDN w:val="0"/>
        <w:spacing w:after="0" w:line="240" w:lineRule="auto"/>
        <w:jc w:val="both"/>
        <w:rPr>
          <w:rFonts w:ascii="Calibri" w:eastAsia="Calibri" w:hAnsi="Calibri" w:cs="Arial"/>
          <w:sz w:val="18"/>
          <w:szCs w:val="18"/>
          <w:lang w:eastAsia="en-GB" w:bidi="en-GB"/>
        </w:rPr>
      </w:pPr>
      <w:r>
        <w:rPr>
          <w:rFonts w:ascii="Calibri" w:eastAsia="Calibri" w:hAnsi="Calibri" w:cs="Arial"/>
          <w:sz w:val="18"/>
          <w:szCs w:val="18"/>
          <w:lang w:eastAsia="en-GB" w:bidi="en-GB"/>
        </w:rPr>
        <w:t>T</w:t>
      </w:r>
      <w:r w:rsidR="003C7BC3" w:rsidRPr="003C7BC3">
        <w:rPr>
          <w:rFonts w:ascii="Calibri" w:eastAsia="Calibri" w:hAnsi="Calibri" w:cs="Arial"/>
          <w:sz w:val="18"/>
          <w:szCs w:val="18"/>
          <w:lang w:eastAsia="en-GB" w:bidi="en-GB"/>
        </w:rPr>
        <w:t>ightened its food to go production network by temporarily ceasing production at its Bow, Atherstone and Heathrow facilities and rationalising production at its Northampton site.</w:t>
      </w:r>
    </w:p>
    <w:p w14:paraId="7F53DA54" w14:textId="77777777" w:rsidR="003C7BC3" w:rsidRPr="003C7BC3" w:rsidRDefault="008B3970" w:rsidP="00C26CE0">
      <w:pPr>
        <w:widowControl w:val="0"/>
        <w:numPr>
          <w:ilvl w:val="0"/>
          <w:numId w:val="28"/>
        </w:numPr>
        <w:autoSpaceDE w:val="0"/>
        <w:autoSpaceDN w:val="0"/>
        <w:spacing w:after="0" w:line="240" w:lineRule="auto"/>
        <w:jc w:val="both"/>
        <w:rPr>
          <w:rFonts w:ascii="Calibri" w:eastAsia="Calibri" w:hAnsi="Calibri" w:cs="Arial"/>
          <w:sz w:val="18"/>
          <w:szCs w:val="18"/>
          <w:lang w:eastAsia="en-GB" w:bidi="en-GB"/>
        </w:rPr>
      </w:pPr>
      <w:r>
        <w:rPr>
          <w:rFonts w:ascii="Calibri" w:eastAsia="Calibri" w:hAnsi="Calibri" w:cs="Arial"/>
          <w:sz w:val="18"/>
          <w:szCs w:val="18"/>
          <w:lang w:eastAsia="en-GB" w:bidi="en-GB"/>
        </w:rPr>
        <w:t>F</w:t>
      </w:r>
      <w:r w:rsidR="003C7BC3" w:rsidRPr="003C7BC3">
        <w:rPr>
          <w:rFonts w:ascii="Calibri" w:eastAsia="Calibri" w:hAnsi="Calibri" w:cs="Arial"/>
          <w:sz w:val="18"/>
          <w:szCs w:val="18"/>
          <w:lang w:eastAsia="en-GB" w:bidi="en-GB"/>
        </w:rPr>
        <w:t xml:space="preserve">urloughed </w:t>
      </w:r>
      <w:r w:rsidR="00836AD1">
        <w:rPr>
          <w:rFonts w:ascii="Calibri" w:eastAsia="Calibri" w:hAnsi="Calibri" w:cs="Arial"/>
          <w:sz w:val="18"/>
          <w:szCs w:val="18"/>
          <w:lang w:eastAsia="en-GB" w:bidi="en-GB"/>
        </w:rPr>
        <w:t>a substantial proportion of</w:t>
      </w:r>
      <w:r w:rsidR="00A14F58" w:rsidRPr="003C7BC3">
        <w:rPr>
          <w:rFonts w:ascii="Calibri" w:eastAsia="Calibri" w:hAnsi="Calibri" w:cs="Arial"/>
          <w:sz w:val="18"/>
          <w:szCs w:val="18"/>
          <w:lang w:eastAsia="en-GB" w:bidi="en-GB"/>
        </w:rPr>
        <w:t xml:space="preserve"> </w:t>
      </w:r>
      <w:r w:rsidR="003C7BC3" w:rsidRPr="003C7BC3">
        <w:rPr>
          <w:rFonts w:ascii="Calibri" w:eastAsia="Calibri" w:hAnsi="Calibri" w:cs="Arial"/>
          <w:sz w:val="18"/>
          <w:szCs w:val="18"/>
          <w:lang w:eastAsia="en-GB" w:bidi="en-GB"/>
        </w:rPr>
        <w:t xml:space="preserve">colleagues, using the Government’s Coronavirus Job Retention Scheme. </w:t>
      </w:r>
    </w:p>
    <w:p w14:paraId="4EEBBF5A" w14:textId="77777777" w:rsidR="003C7BC3" w:rsidRPr="003C7BC3" w:rsidRDefault="008B3970" w:rsidP="00C26CE0">
      <w:pPr>
        <w:widowControl w:val="0"/>
        <w:numPr>
          <w:ilvl w:val="0"/>
          <w:numId w:val="28"/>
        </w:numPr>
        <w:autoSpaceDE w:val="0"/>
        <w:autoSpaceDN w:val="0"/>
        <w:spacing w:after="0" w:line="240" w:lineRule="auto"/>
        <w:jc w:val="both"/>
        <w:rPr>
          <w:rFonts w:ascii="Calibri" w:eastAsia="Calibri" w:hAnsi="Calibri" w:cs="Arial"/>
          <w:sz w:val="18"/>
          <w:szCs w:val="18"/>
          <w:lang w:eastAsia="en-GB" w:bidi="en-GB"/>
        </w:rPr>
      </w:pPr>
      <w:r>
        <w:rPr>
          <w:rFonts w:ascii="Calibri" w:eastAsia="Calibri" w:hAnsi="Calibri" w:cs="Arial"/>
          <w:sz w:val="18"/>
          <w:szCs w:val="18"/>
          <w:lang w:eastAsia="en-GB" w:bidi="en-GB"/>
        </w:rPr>
        <w:t>E</w:t>
      </w:r>
      <w:r w:rsidR="003C7BC3" w:rsidRPr="003C7BC3">
        <w:rPr>
          <w:rFonts w:ascii="Calibri" w:eastAsia="Calibri" w:hAnsi="Calibri" w:cs="Arial"/>
          <w:sz w:val="18"/>
          <w:szCs w:val="18"/>
          <w:lang w:eastAsia="en-GB" w:bidi="en-GB"/>
        </w:rPr>
        <w:t>liminated all non-essential operating costs</w:t>
      </w:r>
      <w:r w:rsidR="002240E2">
        <w:rPr>
          <w:rFonts w:ascii="Calibri" w:eastAsia="Calibri" w:hAnsi="Calibri" w:cs="Arial"/>
          <w:sz w:val="18"/>
          <w:szCs w:val="18"/>
          <w:lang w:eastAsia="en-GB" w:bidi="en-GB"/>
        </w:rPr>
        <w:t xml:space="preserve"> including recruitment, travel, and other variable overheads</w:t>
      </w:r>
      <w:r w:rsidR="003C7BC3" w:rsidRPr="003C7BC3">
        <w:rPr>
          <w:rFonts w:ascii="Calibri" w:eastAsia="Calibri" w:hAnsi="Calibri" w:cs="Arial"/>
          <w:sz w:val="18"/>
          <w:szCs w:val="18"/>
          <w:lang w:eastAsia="en-GB" w:bidi="en-GB"/>
        </w:rPr>
        <w:t xml:space="preserve">. </w:t>
      </w:r>
    </w:p>
    <w:p w14:paraId="4518BCD5" w14:textId="2BA6A3CF" w:rsidR="003C7BC3" w:rsidRPr="009A0CE8" w:rsidRDefault="008B3970" w:rsidP="00C26CE0">
      <w:pPr>
        <w:widowControl w:val="0"/>
        <w:numPr>
          <w:ilvl w:val="0"/>
          <w:numId w:val="28"/>
        </w:numPr>
        <w:autoSpaceDE w:val="0"/>
        <w:autoSpaceDN w:val="0"/>
        <w:spacing w:after="0" w:line="240" w:lineRule="auto"/>
        <w:jc w:val="both"/>
        <w:rPr>
          <w:rFonts w:ascii="Calibri" w:eastAsia="Calibri" w:hAnsi="Calibri" w:cs="Arial"/>
          <w:sz w:val="18"/>
          <w:szCs w:val="18"/>
          <w:lang w:eastAsia="en-GB" w:bidi="en-GB"/>
        </w:rPr>
      </w:pPr>
      <w:r>
        <w:rPr>
          <w:rFonts w:ascii="Calibri" w:eastAsia="Calibri" w:hAnsi="Calibri" w:cs="Arial"/>
          <w:sz w:val="18"/>
          <w:szCs w:val="18"/>
          <w:lang w:eastAsia="en-GB" w:bidi="en-GB"/>
        </w:rPr>
        <w:t>A</w:t>
      </w:r>
      <w:r w:rsidR="003C7BC3" w:rsidRPr="003C7BC3">
        <w:rPr>
          <w:rFonts w:ascii="Calibri" w:eastAsia="Calibri" w:hAnsi="Calibri" w:cs="Arial"/>
          <w:sz w:val="18"/>
          <w:szCs w:val="18"/>
          <w:lang w:eastAsia="en-GB" w:bidi="en-GB"/>
        </w:rPr>
        <w:t>nnounced on 30 March</w:t>
      </w:r>
      <w:r>
        <w:rPr>
          <w:rFonts w:ascii="Calibri" w:eastAsia="Calibri" w:hAnsi="Calibri" w:cs="Arial"/>
          <w:sz w:val="18"/>
          <w:szCs w:val="18"/>
          <w:lang w:eastAsia="en-GB" w:bidi="en-GB"/>
        </w:rPr>
        <w:t xml:space="preserve"> that</w:t>
      </w:r>
      <w:r w:rsidR="003C7BC3" w:rsidRPr="003C7BC3">
        <w:rPr>
          <w:rFonts w:ascii="Calibri" w:eastAsia="Calibri" w:hAnsi="Calibri" w:cs="Arial"/>
          <w:sz w:val="18"/>
          <w:szCs w:val="18"/>
          <w:lang w:eastAsia="en-GB" w:bidi="en-GB"/>
        </w:rPr>
        <w:t xml:space="preserve"> the Board and the Executive Directors </w:t>
      </w:r>
      <w:r>
        <w:rPr>
          <w:rFonts w:ascii="Calibri" w:eastAsia="Calibri" w:hAnsi="Calibri" w:cs="Arial"/>
          <w:sz w:val="18"/>
          <w:szCs w:val="18"/>
          <w:lang w:eastAsia="en-GB" w:bidi="en-GB"/>
        </w:rPr>
        <w:t xml:space="preserve">have </w:t>
      </w:r>
      <w:r w:rsidR="003C7BC3" w:rsidRPr="003C7BC3">
        <w:rPr>
          <w:rFonts w:ascii="Calibri" w:eastAsia="Calibri" w:hAnsi="Calibri" w:cs="Arial"/>
          <w:sz w:val="18"/>
          <w:szCs w:val="18"/>
          <w:lang w:eastAsia="en-GB" w:bidi="en-GB"/>
        </w:rPr>
        <w:t>voluntarily agreed to take a 30% reduction in respective fees and base salary for a period of three months</w:t>
      </w:r>
      <w:r w:rsidR="00A60249">
        <w:rPr>
          <w:rFonts w:ascii="Calibri" w:eastAsia="Calibri" w:hAnsi="Calibri" w:cs="Arial"/>
          <w:sz w:val="18"/>
          <w:szCs w:val="18"/>
          <w:lang w:eastAsia="en-GB" w:bidi="en-GB"/>
        </w:rPr>
        <w:t xml:space="preserve">, </w:t>
      </w:r>
      <w:r w:rsidR="003C7BC3" w:rsidRPr="003C7BC3">
        <w:rPr>
          <w:rFonts w:ascii="Calibri" w:eastAsia="Calibri" w:hAnsi="Calibri" w:cs="Arial"/>
          <w:sz w:val="18"/>
          <w:szCs w:val="18"/>
          <w:lang w:eastAsia="en-GB" w:bidi="en-GB"/>
        </w:rPr>
        <w:t xml:space="preserve">with the wider </w:t>
      </w:r>
      <w:r w:rsidR="00A60249">
        <w:rPr>
          <w:rFonts w:ascii="Calibri" w:eastAsia="Calibri" w:hAnsi="Calibri" w:cs="Arial"/>
          <w:sz w:val="18"/>
          <w:szCs w:val="18"/>
          <w:lang w:eastAsia="en-GB" w:bidi="en-GB"/>
        </w:rPr>
        <w:t xml:space="preserve">senior </w:t>
      </w:r>
      <w:r w:rsidR="003C7BC3" w:rsidRPr="003C7BC3">
        <w:rPr>
          <w:rFonts w:ascii="Calibri" w:eastAsia="Calibri" w:hAnsi="Calibri" w:cs="Arial"/>
          <w:sz w:val="18"/>
          <w:szCs w:val="18"/>
          <w:lang w:eastAsia="en-GB" w:bidi="en-GB"/>
        </w:rPr>
        <w:t xml:space="preserve">teams also taking </w:t>
      </w:r>
      <w:r w:rsidR="003C7BC3" w:rsidRPr="009A0CE8">
        <w:rPr>
          <w:rFonts w:ascii="Calibri" w:eastAsia="Calibri" w:hAnsi="Calibri" w:cs="Arial"/>
          <w:sz w:val="18"/>
          <w:szCs w:val="18"/>
          <w:lang w:eastAsia="en-GB" w:bidi="en-GB"/>
        </w:rPr>
        <w:t xml:space="preserve">a voluntary reduction of between 10% and 20% of base salary for the same period. </w:t>
      </w:r>
    </w:p>
    <w:p w14:paraId="51AB4564" w14:textId="77777777" w:rsidR="00EE6D04" w:rsidRPr="009A0CE8" w:rsidRDefault="00EE6D04" w:rsidP="00EF647C">
      <w:pPr>
        <w:widowControl w:val="0"/>
        <w:autoSpaceDE w:val="0"/>
        <w:autoSpaceDN w:val="0"/>
        <w:spacing w:after="0" w:line="240" w:lineRule="auto"/>
        <w:jc w:val="both"/>
        <w:rPr>
          <w:rFonts w:ascii="Calibri" w:eastAsia="Calibri" w:hAnsi="Calibri" w:cs="Arial"/>
          <w:sz w:val="18"/>
          <w:szCs w:val="18"/>
          <w:lang w:eastAsia="en-GB" w:bidi="en-GB"/>
        </w:rPr>
      </w:pPr>
    </w:p>
    <w:p w14:paraId="32E70E52" w14:textId="357B2E48" w:rsidR="00EF647C" w:rsidRPr="009A0CE8" w:rsidRDefault="00EF647C" w:rsidP="00B52070">
      <w:pPr>
        <w:widowControl w:val="0"/>
        <w:autoSpaceDE w:val="0"/>
        <w:autoSpaceDN w:val="0"/>
        <w:spacing w:after="0" w:line="240" w:lineRule="auto"/>
        <w:jc w:val="both"/>
        <w:rPr>
          <w:rFonts w:ascii="Calibri" w:eastAsia="Calibri" w:hAnsi="Calibri" w:cs="Arial"/>
          <w:sz w:val="18"/>
          <w:szCs w:val="18"/>
          <w:lang w:eastAsia="en-GB" w:bidi="en-GB"/>
        </w:rPr>
      </w:pPr>
      <w:r w:rsidRPr="009A0CE8">
        <w:rPr>
          <w:rFonts w:ascii="Calibri" w:eastAsia="Calibri" w:hAnsi="Calibri" w:cs="Arial"/>
          <w:sz w:val="18"/>
          <w:szCs w:val="18"/>
          <w:lang w:eastAsia="en-GB" w:bidi="en-GB"/>
        </w:rPr>
        <w:t>The</w:t>
      </w:r>
      <w:r w:rsidR="00EE6D04" w:rsidRPr="009A0CE8">
        <w:rPr>
          <w:rFonts w:ascii="Calibri" w:eastAsia="Calibri" w:hAnsi="Calibri" w:cs="Arial"/>
          <w:sz w:val="18"/>
          <w:szCs w:val="18"/>
          <w:lang w:eastAsia="en-GB" w:bidi="en-GB"/>
        </w:rPr>
        <w:t xml:space="preserve"> impact from the full suite of mitigating actions is now returning the Group to modestly positive EBITDA.</w:t>
      </w:r>
    </w:p>
    <w:p w14:paraId="611108C0" w14:textId="77777777" w:rsidR="003C7BC3" w:rsidRPr="00F73714"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p>
    <w:p w14:paraId="658991A1" w14:textId="77777777" w:rsidR="00D714BD" w:rsidRPr="00F73714" w:rsidRDefault="00D714BD" w:rsidP="005B3BEE">
      <w:pPr>
        <w:widowControl w:val="0"/>
        <w:autoSpaceDE w:val="0"/>
        <w:autoSpaceDN w:val="0"/>
        <w:spacing w:after="120" w:line="240" w:lineRule="auto"/>
        <w:jc w:val="both"/>
        <w:rPr>
          <w:rFonts w:ascii="Calibri" w:eastAsia="Calibri" w:hAnsi="Calibri" w:cs="Arial"/>
          <w:b/>
          <w:bCs/>
          <w:sz w:val="18"/>
          <w:szCs w:val="18"/>
          <w:lang w:eastAsia="en-GB" w:bidi="en-GB"/>
        </w:rPr>
      </w:pPr>
      <w:r w:rsidRPr="00F73714">
        <w:rPr>
          <w:rFonts w:ascii="Calibri" w:eastAsia="Calibri" w:hAnsi="Calibri" w:cs="Arial"/>
          <w:b/>
          <w:bCs/>
          <w:sz w:val="18"/>
          <w:szCs w:val="18"/>
          <w:lang w:eastAsia="en-GB" w:bidi="en-GB"/>
        </w:rPr>
        <w:t>Liquidity</w:t>
      </w:r>
    </w:p>
    <w:p w14:paraId="6D6EEAC7" w14:textId="4EF9CCA3" w:rsidR="003C7BC3" w:rsidRPr="009A0CE8" w:rsidRDefault="003C7BC3" w:rsidP="005B3BEE">
      <w:pPr>
        <w:widowControl w:val="0"/>
        <w:autoSpaceDE w:val="0"/>
        <w:autoSpaceDN w:val="0"/>
        <w:spacing w:after="120" w:line="240" w:lineRule="auto"/>
        <w:jc w:val="both"/>
        <w:rPr>
          <w:rFonts w:ascii="Calibri" w:eastAsia="Calibri" w:hAnsi="Calibri" w:cs="Arial"/>
          <w:sz w:val="18"/>
          <w:szCs w:val="18"/>
          <w:lang w:eastAsia="en-GB" w:bidi="en-GB"/>
        </w:rPr>
      </w:pPr>
      <w:r w:rsidRPr="009A0CE8">
        <w:rPr>
          <w:rFonts w:ascii="Calibri" w:eastAsia="Calibri" w:hAnsi="Calibri" w:cs="Arial"/>
          <w:sz w:val="18"/>
          <w:szCs w:val="18"/>
          <w:lang w:eastAsia="en-GB" w:bidi="en-GB"/>
        </w:rPr>
        <w:t xml:space="preserve">The Group is </w:t>
      </w:r>
      <w:r w:rsidR="00545A9A" w:rsidRPr="009A0CE8">
        <w:rPr>
          <w:rFonts w:ascii="Calibri" w:eastAsia="Calibri" w:hAnsi="Calibri" w:cs="Arial"/>
          <w:sz w:val="18"/>
          <w:szCs w:val="18"/>
          <w:lang w:eastAsia="en-GB" w:bidi="en-GB"/>
        </w:rPr>
        <w:t xml:space="preserve">also </w:t>
      </w:r>
      <w:r w:rsidRPr="009A0CE8">
        <w:rPr>
          <w:rFonts w:ascii="Calibri" w:eastAsia="Calibri" w:hAnsi="Calibri" w:cs="Arial"/>
          <w:sz w:val="18"/>
          <w:szCs w:val="18"/>
          <w:lang w:eastAsia="en-GB" w:bidi="en-GB"/>
        </w:rPr>
        <w:t>focussed on conserving balance sheet strength and liquidity,</w:t>
      </w:r>
      <w:r w:rsidR="005B3BEE" w:rsidRPr="009A0CE8">
        <w:rPr>
          <w:rFonts w:ascii="Calibri" w:eastAsia="Calibri" w:hAnsi="Calibri" w:cs="Arial"/>
          <w:sz w:val="18"/>
          <w:szCs w:val="18"/>
          <w:lang w:eastAsia="en-GB" w:bidi="en-GB"/>
        </w:rPr>
        <w:t xml:space="preserve"> </w:t>
      </w:r>
      <w:r w:rsidRPr="009A0CE8">
        <w:rPr>
          <w:rFonts w:ascii="Calibri" w:eastAsia="Calibri" w:hAnsi="Calibri" w:cs="Arial"/>
          <w:sz w:val="18"/>
          <w:szCs w:val="18"/>
          <w:lang w:eastAsia="en-GB" w:bidi="en-GB"/>
        </w:rPr>
        <w:t xml:space="preserve">and retains substantial </w:t>
      </w:r>
      <w:r w:rsidRPr="00B52070">
        <w:rPr>
          <w:rFonts w:ascii="Calibri" w:eastAsia="Calibri" w:hAnsi="Calibri" w:cs="Arial"/>
          <w:sz w:val="18"/>
          <w:szCs w:val="18"/>
          <w:lang w:eastAsia="en-GB" w:bidi="en-GB"/>
        </w:rPr>
        <w:t>and increased</w:t>
      </w:r>
      <w:r w:rsidRPr="009A0CE8">
        <w:rPr>
          <w:rFonts w:ascii="Calibri" w:eastAsia="Calibri" w:hAnsi="Calibri" w:cs="Arial"/>
          <w:sz w:val="18"/>
          <w:szCs w:val="18"/>
          <w:lang w:eastAsia="en-GB" w:bidi="en-GB"/>
        </w:rPr>
        <w:t xml:space="preserve"> financial headroom.</w:t>
      </w:r>
      <w:r w:rsidR="00545A9A" w:rsidRPr="009A0CE8">
        <w:rPr>
          <w:rFonts w:ascii="Calibri" w:eastAsia="Calibri" w:hAnsi="Calibri" w:cs="Arial"/>
          <w:sz w:val="18"/>
          <w:szCs w:val="18"/>
          <w:lang w:eastAsia="en-GB" w:bidi="en-GB"/>
        </w:rPr>
        <w:t xml:space="preserve"> </w:t>
      </w:r>
      <w:r w:rsidR="003D1D46" w:rsidRPr="009A0CE8">
        <w:rPr>
          <w:rFonts w:ascii="Calibri" w:eastAsia="Calibri" w:hAnsi="Calibri" w:cs="Arial"/>
          <w:sz w:val="18"/>
          <w:szCs w:val="18"/>
          <w:lang w:eastAsia="en-GB" w:bidi="en-GB"/>
        </w:rPr>
        <w:t>Together with positive underlying market fundamentals and the Group’s market position, this leaves Greencore well placed to deliver over the medium term.</w:t>
      </w:r>
    </w:p>
    <w:p w14:paraId="69B753F5" w14:textId="756909B5" w:rsidR="00BB1BE6" w:rsidRPr="009A0CE8" w:rsidRDefault="00D714BD" w:rsidP="005B3BEE">
      <w:pPr>
        <w:widowControl w:val="0"/>
        <w:autoSpaceDE w:val="0"/>
        <w:autoSpaceDN w:val="0"/>
        <w:spacing w:after="0" w:line="240" w:lineRule="auto"/>
        <w:jc w:val="both"/>
        <w:rPr>
          <w:rFonts w:ascii="Calibri" w:eastAsia="Calibri" w:hAnsi="Calibri" w:cs="Arial"/>
          <w:sz w:val="18"/>
          <w:szCs w:val="18"/>
          <w:lang w:eastAsia="en-GB" w:bidi="en-GB"/>
        </w:rPr>
      </w:pPr>
      <w:r w:rsidRPr="009A0CE8">
        <w:rPr>
          <w:rFonts w:ascii="Calibri" w:eastAsia="Calibri" w:hAnsi="Calibri" w:cs="Arial"/>
          <w:sz w:val="18"/>
          <w:szCs w:val="18"/>
          <w:lang w:eastAsia="en-GB" w:bidi="en-GB"/>
        </w:rPr>
        <w:t xml:space="preserve">Greencore had cash and undrawn committed bank facilities of £267.5m at 27 March 2020. This includes a newly agreed £75m committed debt facility which matures in March 2021. </w:t>
      </w:r>
    </w:p>
    <w:p w14:paraId="59A6536C" w14:textId="77777777" w:rsidR="005B3BEE" w:rsidRPr="009A0CE8" w:rsidRDefault="005B3BEE" w:rsidP="005B3BEE">
      <w:pPr>
        <w:widowControl w:val="0"/>
        <w:autoSpaceDE w:val="0"/>
        <w:autoSpaceDN w:val="0"/>
        <w:spacing w:after="0" w:line="240" w:lineRule="auto"/>
        <w:jc w:val="both"/>
        <w:rPr>
          <w:rFonts w:ascii="Calibri" w:eastAsia="Calibri" w:hAnsi="Calibri" w:cs="Arial"/>
          <w:sz w:val="18"/>
          <w:szCs w:val="18"/>
          <w:lang w:eastAsia="en-GB" w:bidi="en-GB"/>
        </w:rPr>
      </w:pPr>
    </w:p>
    <w:p w14:paraId="42702501" w14:textId="2DBE1249" w:rsidR="009C6F05" w:rsidRPr="00B52070" w:rsidRDefault="007B6538" w:rsidP="00B52070">
      <w:pPr>
        <w:pStyle w:val="ListParagraph"/>
        <w:widowControl w:val="0"/>
        <w:numPr>
          <w:ilvl w:val="0"/>
          <w:numId w:val="15"/>
        </w:numPr>
        <w:autoSpaceDE w:val="0"/>
        <w:autoSpaceDN w:val="0"/>
        <w:spacing w:after="0" w:line="240" w:lineRule="auto"/>
        <w:jc w:val="both"/>
        <w:rPr>
          <w:rFonts w:ascii="Calibri" w:eastAsia="Calibri" w:hAnsi="Calibri" w:cs="Arial"/>
          <w:sz w:val="18"/>
          <w:szCs w:val="18"/>
          <w:lang w:eastAsia="en-GB" w:bidi="en-GB"/>
        </w:rPr>
      </w:pPr>
      <w:r w:rsidRPr="00B52070">
        <w:rPr>
          <w:rFonts w:ascii="Calibri" w:eastAsia="Calibri" w:hAnsi="Calibri" w:cs="Arial"/>
          <w:sz w:val="18"/>
          <w:szCs w:val="18"/>
          <w:lang w:eastAsia="en-GB" w:bidi="en-GB"/>
        </w:rPr>
        <w:t>Since</w:t>
      </w:r>
      <w:r w:rsidR="00A91DFC" w:rsidRPr="00B52070">
        <w:rPr>
          <w:rFonts w:ascii="Calibri" w:eastAsia="Calibri" w:hAnsi="Calibri" w:cs="Arial"/>
          <w:sz w:val="18"/>
          <w:szCs w:val="18"/>
          <w:lang w:eastAsia="en-GB" w:bidi="en-GB"/>
        </w:rPr>
        <w:t xml:space="preserve"> </w:t>
      </w:r>
      <w:r w:rsidR="00CB2AF1" w:rsidRPr="00B52070">
        <w:rPr>
          <w:rFonts w:ascii="Calibri" w:eastAsia="Calibri" w:hAnsi="Calibri" w:cs="Arial"/>
          <w:sz w:val="18"/>
          <w:szCs w:val="18"/>
          <w:lang w:eastAsia="en-GB" w:bidi="en-GB"/>
        </w:rPr>
        <w:t xml:space="preserve">the end of </w:t>
      </w:r>
      <w:r w:rsidR="002D4204" w:rsidRPr="00B52070">
        <w:rPr>
          <w:rFonts w:ascii="Calibri" w:eastAsia="Calibri" w:hAnsi="Calibri" w:cs="Arial"/>
          <w:sz w:val="18"/>
          <w:szCs w:val="18"/>
          <w:lang w:eastAsia="en-GB" w:bidi="en-GB"/>
        </w:rPr>
        <w:t>H1</w:t>
      </w:r>
      <w:r w:rsidR="00CB2AF1" w:rsidRPr="00B52070">
        <w:rPr>
          <w:rFonts w:ascii="Calibri" w:eastAsia="Calibri" w:hAnsi="Calibri" w:cs="Arial"/>
          <w:sz w:val="18"/>
          <w:szCs w:val="18"/>
          <w:lang w:eastAsia="en-GB" w:bidi="en-GB"/>
        </w:rPr>
        <w:t xml:space="preserve"> 20</w:t>
      </w:r>
      <w:r w:rsidR="00A91DFC" w:rsidRPr="00B52070">
        <w:rPr>
          <w:rFonts w:ascii="Calibri" w:eastAsia="Calibri" w:hAnsi="Calibri" w:cs="Arial"/>
          <w:sz w:val="18"/>
          <w:szCs w:val="18"/>
          <w:lang w:eastAsia="en-GB" w:bidi="en-GB"/>
        </w:rPr>
        <w:t>, t</w:t>
      </w:r>
      <w:r w:rsidR="009C6F05" w:rsidRPr="00B52070">
        <w:rPr>
          <w:rFonts w:ascii="Calibri" w:eastAsia="Calibri" w:hAnsi="Calibri" w:cs="Arial"/>
          <w:sz w:val="18"/>
          <w:szCs w:val="18"/>
          <w:lang w:eastAsia="en-GB" w:bidi="en-GB"/>
        </w:rPr>
        <w:t xml:space="preserve">he Group secured formal agreement with its lending syndicate of banks to waive its </w:t>
      </w:r>
      <w:r w:rsidR="00A91DFC" w:rsidRPr="00B52070">
        <w:rPr>
          <w:rFonts w:ascii="Calibri" w:eastAsia="Calibri" w:hAnsi="Calibri" w:cs="Arial"/>
          <w:sz w:val="18"/>
          <w:szCs w:val="18"/>
          <w:lang w:eastAsia="en-GB" w:bidi="en-GB"/>
        </w:rPr>
        <w:t>N</w:t>
      </w:r>
      <w:r w:rsidR="009C6F05" w:rsidRPr="00B52070">
        <w:rPr>
          <w:rFonts w:ascii="Calibri" w:eastAsia="Calibri" w:hAnsi="Calibri" w:cs="Arial"/>
          <w:sz w:val="18"/>
          <w:szCs w:val="18"/>
          <w:lang w:eastAsia="en-GB" w:bidi="en-GB"/>
        </w:rPr>
        <w:t>et debt</w:t>
      </w:r>
      <w:r w:rsidR="00A91DFC" w:rsidRPr="00B52070">
        <w:rPr>
          <w:rFonts w:ascii="Calibri" w:eastAsia="Calibri" w:hAnsi="Calibri" w:cs="Arial"/>
          <w:sz w:val="18"/>
          <w:szCs w:val="18"/>
          <w:lang w:eastAsia="en-GB" w:bidi="en-GB"/>
        </w:rPr>
        <w:t>:</w:t>
      </w:r>
      <w:r w:rsidR="005B3BEE" w:rsidRPr="00B52070">
        <w:rPr>
          <w:rFonts w:ascii="Calibri" w:eastAsia="Calibri" w:hAnsi="Calibri" w:cs="Arial"/>
          <w:sz w:val="18"/>
          <w:szCs w:val="18"/>
          <w:lang w:eastAsia="en-GB" w:bidi="en-GB"/>
        </w:rPr>
        <w:t xml:space="preserve"> </w:t>
      </w:r>
      <w:r w:rsidR="009C6F05" w:rsidRPr="00B52070">
        <w:rPr>
          <w:rFonts w:ascii="Calibri" w:eastAsia="Calibri" w:hAnsi="Calibri" w:cs="Arial"/>
          <w:sz w:val="18"/>
          <w:szCs w:val="18"/>
          <w:lang w:eastAsia="en-GB" w:bidi="en-GB"/>
        </w:rPr>
        <w:t>EBITDA covenant condition for the September 2020 and March 2021 test periods.</w:t>
      </w:r>
      <w:r w:rsidR="00313FBC" w:rsidRPr="00B52070">
        <w:rPr>
          <w:rFonts w:ascii="Calibri" w:eastAsia="Calibri" w:hAnsi="Calibri" w:cs="Arial"/>
          <w:sz w:val="18"/>
          <w:szCs w:val="18"/>
          <w:lang w:eastAsia="en-GB" w:bidi="en-GB"/>
        </w:rPr>
        <w:t xml:space="preserve"> </w:t>
      </w:r>
      <w:r w:rsidR="001C4EF0">
        <w:rPr>
          <w:rFonts w:ascii="Calibri" w:eastAsia="Calibri" w:hAnsi="Calibri" w:cs="Arial"/>
          <w:sz w:val="18"/>
          <w:szCs w:val="18"/>
          <w:lang w:eastAsia="en-GB" w:bidi="en-GB"/>
        </w:rPr>
        <w:t xml:space="preserve">The Group </w:t>
      </w:r>
      <w:r w:rsidR="001C4EF0" w:rsidRPr="00B52070">
        <w:rPr>
          <w:rFonts w:ascii="Calibri" w:eastAsia="Calibri" w:hAnsi="Calibri" w:cs="Arial"/>
          <w:sz w:val="18"/>
          <w:szCs w:val="18"/>
          <w:lang w:eastAsia="en-GB" w:bidi="en-GB"/>
        </w:rPr>
        <w:t xml:space="preserve">is </w:t>
      </w:r>
      <w:r w:rsidR="00E858D5">
        <w:rPr>
          <w:rFonts w:ascii="Calibri" w:eastAsia="Calibri" w:hAnsi="Calibri" w:cs="Arial"/>
          <w:sz w:val="18"/>
          <w:szCs w:val="18"/>
          <w:lang w:eastAsia="en-GB" w:bidi="en-GB"/>
        </w:rPr>
        <w:t xml:space="preserve">also </w:t>
      </w:r>
      <w:r w:rsidR="001C4EF0" w:rsidRPr="00B52070">
        <w:rPr>
          <w:rFonts w:ascii="Calibri" w:eastAsia="Calibri" w:hAnsi="Calibri" w:cs="Arial"/>
          <w:sz w:val="18"/>
          <w:szCs w:val="18"/>
          <w:lang w:eastAsia="en-GB" w:bidi="en-GB"/>
        </w:rPr>
        <w:t xml:space="preserve">in advanced stages of discussions with the </w:t>
      </w:r>
      <w:r w:rsidR="001C4EF0">
        <w:rPr>
          <w:rFonts w:ascii="Calibri" w:eastAsia="Calibri" w:hAnsi="Calibri" w:cs="Arial"/>
          <w:sz w:val="18"/>
          <w:szCs w:val="18"/>
          <w:lang w:eastAsia="en-GB" w:bidi="en-GB"/>
        </w:rPr>
        <w:t>P</w:t>
      </w:r>
      <w:r w:rsidR="001C4EF0" w:rsidRPr="00B52070">
        <w:rPr>
          <w:rFonts w:ascii="Calibri" w:eastAsia="Calibri" w:hAnsi="Calibri" w:cs="Arial"/>
          <w:sz w:val="18"/>
          <w:szCs w:val="18"/>
          <w:lang w:eastAsia="en-GB" w:bidi="en-GB"/>
        </w:rPr>
        <w:t xml:space="preserve">rivate </w:t>
      </w:r>
      <w:r w:rsidR="001C4EF0">
        <w:rPr>
          <w:rFonts w:ascii="Calibri" w:eastAsia="Calibri" w:hAnsi="Calibri" w:cs="Arial"/>
          <w:sz w:val="18"/>
          <w:szCs w:val="18"/>
          <w:lang w:eastAsia="en-GB" w:bidi="en-GB"/>
        </w:rPr>
        <w:t>Pl</w:t>
      </w:r>
      <w:r w:rsidR="001C4EF0" w:rsidRPr="00B52070">
        <w:rPr>
          <w:rFonts w:ascii="Calibri" w:eastAsia="Calibri" w:hAnsi="Calibri" w:cs="Arial"/>
          <w:sz w:val="18"/>
          <w:szCs w:val="18"/>
          <w:lang w:eastAsia="en-GB" w:bidi="en-GB"/>
        </w:rPr>
        <w:t xml:space="preserve">acement holders in respect of a waiver of the September 2020 and March 2021 leverage covenants contained in the </w:t>
      </w:r>
      <w:r w:rsidR="001C4EF0">
        <w:rPr>
          <w:rFonts w:ascii="Calibri" w:eastAsia="Calibri" w:hAnsi="Calibri" w:cs="Arial"/>
          <w:sz w:val="18"/>
          <w:szCs w:val="18"/>
          <w:lang w:eastAsia="en-GB" w:bidi="en-GB"/>
        </w:rPr>
        <w:t>P</w:t>
      </w:r>
      <w:r w:rsidR="001C4EF0" w:rsidRPr="00B52070">
        <w:rPr>
          <w:rFonts w:ascii="Calibri" w:eastAsia="Calibri" w:hAnsi="Calibri" w:cs="Arial"/>
          <w:sz w:val="18"/>
          <w:szCs w:val="18"/>
          <w:lang w:eastAsia="en-GB" w:bidi="en-GB"/>
        </w:rPr>
        <w:t xml:space="preserve">rivate </w:t>
      </w:r>
      <w:r w:rsidR="001C4EF0">
        <w:rPr>
          <w:rFonts w:ascii="Calibri" w:eastAsia="Calibri" w:hAnsi="Calibri" w:cs="Arial"/>
          <w:sz w:val="18"/>
          <w:szCs w:val="18"/>
          <w:lang w:eastAsia="en-GB" w:bidi="en-GB"/>
        </w:rPr>
        <w:t>P</w:t>
      </w:r>
      <w:r w:rsidR="001C4EF0" w:rsidRPr="00B52070">
        <w:rPr>
          <w:rFonts w:ascii="Calibri" w:eastAsia="Calibri" w:hAnsi="Calibri" w:cs="Arial"/>
          <w:sz w:val="18"/>
          <w:szCs w:val="18"/>
          <w:lang w:eastAsia="en-GB" w:bidi="en-GB"/>
        </w:rPr>
        <w:t xml:space="preserve">lacement documentation and the </w:t>
      </w:r>
      <w:r w:rsidR="005A323C">
        <w:rPr>
          <w:rFonts w:ascii="Calibri" w:eastAsia="Calibri" w:hAnsi="Calibri" w:cs="Arial"/>
          <w:sz w:val="18"/>
          <w:szCs w:val="18"/>
          <w:lang w:eastAsia="en-GB" w:bidi="en-GB"/>
        </w:rPr>
        <w:t>Group</w:t>
      </w:r>
      <w:r w:rsidR="001C4EF0" w:rsidRPr="00B52070">
        <w:rPr>
          <w:rFonts w:ascii="Calibri" w:eastAsia="Calibri" w:hAnsi="Calibri" w:cs="Arial"/>
          <w:sz w:val="18"/>
          <w:szCs w:val="18"/>
          <w:lang w:eastAsia="en-GB" w:bidi="en-GB"/>
        </w:rPr>
        <w:t xml:space="preserve"> expects that an agreement in respect of such waivers will be finalised and concluded in the coming weeks</w:t>
      </w:r>
      <w:r w:rsidR="001C4EF0">
        <w:rPr>
          <w:rFonts w:ascii="Calibri" w:eastAsia="Calibri" w:hAnsi="Calibri" w:cs="Arial"/>
          <w:sz w:val="18"/>
          <w:szCs w:val="18"/>
          <w:lang w:eastAsia="en-GB" w:bidi="en-GB"/>
        </w:rPr>
        <w:t>.</w:t>
      </w:r>
    </w:p>
    <w:p w14:paraId="6A5D09E4" w14:textId="1213F76E" w:rsidR="00D714BD" w:rsidRPr="00B52070" w:rsidRDefault="0004743B" w:rsidP="00C26CE0">
      <w:pPr>
        <w:pStyle w:val="ListParagraph"/>
        <w:widowControl w:val="0"/>
        <w:numPr>
          <w:ilvl w:val="0"/>
          <w:numId w:val="15"/>
        </w:numPr>
        <w:autoSpaceDE w:val="0"/>
        <w:autoSpaceDN w:val="0"/>
        <w:spacing w:after="0" w:line="240" w:lineRule="auto"/>
        <w:jc w:val="both"/>
        <w:rPr>
          <w:rFonts w:ascii="Calibri" w:eastAsia="Calibri" w:hAnsi="Calibri" w:cs="Arial"/>
          <w:sz w:val="18"/>
          <w:szCs w:val="18"/>
          <w:lang w:eastAsia="en-GB" w:bidi="en-GB"/>
        </w:rPr>
      </w:pPr>
      <w:r w:rsidRPr="00B52070">
        <w:rPr>
          <w:rFonts w:ascii="Calibri" w:eastAsia="Calibri" w:hAnsi="Calibri" w:cs="Arial"/>
          <w:sz w:val="18"/>
          <w:szCs w:val="18"/>
          <w:lang w:eastAsia="en-GB" w:bidi="en-GB"/>
        </w:rPr>
        <w:t>In addition, t</w:t>
      </w:r>
      <w:r w:rsidR="00D714BD" w:rsidRPr="00B52070">
        <w:rPr>
          <w:rFonts w:ascii="Calibri" w:eastAsia="Calibri" w:hAnsi="Calibri" w:cs="Arial"/>
          <w:sz w:val="18"/>
          <w:szCs w:val="18"/>
          <w:lang w:eastAsia="en-GB" w:bidi="en-GB"/>
        </w:rPr>
        <w:t xml:space="preserve">he Group </w:t>
      </w:r>
      <w:r w:rsidR="00F96738" w:rsidRPr="00B52070">
        <w:rPr>
          <w:rFonts w:ascii="Calibri" w:eastAsia="Calibri" w:hAnsi="Calibri" w:cs="Arial"/>
          <w:sz w:val="18"/>
          <w:szCs w:val="18"/>
          <w:lang w:eastAsia="en-GB" w:bidi="en-GB"/>
        </w:rPr>
        <w:t xml:space="preserve">also confirms that it </w:t>
      </w:r>
      <w:r w:rsidR="00D714BD" w:rsidRPr="00B52070">
        <w:rPr>
          <w:rFonts w:ascii="Calibri" w:eastAsia="Calibri" w:hAnsi="Calibri" w:cs="Arial"/>
          <w:sz w:val="18"/>
          <w:szCs w:val="18"/>
          <w:lang w:eastAsia="en-GB" w:bidi="en-GB"/>
        </w:rPr>
        <w:t>has </w:t>
      </w:r>
      <w:r w:rsidR="00F96738" w:rsidRPr="00B52070">
        <w:rPr>
          <w:rFonts w:ascii="Calibri" w:eastAsia="Calibri" w:hAnsi="Calibri" w:cs="Arial"/>
          <w:sz w:val="18"/>
          <w:szCs w:val="18"/>
          <w:lang w:eastAsia="en-GB" w:bidi="en-GB"/>
        </w:rPr>
        <w:t>received eligibility, in principle, to access funding under</w:t>
      </w:r>
      <w:r w:rsidR="00D714BD" w:rsidRPr="00B52070">
        <w:rPr>
          <w:rFonts w:ascii="Calibri" w:eastAsia="Calibri" w:hAnsi="Calibri" w:cs="Arial"/>
          <w:sz w:val="18"/>
          <w:szCs w:val="18"/>
          <w:lang w:eastAsia="en-GB" w:bidi="en-GB"/>
        </w:rPr>
        <w:t xml:space="preserve"> th</w:t>
      </w:r>
      <w:r w:rsidR="006E465C">
        <w:rPr>
          <w:rFonts w:ascii="Calibri" w:eastAsia="Calibri" w:hAnsi="Calibri" w:cs="Arial"/>
          <w:sz w:val="18"/>
          <w:szCs w:val="18"/>
          <w:lang w:eastAsia="en-GB" w:bidi="en-GB"/>
        </w:rPr>
        <w:t>e</w:t>
      </w:r>
      <w:r w:rsidR="00D714BD" w:rsidRPr="00B52070">
        <w:rPr>
          <w:rFonts w:ascii="Calibri" w:eastAsia="Calibri" w:hAnsi="Calibri" w:cs="Arial"/>
          <w:sz w:val="18"/>
          <w:szCs w:val="18"/>
          <w:lang w:eastAsia="en-GB" w:bidi="en-GB"/>
        </w:rPr>
        <w:t xml:space="preserve"> </w:t>
      </w:r>
      <w:proofErr w:type="spellStart"/>
      <w:r w:rsidR="00D714BD" w:rsidRPr="00B52070">
        <w:rPr>
          <w:rFonts w:ascii="Calibri" w:eastAsia="Calibri" w:hAnsi="Calibri" w:cs="Arial"/>
          <w:sz w:val="18"/>
          <w:szCs w:val="18"/>
          <w:lang w:eastAsia="en-GB" w:bidi="en-GB"/>
        </w:rPr>
        <w:t>Covid</w:t>
      </w:r>
      <w:proofErr w:type="spellEnd"/>
      <w:r w:rsidR="00D714BD" w:rsidRPr="00B52070">
        <w:rPr>
          <w:rFonts w:ascii="Calibri" w:eastAsia="Calibri" w:hAnsi="Calibri" w:cs="Arial"/>
          <w:sz w:val="18"/>
          <w:szCs w:val="18"/>
          <w:lang w:eastAsia="en-GB" w:bidi="en-GB"/>
        </w:rPr>
        <w:t xml:space="preserve"> Corporate Financing Facility (CCFF)</w:t>
      </w:r>
      <w:r w:rsidR="007B6538" w:rsidRPr="00B52070">
        <w:rPr>
          <w:rFonts w:ascii="Calibri" w:eastAsia="Calibri" w:hAnsi="Calibri" w:cs="Arial"/>
          <w:sz w:val="18"/>
          <w:szCs w:val="18"/>
          <w:lang w:eastAsia="en-GB" w:bidi="en-GB"/>
        </w:rPr>
        <w:t xml:space="preserve">. </w:t>
      </w:r>
    </w:p>
    <w:p w14:paraId="0E516A0A" w14:textId="77777777" w:rsidR="00D714BD" w:rsidRPr="009A0CE8" w:rsidRDefault="003C7BC3" w:rsidP="00C26CE0">
      <w:pPr>
        <w:pStyle w:val="ListParagraph"/>
        <w:widowControl w:val="0"/>
        <w:numPr>
          <w:ilvl w:val="0"/>
          <w:numId w:val="15"/>
        </w:numPr>
        <w:autoSpaceDE w:val="0"/>
        <w:autoSpaceDN w:val="0"/>
        <w:spacing w:after="0" w:line="240" w:lineRule="auto"/>
        <w:jc w:val="both"/>
        <w:rPr>
          <w:rFonts w:ascii="Calibri" w:eastAsia="Calibri" w:hAnsi="Calibri" w:cs="Arial"/>
          <w:sz w:val="18"/>
          <w:szCs w:val="18"/>
          <w:lang w:eastAsia="en-GB" w:bidi="en-GB"/>
        </w:rPr>
      </w:pPr>
      <w:r w:rsidRPr="009A0CE8">
        <w:rPr>
          <w:rFonts w:ascii="Calibri" w:eastAsia="Calibri" w:hAnsi="Calibri" w:cs="Arial"/>
          <w:sz w:val="18"/>
          <w:szCs w:val="18"/>
          <w:lang w:eastAsia="en-GB" w:bidi="en-GB"/>
        </w:rPr>
        <w:lastRenderedPageBreak/>
        <w:t xml:space="preserve">The Group will defer a substantial portion of </w:t>
      </w:r>
      <w:r w:rsidR="00836AD1" w:rsidRPr="009A0CE8">
        <w:rPr>
          <w:rFonts w:ascii="Calibri" w:eastAsia="Calibri" w:hAnsi="Calibri" w:cs="Arial"/>
          <w:sz w:val="18"/>
          <w:szCs w:val="18"/>
          <w:lang w:eastAsia="en-GB" w:bidi="en-GB"/>
        </w:rPr>
        <w:t>non-essential</w:t>
      </w:r>
      <w:r w:rsidRPr="009A0CE8">
        <w:rPr>
          <w:rFonts w:ascii="Calibri" w:eastAsia="Calibri" w:hAnsi="Calibri" w:cs="Arial"/>
          <w:sz w:val="18"/>
          <w:szCs w:val="18"/>
          <w:lang w:eastAsia="en-GB" w:bidi="en-GB"/>
        </w:rPr>
        <w:t xml:space="preserve"> capital expenditure. </w:t>
      </w:r>
    </w:p>
    <w:p w14:paraId="645DBEEC" w14:textId="29FA9202" w:rsidR="003B6495" w:rsidRPr="009A0CE8" w:rsidRDefault="003C7BC3" w:rsidP="00C26CE0">
      <w:pPr>
        <w:pStyle w:val="ListParagraph"/>
        <w:widowControl w:val="0"/>
        <w:numPr>
          <w:ilvl w:val="0"/>
          <w:numId w:val="15"/>
        </w:numPr>
        <w:autoSpaceDE w:val="0"/>
        <w:autoSpaceDN w:val="0"/>
        <w:spacing w:after="0" w:line="240" w:lineRule="auto"/>
        <w:jc w:val="both"/>
        <w:rPr>
          <w:rFonts w:ascii="Calibri" w:eastAsia="Calibri" w:hAnsi="Calibri" w:cs="Arial"/>
          <w:sz w:val="18"/>
          <w:szCs w:val="18"/>
          <w:lang w:eastAsia="en-GB" w:bidi="en-GB"/>
        </w:rPr>
      </w:pPr>
      <w:r w:rsidRPr="009A0CE8">
        <w:rPr>
          <w:rFonts w:ascii="Calibri" w:eastAsia="Calibri" w:hAnsi="Calibri" w:cs="Arial"/>
          <w:sz w:val="18"/>
          <w:szCs w:val="18"/>
          <w:lang w:eastAsia="en-GB" w:bidi="en-GB"/>
        </w:rPr>
        <w:t xml:space="preserve">As previously </w:t>
      </w:r>
      <w:r w:rsidR="003D1D46" w:rsidRPr="009A0CE8">
        <w:rPr>
          <w:rFonts w:ascii="Calibri" w:eastAsia="Calibri" w:hAnsi="Calibri" w:cs="Arial"/>
          <w:sz w:val="18"/>
          <w:szCs w:val="18"/>
          <w:lang w:eastAsia="en-GB" w:bidi="en-GB"/>
        </w:rPr>
        <w:t>announced</w:t>
      </w:r>
      <w:r w:rsidRPr="009A0CE8">
        <w:rPr>
          <w:rFonts w:ascii="Calibri" w:eastAsia="Calibri" w:hAnsi="Calibri" w:cs="Arial"/>
          <w:sz w:val="18"/>
          <w:szCs w:val="18"/>
          <w:lang w:eastAsia="en-GB" w:bidi="en-GB"/>
        </w:rPr>
        <w:t>, the Group is not proceeding with an interim FY20 dividend payment</w:t>
      </w:r>
      <w:r w:rsidR="00D714BD" w:rsidRPr="009A0CE8">
        <w:rPr>
          <w:rFonts w:ascii="Calibri" w:eastAsia="Calibri" w:hAnsi="Calibri" w:cs="Arial"/>
          <w:sz w:val="18"/>
          <w:szCs w:val="18"/>
          <w:lang w:eastAsia="en-GB" w:bidi="en-GB"/>
        </w:rPr>
        <w:t xml:space="preserve"> and </w:t>
      </w:r>
      <w:r w:rsidR="00D673F5" w:rsidRPr="00B52070">
        <w:rPr>
          <w:rFonts w:ascii="Calibri" w:eastAsia="Calibri" w:hAnsi="Calibri" w:cs="Arial"/>
          <w:sz w:val="18"/>
          <w:szCs w:val="18"/>
          <w:lang w:eastAsia="en-GB" w:bidi="en-GB"/>
        </w:rPr>
        <w:t>the Group</w:t>
      </w:r>
      <w:r w:rsidR="00D673F5" w:rsidRPr="00B52070">
        <w:rPr>
          <w:rFonts w:ascii="Calibri" w:eastAsia="Calibri" w:hAnsi="Calibri" w:cs="Arial"/>
          <w:lang w:eastAsia="en-GB" w:bidi="en-GB"/>
        </w:rPr>
        <w:t xml:space="preserve"> </w:t>
      </w:r>
      <w:r w:rsidR="00D673F5" w:rsidRPr="00B52070">
        <w:rPr>
          <w:rFonts w:ascii="Calibri" w:eastAsia="Calibri" w:hAnsi="Calibri" w:cs="Arial"/>
          <w:sz w:val="18"/>
          <w:szCs w:val="18"/>
          <w:lang w:eastAsia="en-GB" w:bidi="en-GB"/>
        </w:rPr>
        <w:t xml:space="preserve">today announces that it will not be proceeding with either a final FY20 or an interim FY21 dividend payment. </w:t>
      </w:r>
    </w:p>
    <w:p w14:paraId="7B7253E6" w14:textId="0CC02F38" w:rsidR="00A14F58" w:rsidRPr="009A0CE8" w:rsidRDefault="003C7BC3" w:rsidP="00C26CE0">
      <w:pPr>
        <w:pStyle w:val="ListParagraph"/>
        <w:widowControl w:val="0"/>
        <w:numPr>
          <w:ilvl w:val="0"/>
          <w:numId w:val="15"/>
        </w:numPr>
        <w:autoSpaceDE w:val="0"/>
        <w:autoSpaceDN w:val="0"/>
        <w:spacing w:after="0" w:line="240" w:lineRule="auto"/>
        <w:jc w:val="both"/>
        <w:rPr>
          <w:rFonts w:ascii="Calibri" w:eastAsia="Calibri" w:hAnsi="Calibri" w:cs="Arial"/>
          <w:sz w:val="18"/>
          <w:szCs w:val="18"/>
          <w:lang w:eastAsia="en-GB" w:bidi="en-GB"/>
        </w:rPr>
      </w:pPr>
      <w:r w:rsidRPr="009A0CE8">
        <w:rPr>
          <w:rFonts w:ascii="Calibri" w:eastAsia="Calibri" w:hAnsi="Calibri" w:cs="Arial"/>
          <w:sz w:val="18"/>
          <w:szCs w:val="18"/>
          <w:lang w:eastAsia="en-GB" w:bidi="en-GB"/>
        </w:rPr>
        <w:t>Where relevant, the Group has agreed to defer cash contributions into its legacy defined benefit pension schemes.</w:t>
      </w:r>
    </w:p>
    <w:p w14:paraId="6C099B88" w14:textId="77777777" w:rsidR="00A14F58" w:rsidRPr="00B52070" w:rsidRDefault="00A14F58" w:rsidP="002E0E9E">
      <w:pPr>
        <w:widowControl w:val="0"/>
        <w:autoSpaceDE w:val="0"/>
        <w:autoSpaceDN w:val="0"/>
        <w:spacing w:after="0" w:line="240" w:lineRule="auto"/>
        <w:jc w:val="both"/>
        <w:rPr>
          <w:rFonts w:ascii="Calibri" w:eastAsia="Calibri" w:hAnsi="Calibri" w:cs="Arial"/>
          <w:sz w:val="18"/>
          <w:szCs w:val="18"/>
          <w:lang w:eastAsia="en-GB" w:bidi="en-GB"/>
        </w:rPr>
      </w:pPr>
    </w:p>
    <w:p w14:paraId="47A0AFB6" w14:textId="5817276F" w:rsidR="003C7BC3" w:rsidRPr="00B52070" w:rsidRDefault="003C7BC3" w:rsidP="005B3BEE">
      <w:pPr>
        <w:widowControl w:val="0"/>
        <w:autoSpaceDE w:val="0"/>
        <w:autoSpaceDN w:val="0"/>
        <w:spacing w:after="120" w:line="240" w:lineRule="auto"/>
        <w:jc w:val="both"/>
        <w:rPr>
          <w:rFonts w:ascii="Calibri" w:eastAsia="Calibri" w:hAnsi="Calibri" w:cs="Arial"/>
          <w:sz w:val="18"/>
          <w:szCs w:val="18"/>
          <w:lang w:eastAsia="en-GB" w:bidi="en-GB"/>
        </w:rPr>
      </w:pPr>
      <w:r w:rsidRPr="00B52070">
        <w:rPr>
          <w:rFonts w:ascii="Calibri" w:eastAsia="Calibri" w:hAnsi="Calibri" w:cs="Arial"/>
          <w:sz w:val="18"/>
          <w:szCs w:val="18"/>
          <w:lang w:eastAsia="en-GB" w:bidi="en-GB"/>
        </w:rPr>
        <w:t xml:space="preserve">The Group believes that this provides </w:t>
      </w:r>
      <w:r w:rsidR="008A28B6" w:rsidRPr="00B52070">
        <w:rPr>
          <w:rFonts w:ascii="Calibri" w:eastAsia="Calibri" w:hAnsi="Calibri" w:cs="Arial"/>
          <w:sz w:val="18"/>
          <w:szCs w:val="18"/>
          <w:lang w:eastAsia="en-GB" w:bidi="en-GB"/>
        </w:rPr>
        <w:t xml:space="preserve">more than </w:t>
      </w:r>
      <w:r w:rsidRPr="00B52070">
        <w:rPr>
          <w:rFonts w:ascii="Calibri" w:eastAsia="Calibri" w:hAnsi="Calibri" w:cs="Arial"/>
          <w:sz w:val="18"/>
          <w:szCs w:val="18"/>
          <w:lang w:eastAsia="en-GB" w:bidi="en-GB"/>
        </w:rPr>
        <w:t xml:space="preserve">sufficient liquidity to </w:t>
      </w:r>
      <w:r w:rsidR="00C85635" w:rsidRPr="00B52070">
        <w:rPr>
          <w:rFonts w:ascii="Calibri" w:eastAsia="Calibri" w:hAnsi="Calibri" w:cs="Arial"/>
          <w:sz w:val="18"/>
          <w:szCs w:val="18"/>
          <w:lang w:eastAsia="en-GB" w:bidi="en-GB"/>
        </w:rPr>
        <w:t>manage through a range of different cashflow scenarios including fluctuations in working capital</w:t>
      </w:r>
      <w:r w:rsidR="005B3BEE" w:rsidRPr="00B52070">
        <w:rPr>
          <w:rFonts w:ascii="Calibri" w:eastAsia="Calibri" w:hAnsi="Calibri" w:cs="Arial"/>
          <w:sz w:val="18"/>
          <w:szCs w:val="18"/>
          <w:lang w:eastAsia="en-GB" w:bidi="en-GB"/>
        </w:rPr>
        <w:t xml:space="preserve"> over the next 12 months</w:t>
      </w:r>
      <w:r w:rsidRPr="00B52070">
        <w:rPr>
          <w:rFonts w:ascii="Calibri" w:eastAsia="Calibri" w:hAnsi="Calibri" w:cs="Arial"/>
          <w:sz w:val="18"/>
          <w:szCs w:val="18"/>
          <w:lang w:eastAsia="en-GB" w:bidi="en-GB"/>
        </w:rPr>
        <w:t xml:space="preserve">. </w:t>
      </w:r>
    </w:p>
    <w:p w14:paraId="5A7C4C8A"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p>
    <w:p w14:paraId="6D913640" w14:textId="77777777" w:rsidR="003C7BC3" w:rsidRPr="003C7BC3" w:rsidRDefault="00996E05" w:rsidP="005B3BEE">
      <w:pPr>
        <w:pStyle w:val="SectionH2"/>
      </w:pPr>
      <w:r>
        <w:t xml:space="preserve">OUTLOOK </w:t>
      </w:r>
      <w:r w:rsidR="00836AD1">
        <w:t>- BUILDING BACK FOR BETTER</w:t>
      </w:r>
    </w:p>
    <w:p w14:paraId="551AA8C1" w14:textId="060D36FC" w:rsidR="003C7BC3" w:rsidRPr="003C7BC3" w:rsidRDefault="008B3970" w:rsidP="005B3BEE">
      <w:pPr>
        <w:widowControl w:val="0"/>
        <w:autoSpaceDE w:val="0"/>
        <w:autoSpaceDN w:val="0"/>
        <w:spacing w:after="120" w:line="240" w:lineRule="auto"/>
        <w:jc w:val="both"/>
        <w:rPr>
          <w:rFonts w:ascii="Calibri" w:eastAsia="Calibri" w:hAnsi="Calibri" w:cs="Arial"/>
          <w:sz w:val="18"/>
          <w:szCs w:val="18"/>
          <w:lang w:eastAsia="en-GB" w:bidi="en-GB"/>
        </w:rPr>
      </w:pPr>
      <w:r w:rsidRPr="008B3970">
        <w:rPr>
          <w:rFonts w:ascii="Calibri" w:eastAsia="Calibri" w:hAnsi="Calibri" w:cs="Arial"/>
          <w:sz w:val="18"/>
          <w:szCs w:val="18"/>
          <w:lang w:eastAsia="en-GB" w:bidi="en-GB"/>
        </w:rPr>
        <w:t xml:space="preserve">Whilst COVID-19 is clearly impacting Greencore’s performance in the </w:t>
      </w:r>
      <w:r>
        <w:rPr>
          <w:rFonts w:ascii="Calibri" w:eastAsia="Calibri" w:hAnsi="Calibri" w:cs="Arial"/>
          <w:sz w:val="18"/>
          <w:szCs w:val="18"/>
          <w:lang w:eastAsia="en-GB" w:bidi="en-GB"/>
        </w:rPr>
        <w:t>short-term</w:t>
      </w:r>
      <w:r w:rsidR="003C7BC3" w:rsidRPr="003C7BC3">
        <w:rPr>
          <w:rFonts w:ascii="Calibri" w:eastAsia="Calibri" w:hAnsi="Calibri" w:cs="Arial"/>
          <w:sz w:val="18"/>
          <w:szCs w:val="18"/>
          <w:lang w:eastAsia="en-GB" w:bidi="en-GB"/>
        </w:rPr>
        <w:t xml:space="preserve">, </w:t>
      </w:r>
      <w:r w:rsidR="00D714BD">
        <w:rPr>
          <w:rFonts w:ascii="Calibri" w:eastAsia="Calibri" w:hAnsi="Calibri" w:cs="Arial"/>
          <w:sz w:val="18"/>
          <w:szCs w:val="18"/>
          <w:lang w:eastAsia="en-GB" w:bidi="en-GB"/>
        </w:rPr>
        <w:t>the</w:t>
      </w:r>
      <w:r w:rsidR="00EA5ABD">
        <w:rPr>
          <w:rFonts w:ascii="Calibri" w:eastAsia="Calibri" w:hAnsi="Calibri" w:cs="Arial"/>
          <w:sz w:val="18"/>
          <w:szCs w:val="18"/>
          <w:lang w:eastAsia="en-GB" w:bidi="en-GB"/>
        </w:rPr>
        <w:t xml:space="preserve"> Group has taken a comprehensive set of actions to</w:t>
      </w:r>
      <w:r w:rsidR="00D714BD">
        <w:rPr>
          <w:rFonts w:ascii="Calibri" w:eastAsia="Calibri" w:hAnsi="Calibri" w:cs="Arial"/>
          <w:sz w:val="18"/>
          <w:szCs w:val="18"/>
          <w:lang w:eastAsia="en-GB" w:bidi="en-GB"/>
        </w:rPr>
        <w:t xml:space="preserve"> </w:t>
      </w:r>
      <w:r w:rsidR="00D714BD" w:rsidRPr="003C7BC3">
        <w:rPr>
          <w:rFonts w:ascii="Calibri" w:eastAsia="Calibri" w:hAnsi="Calibri" w:cs="Arial"/>
          <w:sz w:val="18"/>
          <w:szCs w:val="18"/>
          <w:lang w:eastAsia="en-GB" w:bidi="en-GB"/>
        </w:rPr>
        <w:t>ensur</w:t>
      </w:r>
      <w:r w:rsidR="00EA5ABD">
        <w:rPr>
          <w:rFonts w:ascii="Calibri" w:eastAsia="Calibri" w:hAnsi="Calibri" w:cs="Arial"/>
          <w:sz w:val="18"/>
          <w:szCs w:val="18"/>
          <w:lang w:eastAsia="en-GB" w:bidi="en-GB"/>
        </w:rPr>
        <w:t>e</w:t>
      </w:r>
      <w:r w:rsidR="00D714BD" w:rsidRPr="003C7BC3">
        <w:rPr>
          <w:rFonts w:ascii="Calibri" w:eastAsia="Calibri" w:hAnsi="Calibri" w:cs="Arial"/>
          <w:sz w:val="18"/>
          <w:szCs w:val="18"/>
          <w:lang w:eastAsia="en-GB" w:bidi="en-GB"/>
        </w:rPr>
        <w:t xml:space="preserve"> that </w:t>
      </w:r>
      <w:r w:rsidR="00EA5ABD">
        <w:rPr>
          <w:rFonts w:ascii="Calibri" w:eastAsia="Calibri" w:hAnsi="Calibri" w:cs="Arial"/>
          <w:sz w:val="18"/>
          <w:szCs w:val="18"/>
          <w:lang w:eastAsia="en-GB" w:bidi="en-GB"/>
        </w:rPr>
        <w:t>it</w:t>
      </w:r>
      <w:r w:rsidR="00A66CBC" w:rsidRPr="003C7BC3">
        <w:rPr>
          <w:rFonts w:ascii="Calibri" w:eastAsia="Calibri" w:hAnsi="Calibri" w:cs="Arial"/>
          <w:sz w:val="18"/>
          <w:szCs w:val="18"/>
          <w:lang w:eastAsia="en-GB" w:bidi="en-GB"/>
        </w:rPr>
        <w:t xml:space="preserve"> </w:t>
      </w:r>
      <w:r w:rsidR="00D714BD" w:rsidRPr="003C7BC3">
        <w:rPr>
          <w:rFonts w:ascii="Calibri" w:eastAsia="Calibri" w:hAnsi="Calibri" w:cs="Arial"/>
          <w:sz w:val="18"/>
          <w:szCs w:val="18"/>
          <w:lang w:eastAsia="en-GB" w:bidi="en-GB"/>
        </w:rPr>
        <w:t xml:space="preserve">is strongly positioned to </w:t>
      </w:r>
      <w:r w:rsidR="00836AD1">
        <w:rPr>
          <w:rFonts w:ascii="Calibri" w:eastAsia="Calibri" w:hAnsi="Calibri" w:cs="Arial"/>
          <w:sz w:val="18"/>
          <w:szCs w:val="18"/>
          <w:lang w:eastAsia="en-GB" w:bidi="en-GB"/>
        </w:rPr>
        <w:t>build back the business</w:t>
      </w:r>
      <w:r w:rsidR="00D714BD">
        <w:rPr>
          <w:rFonts w:ascii="Calibri" w:eastAsia="Calibri" w:hAnsi="Calibri" w:cs="Arial"/>
          <w:sz w:val="18"/>
          <w:szCs w:val="18"/>
          <w:lang w:eastAsia="en-GB" w:bidi="en-GB"/>
        </w:rPr>
        <w:t xml:space="preserve"> </w:t>
      </w:r>
      <w:r w:rsidR="00836AD1">
        <w:rPr>
          <w:rFonts w:ascii="Calibri" w:eastAsia="Calibri" w:hAnsi="Calibri" w:cs="Arial"/>
          <w:sz w:val="18"/>
          <w:szCs w:val="18"/>
          <w:lang w:eastAsia="en-GB" w:bidi="en-GB"/>
        </w:rPr>
        <w:t xml:space="preserve">as social restriction measures are </w:t>
      </w:r>
      <w:r w:rsidR="00D714BD" w:rsidRPr="003C7BC3">
        <w:rPr>
          <w:rFonts w:ascii="Calibri" w:eastAsia="Calibri" w:hAnsi="Calibri" w:cs="Arial"/>
          <w:sz w:val="18"/>
          <w:szCs w:val="18"/>
          <w:lang w:eastAsia="en-GB" w:bidi="en-GB"/>
        </w:rPr>
        <w:t>ease</w:t>
      </w:r>
      <w:r w:rsidR="00836AD1">
        <w:rPr>
          <w:rFonts w:ascii="Calibri" w:eastAsia="Calibri" w:hAnsi="Calibri" w:cs="Arial"/>
          <w:sz w:val="18"/>
          <w:szCs w:val="18"/>
          <w:lang w:eastAsia="en-GB" w:bidi="en-GB"/>
        </w:rPr>
        <w:t>d</w:t>
      </w:r>
      <w:r w:rsidR="00D714BD" w:rsidRPr="003C7BC3">
        <w:rPr>
          <w:rFonts w:ascii="Calibri" w:eastAsia="Calibri" w:hAnsi="Calibri" w:cs="Arial"/>
          <w:sz w:val="18"/>
          <w:szCs w:val="18"/>
          <w:lang w:eastAsia="en-GB" w:bidi="en-GB"/>
        </w:rPr>
        <w:t>.</w:t>
      </w:r>
      <w:r w:rsidR="00D714BD">
        <w:rPr>
          <w:rFonts w:ascii="Calibri" w:eastAsia="Calibri" w:hAnsi="Calibri" w:cs="Arial"/>
          <w:sz w:val="18"/>
          <w:szCs w:val="18"/>
          <w:lang w:eastAsia="en-GB" w:bidi="en-GB"/>
        </w:rPr>
        <w:t xml:space="preserve"> </w:t>
      </w:r>
      <w:r w:rsidR="003C7BC3" w:rsidRPr="003C7BC3">
        <w:rPr>
          <w:rFonts w:ascii="Calibri" w:eastAsia="Calibri" w:hAnsi="Calibri" w:cs="Arial"/>
          <w:sz w:val="18"/>
          <w:szCs w:val="18"/>
          <w:lang w:eastAsia="en-GB" w:bidi="en-GB"/>
        </w:rPr>
        <w:t>Greencore’s medium-term strategic ambition remains focussed on optimising its growth potential in UK convenience food markets</w:t>
      </w:r>
      <w:r w:rsidR="002A01F9">
        <w:rPr>
          <w:rFonts w:ascii="Calibri" w:eastAsia="Calibri" w:hAnsi="Calibri" w:cs="Arial"/>
          <w:sz w:val="18"/>
          <w:szCs w:val="18"/>
          <w:lang w:eastAsia="en-GB" w:bidi="en-GB"/>
        </w:rPr>
        <w:t xml:space="preserve">, supported by disciplined </w:t>
      </w:r>
      <w:r w:rsidR="00881472">
        <w:rPr>
          <w:rFonts w:ascii="Calibri" w:eastAsia="Calibri" w:hAnsi="Calibri" w:cs="Arial"/>
          <w:sz w:val="18"/>
          <w:szCs w:val="18"/>
          <w:lang w:eastAsia="en-GB" w:bidi="en-GB"/>
        </w:rPr>
        <w:t>strategic</w:t>
      </w:r>
      <w:r w:rsidR="002A01F9">
        <w:rPr>
          <w:rFonts w:ascii="Calibri" w:eastAsia="Calibri" w:hAnsi="Calibri" w:cs="Arial"/>
          <w:sz w:val="18"/>
          <w:szCs w:val="18"/>
          <w:lang w:eastAsia="en-GB" w:bidi="en-GB"/>
        </w:rPr>
        <w:t xml:space="preserve"> investment</w:t>
      </w:r>
      <w:r w:rsidR="003C7BC3" w:rsidRPr="003C7BC3">
        <w:rPr>
          <w:rFonts w:ascii="Calibri" w:eastAsia="Calibri" w:hAnsi="Calibri" w:cs="Arial"/>
          <w:sz w:val="18"/>
          <w:szCs w:val="18"/>
          <w:lang w:eastAsia="en-GB" w:bidi="en-GB"/>
        </w:rPr>
        <w:t xml:space="preserve">. The Group’s </w:t>
      </w:r>
      <w:r w:rsidR="004E4D81">
        <w:rPr>
          <w:rFonts w:ascii="Calibri" w:eastAsia="Calibri" w:hAnsi="Calibri" w:cs="Arial"/>
          <w:sz w:val="18"/>
          <w:szCs w:val="18"/>
          <w:lang w:eastAsia="en-GB" w:bidi="en-GB"/>
        </w:rPr>
        <w:t>confidence in achieving this ambition</w:t>
      </w:r>
      <w:r w:rsidR="004E4D81" w:rsidRPr="003C7BC3">
        <w:rPr>
          <w:rFonts w:ascii="Calibri" w:eastAsia="Calibri" w:hAnsi="Calibri" w:cs="Arial"/>
          <w:sz w:val="18"/>
          <w:szCs w:val="18"/>
          <w:lang w:eastAsia="en-GB" w:bidi="en-GB"/>
        </w:rPr>
        <w:t xml:space="preserve"> </w:t>
      </w:r>
      <w:r w:rsidR="004E4D81">
        <w:rPr>
          <w:rFonts w:ascii="Calibri" w:eastAsia="Calibri" w:hAnsi="Calibri" w:cs="Arial"/>
          <w:sz w:val="18"/>
          <w:szCs w:val="18"/>
          <w:lang w:eastAsia="en-GB" w:bidi="en-GB"/>
        </w:rPr>
        <w:t xml:space="preserve">is underpinned by </w:t>
      </w:r>
      <w:r w:rsidR="004B588D">
        <w:rPr>
          <w:rFonts w:ascii="Calibri" w:eastAsia="Calibri" w:hAnsi="Calibri" w:cs="Arial"/>
          <w:sz w:val="18"/>
          <w:szCs w:val="18"/>
          <w:lang w:eastAsia="en-GB" w:bidi="en-GB"/>
        </w:rPr>
        <w:t xml:space="preserve">its </w:t>
      </w:r>
      <w:r w:rsidR="003C7BC3" w:rsidRPr="003C7BC3">
        <w:rPr>
          <w:rFonts w:ascii="Calibri" w:eastAsia="Calibri" w:hAnsi="Calibri" w:cs="Arial"/>
          <w:sz w:val="18"/>
          <w:szCs w:val="18"/>
          <w:lang w:eastAsia="en-GB" w:bidi="en-GB"/>
        </w:rPr>
        <w:t>fundamental strengths</w:t>
      </w:r>
      <w:r w:rsidR="004B588D">
        <w:rPr>
          <w:rFonts w:ascii="Calibri" w:eastAsia="Calibri" w:hAnsi="Calibri" w:cs="Arial"/>
          <w:sz w:val="18"/>
          <w:szCs w:val="18"/>
          <w:lang w:eastAsia="en-GB" w:bidi="en-GB"/>
        </w:rPr>
        <w:t>;</w:t>
      </w:r>
      <w:r w:rsidR="003C7BC3" w:rsidRPr="003C7BC3">
        <w:rPr>
          <w:rFonts w:ascii="Calibri" w:eastAsia="Calibri" w:hAnsi="Calibri" w:cs="Arial"/>
          <w:sz w:val="18"/>
          <w:szCs w:val="18"/>
          <w:lang w:eastAsia="en-GB" w:bidi="en-GB"/>
        </w:rPr>
        <w:t xml:space="preserve"> deep customer relationships, leadership positions across </w:t>
      </w:r>
      <w:r w:rsidR="00F7030E">
        <w:rPr>
          <w:rFonts w:ascii="Calibri" w:eastAsia="Calibri" w:hAnsi="Calibri" w:cs="Arial"/>
          <w:sz w:val="18"/>
          <w:szCs w:val="18"/>
          <w:lang w:eastAsia="en-GB" w:bidi="en-GB"/>
        </w:rPr>
        <w:t>attractive</w:t>
      </w:r>
      <w:r w:rsidR="00F7030E" w:rsidRPr="003C7BC3">
        <w:rPr>
          <w:rFonts w:ascii="Calibri" w:eastAsia="Calibri" w:hAnsi="Calibri" w:cs="Arial"/>
          <w:sz w:val="18"/>
          <w:szCs w:val="18"/>
          <w:lang w:eastAsia="en-GB" w:bidi="en-GB"/>
        </w:rPr>
        <w:t xml:space="preserve"> </w:t>
      </w:r>
      <w:r w:rsidR="003C7BC3" w:rsidRPr="003C7BC3">
        <w:rPr>
          <w:rFonts w:ascii="Calibri" w:eastAsia="Calibri" w:hAnsi="Calibri" w:cs="Arial"/>
          <w:sz w:val="18"/>
          <w:szCs w:val="18"/>
          <w:lang w:eastAsia="en-GB" w:bidi="en-GB"/>
        </w:rPr>
        <w:t xml:space="preserve">food to go categories, a well invested </w:t>
      </w:r>
      <w:r w:rsidR="00EA5ABD">
        <w:rPr>
          <w:rFonts w:ascii="Calibri" w:eastAsia="Calibri" w:hAnsi="Calibri" w:cs="Arial"/>
          <w:sz w:val="18"/>
          <w:szCs w:val="18"/>
          <w:lang w:eastAsia="en-GB" w:bidi="en-GB"/>
        </w:rPr>
        <w:t xml:space="preserve">and highly flexible </w:t>
      </w:r>
      <w:r w:rsidR="003C7BC3" w:rsidRPr="003C7BC3">
        <w:rPr>
          <w:rFonts w:ascii="Calibri" w:eastAsia="Calibri" w:hAnsi="Calibri" w:cs="Arial"/>
          <w:sz w:val="18"/>
          <w:szCs w:val="18"/>
          <w:lang w:eastAsia="en-GB" w:bidi="en-GB"/>
        </w:rPr>
        <w:t>network, an experienced and ambitious team, a comprehensive capability set</w:t>
      </w:r>
      <w:r w:rsidR="00EA5ABD">
        <w:rPr>
          <w:rFonts w:ascii="Calibri" w:eastAsia="Calibri" w:hAnsi="Calibri" w:cs="Arial"/>
          <w:sz w:val="18"/>
          <w:szCs w:val="18"/>
          <w:lang w:eastAsia="en-GB" w:bidi="en-GB"/>
        </w:rPr>
        <w:t xml:space="preserve"> and a positive resilient culture.</w:t>
      </w:r>
    </w:p>
    <w:p w14:paraId="05B9EDFF" w14:textId="1B657AED" w:rsidR="00545A9A" w:rsidRDefault="003C7BC3"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The Group is in close dialogue with customers on how to </w:t>
      </w:r>
      <w:r w:rsidR="00BF04E6">
        <w:rPr>
          <w:rFonts w:ascii="Calibri" w:eastAsia="Calibri" w:hAnsi="Calibri" w:cs="Arial"/>
          <w:sz w:val="18"/>
          <w:szCs w:val="18"/>
          <w:lang w:eastAsia="en-GB" w:bidi="en-GB"/>
        </w:rPr>
        <w:t xml:space="preserve">optimise its operating model to </w:t>
      </w:r>
      <w:r w:rsidRPr="003C7BC3">
        <w:rPr>
          <w:rFonts w:ascii="Calibri" w:eastAsia="Calibri" w:hAnsi="Calibri" w:cs="Arial"/>
          <w:sz w:val="18"/>
          <w:szCs w:val="18"/>
          <w:lang w:eastAsia="en-GB" w:bidi="en-GB"/>
        </w:rPr>
        <w:t>respond to evolving</w:t>
      </w:r>
      <w:r w:rsidR="00EA5ABD">
        <w:rPr>
          <w:rFonts w:ascii="Calibri" w:eastAsia="Calibri" w:hAnsi="Calibri" w:cs="Arial"/>
          <w:sz w:val="18"/>
          <w:szCs w:val="18"/>
          <w:lang w:eastAsia="en-GB" w:bidi="en-GB"/>
        </w:rPr>
        <w:t xml:space="preserve"> demand</w:t>
      </w:r>
      <w:r w:rsidRPr="003C7BC3">
        <w:rPr>
          <w:rFonts w:ascii="Calibri" w:eastAsia="Calibri" w:hAnsi="Calibri" w:cs="Arial"/>
          <w:sz w:val="18"/>
          <w:szCs w:val="18"/>
          <w:lang w:eastAsia="en-GB" w:bidi="en-GB"/>
        </w:rPr>
        <w:t xml:space="preserve"> requirements, and the Group’s commercial teams are exploring what future shopping trends and buying behaviours are expected to look like as the situation develops. </w:t>
      </w:r>
      <w:r w:rsidR="00130402" w:rsidRPr="004C1124">
        <w:rPr>
          <w:rFonts w:ascii="Calibri" w:eastAsia="Calibri" w:hAnsi="Calibri" w:cs="Arial"/>
          <w:sz w:val="18"/>
          <w:szCs w:val="18"/>
          <w:lang w:eastAsia="en-GB" w:bidi="en-GB"/>
        </w:rPr>
        <w:t>The Group has demonstrated its agility and flexibility in responding</w:t>
      </w:r>
      <w:r w:rsidR="00EA5ABD">
        <w:rPr>
          <w:rFonts w:ascii="Calibri" w:eastAsia="Calibri" w:hAnsi="Calibri" w:cs="Arial"/>
          <w:sz w:val="18"/>
          <w:szCs w:val="18"/>
          <w:lang w:eastAsia="en-GB" w:bidi="en-GB"/>
        </w:rPr>
        <w:t xml:space="preserve"> positively</w:t>
      </w:r>
      <w:r w:rsidR="00130402" w:rsidRPr="004C1124">
        <w:rPr>
          <w:rFonts w:ascii="Calibri" w:eastAsia="Calibri" w:hAnsi="Calibri" w:cs="Arial"/>
          <w:sz w:val="18"/>
          <w:szCs w:val="18"/>
          <w:lang w:eastAsia="en-GB" w:bidi="en-GB"/>
        </w:rPr>
        <w:t xml:space="preserve"> to the immediate challenges of </w:t>
      </w:r>
      <w:r w:rsidR="00F7030E">
        <w:rPr>
          <w:rFonts w:ascii="Calibri" w:eastAsia="Calibri" w:hAnsi="Calibri" w:cs="Arial"/>
          <w:sz w:val="18"/>
          <w:szCs w:val="18"/>
          <w:lang w:eastAsia="en-GB" w:bidi="en-GB"/>
        </w:rPr>
        <w:t>COVID-19</w:t>
      </w:r>
      <w:r w:rsidR="00130402" w:rsidRPr="004C1124">
        <w:rPr>
          <w:rFonts w:ascii="Calibri" w:eastAsia="Calibri" w:hAnsi="Calibri" w:cs="Arial"/>
          <w:sz w:val="18"/>
          <w:szCs w:val="18"/>
          <w:lang w:eastAsia="en-GB" w:bidi="en-GB"/>
        </w:rPr>
        <w:t xml:space="preserve"> and expects to be able to deploy this agility again </w:t>
      </w:r>
      <w:r w:rsidR="00A66CBC">
        <w:rPr>
          <w:rFonts w:ascii="Calibri" w:eastAsia="Calibri" w:hAnsi="Calibri" w:cs="Arial"/>
          <w:sz w:val="18"/>
          <w:szCs w:val="18"/>
          <w:lang w:eastAsia="en-GB" w:bidi="en-GB"/>
        </w:rPr>
        <w:t>with customers as the pandemic eases</w:t>
      </w:r>
      <w:r w:rsidR="00130402" w:rsidRPr="004C1124">
        <w:rPr>
          <w:rFonts w:ascii="Calibri" w:eastAsia="Calibri" w:hAnsi="Calibri" w:cs="Arial"/>
          <w:sz w:val="18"/>
          <w:szCs w:val="18"/>
          <w:lang w:eastAsia="en-GB" w:bidi="en-GB"/>
        </w:rPr>
        <w:t xml:space="preserve">. </w:t>
      </w:r>
      <w:bookmarkEnd w:id="0"/>
    </w:p>
    <w:p w14:paraId="20D30620" w14:textId="4C1ECE2A" w:rsidR="00B07700" w:rsidRPr="003C7BC3" w:rsidRDefault="00545A9A"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Given the ongoing level of uncertainty around the possible duration and impact of COVID-19, the Group’s financial guidance for FY20 </w:t>
      </w:r>
      <w:r>
        <w:rPr>
          <w:rFonts w:ascii="Calibri" w:eastAsia="Calibri" w:hAnsi="Calibri" w:cs="Arial"/>
          <w:sz w:val="18"/>
          <w:szCs w:val="18"/>
          <w:lang w:eastAsia="en-GB" w:bidi="en-GB"/>
        </w:rPr>
        <w:t>was</w:t>
      </w:r>
      <w:r w:rsidRPr="003C7BC3">
        <w:rPr>
          <w:rFonts w:ascii="Calibri" w:eastAsia="Calibri" w:hAnsi="Calibri" w:cs="Arial"/>
          <w:sz w:val="18"/>
          <w:szCs w:val="18"/>
          <w:lang w:eastAsia="en-GB" w:bidi="en-GB"/>
        </w:rPr>
        <w:t xml:space="preserve"> suspended </w:t>
      </w:r>
      <w:r>
        <w:rPr>
          <w:rFonts w:ascii="Calibri" w:eastAsia="Calibri" w:hAnsi="Calibri" w:cs="Arial"/>
          <w:sz w:val="18"/>
          <w:szCs w:val="18"/>
          <w:lang w:eastAsia="en-GB" w:bidi="en-GB"/>
        </w:rPr>
        <w:t xml:space="preserve">on 30 March </w:t>
      </w:r>
      <w:r w:rsidRPr="003C7BC3">
        <w:rPr>
          <w:rFonts w:ascii="Calibri" w:eastAsia="Calibri" w:hAnsi="Calibri" w:cs="Arial"/>
          <w:sz w:val="18"/>
          <w:szCs w:val="18"/>
          <w:lang w:eastAsia="en-GB" w:bidi="en-GB"/>
        </w:rPr>
        <w:t>and the Group’s outlook for FY20 included in the FY19 Full Year Results Statement and FY20 Q1 Trading Update should no longer be considered current.</w:t>
      </w:r>
    </w:p>
    <w:p w14:paraId="5A9EAFCC" w14:textId="77777777" w:rsidR="00545A9A" w:rsidRPr="003C7BC3" w:rsidRDefault="00545A9A" w:rsidP="003C7BC3">
      <w:pPr>
        <w:widowControl w:val="0"/>
        <w:autoSpaceDE w:val="0"/>
        <w:autoSpaceDN w:val="0"/>
        <w:spacing w:after="0" w:line="240" w:lineRule="auto"/>
        <w:jc w:val="both"/>
        <w:rPr>
          <w:rFonts w:ascii="Calibri" w:eastAsia="Calibri" w:hAnsi="Calibri" w:cs="Arial"/>
          <w:sz w:val="18"/>
          <w:szCs w:val="18"/>
          <w:lang w:eastAsia="en-GB" w:bidi="en-GB"/>
        </w:rPr>
      </w:pPr>
    </w:p>
    <w:p w14:paraId="14CB0B77" w14:textId="77777777" w:rsidR="00B07700" w:rsidRPr="00B07700" w:rsidRDefault="00B07700" w:rsidP="005B3BEE">
      <w:pPr>
        <w:pStyle w:val="SectionH2"/>
      </w:pPr>
      <w:r w:rsidRPr="00B07700">
        <w:t>ADOPTION OF IFRS 16 LEASES</w:t>
      </w:r>
    </w:p>
    <w:p w14:paraId="6DAC3468" w14:textId="52163C54" w:rsidR="00B07700" w:rsidRPr="00D1572A" w:rsidRDefault="00B07700" w:rsidP="00B07700">
      <w:pPr>
        <w:widowControl w:val="0"/>
        <w:autoSpaceDE w:val="0"/>
        <w:autoSpaceDN w:val="0"/>
        <w:spacing w:after="0" w:line="240" w:lineRule="auto"/>
        <w:jc w:val="both"/>
        <w:rPr>
          <w:rFonts w:ascii="Calibri" w:eastAsia="Calibri" w:hAnsi="Calibri" w:cs="Calibri"/>
          <w:sz w:val="18"/>
          <w:szCs w:val="18"/>
          <w:lang w:eastAsia="en-GB" w:bidi="en-GB"/>
        </w:rPr>
      </w:pPr>
      <w:r w:rsidRPr="00D1572A">
        <w:rPr>
          <w:rFonts w:ascii="Calibri" w:eastAsia="Calibri" w:hAnsi="Calibri" w:cs="Calibri"/>
          <w:sz w:val="18"/>
          <w:szCs w:val="18"/>
          <w:lang w:eastAsia="en-GB" w:bidi="en-GB"/>
        </w:rPr>
        <w:t>On 28 September 2019 the Group adopted IFRS 16</w:t>
      </w:r>
      <w:r>
        <w:rPr>
          <w:rFonts w:ascii="Calibri" w:eastAsia="Calibri" w:hAnsi="Calibri" w:cs="Calibri"/>
          <w:sz w:val="18"/>
          <w:szCs w:val="18"/>
          <w:lang w:eastAsia="en-GB" w:bidi="en-GB"/>
        </w:rPr>
        <w:t xml:space="preserve"> </w:t>
      </w:r>
      <w:r w:rsidRPr="00B07700">
        <w:rPr>
          <w:rFonts w:ascii="Calibri" w:eastAsia="Calibri" w:hAnsi="Calibri" w:cs="Calibri"/>
          <w:i/>
          <w:sz w:val="18"/>
          <w:szCs w:val="18"/>
          <w:lang w:eastAsia="en-GB" w:bidi="en-GB"/>
        </w:rPr>
        <w:t>Leases</w:t>
      </w:r>
      <w:r w:rsidRPr="00D1572A">
        <w:rPr>
          <w:rFonts w:ascii="Calibri" w:eastAsia="Calibri" w:hAnsi="Calibri" w:cs="Calibri"/>
          <w:sz w:val="18"/>
          <w:szCs w:val="18"/>
          <w:lang w:eastAsia="en-GB" w:bidi="en-GB"/>
        </w:rPr>
        <w:t>, the new accounting standard for leases. The Group transitioned to the standard using the modified retrospective approach, which does not require the restatement of comparative periods. On transition the Group recognised a right</w:t>
      </w:r>
      <w:r w:rsidR="00BD5017">
        <w:rPr>
          <w:rFonts w:ascii="Calibri" w:eastAsia="Calibri" w:hAnsi="Calibri" w:cs="Calibri"/>
          <w:sz w:val="18"/>
          <w:szCs w:val="18"/>
          <w:lang w:eastAsia="en-GB" w:bidi="en-GB"/>
        </w:rPr>
        <w:t>-of-</w:t>
      </w:r>
      <w:r w:rsidRPr="00D1572A">
        <w:rPr>
          <w:rFonts w:ascii="Calibri" w:eastAsia="Calibri" w:hAnsi="Calibri" w:cs="Calibri"/>
          <w:sz w:val="18"/>
          <w:szCs w:val="18"/>
          <w:lang w:eastAsia="en-GB" w:bidi="en-GB"/>
        </w:rPr>
        <w:t>use lease asset of £41.2m and a lease liability of £46.4m. The impact on the Group’s</w:t>
      </w:r>
      <w:r>
        <w:rPr>
          <w:rFonts w:ascii="Calibri" w:eastAsia="Calibri" w:hAnsi="Calibri" w:cs="Calibri"/>
          <w:sz w:val="18"/>
          <w:szCs w:val="18"/>
          <w:lang w:eastAsia="en-GB" w:bidi="en-GB"/>
        </w:rPr>
        <w:t xml:space="preserve"> H1 20</w:t>
      </w:r>
      <w:r w:rsidRPr="00D1572A">
        <w:rPr>
          <w:rFonts w:ascii="Calibri" w:eastAsia="Calibri" w:hAnsi="Calibri" w:cs="Calibri"/>
          <w:sz w:val="18"/>
          <w:szCs w:val="18"/>
          <w:lang w:eastAsia="en-GB" w:bidi="en-GB"/>
        </w:rPr>
        <w:t xml:space="preserve"> results are detailed in the </w:t>
      </w:r>
      <w:r w:rsidR="004C1124">
        <w:rPr>
          <w:rFonts w:ascii="Calibri" w:eastAsia="Calibri" w:hAnsi="Calibri" w:cs="Calibri"/>
          <w:sz w:val="18"/>
          <w:szCs w:val="18"/>
          <w:lang w:eastAsia="en-GB" w:bidi="en-GB"/>
        </w:rPr>
        <w:t>F</w:t>
      </w:r>
      <w:r w:rsidRPr="00D1572A">
        <w:rPr>
          <w:rFonts w:ascii="Calibri" w:eastAsia="Calibri" w:hAnsi="Calibri" w:cs="Calibri"/>
          <w:sz w:val="18"/>
          <w:szCs w:val="18"/>
          <w:lang w:eastAsia="en-GB" w:bidi="en-GB"/>
        </w:rPr>
        <w:t xml:space="preserve">inancial </w:t>
      </w:r>
      <w:r w:rsidR="004C1124">
        <w:rPr>
          <w:rFonts w:ascii="Calibri" w:eastAsia="Calibri" w:hAnsi="Calibri" w:cs="Calibri"/>
          <w:sz w:val="18"/>
          <w:szCs w:val="18"/>
          <w:lang w:eastAsia="en-GB" w:bidi="en-GB"/>
        </w:rPr>
        <w:t>R</w:t>
      </w:r>
      <w:r w:rsidRPr="00D1572A">
        <w:rPr>
          <w:rFonts w:ascii="Calibri" w:eastAsia="Calibri" w:hAnsi="Calibri" w:cs="Calibri"/>
          <w:sz w:val="18"/>
          <w:szCs w:val="18"/>
          <w:lang w:eastAsia="en-GB" w:bidi="en-GB"/>
        </w:rPr>
        <w:t>eview, and are summarised as follows;</w:t>
      </w:r>
    </w:p>
    <w:p w14:paraId="02636036" w14:textId="77777777" w:rsidR="00B07700" w:rsidRDefault="00B07700" w:rsidP="00B07700">
      <w:pPr>
        <w:widowControl w:val="0"/>
        <w:autoSpaceDE w:val="0"/>
        <w:autoSpaceDN w:val="0"/>
        <w:spacing w:after="0" w:line="240" w:lineRule="auto"/>
        <w:jc w:val="both"/>
        <w:rPr>
          <w:rFonts w:ascii="Calibri" w:eastAsia="Calibri" w:hAnsi="Calibri" w:cs="Calibri"/>
          <w:sz w:val="18"/>
          <w:szCs w:val="18"/>
          <w:lang w:eastAsia="en-GB" w:bidi="en-GB"/>
        </w:rPr>
      </w:pPr>
    </w:p>
    <w:tbl>
      <w:tblPr>
        <w:tblStyle w:val="TableGrid"/>
        <w:tblW w:w="0" w:type="auto"/>
        <w:jc w:val="center"/>
        <w:tblLook w:val="04A0" w:firstRow="1" w:lastRow="0" w:firstColumn="1" w:lastColumn="0" w:noHBand="0" w:noVBand="1"/>
      </w:tblPr>
      <w:tblGrid>
        <w:gridCol w:w="5255"/>
        <w:gridCol w:w="1347"/>
      </w:tblGrid>
      <w:tr w:rsidR="00B07700" w:rsidRPr="00B56F64" w14:paraId="73DA38A9" w14:textId="77777777" w:rsidTr="00773F7B">
        <w:trPr>
          <w:jc w:val="center"/>
        </w:trPr>
        <w:tc>
          <w:tcPr>
            <w:tcW w:w="5255" w:type="dxa"/>
          </w:tcPr>
          <w:p w14:paraId="396EB6C8" w14:textId="77777777" w:rsidR="00B07700" w:rsidRPr="00B56F64" w:rsidRDefault="00B07700" w:rsidP="00773F7B">
            <w:pPr>
              <w:adjustRightInd w:val="0"/>
              <w:rPr>
                <w:b/>
                <w:sz w:val="18"/>
                <w:szCs w:val="18"/>
              </w:rPr>
            </w:pPr>
            <w:r>
              <w:rPr>
                <w:b/>
                <w:sz w:val="18"/>
                <w:szCs w:val="18"/>
              </w:rPr>
              <w:t>Performance Measures</w:t>
            </w:r>
          </w:p>
        </w:tc>
        <w:tc>
          <w:tcPr>
            <w:tcW w:w="1347" w:type="dxa"/>
          </w:tcPr>
          <w:p w14:paraId="6766F537" w14:textId="77777777" w:rsidR="00B07700" w:rsidRPr="00B56F64" w:rsidRDefault="00B07700" w:rsidP="00773F7B">
            <w:pPr>
              <w:adjustRightInd w:val="0"/>
              <w:jc w:val="right"/>
              <w:rPr>
                <w:b/>
                <w:sz w:val="18"/>
                <w:szCs w:val="18"/>
              </w:rPr>
            </w:pPr>
            <w:r>
              <w:rPr>
                <w:b/>
                <w:sz w:val="18"/>
                <w:szCs w:val="18"/>
              </w:rPr>
              <w:t>£m</w:t>
            </w:r>
          </w:p>
        </w:tc>
      </w:tr>
      <w:tr w:rsidR="00B07700" w:rsidRPr="0026662E" w14:paraId="439DCDC0" w14:textId="77777777" w:rsidTr="00773F7B">
        <w:trPr>
          <w:jc w:val="center"/>
        </w:trPr>
        <w:tc>
          <w:tcPr>
            <w:tcW w:w="5255" w:type="dxa"/>
            <w:vAlign w:val="bottom"/>
          </w:tcPr>
          <w:p w14:paraId="15BCAB00" w14:textId="77777777" w:rsidR="00B07700" w:rsidRPr="0026662E" w:rsidRDefault="00B07700" w:rsidP="00773F7B">
            <w:pPr>
              <w:adjustRightInd w:val="0"/>
              <w:rPr>
                <w:sz w:val="18"/>
                <w:szCs w:val="18"/>
              </w:rPr>
            </w:pPr>
            <w:r>
              <w:rPr>
                <w:sz w:val="18"/>
                <w:szCs w:val="18"/>
              </w:rPr>
              <w:t>EBITDA</w:t>
            </w:r>
          </w:p>
        </w:tc>
        <w:tc>
          <w:tcPr>
            <w:tcW w:w="1347" w:type="dxa"/>
          </w:tcPr>
          <w:p w14:paraId="01F8DF5E" w14:textId="77777777" w:rsidR="00B07700" w:rsidRPr="0026662E" w:rsidRDefault="00B07700" w:rsidP="00773F7B">
            <w:pPr>
              <w:adjustRightInd w:val="0"/>
              <w:jc w:val="right"/>
              <w:rPr>
                <w:sz w:val="18"/>
                <w:szCs w:val="18"/>
              </w:rPr>
            </w:pPr>
            <w:r>
              <w:rPr>
                <w:sz w:val="18"/>
                <w:szCs w:val="18"/>
              </w:rPr>
              <w:t>+6.3</w:t>
            </w:r>
          </w:p>
        </w:tc>
      </w:tr>
      <w:tr w:rsidR="00B07700" w:rsidRPr="0026662E" w14:paraId="4CEA6610" w14:textId="77777777" w:rsidTr="00773F7B">
        <w:trPr>
          <w:jc w:val="center"/>
        </w:trPr>
        <w:tc>
          <w:tcPr>
            <w:tcW w:w="5255" w:type="dxa"/>
            <w:vAlign w:val="bottom"/>
          </w:tcPr>
          <w:p w14:paraId="17EB05DD" w14:textId="77777777" w:rsidR="00B07700" w:rsidRPr="0026662E" w:rsidRDefault="00B07700" w:rsidP="00773F7B">
            <w:pPr>
              <w:adjustRightInd w:val="0"/>
              <w:rPr>
                <w:sz w:val="18"/>
                <w:szCs w:val="18"/>
              </w:rPr>
            </w:pPr>
            <w:r>
              <w:rPr>
                <w:sz w:val="18"/>
                <w:szCs w:val="18"/>
              </w:rPr>
              <w:t>Group Operating Profit</w:t>
            </w:r>
          </w:p>
        </w:tc>
        <w:tc>
          <w:tcPr>
            <w:tcW w:w="1347" w:type="dxa"/>
          </w:tcPr>
          <w:p w14:paraId="2E4CA1DD" w14:textId="77777777" w:rsidR="00B07700" w:rsidRPr="0026662E" w:rsidRDefault="00B07700" w:rsidP="00773F7B">
            <w:pPr>
              <w:adjustRightInd w:val="0"/>
              <w:jc w:val="right"/>
              <w:rPr>
                <w:sz w:val="18"/>
                <w:szCs w:val="18"/>
              </w:rPr>
            </w:pPr>
            <w:r>
              <w:rPr>
                <w:sz w:val="18"/>
                <w:szCs w:val="18"/>
              </w:rPr>
              <w:t>+0.3</w:t>
            </w:r>
          </w:p>
        </w:tc>
      </w:tr>
      <w:tr w:rsidR="00B07700" w:rsidRPr="0026662E" w14:paraId="74B78C77" w14:textId="77777777" w:rsidTr="00773F7B">
        <w:trPr>
          <w:jc w:val="center"/>
        </w:trPr>
        <w:tc>
          <w:tcPr>
            <w:tcW w:w="5255" w:type="dxa"/>
            <w:vAlign w:val="bottom"/>
          </w:tcPr>
          <w:p w14:paraId="575A584A" w14:textId="77777777" w:rsidR="00B07700" w:rsidDel="00474A0A" w:rsidRDefault="00B07700" w:rsidP="00773F7B">
            <w:pPr>
              <w:adjustRightInd w:val="0"/>
              <w:rPr>
                <w:sz w:val="18"/>
                <w:szCs w:val="18"/>
              </w:rPr>
            </w:pPr>
            <w:r>
              <w:rPr>
                <w:sz w:val="18"/>
                <w:szCs w:val="18"/>
              </w:rPr>
              <w:t>Group Profit before taxation</w:t>
            </w:r>
          </w:p>
        </w:tc>
        <w:tc>
          <w:tcPr>
            <w:tcW w:w="1347" w:type="dxa"/>
          </w:tcPr>
          <w:p w14:paraId="3FF9FEFA" w14:textId="5E4B831D" w:rsidR="00B07700" w:rsidRDefault="00BD5017" w:rsidP="00773F7B">
            <w:pPr>
              <w:adjustRightInd w:val="0"/>
              <w:jc w:val="right"/>
              <w:rPr>
                <w:sz w:val="18"/>
                <w:szCs w:val="18"/>
              </w:rPr>
            </w:pPr>
            <w:r>
              <w:rPr>
                <w:sz w:val="18"/>
                <w:szCs w:val="18"/>
              </w:rPr>
              <w:t>-</w:t>
            </w:r>
            <w:r w:rsidR="00B07700">
              <w:rPr>
                <w:sz w:val="18"/>
                <w:szCs w:val="18"/>
              </w:rPr>
              <w:t>0.</w:t>
            </w:r>
            <w:r>
              <w:rPr>
                <w:sz w:val="18"/>
                <w:szCs w:val="18"/>
              </w:rPr>
              <w:t>2</w:t>
            </w:r>
          </w:p>
        </w:tc>
      </w:tr>
      <w:tr w:rsidR="00B07700" w:rsidRPr="0026662E" w14:paraId="643D5910" w14:textId="77777777" w:rsidTr="00773F7B">
        <w:trPr>
          <w:jc w:val="center"/>
        </w:trPr>
        <w:tc>
          <w:tcPr>
            <w:tcW w:w="5255" w:type="dxa"/>
            <w:vAlign w:val="bottom"/>
          </w:tcPr>
          <w:p w14:paraId="4094B4A8" w14:textId="77777777" w:rsidR="00B07700" w:rsidRDefault="00B07700" w:rsidP="00773F7B">
            <w:pPr>
              <w:adjustRightInd w:val="0"/>
              <w:rPr>
                <w:sz w:val="18"/>
                <w:szCs w:val="18"/>
              </w:rPr>
            </w:pPr>
            <w:r>
              <w:rPr>
                <w:sz w:val="18"/>
                <w:szCs w:val="18"/>
              </w:rPr>
              <w:t>Basic EPS (p)</w:t>
            </w:r>
          </w:p>
        </w:tc>
        <w:tc>
          <w:tcPr>
            <w:tcW w:w="1347" w:type="dxa"/>
          </w:tcPr>
          <w:p w14:paraId="23E35B96" w14:textId="77777777" w:rsidR="00B07700" w:rsidRDefault="0004743B" w:rsidP="00773F7B">
            <w:pPr>
              <w:adjustRightInd w:val="0"/>
              <w:jc w:val="right"/>
              <w:rPr>
                <w:sz w:val="18"/>
                <w:szCs w:val="18"/>
              </w:rPr>
            </w:pPr>
            <w:r>
              <w:rPr>
                <w:sz w:val="18"/>
                <w:szCs w:val="18"/>
              </w:rPr>
              <w:t>I</w:t>
            </w:r>
            <w:r w:rsidR="00B07700">
              <w:rPr>
                <w:sz w:val="18"/>
                <w:szCs w:val="18"/>
              </w:rPr>
              <w:t>mmaterial</w:t>
            </w:r>
          </w:p>
        </w:tc>
      </w:tr>
      <w:tr w:rsidR="00B07700" w:rsidRPr="0026662E" w14:paraId="5832A87B" w14:textId="77777777" w:rsidTr="00773F7B">
        <w:trPr>
          <w:jc w:val="center"/>
        </w:trPr>
        <w:tc>
          <w:tcPr>
            <w:tcW w:w="5255" w:type="dxa"/>
          </w:tcPr>
          <w:p w14:paraId="208EB745" w14:textId="77777777" w:rsidR="00B07700" w:rsidRPr="0026662E" w:rsidRDefault="00B07700" w:rsidP="00773F7B">
            <w:pPr>
              <w:adjustRightInd w:val="0"/>
              <w:rPr>
                <w:sz w:val="18"/>
                <w:szCs w:val="18"/>
              </w:rPr>
            </w:pPr>
            <w:r>
              <w:rPr>
                <w:sz w:val="18"/>
                <w:szCs w:val="18"/>
              </w:rPr>
              <w:t xml:space="preserve">Net Debt </w:t>
            </w:r>
          </w:p>
        </w:tc>
        <w:tc>
          <w:tcPr>
            <w:tcW w:w="1347" w:type="dxa"/>
            <w:shd w:val="clear" w:color="auto" w:fill="auto"/>
          </w:tcPr>
          <w:p w14:paraId="1E19A098" w14:textId="77777777" w:rsidR="00B07700" w:rsidRPr="0026662E" w:rsidRDefault="00B07700" w:rsidP="00773F7B">
            <w:pPr>
              <w:adjustRightInd w:val="0"/>
              <w:jc w:val="right"/>
              <w:rPr>
                <w:sz w:val="18"/>
                <w:szCs w:val="18"/>
              </w:rPr>
            </w:pPr>
            <w:r>
              <w:rPr>
                <w:sz w:val="18"/>
                <w:szCs w:val="18"/>
              </w:rPr>
              <w:t>+63.3</w:t>
            </w:r>
          </w:p>
        </w:tc>
      </w:tr>
    </w:tbl>
    <w:p w14:paraId="2A76588B" w14:textId="77777777" w:rsidR="00B07700" w:rsidRDefault="00B07700" w:rsidP="00B07700">
      <w:pPr>
        <w:autoSpaceDE w:val="0"/>
        <w:autoSpaceDN w:val="0"/>
        <w:adjustRightInd w:val="0"/>
        <w:spacing w:after="120" w:line="240" w:lineRule="auto"/>
        <w:jc w:val="both"/>
        <w:rPr>
          <w:rFonts w:eastAsia="Times New Roman" w:cs="Arial"/>
          <w:b/>
          <w:bCs/>
          <w:sz w:val="18"/>
          <w:szCs w:val="18"/>
          <w:lang w:val="en-US"/>
        </w:rPr>
      </w:pPr>
    </w:p>
    <w:p w14:paraId="192F8884" w14:textId="77777777" w:rsidR="00B07700" w:rsidRPr="00003AE3" w:rsidRDefault="00B07700" w:rsidP="00B07700">
      <w:pPr>
        <w:autoSpaceDE w:val="0"/>
        <w:autoSpaceDN w:val="0"/>
        <w:adjustRightInd w:val="0"/>
        <w:spacing w:after="120" w:line="240" w:lineRule="auto"/>
        <w:jc w:val="both"/>
        <w:rPr>
          <w:rFonts w:eastAsia="Times New Roman" w:cs="Arial"/>
          <w:bCs/>
          <w:sz w:val="18"/>
          <w:szCs w:val="18"/>
          <w:lang w:val="en-US"/>
        </w:rPr>
      </w:pPr>
      <w:r w:rsidRPr="00003AE3">
        <w:rPr>
          <w:rFonts w:eastAsia="Times New Roman" w:cs="Arial"/>
          <w:bCs/>
          <w:sz w:val="18"/>
          <w:szCs w:val="18"/>
          <w:lang w:val="en-US"/>
        </w:rPr>
        <w:t>The</w:t>
      </w:r>
      <w:r>
        <w:rPr>
          <w:rFonts w:eastAsia="Times New Roman" w:cs="Arial"/>
          <w:bCs/>
          <w:sz w:val="18"/>
          <w:szCs w:val="18"/>
          <w:lang w:val="en-US"/>
        </w:rPr>
        <w:t xml:space="preserve"> impact of IFRS 16 on the Group’s APMs are detailed in the Appendix to this Report.</w:t>
      </w:r>
    </w:p>
    <w:p w14:paraId="4F94F663"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p>
    <w:p w14:paraId="357571F6" w14:textId="77777777" w:rsidR="003C7BC3" w:rsidRPr="003C7BC3" w:rsidRDefault="003C7BC3" w:rsidP="005B3BEE">
      <w:pPr>
        <w:pStyle w:val="SectionH3"/>
        <w:rPr>
          <w:highlight w:val="yellow"/>
        </w:rPr>
      </w:pPr>
      <w:r w:rsidRPr="003C7BC3">
        <w:t>Forward‐looking statements</w:t>
      </w:r>
    </w:p>
    <w:p w14:paraId="1861C284" w14:textId="54D7FC4B" w:rsidR="003C7BC3" w:rsidRPr="003C7BC3" w:rsidRDefault="003C7BC3" w:rsidP="005B3BEE">
      <w:pPr>
        <w:widowControl w:val="0"/>
        <w:autoSpaceDE w:val="0"/>
        <w:autoSpaceDN w:val="0"/>
        <w:spacing w:after="120" w:line="240" w:lineRule="auto"/>
        <w:jc w:val="both"/>
        <w:rPr>
          <w:rFonts w:ascii="Calibri" w:eastAsia="Calibri" w:hAnsi="Calibri" w:cs="Arial"/>
          <w:bCs/>
          <w:sz w:val="18"/>
          <w:szCs w:val="18"/>
          <w:lang w:eastAsia="en-GB" w:bidi="en-GB"/>
        </w:rPr>
      </w:pPr>
      <w:r w:rsidRPr="003C7BC3">
        <w:rPr>
          <w:rFonts w:ascii="Calibri" w:eastAsia="Calibri" w:hAnsi="Calibri" w:cs="Arial"/>
          <w:bCs/>
          <w:sz w:val="18"/>
          <w:szCs w:val="18"/>
          <w:lang w:eastAsia="en-GB" w:bidi="en-GB"/>
        </w:rPr>
        <w:t xml:space="preserve">Certain statements made in this document are forward‐looking.  These represent expectations for the Group’s business, and involve known and unknown risks and uncertainties, many of which are beyond the Group’s control.  The Group has based these forward‐looking statements on current expectations and projections about future events.  These forward-looking statements may generally, but not always, be identified by the use of words such as ‘will’, ‘aims’, ‘anticipates’, ‘continue’, ‘could’, ‘should’, ‘expects’, ‘is expected to’, ‘may’, ‘estimates’, ‘believes’, ‘intends’, ‘projects’, ‘targets’, or the negative thereof, or similar expressions.  </w:t>
      </w:r>
    </w:p>
    <w:p w14:paraId="796FF55A" w14:textId="77777777" w:rsidR="003C7BC3" w:rsidRPr="003C7BC3" w:rsidRDefault="003C7BC3" w:rsidP="005B3BEE">
      <w:pPr>
        <w:widowControl w:val="0"/>
        <w:autoSpaceDE w:val="0"/>
        <w:autoSpaceDN w:val="0"/>
        <w:spacing w:after="120" w:line="240" w:lineRule="auto"/>
        <w:jc w:val="both"/>
        <w:rPr>
          <w:rFonts w:ascii="Calibri" w:eastAsia="Calibri" w:hAnsi="Calibri" w:cs="Arial"/>
          <w:bCs/>
          <w:sz w:val="18"/>
          <w:szCs w:val="18"/>
          <w:lang w:eastAsia="en-GB" w:bidi="en-GB"/>
        </w:rPr>
      </w:pPr>
      <w:r w:rsidRPr="003C7BC3">
        <w:rPr>
          <w:rFonts w:ascii="Calibri" w:eastAsia="Calibri" w:hAnsi="Calibri" w:cs="Arial"/>
          <w:bCs/>
          <w:sz w:val="18"/>
          <w:szCs w:val="18"/>
          <w:lang w:eastAsia="en-GB" w:bidi="en-GB"/>
        </w:rPr>
        <w:t>By their nature, forward-looking statements involve risk and uncertainty because they relate to events and depend on circumstances that may or may not occur in the future and reflect the Group's current expectations and assumptions as to such future events and circumstances that may not prove accurate.  A number of material factors could cause actual results and developments to differ materially from those expressed or implied by forward-looking statements. You should not place undue reliance on any forward-looking statements.  These forward-looking statements are made as of the date of this announcement. The Group expressly disclaims any obligation to publicly update or review these forward-looking statements other than as required by law.</w:t>
      </w:r>
    </w:p>
    <w:p w14:paraId="57246EC3" w14:textId="6A9F1492" w:rsidR="003C7BC3" w:rsidRPr="00B52070" w:rsidRDefault="00FD2A1E" w:rsidP="003C7BC3">
      <w:pPr>
        <w:widowControl w:val="0"/>
        <w:autoSpaceDE w:val="0"/>
        <w:autoSpaceDN w:val="0"/>
        <w:spacing w:after="0" w:line="240" w:lineRule="auto"/>
        <w:jc w:val="both"/>
        <w:rPr>
          <w:rFonts w:ascii="Calibri" w:eastAsia="Calibri" w:hAnsi="Calibri" w:cs="Arial"/>
          <w:bCs/>
          <w:sz w:val="18"/>
          <w:szCs w:val="18"/>
          <w:lang w:eastAsia="en-GB" w:bidi="en-GB"/>
        </w:rPr>
      </w:pPr>
      <w:r w:rsidRPr="00B52070">
        <w:rPr>
          <w:rFonts w:ascii="Calibri" w:eastAsia="Calibri" w:hAnsi="Calibri" w:cs="Arial"/>
          <w:bCs/>
          <w:sz w:val="18"/>
          <w:szCs w:val="18"/>
          <w:lang w:eastAsia="en-GB" w:bidi="en-GB"/>
        </w:rPr>
        <w:t>This announcement contains inside information for the purposes of the Market Abuse Regulation</w:t>
      </w:r>
    </w:p>
    <w:p w14:paraId="12CD7E4F" w14:textId="77777777" w:rsidR="00FD2A1E" w:rsidRPr="003C7BC3" w:rsidRDefault="00FD2A1E" w:rsidP="003C7BC3">
      <w:pPr>
        <w:widowControl w:val="0"/>
        <w:autoSpaceDE w:val="0"/>
        <w:autoSpaceDN w:val="0"/>
        <w:spacing w:after="0" w:line="240" w:lineRule="auto"/>
        <w:jc w:val="both"/>
        <w:rPr>
          <w:rFonts w:ascii="Calibri" w:eastAsia="Calibri" w:hAnsi="Calibri" w:cs="Arial"/>
          <w:b/>
          <w:sz w:val="20"/>
          <w:szCs w:val="18"/>
          <w:lang w:eastAsia="en-GB" w:bidi="en-GB"/>
        </w:rPr>
      </w:pPr>
    </w:p>
    <w:p w14:paraId="1B7B866B" w14:textId="7CF6BDAE" w:rsidR="003C7BC3" w:rsidRPr="003C7BC3" w:rsidRDefault="003C7BC3" w:rsidP="005B3BEE">
      <w:pPr>
        <w:pStyle w:val="SectionH2"/>
      </w:pPr>
      <w:r w:rsidRPr="003C7BC3">
        <w:lastRenderedPageBreak/>
        <w:t>PRESENTATION</w:t>
      </w:r>
    </w:p>
    <w:p w14:paraId="7BE90122" w14:textId="20D7C6C1" w:rsidR="003C7BC3" w:rsidRPr="003C7BC3" w:rsidRDefault="003C7BC3"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A webcast presentation of the results for analysts and institutional investors will take place at 8.30am today. This presentation can also be accessed live from the Investor Relations section on www.greencore.com</w:t>
      </w:r>
      <w:r w:rsidRPr="003C7BC3">
        <w:rPr>
          <w:rFonts w:ascii="Calibri" w:eastAsia="Calibri" w:hAnsi="Calibri" w:cs="Calibri"/>
          <w:sz w:val="18"/>
          <w:szCs w:val="18"/>
          <w:lang w:eastAsia="en-GB" w:bidi="en-GB"/>
        </w:rPr>
        <w:t xml:space="preserve"> or alternatively via conference call.</w:t>
      </w:r>
    </w:p>
    <w:p w14:paraId="34DD775A" w14:textId="77777777" w:rsidR="003C7BC3" w:rsidRPr="003C7BC3" w:rsidRDefault="003C7BC3"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Participants wishing to dial into the conference call can do so using the following details:</w:t>
      </w:r>
    </w:p>
    <w:tbl>
      <w:tblPr>
        <w:tblW w:w="0" w:type="auto"/>
        <w:tblCellMar>
          <w:left w:w="0" w:type="dxa"/>
          <w:right w:w="0" w:type="dxa"/>
        </w:tblCellMar>
        <w:tblLook w:val="04A0" w:firstRow="1" w:lastRow="0" w:firstColumn="1" w:lastColumn="0" w:noHBand="0" w:noVBand="1"/>
      </w:tblPr>
      <w:tblGrid>
        <w:gridCol w:w="2547"/>
        <w:gridCol w:w="6374"/>
      </w:tblGrid>
      <w:tr w:rsidR="003C7BC3" w:rsidRPr="003C7BC3" w14:paraId="35712E97" w14:textId="77777777" w:rsidTr="001413EA">
        <w:tc>
          <w:tcPr>
            <w:tcW w:w="2547" w:type="dxa"/>
          </w:tcPr>
          <w:p w14:paraId="2F38973B"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p>
          <w:p w14:paraId="290E7C9D"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Ireland number:</w:t>
            </w:r>
          </w:p>
        </w:tc>
        <w:tc>
          <w:tcPr>
            <w:tcW w:w="6374" w:type="dxa"/>
            <w:shd w:val="clear" w:color="auto" w:fill="auto"/>
          </w:tcPr>
          <w:p w14:paraId="2BCF6622" w14:textId="77777777" w:rsidR="00C85635" w:rsidRDefault="00C85635" w:rsidP="00C85635">
            <w:pPr>
              <w:widowControl w:val="0"/>
              <w:autoSpaceDE w:val="0"/>
              <w:autoSpaceDN w:val="0"/>
              <w:spacing w:after="0" w:line="240" w:lineRule="auto"/>
              <w:jc w:val="both"/>
              <w:rPr>
                <w:rFonts w:ascii="Calibri" w:eastAsia="Calibri" w:hAnsi="Calibri" w:cs="Arial"/>
                <w:sz w:val="18"/>
                <w:szCs w:val="18"/>
                <w:lang w:eastAsia="en-GB" w:bidi="en-GB"/>
              </w:rPr>
            </w:pPr>
          </w:p>
          <w:p w14:paraId="4E8DEAB0" w14:textId="77777777" w:rsidR="003C7BC3" w:rsidRPr="003C7BC3" w:rsidRDefault="003C7BC3" w:rsidP="00C85635">
            <w:pPr>
              <w:widowControl w:val="0"/>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+353 (0)1 431 9615 </w:t>
            </w:r>
          </w:p>
        </w:tc>
      </w:tr>
      <w:tr w:rsidR="003C7BC3" w:rsidRPr="003C7BC3" w14:paraId="2CA4BACD" w14:textId="77777777" w:rsidTr="001413EA">
        <w:tc>
          <w:tcPr>
            <w:tcW w:w="2547" w:type="dxa"/>
          </w:tcPr>
          <w:p w14:paraId="521529BA"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UK number:</w:t>
            </w:r>
          </w:p>
        </w:tc>
        <w:tc>
          <w:tcPr>
            <w:tcW w:w="6374" w:type="dxa"/>
            <w:shd w:val="clear" w:color="auto" w:fill="auto"/>
          </w:tcPr>
          <w:p w14:paraId="10EE9A5E"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+44 (0)20 7192 8000 </w:t>
            </w:r>
          </w:p>
        </w:tc>
      </w:tr>
      <w:tr w:rsidR="003C7BC3" w:rsidRPr="003C7BC3" w14:paraId="6892737E" w14:textId="77777777" w:rsidTr="001413EA">
        <w:tc>
          <w:tcPr>
            <w:tcW w:w="2547" w:type="dxa"/>
          </w:tcPr>
          <w:p w14:paraId="469F1C38"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US number:</w:t>
            </w:r>
          </w:p>
        </w:tc>
        <w:tc>
          <w:tcPr>
            <w:tcW w:w="6374" w:type="dxa"/>
            <w:shd w:val="clear" w:color="auto" w:fill="auto"/>
          </w:tcPr>
          <w:p w14:paraId="610A70B3" w14:textId="77777777" w:rsidR="003C7BC3" w:rsidRPr="003C7BC3" w:rsidRDefault="003C7BC3" w:rsidP="00C85635">
            <w:pPr>
              <w:widowControl w:val="0"/>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+1 631 510 7495 </w:t>
            </w:r>
          </w:p>
        </w:tc>
      </w:tr>
      <w:tr w:rsidR="003C7BC3" w:rsidRPr="003C7BC3" w14:paraId="1097192D" w14:textId="77777777" w:rsidTr="001413EA">
        <w:tc>
          <w:tcPr>
            <w:tcW w:w="2547" w:type="dxa"/>
          </w:tcPr>
          <w:p w14:paraId="55659B43"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Confirmation code:</w:t>
            </w:r>
          </w:p>
        </w:tc>
        <w:tc>
          <w:tcPr>
            <w:tcW w:w="6374" w:type="dxa"/>
            <w:shd w:val="clear" w:color="auto" w:fill="auto"/>
          </w:tcPr>
          <w:p w14:paraId="36024829" w14:textId="77777777" w:rsidR="003C7BC3" w:rsidRPr="003C7BC3" w:rsidRDefault="00C85635" w:rsidP="003C7BC3">
            <w:pPr>
              <w:widowControl w:val="0"/>
              <w:autoSpaceDE w:val="0"/>
              <w:autoSpaceDN w:val="0"/>
              <w:spacing w:after="0" w:line="240" w:lineRule="auto"/>
              <w:jc w:val="both"/>
              <w:rPr>
                <w:rFonts w:ascii="Calibri" w:eastAsia="Calibri" w:hAnsi="Calibri" w:cs="Arial"/>
                <w:sz w:val="18"/>
                <w:szCs w:val="18"/>
                <w:lang w:eastAsia="en-GB" w:bidi="en-GB"/>
              </w:rPr>
            </w:pPr>
            <w:r w:rsidRPr="00C85635">
              <w:rPr>
                <w:rFonts w:ascii="Calibri" w:eastAsia="Calibri" w:hAnsi="Calibri" w:cs="Arial"/>
                <w:sz w:val="18"/>
                <w:szCs w:val="18"/>
                <w:lang w:eastAsia="en-GB" w:bidi="en-GB"/>
              </w:rPr>
              <w:t>1582857</w:t>
            </w:r>
            <w:r w:rsidR="003C7BC3" w:rsidRPr="003C7BC3">
              <w:rPr>
                <w:rFonts w:ascii="Calibri" w:eastAsia="Calibri" w:hAnsi="Calibri" w:cs="Arial"/>
                <w:sz w:val="18"/>
                <w:szCs w:val="18"/>
                <w:lang w:eastAsia="en-GB" w:bidi="en-GB"/>
              </w:rPr>
              <w:t xml:space="preserve"> </w:t>
            </w:r>
          </w:p>
        </w:tc>
      </w:tr>
    </w:tbl>
    <w:p w14:paraId="0FAD8361"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 </w:t>
      </w:r>
    </w:p>
    <w:p w14:paraId="0E95E447" w14:textId="77777777" w:rsidR="003C7BC3" w:rsidRPr="003C7BC3" w:rsidRDefault="003C7BC3"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A replay of the presentation will be available on www.greencore.com and also through a 7 day conference call replay facility.</w:t>
      </w:r>
    </w:p>
    <w:tbl>
      <w:tblPr>
        <w:tblW w:w="0" w:type="auto"/>
        <w:tblCellMar>
          <w:left w:w="0" w:type="dxa"/>
          <w:right w:w="0" w:type="dxa"/>
        </w:tblCellMar>
        <w:tblLook w:val="04A0" w:firstRow="1" w:lastRow="0" w:firstColumn="1" w:lastColumn="0" w:noHBand="0" w:noVBand="1"/>
      </w:tblPr>
      <w:tblGrid>
        <w:gridCol w:w="2547"/>
        <w:gridCol w:w="6374"/>
      </w:tblGrid>
      <w:tr w:rsidR="003C7BC3" w:rsidRPr="003C7BC3" w14:paraId="43351BBF" w14:textId="77777777" w:rsidTr="001413EA">
        <w:tc>
          <w:tcPr>
            <w:tcW w:w="2547" w:type="dxa"/>
          </w:tcPr>
          <w:p w14:paraId="27632893"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p>
          <w:p w14:paraId="22184C65"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Ireland replay number:</w:t>
            </w:r>
            <w:r w:rsidRPr="003C7BC3">
              <w:rPr>
                <w:rFonts w:ascii="Calibri" w:eastAsia="Calibri" w:hAnsi="Calibri" w:cs="Calibri"/>
                <w:lang w:eastAsia="en-GB" w:bidi="en-GB"/>
              </w:rPr>
              <w:t xml:space="preserve"> </w:t>
            </w:r>
          </w:p>
        </w:tc>
        <w:tc>
          <w:tcPr>
            <w:tcW w:w="6374" w:type="dxa"/>
          </w:tcPr>
          <w:p w14:paraId="193792FD"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p>
          <w:p w14:paraId="040EB4A7" w14:textId="77777777" w:rsidR="003C7BC3" w:rsidRPr="003C7BC3" w:rsidRDefault="003C7BC3" w:rsidP="00C85635">
            <w:pPr>
              <w:widowControl w:val="0"/>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+353 (0)1 553 8777 </w:t>
            </w:r>
          </w:p>
        </w:tc>
      </w:tr>
      <w:tr w:rsidR="003C7BC3" w:rsidRPr="003C7BC3" w14:paraId="50B8B3D5" w14:textId="77777777" w:rsidTr="001413EA">
        <w:tc>
          <w:tcPr>
            <w:tcW w:w="2547" w:type="dxa"/>
          </w:tcPr>
          <w:p w14:paraId="67764740"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UK replay number: </w:t>
            </w:r>
          </w:p>
        </w:tc>
        <w:tc>
          <w:tcPr>
            <w:tcW w:w="6374" w:type="dxa"/>
          </w:tcPr>
          <w:p w14:paraId="3F984C6C"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+44 (0)33 3300 9785 </w:t>
            </w:r>
          </w:p>
        </w:tc>
      </w:tr>
      <w:tr w:rsidR="003C7BC3" w:rsidRPr="003C7BC3" w14:paraId="272204EB" w14:textId="77777777" w:rsidTr="001413EA">
        <w:tc>
          <w:tcPr>
            <w:tcW w:w="2547" w:type="dxa"/>
          </w:tcPr>
          <w:p w14:paraId="58D7E219"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US replay number: </w:t>
            </w:r>
          </w:p>
        </w:tc>
        <w:tc>
          <w:tcPr>
            <w:tcW w:w="6374" w:type="dxa"/>
          </w:tcPr>
          <w:p w14:paraId="6D09AC40" w14:textId="77777777" w:rsidR="003C7BC3" w:rsidRPr="003C7BC3" w:rsidRDefault="003C7BC3" w:rsidP="00C85635">
            <w:pPr>
              <w:widowControl w:val="0"/>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+1 917 677 7532 </w:t>
            </w:r>
          </w:p>
        </w:tc>
      </w:tr>
      <w:tr w:rsidR="003C7BC3" w:rsidRPr="003C7BC3" w14:paraId="2017DF6C" w14:textId="77777777" w:rsidTr="001413EA">
        <w:tc>
          <w:tcPr>
            <w:tcW w:w="2547" w:type="dxa"/>
          </w:tcPr>
          <w:p w14:paraId="5F2373FA"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Replay code: </w:t>
            </w:r>
          </w:p>
        </w:tc>
        <w:tc>
          <w:tcPr>
            <w:tcW w:w="6374" w:type="dxa"/>
          </w:tcPr>
          <w:p w14:paraId="6E251808" w14:textId="77777777" w:rsidR="003C7BC3" w:rsidRPr="003C7BC3" w:rsidRDefault="00C85635" w:rsidP="003C7BC3">
            <w:pPr>
              <w:widowControl w:val="0"/>
              <w:autoSpaceDE w:val="0"/>
              <w:autoSpaceDN w:val="0"/>
              <w:spacing w:after="0" w:line="240" w:lineRule="auto"/>
              <w:jc w:val="both"/>
              <w:rPr>
                <w:rFonts w:ascii="Calibri" w:eastAsia="Calibri" w:hAnsi="Calibri" w:cs="Arial"/>
                <w:sz w:val="18"/>
                <w:szCs w:val="18"/>
                <w:lang w:eastAsia="en-GB" w:bidi="en-GB"/>
              </w:rPr>
            </w:pPr>
            <w:r w:rsidRPr="00C85635">
              <w:rPr>
                <w:rFonts w:ascii="Calibri" w:eastAsia="Calibri" w:hAnsi="Calibri" w:cs="Arial"/>
                <w:sz w:val="18"/>
                <w:szCs w:val="18"/>
                <w:lang w:eastAsia="en-GB" w:bidi="en-GB"/>
              </w:rPr>
              <w:t>1582857</w:t>
            </w:r>
          </w:p>
        </w:tc>
      </w:tr>
    </w:tbl>
    <w:p w14:paraId="4EE2F718" w14:textId="77777777" w:rsidR="003C7BC3" w:rsidRPr="003C7BC3" w:rsidRDefault="003C7BC3" w:rsidP="003C7BC3">
      <w:pPr>
        <w:widowControl w:val="0"/>
        <w:autoSpaceDE w:val="0"/>
        <w:autoSpaceDN w:val="0"/>
        <w:spacing w:after="0" w:line="240" w:lineRule="auto"/>
        <w:jc w:val="both"/>
        <w:rPr>
          <w:rFonts w:ascii="Calibri" w:eastAsia="Calibri" w:hAnsi="Calibri" w:cs="Calibri"/>
          <w:sz w:val="16"/>
          <w:szCs w:val="16"/>
          <w:lang w:eastAsia="en-GB" w:bidi="en-GB"/>
        </w:rPr>
      </w:pPr>
    </w:p>
    <w:p w14:paraId="742E2AC8" w14:textId="77777777" w:rsidR="003C7BC3" w:rsidRPr="004E715C" w:rsidRDefault="003C7BC3" w:rsidP="005B3BEE">
      <w:pPr>
        <w:pStyle w:val="SectionH3"/>
      </w:pPr>
      <w:r w:rsidRPr="004E715C">
        <w:t>For further information, please contact:</w:t>
      </w:r>
    </w:p>
    <w:tbl>
      <w:tblPr>
        <w:tblW w:w="8820" w:type="dxa"/>
        <w:tblLayout w:type="fixed"/>
        <w:tblCellMar>
          <w:left w:w="0" w:type="dxa"/>
        </w:tblCellMar>
        <w:tblLook w:val="04A0" w:firstRow="1" w:lastRow="0" w:firstColumn="1" w:lastColumn="0" w:noHBand="0" w:noVBand="1"/>
      </w:tblPr>
      <w:tblGrid>
        <w:gridCol w:w="2547"/>
        <w:gridCol w:w="3573"/>
        <w:gridCol w:w="2700"/>
      </w:tblGrid>
      <w:tr w:rsidR="003C7BC3" w:rsidRPr="003C7BC3" w14:paraId="2DB1B9C8" w14:textId="77777777" w:rsidTr="001413EA">
        <w:tc>
          <w:tcPr>
            <w:tcW w:w="2547" w:type="dxa"/>
            <w:hideMark/>
          </w:tcPr>
          <w:p w14:paraId="2A2C3D68" w14:textId="77777777" w:rsidR="003C7BC3" w:rsidRPr="003C7BC3" w:rsidRDefault="003C7BC3" w:rsidP="003C7BC3">
            <w:pPr>
              <w:widowControl w:val="0"/>
              <w:autoSpaceDE w:val="0"/>
              <w:autoSpaceDN w:val="0"/>
              <w:spacing w:after="0" w:line="240" w:lineRule="auto"/>
              <w:rPr>
                <w:rFonts w:ascii="Calibri" w:eastAsia="Calibri" w:hAnsi="Calibri" w:cs="Arial"/>
                <w:bCs/>
                <w:sz w:val="18"/>
                <w:szCs w:val="18"/>
                <w:lang w:val="en-US" w:eastAsia="en-GB" w:bidi="en-GB"/>
              </w:rPr>
            </w:pPr>
          </w:p>
          <w:p w14:paraId="7E3C9745" w14:textId="77777777" w:rsidR="003C7BC3" w:rsidRPr="003C7BC3" w:rsidRDefault="003C7BC3" w:rsidP="003C7BC3">
            <w:pPr>
              <w:widowControl w:val="0"/>
              <w:autoSpaceDE w:val="0"/>
              <w:autoSpaceDN w:val="0"/>
              <w:spacing w:after="0" w:line="240" w:lineRule="auto"/>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Patrick Coveney</w:t>
            </w:r>
          </w:p>
        </w:tc>
        <w:tc>
          <w:tcPr>
            <w:tcW w:w="3573" w:type="dxa"/>
            <w:hideMark/>
          </w:tcPr>
          <w:p w14:paraId="75841FC2" w14:textId="77777777" w:rsidR="003C7BC3" w:rsidRPr="003C7BC3" w:rsidRDefault="003C7BC3" w:rsidP="003C7BC3">
            <w:pPr>
              <w:widowControl w:val="0"/>
              <w:autoSpaceDE w:val="0"/>
              <w:autoSpaceDN w:val="0"/>
              <w:spacing w:after="0" w:line="240" w:lineRule="auto"/>
              <w:rPr>
                <w:rFonts w:ascii="Calibri" w:eastAsia="Calibri" w:hAnsi="Calibri" w:cs="Arial"/>
                <w:bCs/>
                <w:sz w:val="18"/>
                <w:szCs w:val="18"/>
                <w:lang w:val="en-US" w:eastAsia="en-GB" w:bidi="en-GB"/>
              </w:rPr>
            </w:pPr>
          </w:p>
          <w:p w14:paraId="68C352AE" w14:textId="77777777" w:rsidR="003C7BC3" w:rsidRPr="003C7BC3" w:rsidRDefault="003C7BC3" w:rsidP="003C7BC3">
            <w:pPr>
              <w:widowControl w:val="0"/>
              <w:autoSpaceDE w:val="0"/>
              <w:autoSpaceDN w:val="0"/>
              <w:spacing w:after="0" w:line="240" w:lineRule="auto"/>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Chief Executive Officer</w:t>
            </w:r>
          </w:p>
        </w:tc>
        <w:tc>
          <w:tcPr>
            <w:tcW w:w="2700" w:type="dxa"/>
            <w:hideMark/>
          </w:tcPr>
          <w:p w14:paraId="2847CB22" w14:textId="77777777" w:rsidR="003C7BC3" w:rsidRPr="003C7BC3" w:rsidRDefault="003C7BC3" w:rsidP="003C7BC3">
            <w:pPr>
              <w:widowControl w:val="0"/>
              <w:autoSpaceDE w:val="0"/>
              <w:autoSpaceDN w:val="0"/>
              <w:spacing w:after="0" w:line="240" w:lineRule="auto"/>
              <w:rPr>
                <w:rFonts w:ascii="Calibri" w:eastAsia="Calibri" w:hAnsi="Calibri" w:cs="Arial"/>
                <w:bCs/>
                <w:sz w:val="18"/>
                <w:szCs w:val="18"/>
                <w:lang w:val="en-US" w:eastAsia="en-GB" w:bidi="en-GB"/>
              </w:rPr>
            </w:pPr>
          </w:p>
          <w:p w14:paraId="65489CBC" w14:textId="77777777" w:rsidR="003C7BC3" w:rsidRPr="003C7BC3" w:rsidRDefault="003C7BC3" w:rsidP="003C7BC3">
            <w:pPr>
              <w:widowControl w:val="0"/>
              <w:autoSpaceDE w:val="0"/>
              <w:autoSpaceDN w:val="0"/>
              <w:spacing w:after="0" w:line="240" w:lineRule="auto"/>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Tel: +353 (0) 1 486 3313</w:t>
            </w:r>
          </w:p>
        </w:tc>
      </w:tr>
      <w:tr w:rsidR="003C7BC3" w:rsidRPr="003C7BC3" w14:paraId="2F08A210" w14:textId="77777777" w:rsidTr="001413EA">
        <w:tc>
          <w:tcPr>
            <w:tcW w:w="2547" w:type="dxa"/>
            <w:hideMark/>
          </w:tcPr>
          <w:p w14:paraId="1630ED33"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Emma Hynes</w:t>
            </w:r>
          </w:p>
        </w:tc>
        <w:tc>
          <w:tcPr>
            <w:tcW w:w="3573" w:type="dxa"/>
            <w:hideMark/>
          </w:tcPr>
          <w:p w14:paraId="6E087233"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 xml:space="preserve">Chief Financial Officer </w:t>
            </w:r>
          </w:p>
        </w:tc>
        <w:tc>
          <w:tcPr>
            <w:tcW w:w="2700" w:type="dxa"/>
            <w:hideMark/>
          </w:tcPr>
          <w:p w14:paraId="551202F7"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Tel: +353 (0) 1 486 3307</w:t>
            </w:r>
          </w:p>
        </w:tc>
      </w:tr>
      <w:tr w:rsidR="003C7BC3" w:rsidRPr="003C7BC3" w14:paraId="068C726D" w14:textId="77777777" w:rsidTr="001413EA">
        <w:tc>
          <w:tcPr>
            <w:tcW w:w="2547" w:type="dxa"/>
          </w:tcPr>
          <w:p w14:paraId="793DFB9A"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Jack Gorman</w:t>
            </w:r>
          </w:p>
        </w:tc>
        <w:tc>
          <w:tcPr>
            <w:tcW w:w="3573" w:type="dxa"/>
          </w:tcPr>
          <w:p w14:paraId="59EA4133"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Head of Investor Relations</w:t>
            </w:r>
          </w:p>
        </w:tc>
        <w:tc>
          <w:tcPr>
            <w:tcW w:w="2700" w:type="dxa"/>
          </w:tcPr>
          <w:p w14:paraId="0AD41DEB"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Tel: +353 (0) 1 486 3308</w:t>
            </w:r>
          </w:p>
        </w:tc>
      </w:tr>
      <w:tr w:rsidR="003C7BC3" w:rsidRPr="003C7BC3" w14:paraId="3D4B35D9" w14:textId="77777777" w:rsidTr="001413EA">
        <w:tc>
          <w:tcPr>
            <w:tcW w:w="2547" w:type="dxa"/>
          </w:tcPr>
          <w:p w14:paraId="550E7FF6"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p>
        </w:tc>
        <w:tc>
          <w:tcPr>
            <w:tcW w:w="3573" w:type="dxa"/>
          </w:tcPr>
          <w:p w14:paraId="284FDB55"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p>
        </w:tc>
        <w:tc>
          <w:tcPr>
            <w:tcW w:w="2700" w:type="dxa"/>
          </w:tcPr>
          <w:p w14:paraId="1A9E12FD"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p>
        </w:tc>
      </w:tr>
      <w:tr w:rsidR="003C7BC3" w:rsidRPr="003C7BC3" w14:paraId="4CAAA9BD" w14:textId="77777777" w:rsidTr="001413EA">
        <w:tc>
          <w:tcPr>
            <w:tcW w:w="2547" w:type="dxa"/>
            <w:hideMark/>
          </w:tcPr>
          <w:p w14:paraId="095D99AE"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 xml:space="preserve">Rob Greening or Sam </w:t>
            </w:r>
            <w:proofErr w:type="spellStart"/>
            <w:r w:rsidRPr="003C7BC3">
              <w:rPr>
                <w:rFonts w:ascii="Calibri" w:eastAsia="Calibri" w:hAnsi="Calibri" w:cs="Arial"/>
                <w:bCs/>
                <w:sz w:val="18"/>
                <w:szCs w:val="18"/>
                <w:lang w:val="en-US" w:eastAsia="en-GB" w:bidi="en-GB"/>
              </w:rPr>
              <w:t>Austrums</w:t>
            </w:r>
            <w:proofErr w:type="spellEnd"/>
          </w:p>
        </w:tc>
        <w:tc>
          <w:tcPr>
            <w:tcW w:w="3573" w:type="dxa"/>
            <w:hideMark/>
          </w:tcPr>
          <w:p w14:paraId="66DD6580"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Powerscourt</w:t>
            </w:r>
          </w:p>
        </w:tc>
        <w:tc>
          <w:tcPr>
            <w:tcW w:w="2700" w:type="dxa"/>
            <w:hideMark/>
          </w:tcPr>
          <w:p w14:paraId="568BCFAB"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Tel: +44 (0) 20 7250 1446</w:t>
            </w:r>
          </w:p>
        </w:tc>
      </w:tr>
      <w:tr w:rsidR="003C7BC3" w:rsidRPr="003C7BC3" w14:paraId="6FFE50AA" w14:textId="77777777" w:rsidTr="001413EA">
        <w:tc>
          <w:tcPr>
            <w:tcW w:w="2547" w:type="dxa"/>
          </w:tcPr>
          <w:p w14:paraId="4A3E909A"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Billy Murphy or Louise Walsh</w:t>
            </w:r>
          </w:p>
        </w:tc>
        <w:tc>
          <w:tcPr>
            <w:tcW w:w="3573" w:type="dxa"/>
          </w:tcPr>
          <w:p w14:paraId="5D3E2EB9"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 xml:space="preserve">Drury | Porter </w:t>
            </w:r>
            <w:proofErr w:type="spellStart"/>
            <w:r w:rsidRPr="003C7BC3">
              <w:rPr>
                <w:rFonts w:ascii="Calibri" w:eastAsia="Calibri" w:hAnsi="Calibri" w:cs="Arial"/>
                <w:bCs/>
                <w:sz w:val="18"/>
                <w:szCs w:val="18"/>
                <w:lang w:val="en-US" w:eastAsia="en-GB" w:bidi="en-GB"/>
              </w:rPr>
              <w:t>Novelli</w:t>
            </w:r>
            <w:proofErr w:type="spellEnd"/>
          </w:p>
        </w:tc>
        <w:tc>
          <w:tcPr>
            <w:tcW w:w="2700" w:type="dxa"/>
          </w:tcPr>
          <w:p w14:paraId="359353B0" w14:textId="77777777" w:rsidR="003C7BC3" w:rsidRPr="003C7BC3" w:rsidRDefault="003C7BC3" w:rsidP="003C7BC3">
            <w:pPr>
              <w:widowControl w:val="0"/>
              <w:autoSpaceDE w:val="0"/>
              <w:autoSpaceDN w:val="0"/>
              <w:spacing w:after="0" w:line="240" w:lineRule="auto"/>
              <w:jc w:val="both"/>
              <w:rPr>
                <w:rFonts w:ascii="Calibri" w:eastAsia="Calibri" w:hAnsi="Calibri" w:cs="Arial"/>
                <w:bCs/>
                <w:sz w:val="18"/>
                <w:szCs w:val="18"/>
                <w:lang w:val="en-US" w:eastAsia="en-GB" w:bidi="en-GB"/>
              </w:rPr>
            </w:pPr>
            <w:r w:rsidRPr="003C7BC3">
              <w:rPr>
                <w:rFonts w:ascii="Calibri" w:eastAsia="Calibri" w:hAnsi="Calibri" w:cs="Arial"/>
                <w:bCs/>
                <w:sz w:val="18"/>
                <w:szCs w:val="18"/>
                <w:lang w:val="en-US" w:eastAsia="en-GB" w:bidi="en-GB"/>
              </w:rPr>
              <w:t>Tel: +353 (0) 1 260 5000</w:t>
            </w:r>
          </w:p>
        </w:tc>
      </w:tr>
    </w:tbl>
    <w:p w14:paraId="0A697FC6"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eastAsia="en-GB" w:bidi="en-GB"/>
        </w:rPr>
      </w:pPr>
    </w:p>
    <w:p w14:paraId="0C5785B5" w14:textId="77777777" w:rsidR="003C7BC3" w:rsidRPr="005B3BEE" w:rsidRDefault="003C7BC3" w:rsidP="005B3BEE">
      <w:pPr>
        <w:pStyle w:val="SectionH3"/>
        <w:rPr>
          <w:rStyle w:val="SectionH3Char"/>
        </w:rPr>
      </w:pPr>
      <w:r w:rsidRPr="003C7BC3">
        <w:t xml:space="preserve">About Greencore </w:t>
      </w:r>
    </w:p>
    <w:p w14:paraId="5E99D08D" w14:textId="10F0AE69" w:rsidR="003C7BC3" w:rsidRPr="003C7BC3" w:rsidRDefault="003C7BC3" w:rsidP="005B3BEE">
      <w:pPr>
        <w:widowControl w:val="0"/>
        <w:autoSpaceDE w:val="0"/>
        <w:autoSpaceDN w:val="0"/>
        <w:spacing w:after="120" w:line="240" w:lineRule="auto"/>
        <w:jc w:val="both"/>
        <w:rPr>
          <w:rFonts w:ascii="Calibri" w:eastAsia="Calibri" w:hAnsi="Calibri" w:cs="Calibri"/>
          <w:color w:val="000000"/>
          <w:sz w:val="18"/>
          <w:szCs w:val="18"/>
          <w:lang w:eastAsia="en-GB" w:bidi="en-GB"/>
        </w:rPr>
      </w:pPr>
      <w:r w:rsidRPr="003C7BC3">
        <w:rPr>
          <w:rFonts w:ascii="Calibri" w:eastAsia="Calibri" w:hAnsi="Calibri" w:cs="Calibri"/>
          <w:color w:val="000000"/>
          <w:sz w:val="18"/>
          <w:szCs w:val="18"/>
          <w:lang w:eastAsia="en-GB" w:bidi="en-GB"/>
        </w:rPr>
        <w:t>Greencore is a leading manufacturer of convenience food in the UK. It supplies grocery and other retailers including all of the major UK supermarkets. The Group has strong market positions in a range of categories including sandwiches, salads, sushi, chilled snacking, chilled ready meals, chilled soups and sauces, chilled quiche, ambient sauces and pickles, and frozen Yorkshire Puddings.</w:t>
      </w:r>
    </w:p>
    <w:p w14:paraId="0A678F2C" w14:textId="7C5FB2E1" w:rsidR="003C7BC3" w:rsidRPr="003C7BC3" w:rsidRDefault="003C7BC3" w:rsidP="005B3BEE">
      <w:pPr>
        <w:widowControl w:val="0"/>
        <w:autoSpaceDE w:val="0"/>
        <w:autoSpaceDN w:val="0"/>
        <w:spacing w:after="120" w:line="240" w:lineRule="auto"/>
        <w:jc w:val="both"/>
        <w:rPr>
          <w:rFonts w:ascii="Calibri" w:eastAsia="Calibri" w:hAnsi="Calibri" w:cs="Calibri"/>
          <w:color w:val="000000"/>
          <w:sz w:val="18"/>
          <w:szCs w:val="18"/>
          <w:lang w:eastAsia="en-GB" w:bidi="en-GB"/>
        </w:rPr>
      </w:pPr>
      <w:r w:rsidRPr="003C7BC3">
        <w:rPr>
          <w:rFonts w:ascii="Calibri" w:eastAsia="Calibri" w:hAnsi="Calibri" w:cs="Calibri"/>
          <w:color w:val="000000"/>
          <w:sz w:val="18"/>
          <w:szCs w:val="18"/>
          <w:lang w:eastAsia="en-GB" w:bidi="en-GB"/>
        </w:rPr>
        <w:t xml:space="preserve">The Group's medium term financial ambitions are for </w:t>
      </w:r>
      <w:proofErr w:type="spellStart"/>
      <w:r w:rsidRPr="003C7BC3">
        <w:rPr>
          <w:rFonts w:ascii="Calibri" w:eastAsia="Calibri" w:hAnsi="Calibri" w:cs="Calibri"/>
          <w:color w:val="000000"/>
          <w:sz w:val="18"/>
          <w:szCs w:val="18"/>
          <w:lang w:eastAsia="en-GB" w:bidi="en-GB"/>
        </w:rPr>
        <w:t>mid single</w:t>
      </w:r>
      <w:proofErr w:type="spellEnd"/>
      <w:r w:rsidRPr="003C7BC3">
        <w:rPr>
          <w:rFonts w:ascii="Calibri" w:eastAsia="Calibri" w:hAnsi="Calibri" w:cs="Calibri"/>
          <w:color w:val="000000"/>
          <w:sz w:val="18"/>
          <w:szCs w:val="18"/>
          <w:lang w:eastAsia="en-GB" w:bidi="en-GB"/>
        </w:rPr>
        <w:t>-digit organic revenue growth, high single-digit Adjusted EPS growth, the conversion of half of its Adjusted EBITDA to Free Cash Flow and for mid-teen ROIC.</w:t>
      </w:r>
    </w:p>
    <w:p w14:paraId="41EC4B33" w14:textId="05BA75EB" w:rsidR="004E715C" w:rsidRDefault="003C7BC3" w:rsidP="004E715C">
      <w:pPr>
        <w:widowControl w:val="0"/>
        <w:autoSpaceDE w:val="0"/>
        <w:autoSpaceDN w:val="0"/>
        <w:spacing w:after="120" w:line="240" w:lineRule="auto"/>
        <w:jc w:val="both"/>
        <w:rPr>
          <w:rFonts w:ascii="Calibri" w:eastAsia="Calibri" w:hAnsi="Calibri" w:cs="Calibri"/>
          <w:color w:val="000000"/>
          <w:sz w:val="18"/>
          <w:szCs w:val="18"/>
          <w:lang w:eastAsia="en-GB" w:bidi="en-GB"/>
        </w:rPr>
      </w:pPr>
      <w:r w:rsidRPr="003C7BC3">
        <w:rPr>
          <w:rFonts w:ascii="Calibri" w:eastAsia="Calibri" w:hAnsi="Calibri" w:cs="Calibri"/>
          <w:color w:val="000000"/>
          <w:sz w:val="18"/>
          <w:szCs w:val="18"/>
          <w:lang w:eastAsia="en-GB" w:bidi="en-GB"/>
        </w:rPr>
        <w:t>For further information go to www.greencore.com or follow Greencore on social media.</w:t>
      </w:r>
      <w:r w:rsidR="004E715C">
        <w:rPr>
          <w:rFonts w:ascii="Calibri" w:eastAsia="Calibri" w:hAnsi="Calibri" w:cs="Calibri"/>
          <w:color w:val="000000"/>
          <w:sz w:val="18"/>
          <w:szCs w:val="18"/>
          <w:lang w:eastAsia="en-GB" w:bidi="en-GB"/>
        </w:rPr>
        <w:t xml:space="preserve"> </w:t>
      </w:r>
    </w:p>
    <w:p w14:paraId="2C33CB95" w14:textId="77777777" w:rsidR="00000B37" w:rsidRDefault="00000B37" w:rsidP="005B3BEE">
      <w:pPr>
        <w:pStyle w:val="SectionH2"/>
      </w:pPr>
    </w:p>
    <w:p w14:paraId="6485E660" w14:textId="36426545" w:rsidR="003C7BC3" w:rsidRPr="003C7BC3" w:rsidRDefault="003C7BC3" w:rsidP="005B3BEE">
      <w:pPr>
        <w:pStyle w:val="SectionH2"/>
      </w:pPr>
      <w:r w:rsidRPr="003C7BC3">
        <w:t xml:space="preserve">OPERATING REVIEW </w:t>
      </w:r>
      <w:r w:rsidRPr="003C7BC3">
        <w:rPr>
          <w:vertAlign w:val="superscript"/>
        </w:rPr>
        <w:t>1,2</w:t>
      </w:r>
      <w:r w:rsidR="00A14F58">
        <w:rPr>
          <w:vertAlign w:val="superscript"/>
        </w:rPr>
        <w:t>,3</w:t>
      </w:r>
    </w:p>
    <w:p w14:paraId="610CDE57" w14:textId="7E5E5F8A" w:rsidR="003C7BC3" w:rsidRPr="003C7BC3" w:rsidRDefault="003C7BC3" w:rsidP="005B3BEE">
      <w:pPr>
        <w:pStyle w:val="SectionH3"/>
      </w:pPr>
      <w:r w:rsidRPr="005B3BEE">
        <w:rPr>
          <w:b w:val="0"/>
          <w:u w:val="single"/>
        </w:rPr>
        <w:t>Convenience Foods UK &amp; Ireland</w:t>
      </w: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134"/>
        <w:gridCol w:w="1276"/>
        <w:gridCol w:w="1418"/>
        <w:gridCol w:w="1557"/>
      </w:tblGrid>
      <w:tr w:rsidR="003C7BC3" w:rsidRPr="003C7BC3" w14:paraId="1823373F" w14:textId="77777777" w:rsidTr="001413EA">
        <w:trPr>
          <w:jc w:val="center"/>
        </w:trPr>
        <w:tc>
          <w:tcPr>
            <w:tcW w:w="2984" w:type="dxa"/>
          </w:tcPr>
          <w:p w14:paraId="45BA9C07" w14:textId="77777777" w:rsidR="003C7BC3" w:rsidRPr="003C7BC3" w:rsidRDefault="003C7BC3" w:rsidP="003C7BC3">
            <w:pPr>
              <w:widowControl w:val="0"/>
              <w:autoSpaceDE w:val="0"/>
              <w:autoSpaceDN w:val="0"/>
              <w:spacing w:after="0" w:line="240" w:lineRule="auto"/>
              <w:jc w:val="both"/>
              <w:rPr>
                <w:rFonts w:ascii="Calibri" w:eastAsia="Calibri" w:hAnsi="Calibri" w:cs="Arial"/>
                <w:b/>
                <w:sz w:val="18"/>
                <w:szCs w:val="18"/>
                <w:lang w:val="en-US" w:eastAsia="en-GB" w:bidi="en-GB"/>
              </w:rPr>
            </w:pPr>
          </w:p>
        </w:tc>
        <w:tc>
          <w:tcPr>
            <w:tcW w:w="1134" w:type="dxa"/>
            <w:hideMark/>
          </w:tcPr>
          <w:p w14:paraId="23008C04" w14:textId="77777777" w:rsidR="003C7BC3" w:rsidRPr="003C7BC3" w:rsidRDefault="003C7BC3" w:rsidP="003C7BC3">
            <w:pPr>
              <w:widowControl w:val="0"/>
              <w:autoSpaceDE w:val="0"/>
              <w:autoSpaceDN w:val="0"/>
              <w:spacing w:after="0" w:line="240" w:lineRule="auto"/>
              <w:jc w:val="right"/>
              <w:rPr>
                <w:rFonts w:ascii="Calibri" w:eastAsia="Calibri" w:hAnsi="Calibri" w:cs="Arial"/>
                <w:b/>
                <w:sz w:val="18"/>
                <w:szCs w:val="18"/>
                <w:lang w:val="en-US" w:eastAsia="en-GB" w:bidi="en-GB"/>
              </w:rPr>
            </w:pPr>
            <w:r w:rsidRPr="003C7BC3">
              <w:rPr>
                <w:rFonts w:ascii="Calibri" w:eastAsia="Calibri" w:hAnsi="Calibri" w:cs="Arial"/>
                <w:b/>
                <w:sz w:val="18"/>
                <w:szCs w:val="18"/>
                <w:lang w:val="en-US" w:eastAsia="en-GB" w:bidi="en-GB"/>
              </w:rPr>
              <w:t>H1 20</w:t>
            </w:r>
          </w:p>
          <w:p w14:paraId="67083644" w14:textId="77777777" w:rsidR="003C7BC3" w:rsidRPr="003C7BC3" w:rsidRDefault="003C7BC3" w:rsidP="003C7BC3">
            <w:pPr>
              <w:widowControl w:val="0"/>
              <w:autoSpaceDE w:val="0"/>
              <w:autoSpaceDN w:val="0"/>
              <w:spacing w:after="0" w:line="240" w:lineRule="auto"/>
              <w:jc w:val="right"/>
              <w:rPr>
                <w:rFonts w:ascii="Calibri" w:eastAsia="Calibri" w:hAnsi="Calibri" w:cs="Arial"/>
                <w:b/>
                <w:sz w:val="18"/>
                <w:szCs w:val="18"/>
                <w:lang w:val="en-US" w:eastAsia="en-GB" w:bidi="en-GB"/>
              </w:rPr>
            </w:pPr>
            <w:r w:rsidRPr="003C7BC3">
              <w:rPr>
                <w:rFonts w:ascii="Calibri" w:eastAsia="Calibri" w:hAnsi="Calibri" w:cs="Arial"/>
                <w:b/>
                <w:sz w:val="18"/>
                <w:szCs w:val="18"/>
                <w:lang w:val="en-US" w:eastAsia="en-GB" w:bidi="en-GB"/>
              </w:rPr>
              <w:t>£m</w:t>
            </w:r>
          </w:p>
        </w:tc>
        <w:tc>
          <w:tcPr>
            <w:tcW w:w="1276" w:type="dxa"/>
            <w:hideMark/>
          </w:tcPr>
          <w:p w14:paraId="4116AD1D" w14:textId="77777777" w:rsidR="003C7BC3" w:rsidRPr="003C7BC3" w:rsidRDefault="003C7BC3" w:rsidP="003C7BC3">
            <w:pPr>
              <w:widowControl w:val="0"/>
              <w:autoSpaceDE w:val="0"/>
              <w:autoSpaceDN w:val="0"/>
              <w:spacing w:after="0" w:line="240" w:lineRule="auto"/>
              <w:jc w:val="right"/>
              <w:rPr>
                <w:rFonts w:ascii="Calibri" w:eastAsia="Calibri" w:hAnsi="Calibri" w:cs="Arial"/>
                <w:b/>
                <w:sz w:val="18"/>
                <w:szCs w:val="18"/>
                <w:lang w:val="en-US" w:eastAsia="en-GB" w:bidi="en-GB"/>
              </w:rPr>
            </w:pPr>
            <w:r w:rsidRPr="003C7BC3">
              <w:rPr>
                <w:rFonts w:ascii="Calibri" w:eastAsia="Calibri" w:hAnsi="Calibri" w:cs="Arial"/>
                <w:b/>
                <w:sz w:val="18"/>
                <w:szCs w:val="18"/>
                <w:lang w:val="en-US" w:eastAsia="en-GB" w:bidi="en-GB"/>
              </w:rPr>
              <w:t>H1 19</w:t>
            </w:r>
          </w:p>
          <w:p w14:paraId="1DFC0648" w14:textId="77777777" w:rsidR="003C7BC3" w:rsidRPr="003C7BC3" w:rsidRDefault="003C7BC3" w:rsidP="003C7BC3">
            <w:pPr>
              <w:widowControl w:val="0"/>
              <w:autoSpaceDE w:val="0"/>
              <w:autoSpaceDN w:val="0"/>
              <w:spacing w:after="0" w:line="240" w:lineRule="auto"/>
              <w:jc w:val="right"/>
              <w:rPr>
                <w:rFonts w:ascii="Calibri" w:eastAsia="Calibri" w:hAnsi="Calibri" w:cs="Arial"/>
                <w:b/>
                <w:sz w:val="18"/>
                <w:szCs w:val="18"/>
                <w:lang w:val="en-US" w:eastAsia="en-GB" w:bidi="en-GB"/>
              </w:rPr>
            </w:pPr>
            <w:r w:rsidRPr="003C7BC3">
              <w:rPr>
                <w:rFonts w:ascii="Calibri" w:eastAsia="Calibri" w:hAnsi="Calibri" w:cs="Arial"/>
                <w:b/>
                <w:sz w:val="18"/>
                <w:szCs w:val="18"/>
                <w:lang w:val="en-US" w:eastAsia="en-GB" w:bidi="en-GB"/>
              </w:rPr>
              <w:t>£m</w:t>
            </w:r>
          </w:p>
        </w:tc>
        <w:tc>
          <w:tcPr>
            <w:tcW w:w="1418" w:type="dxa"/>
            <w:hideMark/>
          </w:tcPr>
          <w:p w14:paraId="6889BC57" w14:textId="77777777" w:rsidR="003C7BC3" w:rsidRPr="003C7BC3" w:rsidRDefault="003C7BC3" w:rsidP="003C7BC3">
            <w:pPr>
              <w:widowControl w:val="0"/>
              <w:autoSpaceDE w:val="0"/>
              <w:autoSpaceDN w:val="0"/>
              <w:spacing w:after="0" w:line="240" w:lineRule="auto"/>
              <w:jc w:val="right"/>
              <w:rPr>
                <w:rFonts w:ascii="Calibri" w:eastAsia="Calibri" w:hAnsi="Calibri" w:cs="Arial"/>
                <w:b/>
                <w:sz w:val="18"/>
                <w:szCs w:val="18"/>
                <w:lang w:val="en-US" w:eastAsia="en-GB" w:bidi="en-GB"/>
              </w:rPr>
            </w:pPr>
            <w:r w:rsidRPr="003C7BC3">
              <w:rPr>
                <w:rFonts w:ascii="Calibri" w:eastAsia="Calibri" w:hAnsi="Calibri" w:cs="Arial"/>
                <w:b/>
                <w:sz w:val="18"/>
                <w:szCs w:val="18"/>
                <w:lang w:val="en-US" w:eastAsia="en-GB" w:bidi="en-GB"/>
              </w:rPr>
              <w:t>Change</w:t>
            </w:r>
          </w:p>
          <w:p w14:paraId="070B3AB0" w14:textId="77777777" w:rsidR="003C7BC3" w:rsidRPr="003C7BC3" w:rsidRDefault="003C7BC3" w:rsidP="003C7BC3">
            <w:pPr>
              <w:widowControl w:val="0"/>
              <w:autoSpaceDE w:val="0"/>
              <w:autoSpaceDN w:val="0"/>
              <w:spacing w:after="0" w:line="240" w:lineRule="auto"/>
              <w:jc w:val="right"/>
              <w:rPr>
                <w:rFonts w:ascii="Calibri" w:eastAsia="Calibri" w:hAnsi="Calibri" w:cs="Arial"/>
                <w:b/>
                <w:sz w:val="18"/>
                <w:szCs w:val="18"/>
                <w:lang w:val="en-US" w:eastAsia="en-GB" w:bidi="en-GB"/>
              </w:rPr>
            </w:pPr>
            <w:r w:rsidRPr="003C7BC3">
              <w:rPr>
                <w:rFonts w:ascii="Calibri" w:eastAsia="Calibri" w:hAnsi="Calibri" w:cs="Arial"/>
                <w:b/>
                <w:sz w:val="18"/>
                <w:szCs w:val="18"/>
                <w:lang w:val="en-US" w:eastAsia="en-GB" w:bidi="en-GB"/>
              </w:rPr>
              <w:t>(As reported)</w:t>
            </w:r>
          </w:p>
        </w:tc>
        <w:tc>
          <w:tcPr>
            <w:tcW w:w="1557" w:type="dxa"/>
            <w:hideMark/>
          </w:tcPr>
          <w:p w14:paraId="54D726B0" w14:textId="77777777" w:rsidR="003C7BC3" w:rsidRPr="003C7BC3" w:rsidRDefault="003C7BC3" w:rsidP="003C7BC3">
            <w:pPr>
              <w:widowControl w:val="0"/>
              <w:autoSpaceDE w:val="0"/>
              <w:autoSpaceDN w:val="0"/>
              <w:spacing w:after="0" w:line="240" w:lineRule="auto"/>
              <w:jc w:val="right"/>
              <w:rPr>
                <w:rFonts w:ascii="Calibri" w:eastAsia="Calibri" w:hAnsi="Calibri" w:cs="Arial"/>
                <w:b/>
                <w:sz w:val="18"/>
                <w:szCs w:val="18"/>
                <w:lang w:val="en-US" w:eastAsia="en-GB" w:bidi="en-GB"/>
              </w:rPr>
            </w:pPr>
            <w:r w:rsidRPr="003C7BC3">
              <w:rPr>
                <w:rFonts w:ascii="Calibri" w:eastAsia="Calibri" w:hAnsi="Calibri" w:cs="Arial"/>
                <w:b/>
                <w:sz w:val="18"/>
                <w:szCs w:val="18"/>
                <w:lang w:val="en-US" w:eastAsia="en-GB" w:bidi="en-GB"/>
              </w:rPr>
              <w:t>Change</w:t>
            </w:r>
          </w:p>
          <w:p w14:paraId="5CF402FB" w14:textId="77777777" w:rsidR="003C7BC3" w:rsidRPr="003C7BC3" w:rsidRDefault="003C7BC3" w:rsidP="003C7BC3">
            <w:pPr>
              <w:widowControl w:val="0"/>
              <w:autoSpaceDE w:val="0"/>
              <w:autoSpaceDN w:val="0"/>
              <w:spacing w:after="0" w:line="240" w:lineRule="auto"/>
              <w:jc w:val="right"/>
              <w:rPr>
                <w:rFonts w:ascii="Calibri" w:eastAsia="Calibri" w:hAnsi="Calibri" w:cs="Arial"/>
                <w:b/>
                <w:sz w:val="18"/>
                <w:szCs w:val="18"/>
                <w:lang w:val="en-US" w:eastAsia="en-GB" w:bidi="en-GB"/>
              </w:rPr>
            </w:pPr>
            <w:r w:rsidRPr="003C7BC3">
              <w:rPr>
                <w:rFonts w:ascii="Calibri" w:eastAsia="Calibri" w:hAnsi="Calibri" w:cs="Arial"/>
                <w:b/>
                <w:sz w:val="18"/>
                <w:szCs w:val="18"/>
                <w:lang w:val="en-US" w:eastAsia="en-GB" w:bidi="en-GB"/>
              </w:rPr>
              <w:t>(Pro Forma basis)</w:t>
            </w:r>
          </w:p>
        </w:tc>
      </w:tr>
      <w:tr w:rsidR="003C7BC3" w:rsidRPr="003C7BC3" w14:paraId="46EFFEA7" w14:textId="77777777" w:rsidTr="001413EA">
        <w:trPr>
          <w:jc w:val="center"/>
        </w:trPr>
        <w:tc>
          <w:tcPr>
            <w:tcW w:w="2984" w:type="dxa"/>
            <w:hideMark/>
          </w:tcPr>
          <w:p w14:paraId="1A0B1A1F"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Revenue</w:t>
            </w:r>
          </w:p>
        </w:tc>
        <w:tc>
          <w:tcPr>
            <w:tcW w:w="1134" w:type="dxa"/>
            <w:shd w:val="clear" w:color="auto" w:fill="auto"/>
          </w:tcPr>
          <w:p w14:paraId="36F5CD83"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712.7</w:t>
            </w:r>
          </w:p>
        </w:tc>
        <w:tc>
          <w:tcPr>
            <w:tcW w:w="1276" w:type="dxa"/>
            <w:shd w:val="clear" w:color="auto" w:fill="auto"/>
          </w:tcPr>
          <w:p w14:paraId="0ED9E18D"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701.4</w:t>
            </w:r>
          </w:p>
        </w:tc>
        <w:tc>
          <w:tcPr>
            <w:tcW w:w="1418" w:type="dxa"/>
            <w:shd w:val="clear" w:color="auto" w:fill="auto"/>
          </w:tcPr>
          <w:p w14:paraId="57AE9239"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+1.6%</w:t>
            </w:r>
          </w:p>
        </w:tc>
        <w:tc>
          <w:tcPr>
            <w:tcW w:w="1557" w:type="dxa"/>
          </w:tcPr>
          <w:p w14:paraId="5F2C70CB"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+0.1%</w:t>
            </w:r>
          </w:p>
        </w:tc>
      </w:tr>
      <w:tr w:rsidR="003C7BC3" w:rsidRPr="003C7BC3" w14:paraId="30DE6893" w14:textId="77777777" w:rsidTr="001413EA">
        <w:trPr>
          <w:jc w:val="center"/>
        </w:trPr>
        <w:tc>
          <w:tcPr>
            <w:tcW w:w="2984" w:type="dxa"/>
          </w:tcPr>
          <w:p w14:paraId="00091D85"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Adjusted Operating Profit</w:t>
            </w:r>
          </w:p>
        </w:tc>
        <w:tc>
          <w:tcPr>
            <w:tcW w:w="1134" w:type="dxa"/>
            <w:shd w:val="clear" w:color="auto" w:fill="auto"/>
          </w:tcPr>
          <w:p w14:paraId="78BE2A6A"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38.3</w:t>
            </w:r>
          </w:p>
        </w:tc>
        <w:tc>
          <w:tcPr>
            <w:tcW w:w="1276" w:type="dxa"/>
            <w:shd w:val="clear" w:color="auto" w:fill="auto"/>
          </w:tcPr>
          <w:p w14:paraId="326E2011"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44.7</w:t>
            </w:r>
          </w:p>
        </w:tc>
        <w:tc>
          <w:tcPr>
            <w:tcW w:w="1418" w:type="dxa"/>
            <w:shd w:val="clear" w:color="auto" w:fill="auto"/>
          </w:tcPr>
          <w:p w14:paraId="45D10185"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-1</w:t>
            </w:r>
            <w:r w:rsidR="002D6B38">
              <w:rPr>
                <w:rFonts w:ascii="Calibri" w:eastAsia="Calibri" w:hAnsi="Calibri" w:cs="Arial"/>
                <w:sz w:val="18"/>
                <w:szCs w:val="18"/>
                <w:lang w:val="en-US" w:eastAsia="en-GB" w:bidi="en-GB"/>
              </w:rPr>
              <w:t>4.3</w:t>
            </w:r>
            <w:r w:rsidRPr="003C7BC3">
              <w:rPr>
                <w:rFonts w:ascii="Calibri" w:eastAsia="Calibri" w:hAnsi="Calibri" w:cs="Arial"/>
                <w:sz w:val="18"/>
                <w:szCs w:val="18"/>
                <w:lang w:val="en-US" w:eastAsia="en-GB" w:bidi="en-GB"/>
              </w:rPr>
              <w:t>%</w:t>
            </w:r>
          </w:p>
        </w:tc>
        <w:tc>
          <w:tcPr>
            <w:tcW w:w="1557" w:type="dxa"/>
          </w:tcPr>
          <w:p w14:paraId="7E3420E2"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highlight w:val="yellow"/>
                <w:lang w:val="en-US" w:eastAsia="en-GB" w:bidi="en-GB"/>
              </w:rPr>
            </w:pPr>
          </w:p>
        </w:tc>
      </w:tr>
      <w:tr w:rsidR="003C7BC3" w:rsidRPr="003C7BC3" w14:paraId="599753FA" w14:textId="77777777" w:rsidTr="001413EA">
        <w:trPr>
          <w:jc w:val="center"/>
        </w:trPr>
        <w:tc>
          <w:tcPr>
            <w:tcW w:w="2984" w:type="dxa"/>
            <w:hideMark/>
          </w:tcPr>
          <w:p w14:paraId="5F5EAD96"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Adjusted Operating Margin %</w:t>
            </w:r>
          </w:p>
        </w:tc>
        <w:tc>
          <w:tcPr>
            <w:tcW w:w="1134" w:type="dxa"/>
            <w:shd w:val="clear" w:color="auto" w:fill="auto"/>
          </w:tcPr>
          <w:p w14:paraId="4E3639B2"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5.4%</w:t>
            </w:r>
          </w:p>
        </w:tc>
        <w:tc>
          <w:tcPr>
            <w:tcW w:w="1276" w:type="dxa"/>
            <w:shd w:val="clear" w:color="auto" w:fill="auto"/>
          </w:tcPr>
          <w:p w14:paraId="11503237"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6.4%</w:t>
            </w:r>
          </w:p>
        </w:tc>
        <w:tc>
          <w:tcPr>
            <w:tcW w:w="1418" w:type="dxa"/>
            <w:shd w:val="clear" w:color="auto" w:fill="auto"/>
          </w:tcPr>
          <w:p w14:paraId="4CA32592"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-100 bps</w:t>
            </w:r>
          </w:p>
        </w:tc>
        <w:tc>
          <w:tcPr>
            <w:tcW w:w="1557" w:type="dxa"/>
          </w:tcPr>
          <w:p w14:paraId="29E537B8"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highlight w:val="yellow"/>
                <w:lang w:val="en-US" w:eastAsia="en-GB" w:bidi="en-GB"/>
              </w:rPr>
            </w:pPr>
          </w:p>
        </w:tc>
      </w:tr>
      <w:tr w:rsidR="003C7BC3" w:rsidRPr="003C7BC3" w14:paraId="3DBA599B" w14:textId="77777777" w:rsidTr="001413EA">
        <w:trPr>
          <w:jc w:val="center"/>
        </w:trPr>
        <w:tc>
          <w:tcPr>
            <w:tcW w:w="2984" w:type="dxa"/>
          </w:tcPr>
          <w:p w14:paraId="1D7D7843"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Group Operating Profit</w:t>
            </w:r>
          </w:p>
        </w:tc>
        <w:tc>
          <w:tcPr>
            <w:tcW w:w="1134" w:type="dxa"/>
            <w:shd w:val="clear" w:color="auto" w:fill="auto"/>
          </w:tcPr>
          <w:p w14:paraId="717B5F07"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35.</w:t>
            </w:r>
            <w:r w:rsidR="002D6B38">
              <w:rPr>
                <w:rFonts w:ascii="Calibri" w:eastAsia="Calibri" w:hAnsi="Calibri" w:cs="Arial"/>
                <w:sz w:val="18"/>
                <w:szCs w:val="18"/>
                <w:lang w:val="en-US" w:eastAsia="en-GB" w:bidi="en-GB"/>
              </w:rPr>
              <w:t>6</w:t>
            </w:r>
          </w:p>
        </w:tc>
        <w:tc>
          <w:tcPr>
            <w:tcW w:w="1276" w:type="dxa"/>
            <w:shd w:val="clear" w:color="auto" w:fill="auto"/>
          </w:tcPr>
          <w:p w14:paraId="24F994B1"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41.3</w:t>
            </w:r>
          </w:p>
        </w:tc>
        <w:tc>
          <w:tcPr>
            <w:tcW w:w="1418" w:type="dxa"/>
            <w:shd w:val="clear" w:color="auto" w:fill="auto"/>
          </w:tcPr>
          <w:p w14:paraId="15CA1B9A"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-13.8%</w:t>
            </w:r>
          </w:p>
        </w:tc>
        <w:tc>
          <w:tcPr>
            <w:tcW w:w="1557" w:type="dxa"/>
          </w:tcPr>
          <w:p w14:paraId="0591997F"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highlight w:val="yellow"/>
                <w:lang w:val="en-US" w:eastAsia="en-GB" w:bidi="en-GB"/>
              </w:rPr>
            </w:pPr>
          </w:p>
        </w:tc>
      </w:tr>
    </w:tbl>
    <w:p w14:paraId="310C5930" w14:textId="77777777" w:rsidR="003C7BC3" w:rsidRPr="003C7BC3" w:rsidRDefault="003C7BC3" w:rsidP="003C7BC3">
      <w:pPr>
        <w:widowControl w:val="0"/>
        <w:autoSpaceDE w:val="0"/>
        <w:autoSpaceDN w:val="0"/>
        <w:spacing w:after="0" w:line="240" w:lineRule="auto"/>
        <w:jc w:val="both"/>
        <w:rPr>
          <w:rFonts w:ascii="Calibri" w:eastAsia="Calibri" w:hAnsi="Calibri" w:cs="Arial"/>
          <w:b/>
          <w:sz w:val="18"/>
          <w:szCs w:val="18"/>
          <w:lang w:eastAsia="en-GB" w:bidi="en-GB"/>
        </w:rPr>
      </w:pPr>
    </w:p>
    <w:p w14:paraId="41C66406" w14:textId="77777777" w:rsidR="003C7BC3" w:rsidRPr="003C7BC3" w:rsidRDefault="003C7BC3" w:rsidP="005B3BEE">
      <w:pPr>
        <w:pStyle w:val="SectionH3"/>
      </w:pPr>
      <w:r w:rsidRPr="003C7BC3">
        <w:t>Strategic developments</w:t>
      </w:r>
    </w:p>
    <w:p w14:paraId="31643E28" w14:textId="06033FD1" w:rsidR="00F601FE" w:rsidRPr="003C7BC3" w:rsidRDefault="00F601FE"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In H1 20</w:t>
      </w:r>
      <w:r>
        <w:rPr>
          <w:rFonts w:ascii="Calibri" w:eastAsia="Calibri" w:hAnsi="Calibri" w:cs="Arial"/>
          <w:sz w:val="18"/>
          <w:szCs w:val="18"/>
          <w:lang w:eastAsia="en-GB" w:bidi="en-GB"/>
        </w:rPr>
        <w:t>,</w:t>
      </w:r>
      <w:r w:rsidRPr="003C7BC3">
        <w:rPr>
          <w:rFonts w:ascii="Calibri" w:eastAsia="Calibri" w:hAnsi="Calibri" w:cs="Arial"/>
          <w:sz w:val="18"/>
          <w:szCs w:val="18"/>
          <w:lang w:eastAsia="en-GB" w:bidi="en-GB"/>
        </w:rPr>
        <w:t xml:space="preserve"> the Group execute</w:t>
      </w:r>
      <w:r w:rsidR="00EA5ABD">
        <w:rPr>
          <w:rFonts w:ascii="Calibri" w:eastAsia="Calibri" w:hAnsi="Calibri" w:cs="Arial"/>
          <w:sz w:val="18"/>
          <w:szCs w:val="18"/>
          <w:lang w:eastAsia="en-GB" w:bidi="en-GB"/>
        </w:rPr>
        <w:t>d</w:t>
      </w:r>
      <w:r w:rsidRPr="003C7BC3">
        <w:rPr>
          <w:rFonts w:ascii="Calibri" w:eastAsia="Calibri" w:hAnsi="Calibri" w:cs="Arial"/>
          <w:sz w:val="18"/>
          <w:szCs w:val="18"/>
          <w:lang w:eastAsia="en-GB" w:bidi="en-GB"/>
        </w:rPr>
        <w:t xml:space="preserve"> well against the commercial, operational and organisational objectives introduced during FY19. This good momentum provided a strong foundation from which to respond to the challenges </w:t>
      </w:r>
      <w:r w:rsidR="008B3970">
        <w:rPr>
          <w:rFonts w:ascii="Calibri" w:eastAsia="Calibri" w:hAnsi="Calibri" w:cs="Arial"/>
          <w:sz w:val="18"/>
          <w:szCs w:val="18"/>
          <w:lang w:eastAsia="en-GB" w:bidi="en-GB"/>
        </w:rPr>
        <w:t>presented</w:t>
      </w:r>
      <w:r w:rsidR="008B3970" w:rsidRPr="003C7BC3">
        <w:rPr>
          <w:rFonts w:ascii="Calibri" w:eastAsia="Calibri" w:hAnsi="Calibri" w:cs="Arial"/>
          <w:sz w:val="18"/>
          <w:szCs w:val="18"/>
          <w:lang w:eastAsia="en-GB" w:bidi="en-GB"/>
        </w:rPr>
        <w:t xml:space="preserve"> </w:t>
      </w:r>
      <w:r w:rsidRPr="003C7BC3">
        <w:rPr>
          <w:rFonts w:ascii="Calibri" w:eastAsia="Calibri" w:hAnsi="Calibri" w:cs="Arial"/>
          <w:sz w:val="18"/>
          <w:szCs w:val="18"/>
          <w:lang w:eastAsia="en-GB" w:bidi="en-GB"/>
        </w:rPr>
        <w:t xml:space="preserve">by the COVID-19 outbreak. It will also form a critical element of the Group’s capability to accelerate </w:t>
      </w:r>
      <w:r w:rsidR="008B3970">
        <w:rPr>
          <w:rFonts w:ascii="Calibri" w:eastAsia="Calibri" w:hAnsi="Calibri" w:cs="Arial"/>
          <w:sz w:val="18"/>
          <w:szCs w:val="18"/>
          <w:lang w:eastAsia="en-GB" w:bidi="en-GB"/>
        </w:rPr>
        <w:t xml:space="preserve">its growth again </w:t>
      </w:r>
      <w:r w:rsidRPr="003C7BC3">
        <w:rPr>
          <w:rFonts w:ascii="Calibri" w:eastAsia="Calibri" w:hAnsi="Calibri" w:cs="Arial"/>
          <w:sz w:val="18"/>
          <w:szCs w:val="18"/>
          <w:lang w:eastAsia="en-GB" w:bidi="en-GB"/>
        </w:rPr>
        <w:t xml:space="preserve">as the measures to combat the </w:t>
      </w:r>
      <w:r w:rsidR="00BD5017">
        <w:rPr>
          <w:rFonts w:ascii="Calibri" w:eastAsia="Calibri" w:hAnsi="Calibri" w:cs="Arial"/>
          <w:sz w:val="18"/>
          <w:szCs w:val="18"/>
          <w:lang w:eastAsia="en-GB" w:bidi="en-GB"/>
        </w:rPr>
        <w:t>pandemic</w:t>
      </w:r>
      <w:r w:rsidRPr="003C7BC3">
        <w:rPr>
          <w:rFonts w:ascii="Calibri" w:eastAsia="Calibri" w:hAnsi="Calibri" w:cs="Arial"/>
          <w:sz w:val="18"/>
          <w:szCs w:val="18"/>
          <w:lang w:eastAsia="en-GB" w:bidi="en-GB"/>
        </w:rPr>
        <w:t xml:space="preserve"> are eased. </w:t>
      </w:r>
    </w:p>
    <w:p w14:paraId="43D269FC" w14:textId="2319D598" w:rsidR="00F601FE" w:rsidRPr="003C7BC3" w:rsidRDefault="00F601FE"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Freshtime, acquired </w:t>
      </w:r>
      <w:r w:rsidR="00016206">
        <w:rPr>
          <w:rFonts w:ascii="Calibri" w:eastAsia="Calibri" w:hAnsi="Calibri" w:cs="Arial"/>
          <w:sz w:val="18"/>
          <w:szCs w:val="18"/>
          <w:lang w:eastAsia="en-GB" w:bidi="en-GB"/>
        </w:rPr>
        <w:t>i</w:t>
      </w:r>
      <w:r w:rsidRPr="003C7BC3">
        <w:rPr>
          <w:rFonts w:ascii="Calibri" w:eastAsia="Calibri" w:hAnsi="Calibri" w:cs="Arial"/>
          <w:sz w:val="18"/>
          <w:szCs w:val="18"/>
          <w:lang w:eastAsia="en-GB" w:bidi="en-GB"/>
        </w:rPr>
        <w:t xml:space="preserve">n September 2019, performed well in H1 20. It </w:t>
      </w:r>
      <w:r w:rsidR="00CB2AF1">
        <w:rPr>
          <w:rFonts w:ascii="Calibri" w:eastAsia="Calibri" w:hAnsi="Calibri" w:cs="Arial"/>
          <w:sz w:val="18"/>
          <w:szCs w:val="18"/>
          <w:lang w:eastAsia="en-GB" w:bidi="en-GB"/>
        </w:rPr>
        <w:t>is</w:t>
      </w:r>
      <w:r w:rsidRPr="003C7BC3">
        <w:rPr>
          <w:rFonts w:ascii="Calibri" w:eastAsia="Calibri" w:hAnsi="Calibri" w:cs="Arial"/>
          <w:sz w:val="18"/>
          <w:szCs w:val="18"/>
          <w:lang w:eastAsia="en-GB" w:bidi="en-GB"/>
        </w:rPr>
        <w:t xml:space="preserve"> integrat</w:t>
      </w:r>
      <w:r w:rsidR="00CB2AF1">
        <w:rPr>
          <w:rFonts w:ascii="Calibri" w:eastAsia="Calibri" w:hAnsi="Calibri" w:cs="Arial"/>
          <w:sz w:val="18"/>
          <w:szCs w:val="18"/>
          <w:lang w:eastAsia="en-GB" w:bidi="en-GB"/>
        </w:rPr>
        <w:t>ing well</w:t>
      </w:r>
      <w:r w:rsidRPr="003C7BC3">
        <w:rPr>
          <w:rFonts w:ascii="Calibri" w:eastAsia="Calibri" w:hAnsi="Calibri" w:cs="Arial"/>
          <w:sz w:val="18"/>
          <w:szCs w:val="18"/>
          <w:lang w:eastAsia="en-GB" w:bidi="en-GB"/>
        </w:rPr>
        <w:t xml:space="preserve"> into the Group and has successfully extended the Group’s presence in meal salads and chilled snacking. Commercial activity has been encouraging, including increased engagement with existing Group customers, and as such the business provides a platform to drive growth and improve returns in these categories. The Group also continued to benefit from the reset of its ready meals product and </w:t>
      </w:r>
      <w:r w:rsidRPr="003C7BC3">
        <w:rPr>
          <w:rFonts w:ascii="Calibri" w:eastAsia="Calibri" w:hAnsi="Calibri" w:cs="Arial"/>
          <w:sz w:val="18"/>
          <w:szCs w:val="18"/>
          <w:lang w:eastAsia="en-GB" w:bidi="en-GB"/>
        </w:rPr>
        <w:lastRenderedPageBreak/>
        <w:t xml:space="preserve">facility footprint at Warrington, Kiveton and Consett in FY19. </w:t>
      </w:r>
      <w:r w:rsidR="008B3970">
        <w:rPr>
          <w:rFonts w:ascii="Calibri" w:eastAsia="Calibri" w:hAnsi="Calibri" w:cs="Arial"/>
          <w:sz w:val="18"/>
          <w:szCs w:val="18"/>
          <w:lang w:eastAsia="en-GB" w:bidi="en-GB"/>
        </w:rPr>
        <w:t>Furthermore, t</w:t>
      </w:r>
      <w:r w:rsidRPr="003C7BC3">
        <w:rPr>
          <w:rFonts w:ascii="Calibri" w:eastAsia="Calibri" w:hAnsi="Calibri" w:cs="Arial"/>
          <w:sz w:val="18"/>
          <w:szCs w:val="18"/>
          <w:lang w:eastAsia="en-GB" w:bidi="en-GB"/>
        </w:rPr>
        <w:t>he Group continued to invest in a range of services to increase its relevance across the value chain, including a new distribution centre in Tamworth that will</w:t>
      </w:r>
      <w:r w:rsidR="00D327FF">
        <w:rPr>
          <w:rFonts w:ascii="Calibri" w:eastAsia="Calibri" w:hAnsi="Calibri" w:cs="Arial"/>
          <w:sz w:val="18"/>
          <w:szCs w:val="18"/>
          <w:lang w:eastAsia="en-GB" w:bidi="en-GB"/>
        </w:rPr>
        <w:t xml:space="preserve"> enhance capacity and</w:t>
      </w:r>
      <w:r w:rsidRPr="003C7BC3">
        <w:rPr>
          <w:rFonts w:ascii="Calibri" w:eastAsia="Calibri" w:hAnsi="Calibri" w:cs="Arial"/>
          <w:sz w:val="18"/>
          <w:szCs w:val="18"/>
          <w:lang w:eastAsia="en-GB" w:bidi="en-GB"/>
        </w:rPr>
        <w:t xml:space="preserve"> maximise cost and operational efficiencies in the Group’s Direct to Store distribution model. </w:t>
      </w:r>
    </w:p>
    <w:p w14:paraId="6CAEB6D8" w14:textId="45B3D97E" w:rsidR="00F601FE" w:rsidRPr="003C7BC3" w:rsidRDefault="00F601FE"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In H1 20 the Group also made good operational and organisational progress. </w:t>
      </w:r>
      <w:r w:rsidRPr="003C7BC3">
        <w:rPr>
          <w:rFonts w:ascii="Calibri" w:eastAsia="Calibri" w:hAnsi="Calibri" w:cs="Calibri"/>
          <w:sz w:val="18"/>
          <w:szCs w:val="18"/>
          <w:lang w:eastAsia="en-GB" w:bidi="en-GB"/>
        </w:rPr>
        <w:t xml:space="preserve">The Group </w:t>
      </w:r>
      <w:r w:rsidRPr="003C7BC3">
        <w:rPr>
          <w:rFonts w:ascii="Calibri" w:eastAsia="Calibri" w:hAnsi="Calibri" w:cs="Arial"/>
          <w:sz w:val="18"/>
          <w:szCs w:val="18"/>
          <w:lang w:eastAsia="en-GB" w:bidi="en-GB"/>
        </w:rPr>
        <w:t xml:space="preserve">advanced its pilot automation programme with </w:t>
      </w:r>
      <w:r w:rsidR="00D327FF">
        <w:rPr>
          <w:rFonts w:ascii="Calibri" w:eastAsia="Calibri" w:hAnsi="Calibri" w:cs="Arial"/>
          <w:sz w:val="18"/>
          <w:szCs w:val="18"/>
          <w:lang w:eastAsia="en-GB" w:bidi="en-GB"/>
        </w:rPr>
        <w:t xml:space="preserve">multiple </w:t>
      </w:r>
      <w:r w:rsidRPr="003C7BC3">
        <w:rPr>
          <w:rFonts w:ascii="Calibri" w:eastAsia="Calibri" w:hAnsi="Calibri" w:cs="Arial"/>
          <w:sz w:val="18"/>
          <w:szCs w:val="18"/>
          <w:lang w:eastAsia="en-GB" w:bidi="en-GB"/>
        </w:rPr>
        <w:t>additional projects initiated in the period</w:t>
      </w:r>
      <w:r w:rsidR="002868F4">
        <w:rPr>
          <w:rFonts w:ascii="Calibri" w:eastAsia="Calibri" w:hAnsi="Calibri" w:cs="Arial"/>
          <w:sz w:val="18"/>
          <w:szCs w:val="18"/>
          <w:lang w:eastAsia="en-GB" w:bidi="en-GB"/>
        </w:rPr>
        <w:t xml:space="preserve"> that will continue to be supported through the rest of the year</w:t>
      </w:r>
      <w:r w:rsidRPr="003C7BC3">
        <w:rPr>
          <w:rFonts w:ascii="Calibri" w:eastAsia="Calibri" w:hAnsi="Calibri" w:cs="Arial"/>
          <w:sz w:val="18"/>
          <w:szCs w:val="18"/>
          <w:lang w:eastAsia="en-GB" w:bidi="en-GB"/>
        </w:rPr>
        <w:t xml:space="preserve">. Greencore </w:t>
      </w:r>
      <w:r>
        <w:rPr>
          <w:rFonts w:ascii="Calibri" w:eastAsia="Calibri" w:hAnsi="Calibri" w:cs="Arial"/>
          <w:sz w:val="18"/>
          <w:szCs w:val="18"/>
          <w:lang w:eastAsia="en-GB" w:bidi="en-GB"/>
        </w:rPr>
        <w:t xml:space="preserve">has </w:t>
      </w:r>
      <w:r w:rsidRPr="003C7BC3">
        <w:rPr>
          <w:rFonts w:ascii="Calibri" w:eastAsia="Calibri" w:hAnsi="Calibri" w:cs="Arial"/>
          <w:sz w:val="18"/>
          <w:szCs w:val="18"/>
          <w:lang w:eastAsia="en-GB" w:bidi="en-GB"/>
        </w:rPr>
        <w:t xml:space="preserve">also </w:t>
      </w:r>
      <w:r w:rsidR="00A14F58">
        <w:rPr>
          <w:rFonts w:ascii="Calibri" w:eastAsia="Calibri" w:hAnsi="Calibri" w:cs="Arial"/>
          <w:sz w:val="18"/>
          <w:szCs w:val="18"/>
          <w:lang w:eastAsia="en-GB" w:bidi="en-GB"/>
        </w:rPr>
        <w:t>progressed</w:t>
      </w:r>
      <w:r w:rsidR="00A14F58" w:rsidRPr="003C7BC3">
        <w:rPr>
          <w:rFonts w:ascii="Calibri" w:eastAsia="Calibri" w:hAnsi="Calibri" w:cs="Arial"/>
          <w:sz w:val="18"/>
          <w:szCs w:val="18"/>
          <w:lang w:eastAsia="en-GB" w:bidi="en-GB"/>
        </w:rPr>
        <w:t xml:space="preserve"> </w:t>
      </w:r>
      <w:r w:rsidRPr="003C7BC3">
        <w:rPr>
          <w:rFonts w:ascii="Calibri" w:eastAsia="Calibri" w:hAnsi="Calibri" w:cs="Arial"/>
          <w:sz w:val="18"/>
          <w:szCs w:val="18"/>
          <w:lang w:eastAsia="en-GB" w:bidi="en-GB"/>
        </w:rPr>
        <w:t xml:space="preserve">its sustainability agenda in the period, notably in food packaging where the Group made significant progress alongside customers in developing </w:t>
      </w:r>
      <w:r w:rsidR="00D327FF">
        <w:rPr>
          <w:rFonts w:ascii="Calibri" w:eastAsia="Calibri" w:hAnsi="Calibri" w:cs="Arial"/>
          <w:sz w:val="18"/>
          <w:szCs w:val="18"/>
          <w:lang w:eastAsia="en-GB" w:bidi="en-GB"/>
        </w:rPr>
        <w:t xml:space="preserve">innovative </w:t>
      </w:r>
      <w:r w:rsidRPr="003C7BC3">
        <w:rPr>
          <w:rFonts w:ascii="Calibri" w:eastAsia="Calibri" w:hAnsi="Calibri" w:cs="Arial"/>
          <w:sz w:val="18"/>
          <w:szCs w:val="18"/>
          <w:lang w:eastAsia="en-GB" w:bidi="en-GB"/>
        </w:rPr>
        <w:t>solutions for the recyclability of sandwich skillets.</w:t>
      </w:r>
    </w:p>
    <w:p w14:paraId="224691A9" w14:textId="1FAB82D4" w:rsidR="003C7BC3" w:rsidRPr="003C7BC3" w:rsidRDefault="00F601FE"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Engagement and collaboration with customers deepened as the full impacts of the COVID-19 </w:t>
      </w:r>
      <w:r w:rsidR="00BD5017">
        <w:rPr>
          <w:rFonts w:ascii="Calibri" w:eastAsia="Calibri" w:hAnsi="Calibri" w:cs="Arial"/>
          <w:sz w:val="18"/>
          <w:szCs w:val="18"/>
          <w:lang w:eastAsia="en-GB" w:bidi="en-GB"/>
        </w:rPr>
        <w:t>pandemic</w:t>
      </w:r>
      <w:r w:rsidRPr="003C7BC3">
        <w:rPr>
          <w:rFonts w:ascii="Calibri" w:eastAsia="Calibri" w:hAnsi="Calibri" w:cs="Arial"/>
          <w:sz w:val="18"/>
          <w:szCs w:val="18"/>
          <w:lang w:eastAsia="en-GB" w:bidi="en-GB"/>
        </w:rPr>
        <w:t xml:space="preserve"> became apparent. Joint initiatives</w:t>
      </w:r>
      <w:r w:rsidR="005B1607">
        <w:rPr>
          <w:rFonts w:ascii="Calibri" w:eastAsia="Calibri" w:hAnsi="Calibri" w:cs="Arial"/>
          <w:sz w:val="18"/>
          <w:szCs w:val="18"/>
          <w:lang w:eastAsia="en-GB" w:bidi="en-GB"/>
        </w:rPr>
        <w:t xml:space="preserve"> that were already</w:t>
      </w:r>
      <w:r w:rsidRPr="003C7BC3">
        <w:rPr>
          <w:rFonts w:ascii="Calibri" w:eastAsia="Calibri" w:hAnsi="Calibri" w:cs="Arial"/>
          <w:sz w:val="18"/>
          <w:szCs w:val="18"/>
          <w:lang w:eastAsia="en-GB" w:bidi="en-GB"/>
        </w:rPr>
        <w:t xml:space="preserve"> in place on supply chain, waste and availability were modified to reflect the rapid change in consumer demand and shopper behaviours. </w:t>
      </w:r>
    </w:p>
    <w:p w14:paraId="084ECC4D" w14:textId="77777777" w:rsidR="003C7BC3" w:rsidRPr="003C7BC3" w:rsidRDefault="003C7BC3" w:rsidP="005B3BEE">
      <w:pPr>
        <w:pStyle w:val="SectionH3"/>
      </w:pPr>
      <w:r w:rsidRPr="003C7BC3">
        <w:t>Performance</w:t>
      </w:r>
    </w:p>
    <w:p w14:paraId="6438190E" w14:textId="11C6C082" w:rsidR="003C7BC3" w:rsidRPr="003C7BC3" w:rsidRDefault="003C7BC3"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Reported revenue increased by 1.6% to £712.7m in H1 20. Pro Forma Revenue Growth was 0.1%, after adjusting for the acquisition of Freshtime, the exit of longer life ready meals manufacturing at the Kiveton facility in H1 19, and any movement in foreign exchange. Adjusted Operating Profit</w:t>
      </w:r>
      <w:r w:rsidR="00B71AB8">
        <w:rPr>
          <w:rFonts w:ascii="Calibri" w:eastAsia="Calibri" w:hAnsi="Calibri" w:cs="Arial"/>
          <w:sz w:val="18"/>
          <w:szCs w:val="18"/>
          <w:lang w:eastAsia="en-GB" w:bidi="en-GB"/>
        </w:rPr>
        <w:t xml:space="preserve"> fell by 14.3% to £38.3</w:t>
      </w:r>
      <w:r w:rsidRPr="003C7BC3">
        <w:rPr>
          <w:rFonts w:ascii="Calibri" w:eastAsia="Calibri" w:hAnsi="Calibri" w:cs="Arial"/>
          <w:sz w:val="18"/>
          <w:szCs w:val="18"/>
          <w:lang w:eastAsia="en-GB" w:bidi="en-GB"/>
        </w:rPr>
        <w:t>m and Adjusted Operating Margin fell by 100bps to 5.4%</w:t>
      </w:r>
      <w:r w:rsidR="00CB2AF1">
        <w:rPr>
          <w:rFonts w:ascii="Calibri" w:eastAsia="Calibri" w:hAnsi="Calibri" w:cs="Arial"/>
          <w:sz w:val="18"/>
          <w:szCs w:val="18"/>
          <w:lang w:eastAsia="en-GB" w:bidi="en-GB"/>
        </w:rPr>
        <w:t>.</w:t>
      </w:r>
      <w:r w:rsidRPr="003C7BC3">
        <w:rPr>
          <w:rFonts w:ascii="Calibri" w:eastAsia="Calibri" w:hAnsi="Calibri" w:cs="Arial"/>
          <w:sz w:val="18"/>
          <w:szCs w:val="18"/>
          <w:lang w:eastAsia="en-GB" w:bidi="en-GB"/>
        </w:rPr>
        <w:t xml:space="preserve"> </w:t>
      </w:r>
    </w:p>
    <w:p w14:paraId="6D2131B1" w14:textId="5919BDFA" w:rsidR="001D401B" w:rsidRPr="001D401B" w:rsidRDefault="005B1607" w:rsidP="005B3BEE">
      <w:pPr>
        <w:widowControl w:val="0"/>
        <w:autoSpaceDE w:val="0"/>
        <w:autoSpaceDN w:val="0"/>
        <w:spacing w:after="120" w:line="240" w:lineRule="auto"/>
        <w:jc w:val="both"/>
        <w:rPr>
          <w:rFonts w:ascii="Calibri" w:eastAsia="Calibri" w:hAnsi="Calibri" w:cs="Arial"/>
          <w:sz w:val="18"/>
          <w:szCs w:val="18"/>
          <w:lang w:eastAsia="en-GB" w:bidi="en-GB"/>
        </w:rPr>
      </w:pPr>
      <w:r w:rsidRPr="001D401B">
        <w:rPr>
          <w:rFonts w:ascii="Calibri" w:eastAsia="Calibri" w:hAnsi="Calibri" w:cs="Arial"/>
          <w:sz w:val="18"/>
          <w:szCs w:val="18"/>
          <w:lang w:eastAsia="en-GB" w:bidi="en-GB"/>
        </w:rPr>
        <w:t xml:space="preserve">While the UK trading environment remained subdued for much of the period, there were some signs of improvement before the UK Government's escalating measures </w:t>
      </w:r>
      <w:r w:rsidR="00D327FF">
        <w:rPr>
          <w:rFonts w:ascii="Calibri" w:eastAsia="Calibri" w:hAnsi="Calibri" w:cs="Arial"/>
          <w:sz w:val="18"/>
          <w:szCs w:val="18"/>
          <w:lang w:eastAsia="en-GB" w:bidi="en-GB"/>
        </w:rPr>
        <w:t xml:space="preserve">in March </w:t>
      </w:r>
      <w:r w:rsidRPr="001D401B">
        <w:rPr>
          <w:rFonts w:ascii="Calibri" w:eastAsia="Calibri" w:hAnsi="Calibri" w:cs="Arial"/>
          <w:sz w:val="18"/>
          <w:szCs w:val="18"/>
          <w:lang w:eastAsia="en-GB" w:bidi="en-GB"/>
        </w:rPr>
        <w:t>to combat the outbr</w:t>
      </w:r>
      <w:r w:rsidR="00BD5017">
        <w:rPr>
          <w:rFonts w:ascii="Calibri" w:eastAsia="Calibri" w:hAnsi="Calibri" w:cs="Arial"/>
          <w:sz w:val="18"/>
          <w:szCs w:val="18"/>
          <w:lang w:eastAsia="en-GB" w:bidi="en-GB"/>
        </w:rPr>
        <w:t>eak</w:t>
      </w:r>
      <w:r w:rsidRPr="001D401B">
        <w:rPr>
          <w:rFonts w:ascii="Calibri" w:eastAsia="Calibri" w:hAnsi="Calibri" w:cs="Arial"/>
          <w:sz w:val="18"/>
          <w:szCs w:val="18"/>
          <w:lang w:eastAsia="en-GB" w:bidi="en-GB"/>
        </w:rPr>
        <w:t xml:space="preserve"> of COVID-19. The business was significantly impacted in the second half of March by </w:t>
      </w:r>
      <w:r>
        <w:rPr>
          <w:rFonts w:ascii="Calibri" w:eastAsia="Calibri" w:hAnsi="Calibri" w:cs="Arial"/>
          <w:sz w:val="18"/>
          <w:szCs w:val="18"/>
          <w:lang w:eastAsia="en-GB" w:bidi="en-GB"/>
        </w:rPr>
        <w:t>the effect that</w:t>
      </w:r>
      <w:r w:rsidRPr="001D401B">
        <w:rPr>
          <w:rFonts w:ascii="Calibri" w:eastAsia="Calibri" w:hAnsi="Calibri" w:cs="Arial"/>
          <w:sz w:val="18"/>
          <w:szCs w:val="18"/>
          <w:lang w:eastAsia="en-GB" w:bidi="en-GB"/>
        </w:rPr>
        <w:t xml:space="preserve"> these measures </w:t>
      </w:r>
      <w:r>
        <w:rPr>
          <w:rFonts w:ascii="Calibri" w:eastAsia="Calibri" w:hAnsi="Calibri" w:cs="Arial"/>
          <w:sz w:val="18"/>
          <w:szCs w:val="18"/>
          <w:lang w:eastAsia="en-GB" w:bidi="en-GB"/>
        </w:rPr>
        <w:t>had on</w:t>
      </w:r>
      <w:r w:rsidRPr="001D401B">
        <w:rPr>
          <w:rFonts w:ascii="Calibri" w:eastAsia="Calibri" w:hAnsi="Calibri" w:cs="Arial"/>
          <w:sz w:val="18"/>
          <w:szCs w:val="18"/>
          <w:lang w:eastAsia="en-GB" w:bidi="en-GB"/>
        </w:rPr>
        <w:t xml:space="preserve"> consumer demand</w:t>
      </w:r>
      <w:r w:rsidR="00D327FF">
        <w:rPr>
          <w:rFonts w:ascii="Calibri" w:eastAsia="Calibri" w:hAnsi="Calibri" w:cs="Arial"/>
          <w:sz w:val="18"/>
          <w:szCs w:val="18"/>
          <w:lang w:eastAsia="en-GB" w:bidi="en-GB"/>
        </w:rPr>
        <w:t>, most particularly in food to go categories.</w:t>
      </w:r>
    </w:p>
    <w:p w14:paraId="14F5951D" w14:textId="53AF4898" w:rsidR="003C7BC3" w:rsidRPr="003C7BC3" w:rsidRDefault="003C7BC3"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H1 20 revenue in the Group’s food to go categories (comprising sandwiches, salads, sushi and chi</w:t>
      </w:r>
      <w:r w:rsidR="00AC7675">
        <w:rPr>
          <w:rFonts w:ascii="Calibri" w:eastAsia="Calibri" w:hAnsi="Calibri" w:cs="Arial"/>
          <w:sz w:val="18"/>
          <w:szCs w:val="18"/>
          <w:lang w:eastAsia="en-GB" w:bidi="en-GB"/>
        </w:rPr>
        <w:t>lled snacking) totalled £455.8</w:t>
      </w:r>
      <w:r w:rsidRPr="003C7BC3">
        <w:rPr>
          <w:rFonts w:ascii="Calibri" w:eastAsia="Calibri" w:hAnsi="Calibri" w:cs="Arial"/>
          <w:sz w:val="18"/>
          <w:szCs w:val="18"/>
          <w:lang w:eastAsia="en-GB" w:bidi="en-GB"/>
        </w:rPr>
        <w:t>m and accounted for approximately 64% of reported revenue. Reported revenues increased by 1.9% in these categories, driven by the acquisition of Freshtime. Excluding this acquisition, Pro Forma Revenue declined by 2.1%.</w:t>
      </w:r>
    </w:p>
    <w:p w14:paraId="6926E33F" w14:textId="2DA104E2" w:rsidR="003C7BC3" w:rsidRPr="003C7BC3" w:rsidRDefault="003C7BC3"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Underlying product revenue growth in food to go categories was broadly in line with plan for </w:t>
      </w:r>
      <w:r w:rsidR="00A14F58">
        <w:rPr>
          <w:rFonts w:ascii="Calibri" w:eastAsia="Calibri" w:hAnsi="Calibri" w:cs="Arial"/>
          <w:sz w:val="18"/>
          <w:szCs w:val="18"/>
          <w:lang w:eastAsia="en-GB" w:bidi="en-GB"/>
        </w:rPr>
        <w:t>most</w:t>
      </w:r>
      <w:r w:rsidRPr="003C7BC3">
        <w:rPr>
          <w:rFonts w:ascii="Calibri" w:eastAsia="Calibri" w:hAnsi="Calibri" w:cs="Arial"/>
          <w:sz w:val="18"/>
          <w:szCs w:val="18"/>
          <w:lang w:eastAsia="en-GB" w:bidi="en-GB"/>
        </w:rPr>
        <w:t xml:space="preserve"> of H1 20. The final two weeks of the trading period were negatively impacted by </w:t>
      </w:r>
      <w:r w:rsidR="00D327FF">
        <w:rPr>
          <w:rFonts w:ascii="Calibri" w:eastAsia="Calibri" w:hAnsi="Calibri" w:cs="Arial"/>
          <w:sz w:val="18"/>
          <w:szCs w:val="18"/>
          <w:lang w:eastAsia="en-GB" w:bidi="en-GB"/>
        </w:rPr>
        <w:t xml:space="preserve">significantly </w:t>
      </w:r>
      <w:r w:rsidRPr="003C7BC3">
        <w:rPr>
          <w:rFonts w:ascii="Calibri" w:eastAsia="Calibri" w:hAnsi="Calibri" w:cs="Arial"/>
          <w:sz w:val="18"/>
          <w:szCs w:val="18"/>
          <w:lang w:eastAsia="en-GB" w:bidi="en-GB"/>
        </w:rPr>
        <w:t xml:space="preserve">reduced demand in grocery retail, as well as the restrictions on trading activity applied to other convenience </w:t>
      </w:r>
      <w:r w:rsidR="00D327FF">
        <w:rPr>
          <w:rFonts w:ascii="Calibri" w:eastAsia="Calibri" w:hAnsi="Calibri" w:cs="Arial"/>
          <w:sz w:val="18"/>
          <w:szCs w:val="18"/>
          <w:lang w:eastAsia="en-GB" w:bidi="en-GB"/>
        </w:rPr>
        <w:t xml:space="preserve">and food service </w:t>
      </w:r>
      <w:r w:rsidRPr="003C7BC3">
        <w:rPr>
          <w:rFonts w:ascii="Calibri" w:eastAsia="Calibri" w:hAnsi="Calibri" w:cs="Arial"/>
          <w:sz w:val="18"/>
          <w:szCs w:val="18"/>
          <w:lang w:eastAsia="en-GB" w:bidi="en-GB"/>
        </w:rPr>
        <w:t>channels.</w:t>
      </w:r>
    </w:p>
    <w:p w14:paraId="68EBAE39" w14:textId="4AECFAB2" w:rsidR="003C7BC3" w:rsidRPr="003C7BC3" w:rsidRDefault="003C7BC3"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Revenue for the distribution of third party products accounted for approximately </w:t>
      </w:r>
      <w:r w:rsidR="003669E7">
        <w:rPr>
          <w:rFonts w:ascii="Calibri" w:eastAsia="Calibri" w:hAnsi="Calibri" w:cs="Arial"/>
          <w:sz w:val="18"/>
          <w:szCs w:val="18"/>
          <w:lang w:eastAsia="en-GB" w:bidi="en-GB"/>
        </w:rPr>
        <w:t>6</w:t>
      </w:r>
      <w:r w:rsidRPr="003C7BC3">
        <w:rPr>
          <w:rFonts w:ascii="Calibri" w:eastAsia="Calibri" w:hAnsi="Calibri" w:cs="Arial"/>
          <w:sz w:val="18"/>
          <w:szCs w:val="18"/>
          <w:lang w:eastAsia="en-GB" w:bidi="en-GB"/>
        </w:rPr>
        <w:t>% of Group revenue. Following the acquisition of Freshtime in September 2019, revenue from its products</w:t>
      </w:r>
      <w:r w:rsidR="005B1607">
        <w:rPr>
          <w:rFonts w:ascii="Calibri" w:eastAsia="Calibri" w:hAnsi="Calibri" w:cs="Arial"/>
          <w:sz w:val="18"/>
          <w:szCs w:val="18"/>
          <w:lang w:eastAsia="en-GB" w:bidi="en-GB"/>
        </w:rPr>
        <w:t xml:space="preserve"> that were</w:t>
      </w:r>
      <w:r w:rsidRPr="003C7BC3">
        <w:rPr>
          <w:rFonts w:ascii="Calibri" w:eastAsia="Calibri" w:hAnsi="Calibri" w:cs="Arial"/>
          <w:sz w:val="18"/>
          <w:szCs w:val="18"/>
          <w:lang w:eastAsia="en-GB" w:bidi="en-GB"/>
        </w:rPr>
        <w:t xml:space="preserve"> previously distributed by Greencore is now classified as underlying product revenue.</w:t>
      </w:r>
    </w:p>
    <w:p w14:paraId="55EF689A" w14:textId="276942DC" w:rsidR="003C7BC3" w:rsidRPr="003C7BC3" w:rsidRDefault="003C7BC3"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The Group’s other convenience categories comprise activities in the chilled ready meals, chilled soups and sauces, chilled quiche, ambient sauces and pickles, and frozen Yorkshire Pudding categories, as well as Irish ingredients trading businesses. Reported revenue across these businesses increased by 1.0% to £256.</w:t>
      </w:r>
      <w:r w:rsidR="002D6B38">
        <w:rPr>
          <w:rFonts w:ascii="Calibri" w:eastAsia="Calibri" w:hAnsi="Calibri" w:cs="Arial"/>
          <w:sz w:val="18"/>
          <w:szCs w:val="18"/>
          <w:lang w:eastAsia="en-GB" w:bidi="en-GB"/>
        </w:rPr>
        <w:t>9</w:t>
      </w:r>
      <w:r w:rsidRPr="003C7BC3">
        <w:rPr>
          <w:rFonts w:ascii="Calibri" w:eastAsia="Calibri" w:hAnsi="Calibri" w:cs="Arial"/>
          <w:sz w:val="18"/>
          <w:szCs w:val="18"/>
          <w:lang w:eastAsia="en-GB" w:bidi="en-GB"/>
        </w:rPr>
        <w:t xml:space="preserve">m. Pro Forma Revenue increased by 4.0%, when adjusting for movements in foreign exchange and excluding sites that have ceased trading. This was driven by strong growth in ambient cooking sauces, ready meals, soups and quiche based products in the final month of the period. The Group’s cooking sauce business benefitted in particular from higher demand during the final two weeks of the trading period. Revenue in the Group’s Irish ingredients trading businesses declined modestly in the period. </w:t>
      </w:r>
    </w:p>
    <w:p w14:paraId="1E4344E4" w14:textId="0C36CBC4" w:rsidR="003C7BC3" w:rsidRPr="003C7BC3" w:rsidRDefault="003C7BC3"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 xml:space="preserve">Inflation trends in the Group’s main UK cost components were broadly as anticipated. Raw material and packaging costs rose by </w:t>
      </w:r>
      <w:r w:rsidR="003669E7">
        <w:rPr>
          <w:rFonts w:ascii="Calibri" w:eastAsia="Calibri" w:hAnsi="Calibri" w:cs="Arial"/>
          <w:sz w:val="18"/>
          <w:szCs w:val="18"/>
          <w:lang w:eastAsia="en-GB" w:bidi="en-GB"/>
        </w:rPr>
        <w:t>under 1</w:t>
      </w:r>
      <w:r w:rsidRPr="003C7BC3">
        <w:rPr>
          <w:rFonts w:ascii="Calibri" w:eastAsia="Calibri" w:hAnsi="Calibri" w:cs="Arial"/>
          <w:sz w:val="18"/>
          <w:szCs w:val="18"/>
          <w:lang w:eastAsia="en-GB" w:bidi="en-GB"/>
        </w:rPr>
        <w:t xml:space="preserve">% in H1 20. Direct labour inflation in the UK rose by approximately 5%. </w:t>
      </w:r>
    </w:p>
    <w:p w14:paraId="7849BBD2" w14:textId="73252AD8" w:rsidR="003C7BC3" w:rsidRPr="003C7BC3" w:rsidRDefault="003C7BC3" w:rsidP="005B3BEE">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Overall, Adjusted Operating Prof</w:t>
      </w:r>
      <w:r w:rsidR="0054010B">
        <w:rPr>
          <w:rFonts w:ascii="Calibri" w:eastAsia="Calibri" w:hAnsi="Calibri" w:cs="Arial"/>
          <w:sz w:val="18"/>
          <w:szCs w:val="18"/>
          <w:lang w:eastAsia="en-GB" w:bidi="en-GB"/>
        </w:rPr>
        <w:t>it declined by £6.4m to £38.3</w:t>
      </w:r>
      <w:r w:rsidRPr="003C7BC3">
        <w:rPr>
          <w:rFonts w:ascii="Calibri" w:eastAsia="Calibri" w:hAnsi="Calibri" w:cs="Arial"/>
          <w:sz w:val="18"/>
          <w:szCs w:val="18"/>
          <w:lang w:eastAsia="en-GB" w:bidi="en-GB"/>
        </w:rPr>
        <w:t xml:space="preserve">m. </w:t>
      </w:r>
      <w:r w:rsidR="005B1607" w:rsidRPr="003C7BC3">
        <w:rPr>
          <w:rFonts w:ascii="Calibri" w:eastAsia="Calibri" w:hAnsi="Calibri" w:cs="Arial"/>
          <w:sz w:val="18"/>
          <w:szCs w:val="18"/>
          <w:lang w:eastAsia="en-GB" w:bidi="en-GB"/>
        </w:rPr>
        <w:t xml:space="preserve">In its food to go categories, </w:t>
      </w:r>
      <w:r w:rsidR="005B1607">
        <w:rPr>
          <w:rFonts w:ascii="Calibri" w:eastAsia="Calibri" w:hAnsi="Calibri" w:cs="Arial"/>
          <w:sz w:val="18"/>
          <w:szCs w:val="18"/>
          <w:lang w:eastAsia="en-GB" w:bidi="en-GB"/>
        </w:rPr>
        <w:t xml:space="preserve">while the performance benefitted from the addition of the Freshtime business, </w:t>
      </w:r>
      <w:r w:rsidR="005B1607" w:rsidRPr="003C7BC3">
        <w:rPr>
          <w:rFonts w:ascii="Calibri" w:eastAsia="Calibri" w:hAnsi="Calibri" w:cs="Arial"/>
          <w:sz w:val="18"/>
          <w:szCs w:val="18"/>
          <w:lang w:eastAsia="en-GB" w:bidi="en-GB"/>
        </w:rPr>
        <w:t xml:space="preserve">the Group experienced a decline in profitability driven in large part by a deteriorating performance in the second half of March which happened before any mitigating measures could be </w:t>
      </w:r>
      <w:r w:rsidR="00D327FF">
        <w:rPr>
          <w:rFonts w:ascii="Calibri" w:eastAsia="Calibri" w:hAnsi="Calibri" w:cs="Arial"/>
          <w:sz w:val="18"/>
          <w:szCs w:val="18"/>
          <w:lang w:eastAsia="en-GB" w:bidi="en-GB"/>
        </w:rPr>
        <w:t xml:space="preserve">fully </w:t>
      </w:r>
      <w:r w:rsidR="005B1607" w:rsidRPr="003C7BC3">
        <w:rPr>
          <w:rFonts w:ascii="Calibri" w:eastAsia="Calibri" w:hAnsi="Calibri" w:cs="Arial"/>
          <w:sz w:val="18"/>
          <w:szCs w:val="18"/>
          <w:lang w:eastAsia="en-GB" w:bidi="en-GB"/>
        </w:rPr>
        <w:t xml:space="preserve">implemented. </w:t>
      </w:r>
      <w:r w:rsidRPr="003C7BC3">
        <w:rPr>
          <w:rFonts w:ascii="Calibri" w:eastAsia="Calibri" w:hAnsi="Calibri" w:cs="Arial"/>
          <w:sz w:val="18"/>
          <w:szCs w:val="18"/>
          <w:lang w:eastAsia="en-GB" w:bidi="en-GB"/>
        </w:rPr>
        <w:t xml:space="preserve">This </w:t>
      </w:r>
      <w:r w:rsidR="005B1607">
        <w:rPr>
          <w:rFonts w:ascii="Calibri" w:eastAsia="Calibri" w:hAnsi="Calibri" w:cs="Arial"/>
          <w:sz w:val="18"/>
          <w:szCs w:val="18"/>
          <w:lang w:eastAsia="en-GB" w:bidi="en-GB"/>
        </w:rPr>
        <w:t xml:space="preserve">decline </w:t>
      </w:r>
      <w:r w:rsidRPr="003C7BC3">
        <w:rPr>
          <w:rFonts w:ascii="Calibri" w:eastAsia="Calibri" w:hAnsi="Calibri" w:cs="Arial"/>
          <w:sz w:val="18"/>
          <w:szCs w:val="18"/>
          <w:lang w:eastAsia="en-GB" w:bidi="en-GB"/>
        </w:rPr>
        <w:t xml:space="preserve">was only partly offset by an improvement in the Group’s other convenience categories, in particular in the ready meals business following the reset of its product and facility footprint over the last year. </w:t>
      </w:r>
    </w:p>
    <w:p w14:paraId="7A23FD47" w14:textId="63E55361" w:rsidR="003C7BC3" w:rsidRPr="003C7BC3" w:rsidRDefault="003C7BC3" w:rsidP="005B3BEE">
      <w:pPr>
        <w:pStyle w:val="SectionH3"/>
      </w:pPr>
      <w:r w:rsidRPr="005B3BEE">
        <w:rPr>
          <w:b w:val="0"/>
          <w:u w:val="single"/>
        </w:rPr>
        <w:t>Group Cash Flow and Returns</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993"/>
        <w:gridCol w:w="992"/>
        <w:gridCol w:w="1134"/>
      </w:tblGrid>
      <w:tr w:rsidR="003C7BC3" w:rsidRPr="003C7BC3" w14:paraId="07EF3DA9" w14:textId="77777777" w:rsidTr="001413EA">
        <w:trPr>
          <w:jc w:val="center"/>
        </w:trPr>
        <w:tc>
          <w:tcPr>
            <w:tcW w:w="3964" w:type="dxa"/>
          </w:tcPr>
          <w:p w14:paraId="51B88DD2" w14:textId="77777777" w:rsidR="003C7BC3" w:rsidRPr="003C7BC3" w:rsidRDefault="003C7BC3" w:rsidP="003C7BC3">
            <w:pPr>
              <w:widowControl w:val="0"/>
              <w:autoSpaceDE w:val="0"/>
              <w:autoSpaceDN w:val="0"/>
              <w:spacing w:after="0" w:line="240" w:lineRule="auto"/>
              <w:jc w:val="both"/>
              <w:rPr>
                <w:rFonts w:ascii="Calibri" w:eastAsia="Calibri" w:hAnsi="Calibri" w:cs="Arial"/>
                <w:b/>
                <w:sz w:val="18"/>
                <w:szCs w:val="18"/>
                <w:lang w:val="en-US" w:eastAsia="en-GB" w:bidi="en-GB"/>
              </w:rPr>
            </w:pPr>
          </w:p>
        </w:tc>
        <w:tc>
          <w:tcPr>
            <w:tcW w:w="993" w:type="dxa"/>
            <w:hideMark/>
          </w:tcPr>
          <w:p w14:paraId="3025830A" w14:textId="77777777" w:rsidR="003C7BC3" w:rsidRPr="003C7BC3" w:rsidRDefault="003C7BC3" w:rsidP="003C7BC3">
            <w:pPr>
              <w:widowControl w:val="0"/>
              <w:autoSpaceDE w:val="0"/>
              <w:autoSpaceDN w:val="0"/>
              <w:spacing w:after="0" w:line="240" w:lineRule="auto"/>
              <w:jc w:val="right"/>
              <w:rPr>
                <w:rFonts w:ascii="Calibri" w:eastAsia="Calibri" w:hAnsi="Calibri" w:cs="Arial"/>
                <w:b/>
                <w:sz w:val="18"/>
                <w:szCs w:val="18"/>
                <w:lang w:val="en-US" w:eastAsia="en-GB" w:bidi="en-GB"/>
              </w:rPr>
            </w:pPr>
            <w:r w:rsidRPr="003C7BC3">
              <w:rPr>
                <w:rFonts w:ascii="Calibri" w:eastAsia="Calibri" w:hAnsi="Calibri" w:cs="Arial"/>
                <w:b/>
                <w:sz w:val="18"/>
                <w:szCs w:val="18"/>
                <w:lang w:val="en-US" w:eastAsia="en-GB" w:bidi="en-GB"/>
              </w:rPr>
              <w:t>H1 20</w:t>
            </w:r>
          </w:p>
          <w:p w14:paraId="2A20D0A1" w14:textId="77777777" w:rsidR="003C7BC3" w:rsidRPr="003C7BC3" w:rsidRDefault="003C7BC3" w:rsidP="003C7BC3">
            <w:pPr>
              <w:widowControl w:val="0"/>
              <w:autoSpaceDE w:val="0"/>
              <w:autoSpaceDN w:val="0"/>
              <w:spacing w:after="0" w:line="240" w:lineRule="auto"/>
              <w:jc w:val="right"/>
              <w:rPr>
                <w:rFonts w:ascii="Calibri" w:eastAsia="Calibri" w:hAnsi="Calibri" w:cs="Arial"/>
                <w:b/>
                <w:sz w:val="18"/>
                <w:szCs w:val="18"/>
                <w:lang w:val="en-US" w:eastAsia="en-GB" w:bidi="en-GB"/>
              </w:rPr>
            </w:pPr>
            <w:r w:rsidRPr="003C7BC3">
              <w:rPr>
                <w:rFonts w:ascii="Calibri" w:eastAsia="Calibri" w:hAnsi="Calibri" w:cs="Arial"/>
                <w:b/>
                <w:sz w:val="18"/>
                <w:szCs w:val="18"/>
                <w:lang w:val="en-US" w:eastAsia="en-GB" w:bidi="en-GB"/>
              </w:rPr>
              <w:t>£m</w:t>
            </w:r>
          </w:p>
        </w:tc>
        <w:tc>
          <w:tcPr>
            <w:tcW w:w="992" w:type="dxa"/>
            <w:hideMark/>
          </w:tcPr>
          <w:p w14:paraId="47F07A98" w14:textId="77777777" w:rsidR="003C7BC3" w:rsidRPr="003C7BC3" w:rsidRDefault="003C7BC3" w:rsidP="003C7BC3">
            <w:pPr>
              <w:widowControl w:val="0"/>
              <w:autoSpaceDE w:val="0"/>
              <w:autoSpaceDN w:val="0"/>
              <w:spacing w:after="0" w:line="240" w:lineRule="auto"/>
              <w:jc w:val="right"/>
              <w:rPr>
                <w:rFonts w:ascii="Calibri" w:eastAsia="Calibri" w:hAnsi="Calibri" w:cs="Arial"/>
                <w:b/>
                <w:sz w:val="18"/>
                <w:szCs w:val="18"/>
                <w:lang w:val="en-US" w:eastAsia="en-GB" w:bidi="en-GB"/>
              </w:rPr>
            </w:pPr>
            <w:r w:rsidRPr="003C7BC3">
              <w:rPr>
                <w:rFonts w:ascii="Calibri" w:eastAsia="Calibri" w:hAnsi="Calibri" w:cs="Arial"/>
                <w:b/>
                <w:sz w:val="18"/>
                <w:szCs w:val="18"/>
                <w:lang w:val="en-US" w:eastAsia="en-GB" w:bidi="en-GB"/>
              </w:rPr>
              <w:t>H1 19</w:t>
            </w:r>
          </w:p>
          <w:p w14:paraId="6F9BE558" w14:textId="77777777" w:rsidR="003C7BC3" w:rsidRPr="003C7BC3" w:rsidRDefault="003C7BC3" w:rsidP="003C7BC3">
            <w:pPr>
              <w:widowControl w:val="0"/>
              <w:autoSpaceDE w:val="0"/>
              <w:autoSpaceDN w:val="0"/>
              <w:spacing w:after="0" w:line="240" w:lineRule="auto"/>
              <w:jc w:val="right"/>
              <w:rPr>
                <w:rFonts w:ascii="Calibri" w:eastAsia="Calibri" w:hAnsi="Calibri" w:cs="Arial"/>
                <w:b/>
                <w:sz w:val="18"/>
                <w:szCs w:val="18"/>
                <w:lang w:val="en-US" w:eastAsia="en-GB" w:bidi="en-GB"/>
              </w:rPr>
            </w:pPr>
            <w:r w:rsidRPr="003C7BC3">
              <w:rPr>
                <w:rFonts w:ascii="Calibri" w:eastAsia="Calibri" w:hAnsi="Calibri" w:cs="Arial"/>
                <w:b/>
                <w:sz w:val="18"/>
                <w:szCs w:val="18"/>
                <w:lang w:val="en-US" w:eastAsia="en-GB" w:bidi="en-GB"/>
              </w:rPr>
              <w:t>£m</w:t>
            </w:r>
          </w:p>
        </w:tc>
        <w:tc>
          <w:tcPr>
            <w:tcW w:w="1134" w:type="dxa"/>
            <w:hideMark/>
          </w:tcPr>
          <w:p w14:paraId="4ABA4FCA" w14:textId="77777777" w:rsidR="003C7BC3" w:rsidRPr="003C7BC3" w:rsidRDefault="003C7BC3" w:rsidP="003C7BC3">
            <w:pPr>
              <w:widowControl w:val="0"/>
              <w:autoSpaceDE w:val="0"/>
              <w:autoSpaceDN w:val="0"/>
              <w:spacing w:after="0" w:line="240" w:lineRule="auto"/>
              <w:jc w:val="right"/>
              <w:rPr>
                <w:rFonts w:ascii="Calibri" w:eastAsia="Calibri" w:hAnsi="Calibri" w:cs="Arial"/>
                <w:b/>
                <w:sz w:val="18"/>
                <w:szCs w:val="18"/>
                <w:lang w:val="en-US" w:eastAsia="en-GB" w:bidi="en-GB"/>
              </w:rPr>
            </w:pPr>
            <w:r w:rsidRPr="003C7BC3">
              <w:rPr>
                <w:rFonts w:ascii="Calibri" w:eastAsia="Calibri" w:hAnsi="Calibri" w:cs="Arial"/>
                <w:b/>
                <w:sz w:val="18"/>
                <w:szCs w:val="18"/>
                <w:lang w:val="en-US" w:eastAsia="en-GB" w:bidi="en-GB"/>
              </w:rPr>
              <w:t>Change (as reported)</w:t>
            </w:r>
          </w:p>
          <w:p w14:paraId="6893C4BC" w14:textId="77777777" w:rsidR="003C7BC3" w:rsidRPr="003C7BC3" w:rsidRDefault="003C7BC3" w:rsidP="003C7BC3">
            <w:pPr>
              <w:widowControl w:val="0"/>
              <w:autoSpaceDE w:val="0"/>
              <w:autoSpaceDN w:val="0"/>
              <w:spacing w:after="0" w:line="240" w:lineRule="auto"/>
              <w:jc w:val="right"/>
              <w:rPr>
                <w:rFonts w:ascii="Calibri" w:eastAsia="Calibri" w:hAnsi="Calibri" w:cs="Arial"/>
                <w:b/>
                <w:sz w:val="18"/>
                <w:szCs w:val="18"/>
                <w:lang w:val="en-US" w:eastAsia="en-GB" w:bidi="en-GB"/>
              </w:rPr>
            </w:pPr>
          </w:p>
        </w:tc>
      </w:tr>
      <w:tr w:rsidR="003C7BC3" w:rsidRPr="003C7BC3" w14:paraId="18418B0D" w14:textId="77777777" w:rsidTr="001413EA">
        <w:trPr>
          <w:jc w:val="center"/>
        </w:trPr>
        <w:tc>
          <w:tcPr>
            <w:tcW w:w="3964" w:type="dxa"/>
          </w:tcPr>
          <w:p w14:paraId="001D3C50"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Free Cash Flow</w:t>
            </w:r>
          </w:p>
        </w:tc>
        <w:tc>
          <w:tcPr>
            <w:tcW w:w="993" w:type="dxa"/>
          </w:tcPr>
          <w:p w14:paraId="7C9F7A36" w14:textId="77777777" w:rsidR="003C7BC3" w:rsidRPr="003C7BC3" w:rsidRDefault="001737BC" w:rsidP="00B71AB8">
            <w:pPr>
              <w:widowControl w:val="0"/>
              <w:autoSpaceDE w:val="0"/>
              <w:autoSpaceDN w:val="0"/>
              <w:spacing w:after="0" w:line="240" w:lineRule="auto"/>
              <w:jc w:val="right"/>
              <w:rPr>
                <w:rFonts w:ascii="Calibri" w:eastAsia="Calibri" w:hAnsi="Calibri" w:cs="Arial"/>
                <w:sz w:val="18"/>
                <w:szCs w:val="18"/>
                <w:lang w:val="en-US" w:eastAsia="en-GB" w:bidi="en-GB"/>
              </w:rPr>
            </w:pPr>
            <w:r>
              <w:rPr>
                <w:rFonts w:ascii="Calibri" w:eastAsia="Calibri" w:hAnsi="Calibri" w:cs="Arial"/>
                <w:sz w:val="18"/>
                <w:szCs w:val="18"/>
                <w:lang w:val="en-US" w:eastAsia="en-GB" w:bidi="en-GB"/>
              </w:rPr>
              <w:t>2.</w:t>
            </w:r>
            <w:r w:rsidR="00A72050">
              <w:rPr>
                <w:rFonts w:ascii="Calibri" w:eastAsia="Calibri" w:hAnsi="Calibri" w:cs="Arial"/>
                <w:sz w:val="18"/>
                <w:szCs w:val="18"/>
                <w:lang w:val="en-US" w:eastAsia="en-GB" w:bidi="en-GB"/>
              </w:rPr>
              <w:t>6</w:t>
            </w:r>
          </w:p>
        </w:tc>
        <w:tc>
          <w:tcPr>
            <w:tcW w:w="992" w:type="dxa"/>
          </w:tcPr>
          <w:p w14:paraId="0D206FD2" w14:textId="77777777" w:rsidR="003C7BC3" w:rsidRPr="003C7BC3" w:rsidRDefault="002868F4" w:rsidP="003C7BC3">
            <w:pPr>
              <w:widowControl w:val="0"/>
              <w:autoSpaceDE w:val="0"/>
              <w:autoSpaceDN w:val="0"/>
              <w:spacing w:after="0" w:line="240" w:lineRule="auto"/>
              <w:jc w:val="right"/>
              <w:rPr>
                <w:rFonts w:ascii="Calibri" w:eastAsia="Calibri" w:hAnsi="Calibri" w:cs="Arial"/>
                <w:sz w:val="18"/>
                <w:szCs w:val="18"/>
                <w:lang w:val="en-US" w:eastAsia="en-GB" w:bidi="en-GB"/>
              </w:rPr>
            </w:pPr>
            <w:r>
              <w:rPr>
                <w:rFonts w:ascii="Calibri" w:eastAsia="Calibri" w:hAnsi="Calibri" w:cs="Arial"/>
                <w:sz w:val="18"/>
                <w:szCs w:val="18"/>
                <w:lang w:val="en-US" w:eastAsia="en-GB" w:bidi="en-GB"/>
              </w:rPr>
              <w:t>(</w:t>
            </w:r>
            <w:r w:rsidR="003C7BC3" w:rsidRPr="003C7BC3">
              <w:rPr>
                <w:rFonts w:ascii="Calibri" w:eastAsia="Calibri" w:hAnsi="Calibri" w:cs="Arial"/>
                <w:sz w:val="18"/>
                <w:szCs w:val="18"/>
                <w:lang w:val="en-US" w:eastAsia="en-GB" w:bidi="en-GB"/>
              </w:rPr>
              <w:t>19.4</w:t>
            </w:r>
            <w:r>
              <w:rPr>
                <w:rFonts w:ascii="Calibri" w:eastAsia="Calibri" w:hAnsi="Calibri" w:cs="Arial"/>
                <w:sz w:val="18"/>
                <w:szCs w:val="18"/>
                <w:lang w:val="en-US" w:eastAsia="en-GB" w:bidi="en-GB"/>
              </w:rPr>
              <w:t>)</w:t>
            </w:r>
          </w:p>
        </w:tc>
        <w:tc>
          <w:tcPr>
            <w:tcW w:w="1134" w:type="dxa"/>
          </w:tcPr>
          <w:p w14:paraId="306E7314" w14:textId="77777777" w:rsidR="003C7BC3" w:rsidRPr="003C7BC3" w:rsidRDefault="00F601FE" w:rsidP="001737BC">
            <w:pPr>
              <w:widowControl w:val="0"/>
              <w:autoSpaceDE w:val="0"/>
              <w:autoSpaceDN w:val="0"/>
              <w:spacing w:after="0" w:line="240" w:lineRule="auto"/>
              <w:jc w:val="right"/>
              <w:rPr>
                <w:rFonts w:ascii="Calibri" w:eastAsia="Calibri" w:hAnsi="Calibri" w:cs="Arial"/>
                <w:sz w:val="18"/>
                <w:szCs w:val="18"/>
                <w:lang w:val="en-US" w:eastAsia="en-GB" w:bidi="en-GB"/>
              </w:rPr>
            </w:pPr>
            <w:r>
              <w:rPr>
                <w:rFonts w:ascii="Calibri" w:eastAsia="Calibri" w:hAnsi="Calibri" w:cs="Arial"/>
                <w:sz w:val="18"/>
                <w:szCs w:val="18"/>
                <w:lang w:val="en-US" w:eastAsia="en-GB" w:bidi="en-GB"/>
              </w:rPr>
              <w:t>+£</w:t>
            </w:r>
            <w:r w:rsidR="001737BC">
              <w:rPr>
                <w:rFonts w:ascii="Calibri" w:eastAsia="Calibri" w:hAnsi="Calibri" w:cs="Arial"/>
                <w:sz w:val="18"/>
                <w:szCs w:val="18"/>
                <w:lang w:val="en-US" w:eastAsia="en-GB" w:bidi="en-GB"/>
              </w:rPr>
              <w:t>2</w:t>
            </w:r>
            <w:r w:rsidR="00A72050">
              <w:rPr>
                <w:rFonts w:ascii="Calibri" w:eastAsia="Calibri" w:hAnsi="Calibri" w:cs="Arial"/>
                <w:sz w:val="18"/>
                <w:szCs w:val="18"/>
                <w:lang w:val="en-US" w:eastAsia="en-GB" w:bidi="en-GB"/>
              </w:rPr>
              <w:t>2</w:t>
            </w:r>
            <w:r w:rsidR="001737BC">
              <w:rPr>
                <w:rFonts w:ascii="Calibri" w:eastAsia="Calibri" w:hAnsi="Calibri" w:cs="Arial"/>
                <w:sz w:val="18"/>
                <w:szCs w:val="18"/>
                <w:lang w:val="en-US" w:eastAsia="en-GB" w:bidi="en-GB"/>
              </w:rPr>
              <w:t>.</w:t>
            </w:r>
            <w:r w:rsidR="00A72050">
              <w:rPr>
                <w:rFonts w:ascii="Calibri" w:eastAsia="Calibri" w:hAnsi="Calibri" w:cs="Arial"/>
                <w:sz w:val="18"/>
                <w:szCs w:val="18"/>
                <w:lang w:val="en-US" w:eastAsia="en-GB" w:bidi="en-GB"/>
              </w:rPr>
              <w:t>0</w:t>
            </w:r>
            <w:r w:rsidR="003C7BC3" w:rsidRPr="003C7BC3">
              <w:rPr>
                <w:rFonts w:ascii="Calibri" w:eastAsia="Calibri" w:hAnsi="Calibri" w:cs="Arial"/>
                <w:sz w:val="18"/>
                <w:szCs w:val="18"/>
                <w:lang w:val="en-US" w:eastAsia="en-GB" w:bidi="en-GB"/>
              </w:rPr>
              <w:t>m</w:t>
            </w:r>
          </w:p>
        </w:tc>
      </w:tr>
      <w:tr w:rsidR="003C7BC3" w:rsidRPr="003C7BC3" w14:paraId="38CB914B" w14:textId="77777777" w:rsidTr="001413EA">
        <w:trPr>
          <w:jc w:val="center"/>
        </w:trPr>
        <w:tc>
          <w:tcPr>
            <w:tcW w:w="3964" w:type="dxa"/>
          </w:tcPr>
          <w:p w14:paraId="258041D3"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Net Debt</w:t>
            </w:r>
          </w:p>
        </w:tc>
        <w:tc>
          <w:tcPr>
            <w:tcW w:w="993" w:type="dxa"/>
          </w:tcPr>
          <w:p w14:paraId="4469F5CC" w14:textId="77777777" w:rsidR="003C7BC3" w:rsidRPr="003C7BC3" w:rsidRDefault="00BF5710" w:rsidP="003C7BC3">
            <w:pPr>
              <w:widowControl w:val="0"/>
              <w:autoSpaceDE w:val="0"/>
              <w:autoSpaceDN w:val="0"/>
              <w:spacing w:after="0" w:line="240" w:lineRule="auto"/>
              <w:jc w:val="right"/>
              <w:rPr>
                <w:rFonts w:ascii="Calibri" w:eastAsia="Calibri" w:hAnsi="Calibri" w:cs="Arial"/>
                <w:sz w:val="18"/>
                <w:szCs w:val="18"/>
                <w:lang w:val="en-US" w:eastAsia="en-GB" w:bidi="en-GB"/>
              </w:rPr>
            </w:pPr>
            <w:r>
              <w:rPr>
                <w:rFonts w:ascii="Calibri" w:eastAsia="Calibri" w:hAnsi="Calibri" w:cs="Arial"/>
                <w:sz w:val="18"/>
                <w:szCs w:val="18"/>
                <w:lang w:val="en-US" w:eastAsia="en-GB" w:bidi="en-GB"/>
              </w:rPr>
              <w:t>374.4</w:t>
            </w:r>
          </w:p>
        </w:tc>
        <w:tc>
          <w:tcPr>
            <w:tcW w:w="992" w:type="dxa"/>
          </w:tcPr>
          <w:p w14:paraId="30076B27"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284.1</w:t>
            </w:r>
          </w:p>
        </w:tc>
        <w:tc>
          <w:tcPr>
            <w:tcW w:w="1134" w:type="dxa"/>
          </w:tcPr>
          <w:p w14:paraId="27A67B0E"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p>
        </w:tc>
      </w:tr>
      <w:tr w:rsidR="003C7BC3" w:rsidRPr="003C7BC3" w14:paraId="5E794E13" w14:textId="77777777" w:rsidTr="001413EA">
        <w:trPr>
          <w:jc w:val="center"/>
        </w:trPr>
        <w:tc>
          <w:tcPr>
            <w:tcW w:w="3964" w:type="dxa"/>
            <w:hideMark/>
          </w:tcPr>
          <w:p w14:paraId="7491AF7A"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Net Debt (excluding lease liabilities)</w:t>
            </w:r>
          </w:p>
        </w:tc>
        <w:tc>
          <w:tcPr>
            <w:tcW w:w="993" w:type="dxa"/>
          </w:tcPr>
          <w:p w14:paraId="1405D53B"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311.1</w:t>
            </w:r>
          </w:p>
        </w:tc>
        <w:tc>
          <w:tcPr>
            <w:tcW w:w="992" w:type="dxa"/>
          </w:tcPr>
          <w:p w14:paraId="3ED2004A"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284.1</w:t>
            </w:r>
          </w:p>
        </w:tc>
        <w:tc>
          <w:tcPr>
            <w:tcW w:w="1134" w:type="dxa"/>
          </w:tcPr>
          <w:p w14:paraId="1961F824"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p>
        </w:tc>
      </w:tr>
      <w:tr w:rsidR="003C7BC3" w:rsidRPr="003C7BC3" w14:paraId="3D63937F" w14:textId="77777777" w:rsidTr="001413EA">
        <w:trPr>
          <w:jc w:val="center"/>
        </w:trPr>
        <w:tc>
          <w:tcPr>
            <w:tcW w:w="3964" w:type="dxa"/>
          </w:tcPr>
          <w:p w14:paraId="6EB5164D" w14:textId="771B3E21"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Net Debt:</w:t>
            </w:r>
            <w:r w:rsidR="00560300">
              <w:rPr>
                <w:rFonts w:ascii="Calibri" w:eastAsia="Calibri" w:hAnsi="Calibri" w:cs="Arial"/>
                <w:sz w:val="18"/>
                <w:szCs w:val="18"/>
                <w:lang w:val="en-US" w:eastAsia="en-GB" w:bidi="en-GB"/>
              </w:rPr>
              <w:t xml:space="preserve"> </w:t>
            </w:r>
            <w:r w:rsidRPr="003C7BC3">
              <w:rPr>
                <w:rFonts w:ascii="Calibri" w:eastAsia="Calibri" w:hAnsi="Calibri" w:cs="Arial"/>
                <w:sz w:val="18"/>
                <w:szCs w:val="18"/>
                <w:lang w:val="en-US" w:eastAsia="en-GB" w:bidi="en-GB"/>
              </w:rPr>
              <w:t>EBITDA as per financing agreements</w:t>
            </w:r>
          </w:p>
        </w:tc>
        <w:tc>
          <w:tcPr>
            <w:tcW w:w="993" w:type="dxa"/>
          </w:tcPr>
          <w:p w14:paraId="34257B4A" w14:textId="6FBA9B28" w:rsidR="003C7BC3" w:rsidRPr="003C7BC3" w:rsidRDefault="002868F4" w:rsidP="003C7BC3">
            <w:pPr>
              <w:widowControl w:val="0"/>
              <w:autoSpaceDE w:val="0"/>
              <w:autoSpaceDN w:val="0"/>
              <w:spacing w:after="0" w:line="240" w:lineRule="auto"/>
              <w:jc w:val="right"/>
              <w:rPr>
                <w:rFonts w:ascii="Calibri" w:eastAsia="Calibri" w:hAnsi="Calibri" w:cs="Arial"/>
                <w:sz w:val="18"/>
                <w:szCs w:val="18"/>
                <w:lang w:val="en-US" w:eastAsia="en-GB" w:bidi="en-GB"/>
              </w:rPr>
            </w:pPr>
            <w:r>
              <w:rPr>
                <w:rFonts w:ascii="Calibri" w:eastAsia="Calibri" w:hAnsi="Calibri" w:cs="Arial"/>
                <w:sz w:val="18"/>
                <w:szCs w:val="18"/>
                <w:lang w:val="en-US" w:eastAsia="en-GB" w:bidi="en-GB"/>
              </w:rPr>
              <w:t>2.1</w:t>
            </w:r>
            <w:r w:rsidR="003C7BC3" w:rsidRPr="003C7BC3">
              <w:rPr>
                <w:rFonts w:ascii="Calibri" w:eastAsia="Calibri" w:hAnsi="Calibri" w:cs="Arial"/>
                <w:sz w:val="18"/>
                <w:szCs w:val="18"/>
                <w:lang w:val="en-US" w:eastAsia="en-GB" w:bidi="en-GB"/>
              </w:rPr>
              <w:t>x</w:t>
            </w:r>
          </w:p>
        </w:tc>
        <w:tc>
          <w:tcPr>
            <w:tcW w:w="992" w:type="dxa"/>
          </w:tcPr>
          <w:p w14:paraId="1CF78E57"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1.9x</w:t>
            </w:r>
          </w:p>
        </w:tc>
        <w:tc>
          <w:tcPr>
            <w:tcW w:w="1134" w:type="dxa"/>
          </w:tcPr>
          <w:p w14:paraId="601C6BE1"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p>
        </w:tc>
      </w:tr>
      <w:tr w:rsidR="003C7BC3" w:rsidRPr="003C7BC3" w14:paraId="1BD5A880" w14:textId="77777777" w:rsidTr="001413EA">
        <w:trPr>
          <w:jc w:val="center"/>
        </w:trPr>
        <w:tc>
          <w:tcPr>
            <w:tcW w:w="3964" w:type="dxa"/>
            <w:hideMark/>
          </w:tcPr>
          <w:p w14:paraId="301E332C" w14:textId="77777777" w:rsidR="003C7BC3" w:rsidRPr="003C7BC3" w:rsidRDefault="003C7BC3" w:rsidP="003C7BC3">
            <w:pPr>
              <w:widowControl w:val="0"/>
              <w:autoSpaceDE w:val="0"/>
              <w:autoSpaceDN w:val="0"/>
              <w:spacing w:after="0" w:line="240" w:lineRule="auto"/>
              <w:jc w:val="both"/>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 xml:space="preserve">ROIC </w:t>
            </w:r>
          </w:p>
        </w:tc>
        <w:tc>
          <w:tcPr>
            <w:tcW w:w="993" w:type="dxa"/>
          </w:tcPr>
          <w:p w14:paraId="119DF621" w14:textId="77777777" w:rsidR="003C7BC3" w:rsidRPr="003C7BC3" w:rsidRDefault="00B71AB8" w:rsidP="003C7BC3">
            <w:pPr>
              <w:widowControl w:val="0"/>
              <w:autoSpaceDE w:val="0"/>
              <w:autoSpaceDN w:val="0"/>
              <w:spacing w:after="0" w:line="240" w:lineRule="auto"/>
              <w:jc w:val="right"/>
              <w:rPr>
                <w:rFonts w:ascii="Calibri" w:eastAsia="Calibri" w:hAnsi="Calibri" w:cs="Arial"/>
                <w:sz w:val="18"/>
                <w:szCs w:val="18"/>
                <w:lang w:val="en-US" w:eastAsia="en-GB" w:bidi="en-GB"/>
              </w:rPr>
            </w:pPr>
            <w:r>
              <w:rPr>
                <w:rFonts w:ascii="Calibri" w:eastAsia="Calibri" w:hAnsi="Calibri" w:cs="Arial"/>
                <w:sz w:val="18"/>
                <w:szCs w:val="18"/>
                <w:lang w:val="en-US" w:eastAsia="en-GB" w:bidi="en-GB"/>
              </w:rPr>
              <w:t>12.3</w:t>
            </w:r>
            <w:r w:rsidR="003C7BC3" w:rsidRPr="003C7BC3">
              <w:rPr>
                <w:rFonts w:ascii="Calibri" w:eastAsia="Calibri" w:hAnsi="Calibri" w:cs="Arial"/>
                <w:sz w:val="18"/>
                <w:szCs w:val="18"/>
                <w:lang w:val="en-US" w:eastAsia="en-GB" w:bidi="en-GB"/>
              </w:rPr>
              <w:t>%</w:t>
            </w:r>
          </w:p>
        </w:tc>
        <w:tc>
          <w:tcPr>
            <w:tcW w:w="992" w:type="dxa"/>
          </w:tcPr>
          <w:p w14:paraId="73F80CFA"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14.6%</w:t>
            </w:r>
          </w:p>
        </w:tc>
        <w:tc>
          <w:tcPr>
            <w:tcW w:w="1134" w:type="dxa"/>
          </w:tcPr>
          <w:p w14:paraId="0E16CD7B" w14:textId="77777777" w:rsidR="003C7BC3" w:rsidRPr="003C7BC3" w:rsidRDefault="003C7BC3" w:rsidP="003C7BC3">
            <w:pPr>
              <w:widowControl w:val="0"/>
              <w:autoSpaceDE w:val="0"/>
              <w:autoSpaceDN w:val="0"/>
              <w:spacing w:after="0" w:line="240" w:lineRule="auto"/>
              <w:jc w:val="right"/>
              <w:rPr>
                <w:rFonts w:ascii="Calibri" w:eastAsia="Calibri" w:hAnsi="Calibri" w:cs="Arial"/>
                <w:sz w:val="18"/>
                <w:szCs w:val="18"/>
                <w:lang w:val="en-US" w:eastAsia="en-GB" w:bidi="en-GB"/>
              </w:rPr>
            </w:pPr>
            <w:r w:rsidRPr="003C7BC3">
              <w:rPr>
                <w:rFonts w:ascii="Calibri" w:eastAsia="Calibri" w:hAnsi="Calibri" w:cs="Arial"/>
                <w:sz w:val="18"/>
                <w:szCs w:val="18"/>
                <w:lang w:val="en-US" w:eastAsia="en-GB" w:bidi="en-GB"/>
              </w:rPr>
              <w:t>-</w:t>
            </w:r>
            <w:r w:rsidR="00F601FE">
              <w:rPr>
                <w:rFonts w:ascii="Calibri" w:eastAsia="Calibri" w:hAnsi="Calibri" w:cs="Arial"/>
                <w:sz w:val="18"/>
                <w:szCs w:val="18"/>
                <w:lang w:val="en-US" w:eastAsia="en-GB" w:bidi="en-GB"/>
              </w:rPr>
              <w:t>230</w:t>
            </w:r>
            <w:r w:rsidRPr="003C7BC3">
              <w:rPr>
                <w:rFonts w:ascii="Calibri" w:eastAsia="Calibri" w:hAnsi="Calibri" w:cs="Arial"/>
                <w:sz w:val="18"/>
                <w:szCs w:val="18"/>
                <w:lang w:val="en-US" w:eastAsia="en-GB" w:bidi="en-GB"/>
              </w:rPr>
              <w:t>bps</w:t>
            </w:r>
          </w:p>
        </w:tc>
      </w:tr>
    </w:tbl>
    <w:p w14:paraId="21A5459B" w14:textId="77777777" w:rsidR="003C7BC3" w:rsidRPr="005B3BEE" w:rsidRDefault="003C7BC3" w:rsidP="003C7BC3">
      <w:pPr>
        <w:widowControl w:val="0"/>
        <w:autoSpaceDE w:val="0"/>
        <w:autoSpaceDN w:val="0"/>
        <w:spacing w:after="0" w:line="240" w:lineRule="auto"/>
        <w:jc w:val="both"/>
        <w:rPr>
          <w:rFonts w:ascii="Calibri" w:eastAsia="Calibri" w:hAnsi="Calibri" w:cs="Arial"/>
          <w:b/>
          <w:sz w:val="12"/>
          <w:szCs w:val="12"/>
          <w:lang w:eastAsia="en-GB" w:bidi="en-GB"/>
        </w:rPr>
      </w:pPr>
    </w:p>
    <w:p w14:paraId="389E19B9" w14:textId="6FBC8C53" w:rsidR="003C7BC3" w:rsidRPr="003C7BC3" w:rsidRDefault="003C7BC3" w:rsidP="005B3BEE">
      <w:pPr>
        <w:pStyle w:val="SectionH3"/>
      </w:pPr>
      <w:r w:rsidRPr="003C7BC3">
        <w:t xml:space="preserve">Strategic developments </w:t>
      </w:r>
    </w:p>
    <w:p w14:paraId="51C76AF2" w14:textId="2F602F0F" w:rsidR="003C7BC3" w:rsidRPr="003C7BC3" w:rsidRDefault="003C7BC3" w:rsidP="00B52070">
      <w:pPr>
        <w:widowControl w:val="0"/>
        <w:autoSpaceDE w:val="0"/>
        <w:autoSpaceDN w:val="0"/>
        <w:spacing w:after="120" w:line="240" w:lineRule="auto"/>
        <w:jc w:val="both"/>
        <w:rPr>
          <w:rFonts w:ascii="Calibri" w:eastAsia="Calibri" w:hAnsi="Calibri" w:cs="Arial"/>
          <w:sz w:val="18"/>
          <w:szCs w:val="18"/>
          <w:lang w:eastAsia="en-GB" w:bidi="en-GB"/>
        </w:rPr>
      </w:pPr>
      <w:r w:rsidRPr="003C7BC3">
        <w:rPr>
          <w:rFonts w:ascii="Calibri" w:eastAsia="Calibri" w:hAnsi="Calibri" w:cs="Arial"/>
          <w:sz w:val="18"/>
          <w:szCs w:val="18"/>
          <w:lang w:eastAsia="en-GB" w:bidi="en-GB"/>
        </w:rPr>
        <w:t>In H1 20 the Group focussed on balance sheet strength and liquidity</w:t>
      </w:r>
      <w:r w:rsidR="009F574C">
        <w:rPr>
          <w:rFonts w:ascii="Calibri" w:eastAsia="Calibri" w:hAnsi="Calibri" w:cs="Arial"/>
          <w:sz w:val="18"/>
          <w:szCs w:val="18"/>
          <w:lang w:eastAsia="en-GB" w:bidi="en-GB"/>
        </w:rPr>
        <w:t xml:space="preserve">, extending the maturity of its £340m revolving credit bank facility to January 2025 and entering into a new revolving credit bank facility of £75m maturing in March 2021. </w:t>
      </w:r>
    </w:p>
    <w:p w14:paraId="6A5EA273" w14:textId="77777777" w:rsidR="003C7BC3" w:rsidRPr="009A0CE8" w:rsidRDefault="003C7BC3" w:rsidP="00B52070">
      <w:pPr>
        <w:widowControl w:val="0"/>
        <w:autoSpaceDE w:val="0"/>
        <w:autoSpaceDN w:val="0"/>
        <w:spacing w:after="120" w:line="240" w:lineRule="auto"/>
        <w:jc w:val="both"/>
        <w:rPr>
          <w:rFonts w:ascii="Calibri" w:eastAsia="Calibri" w:hAnsi="Calibri" w:cs="Arial"/>
          <w:sz w:val="18"/>
          <w:szCs w:val="18"/>
        </w:rPr>
      </w:pPr>
      <w:r w:rsidRPr="003C7BC3">
        <w:rPr>
          <w:rFonts w:ascii="Calibri" w:eastAsia="Calibri" w:hAnsi="Calibri" w:cs="Arial"/>
          <w:sz w:val="18"/>
          <w:szCs w:val="18"/>
          <w:lang w:eastAsia="en-GB" w:bidi="en-GB"/>
        </w:rPr>
        <w:lastRenderedPageBreak/>
        <w:t xml:space="preserve">The Group retains substantial and increased financial headroom, with cash and undrawn committed bank facilities of </w:t>
      </w:r>
      <w:r w:rsidRPr="009A0CE8">
        <w:rPr>
          <w:rFonts w:ascii="Calibri" w:eastAsia="Calibri" w:hAnsi="Calibri" w:cs="Arial"/>
          <w:sz w:val="18"/>
          <w:szCs w:val="18"/>
          <w:lang w:eastAsia="en-GB" w:bidi="en-GB"/>
        </w:rPr>
        <w:t xml:space="preserve">£267.5m at 27 March 2020. </w:t>
      </w:r>
    </w:p>
    <w:p w14:paraId="1E96B866" w14:textId="1F96A91A" w:rsidR="005A323C" w:rsidRDefault="00CB2AF1" w:rsidP="00B52070">
      <w:pPr>
        <w:jc w:val="both"/>
        <w:rPr>
          <w:lang w:val="en-IE"/>
        </w:rPr>
      </w:pPr>
      <w:r w:rsidRPr="00B52070">
        <w:rPr>
          <w:rFonts w:ascii="Calibri" w:eastAsia="Calibri" w:hAnsi="Calibri" w:cs="Arial"/>
          <w:sz w:val="18"/>
          <w:szCs w:val="18"/>
          <w:lang w:eastAsia="en-GB" w:bidi="en-GB"/>
        </w:rPr>
        <w:t>Subsequent to</w:t>
      </w:r>
      <w:r w:rsidR="0004743B" w:rsidRPr="00B52070">
        <w:rPr>
          <w:rFonts w:ascii="Calibri" w:eastAsia="Calibri" w:hAnsi="Calibri" w:cs="Arial"/>
          <w:sz w:val="18"/>
          <w:szCs w:val="18"/>
          <w:lang w:eastAsia="en-GB" w:bidi="en-GB"/>
        </w:rPr>
        <w:t xml:space="preserve"> the end of H1</w:t>
      </w:r>
      <w:r w:rsidRPr="00B52070">
        <w:rPr>
          <w:rFonts w:ascii="Calibri" w:eastAsia="Calibri" w:hAnsi="Calibri" w:cs="Arial"/>
          <w:sz w:val="18"/>
          <w:szCs w:val="18"/>
          <w:lang w:eastAsia="en-GB" w:bidi="en-GB"/>
        </w:rPr>
        <w:t>,</w:t>
      </w:r>
      <w:r w:rsidR="0004743B" w:rsidRPr="00B52070">
        <w:rPr>
          <w:rFonts w:ascii="Calibri" w:eastAsia="Calibri" w:hAnsi="Calibri" w:cs="Arial"/>
          <w:sz w:val="18"/>
          <w:szCs w:val="18"/>
          <w:lang w:eastAsia="en-GB" w:bidi="en-GB"/>
        </w:rPr>
        <w:t xml:space="preserve"> t</w:t>
      </w:r>
      <w:r w:rsidR="009C6F05" w:rsidRPr="00B52070">
        <w:rPr>
          <w:rFonts w:ascii="Calibri" w:eastAsia="Calibri" w:hAnsi="Calibri" w:cs="Arial"/>
          <w:sz w:val="18"/>
          <w:szCs w:val="18"/>
          <w:lang w:eastAsia="en-GB" w:bidi="en-GB"/>
        </w:rPr>
        <w:t>he Group secured formal agreement with its lending syndicate of banks to</w:t>
      </w:r>
      <w:r w:rsidR="009C6F05" w:rsidRPr="00B52070">
        <w:t xml:space="preserve"> </w:t>
      </w:r>
      <w:r w:rsidR="009C6F05" w:rsidRPr="00B52070">
        <w:rPr>
          <w:rFonts w:ascii="Calibri" w:eastAsia="Calibri" w:hAnsi="Calibri" w:cs="Arial"/>
          <w:sz w:val="18"/>
          <w:szCs w:val="18"/>
          <w:lang w:eastAsia="en-GB" w:bidi="en-GB"/>
        </w:rPr>
        <w:t>waive its net debt</w:t>
      </w:r>
      <w:r w:rsidRPr="00B52070">
        <w:rPr>
          <w:rFonts w:ascii="Calibri" w:eastAsia="Calibri" w:hAnsi="Calibri" w:cs="Arial"/>
          <w:sz w:val="18"/>
          <w:szCs w:val="18"/>
          <w:lang w:eastAsia="en-GB" w:bidi="en-GB"/>
        </w:rPr>
        <w:t xml:space="preserve">: </w:t>
      </w:r>
      <w:r w:rsidR="009C6F05" w:rsidRPr="00B52070">
        <w:rPr>
          <w:rFonts w:ascii="Calibri" w:eastAsia="Calibri" w:hAnsi="Calibri" w:cs="Arial"/>
          <w:sz w:val="18"/>
          <w:szCs w:val="18"/>
          <w:lang w:eastAsia="en-GB" w:bidi="en-GB"/>
        </w:rPr>
        <w:t>EBITDA covenant condition for the September 2020 and March 2021 test periods.</w:t>
      </w:r>
      <w:r w:rsidR="00313FBC" w:rsidRPr="00B52070">
        <w:rPr>
          <w:rFonts w:ascii="Calibri" w:eastAsia="Calibri" w:hAnsi="Calibri" w:cs="Arial"/>
          <w:sz w:val="18"/>
          <w:szCs w:val="18"/>
          <w:lang w:eastAsia="en-GB" w:bidi="en-GB"/>
        </w:rPr>
        <w:t xml:space="preserve"> </w:t>
      </w:r>
      <w:r w:rsidR="005A323C" w:rsidRPr="00B52070">
        <w:rPr>
          <w:rFonts w:ascii="Calibri" w:eastAsia="Calibri" w:hAnsi="Calibri" w:cs="Arial"/>
          <w:sz w:val="18"/>
          <w:szCs w:val="18"/>
          <w:lang w:eastAsia="en-GB" w:bidi="en-GB"/>
        </w:rPr>
        <w:t xml:space="preserve">The </w:t>
      </w:r>
      <w:r w:rsidR="005A323C">
        <w:rPr>
          <w:rFonts w:ascii="Calibri" w:eastAsia="Calibri" w:hAnsi="Calibri" w:cs="Arial"/>
          <w:sz w:val="18"/>
          <w:szCs w:val="18"/>
          <w:lang w:eastAsia="en-GB" w:bidi="en-GB"/>
        </w:rPr>
        <w:t>Group</w:t>
      </w:r>
      <w:r w:rsidR="005A323C" w:rsidRPr="00B52070">
        <w:rPr>
          <w:rFonts w:ascii="Calibri" w:eastAsia="Calibri" w:hAnsi="Calibri" w:cs="Arial"/>
          <w:sz w:val="18"/>
          <w:szCs w:val="18"/>
          <w:lang w:eastAsia="en-GB" w:bidi="en-GB"/>
        </w:rPr>
        <w:t xml:space="preserve"> is</w:t>
      </w:r>
      <w:r w:rsidR="00E858D5">
        <w:rPr>
          <w:rFonts w:ascii="Calibri" w:eastAsia="Calibri" w:hAnsi="Calibri" w:cs="Arial"/>
          <w:sz w:val="18"/>
          <w:szCs w:val="18"/>
          <w:lang w:eastAsia="en-GB" w:bidi="en-GB"/>
        </w:rPr>
        <w:t xml:space="preserve"> also</w:t>
      </w:r>
      <w:r w:rsidR="005A323C" w:rsidRPr="00B52070">
        <w:rPr>
          <w:rFonts w:ascii="Calibri" w:eastAsia="Calibri" w:hAnsi="Calibri" w:cs="Arial"/>
          <w:sz w:val="18"/>
          <w:szCs w:val="18"/>
          <w:lang w:eastAsia="en-GB" w:bidi="en-GB"/>
        </w:rPr>
        <w:t xml:space="preserve"> in advanced stages of discussions with the </w:t>
      </w:r>
      <w:r w:rsidR="00C006CB">
        <w:rPr>
          <w:rFonts w:ascii="Calibri" w:eastAsia="Calibri" w:hAnsi="Calibri" w:cs="Arial"/>
          <w:sz w:val="18"/>
          <w:szCs w:val="18"/>
          <w:lang w:eastAsia="en-GB" w:bidi="en-GB"/>
        </w:rPr>
        <w:t>P</w:t>
      </w:r>
      <w:r w:rsidR="005A323C" w:rsidRPr="00B52070">
        <w:rPr>
          <w:rFonts w:ascii="Calibri" w:eastAsia="Calibri" w:hAnsi="Calibri" w:cs="Arial"/>
          <w:sz w:val="18"/>
          <w:szCs w:val="18"/>
          <w:lang w:eastAsia="en-GB" w:bidi="en-GB"/>
        </w:rPr>
        <w:t xml:space="preserve">rivate </w:t>
      </w:r>
      <w:r w:rsidR="00C006CB">
        <w:rPr>
          <w:rFonts w:ascii="Calibri" w:eastAsia="Calibri" w:hAnsi="Calibri" w:cs="Arial"/>
          <w:sz w:val="18"/>
          <w:szCs w:val="18"/>
          <w:lang w:eastAsia="en-GB" w:bidi="en-GB"/>
        </w:rPr>
        <w:t>P</w:t>
      </w:r>
      <w:r w:rsidR="005A323C" w:rsidRPr="00B52070">
        <w:rPr>
          <w:rFonts w:ascii="Calibri" w:eastAsia="Calibri" w:hAnsi="Calibri" w:cs="Arial"/>
          <w:sz w:val="18"/>
          <w:szCs w:val="18"/>
          <w:lang w:eastAsia="en-GB" w:bidi="en-GB"/>
        </w:rPr>
        <w:t xml:space="preserve">lacement holders in respect of a waiver of the September 2020 and March 2021 leverage covenants contained in the </w:t>
      </w:r>
      <w:r w:rsidR="00C006CB">
        <w:rPr>
          <w:rFonts w:ascii="Calibri" w:eastAsia="Calibri" w:hAnsi="Calibri" w:cs="Arial"/>
          <w:sz w:val="18"/>
          <w:szCs w:val="18"/>
          <w:lang w:eastAsia="en-GB" w:bidi="en-GB"/>
        </w:rPr>
        <w:t>P</w:t>
      </w:r>
      <w:r w:rsidR="005A323C" w:rsidRPr="00B52070">
        <w:rPr>
          <w:rFonts w:ascii="Calibri" w:eastAsia="Calibri" w:hAnsi="Calibri" w:cs="Arial"/>
          <w:sz w:val="18"/>
          <w:szCs w:val="18"/>
          <w:lang w:eastAsia="en-GB" w:bidi="en-GB"/>
        </w:rPr>
        <w:t xml:space="preserve">rivate </w:t>
      </w:r>
      <w:r w:rsidR="00C006CB">
        <w:rPr>
          <w:rFonts w:ascii="Calibri" w:eastAsia="Calibri" w:hAnsi="Calibri" w:cs="Arial"/>
          <w:sz w:val="18"/>
          <w:szCs w:val="18"/>
          <w:lang w:eastAsia="en-GB" w:bidi="en-GB"/>
        </w:rPr>
        <w:t>P</w:t>
      </w:r>
      <w:r w:rsidR="005A323C" w:rsidRPr="00B52070">
        <w:rPr>
          <w:rFonts w:ascii="Calibri" w:eastAsia="Calibri" w:hAnsi="Calibri" w:cs="Arial"/>
          <w:sz w:val="18"/>
          <w:szCs w:val="18"/>
          <w:lang w:eastAsia="en-GB" w:bidi="en-GB"/>
        </w:rPr>
        <w:t xml:space="preserve">lacement documentation and the </w:t>
      </w:r>
      <w:r w:rsidR="005A323C">
        <w:rPr>
          <w:rFonts w:ascii="Calibri" w:eastAsia="Calibri" w:hAnsi="Calibri" w:cs="Arial"/>
          <w:sz w:val="18"/>
          <w:szCs w:val="18"/>
          <w:lang w:eastAsia="en-GB" w:bidi="en-GB"/>
        </w:rPr>
        <w:t>Group</w:t>
      </w:r>
      <w:r w:rsidR="005A323C" w:rsidRPr="00B52070">
        <w:rPr>
          <w:rFonts w:ascii="Calibri" w:eastAsia="Calibri" w:hAnsi="Calibri" w:cs="Arial"/>
          <w:sz w:val="18"/>
          <w:szCs w:val="18"/>
          <w:lang w:eastAsia="en-GB" w:bidi="en-GB"/>
        </w:rPr>
        <w:t xml:space="preserve"> expects that an agreement in respect of such waivers will be finalised and concluded in the coming weeks.</w:t>
      </w:r>
      <w:r w:rsidR="005A323C">
        <w:rPr>
          <w:i/>
          <w:iCs/>
          <w:color w:val="1F4E79"/>
        </w:rPr>
        <w:t xml:space="preserve"> </w:t>
      </w:r>
    </w:p>
    <w:p w14:paraId="0B0D77A8" w14:textId="7CC931E7" w:rsidR="009C6F05" w:rsidRPr="009A0CE8" w:rsidRDefault="009C6F05" w:rsidP="00B52070">
      <w:pPr>
        <w:pStyle w:val="Paragraph"/>
        <w:spacing w:before="120" w:after="120"/>
        <w:jc w:val="both"/>
      </w:pPr>
      <w:r w:rsidRPr="00B52070">
        <w:t xml:space="preserve">In addition, the Group </w:t>
      </w:r>
      <w:r w:rsidR="00F96738" w:rsidRPr="00B52070">
        <w:t xml:space="preserve">confirms that it has received </w:t>
      </w:r>
      <w:r w:rsidRPr="00B52070">
        <w:t>eligib</w:t>
      </w:r>
      <w:r w:rsidR="000727B8" w:rsidRPr="00B52070">
        <w:t>ility, in principle, to access funding</w:t>
      </w:r>
      <w:r w:rsidRPr="00B52070">
        <w:t xml:space="preserve"> under the</w:t>
      </w:r>
      <w:r w:rsidR="006E465C">
        <w:t xml:space="preserve"> </w:t>
      </w:r>
      <w:proofErr w:type="spellStart"/>
      <w:r w:rsidR="006E465C">
        <w:t>Covid</w:t>
      </w:r>
      <w:proofErr w:type="spellEnd"/>
      <w:r w:rsidRPr="00B52070">
        <w:t xml:space="preserve"> Corporate Financing Facility (CCFF). </w:t>
      </w:r>
    </w:p>
    <w:p w14:paraId="7D2C026A" w14:textId="4121DA18" w:rsidR="000727B8" w:rsidRPr="00B52070" w:rsidRDefault="000727B8" w:rsidP="00B52070">
      <w:pPr>
        <w:pStyle w:val="Paragraph"/>
        <w:spacing w:before="120" w:after="120"/>
        <w:jc w:val="both"/>
      </w:pPr>
      <w:r w:rsidRPr="00B52070">
        <w:rPr>
          <w:rFonts w:ascii="Calibri" w:eastAsia="Calibri" w:hAnsi="Calibri" w:cs="Arial"/>
          <w:lang w:eastAsia="en-GB" w:bidi="en-GB"/>
        </w:rPr>
        <w:t>The Group today announces that it will not be proceeding with either a final FY20 or an interim FY21 dividend payment. The Group</w:t>
      </w:r>
      <w:r w:rsidRPr="00B52070">
        <w:t xml:space="preserve"> will seek to reinstate dividend payments as soon as is practicable thereafter in accordance with its capital allocation strategy.</w:t>
      </w:r>
    </w:p>
    <w:p w14:paraId="00816587" w14:textId="15D7A93E" w:rsidR="006000E0" w:rsidRDefault="009F574C" w:rsidP="00B52070">
      <w:pPr>
        <w:widowControl w:val="0"/>
        <w:autoSpaceDE w:val="0"/>
        <w:autoSpaceDN w:val="0"/>
        <w:spacing w:after="120" w:line="240" w:lineRule="auto"/>
        <w:jc w:val="both"/>
        <w:rPr>
          <w:rFonts w:ascii="Calibri" w:eastAsia="Calibri" w:hAnsi="Calibri" w:cs="Arial"/>
          <w:sz w:val="18"/>
          <w:szCs w:val="18"/>
          <w:lang w:eastAsia="en-GB" w:bidi="en-GB"/>
        </w:rPr>
      </w:pPr>
      <w:r>
        <w:rPr>
          <w:rFonts w:ascii="Calibri" w:eastAsia="Calibri" w:hAnsi="Calibri" w:cs="Arial"/>
          <w:sz w:val="18"/>
          <w:szCs w:val="18"/>
          <w:lang w:eastAsia="en-GB" w:bidi="en-GB"/>
        </w:rPr>
        <w:t xml:space="preserve">The Group </w:t>
      </w:r>
      <w:r w:rsidR="009C6F05">
        <w:rPr>
          <w:rFonts w:ascii="Calibri" w:eastAsia="Calibri" w:hAnsi="Calibri" w:cs="Arial"/>
          <w:sz w:val="18"/>
          <w:szCs w:val="18"/>
          <w:lang w:eastAsia="en-GB" w:bidi="en-GB"/>
        </w:rPr>
        <w:t xml:space="preserve">also </w:t>
      </w:r>
      <w:r>
        <w:rPr>
          <w:rFonts w:ascii="Calibri" w:eastAsia="Calibri" w:hAnsi="Calibri" w:cs="Arial"/>
          <w:sz w:val="18"/>
          <w:szCs w:val="18"/>
          <w:lang w:eastAsia="en-GB" w:bidi="en-GB"/>
        </w:rPr>
        <w:t>plans to</w:t>
      </w:r>
      <w:r w:rsidRPr="003C7BC3">
        <w:rPr>
          <w:rFonts w:ascii="Calibri" w:eastAsia="Calibri" w:hAnsi="Calibri" w:cs="Arial"/>
          <w:sz w:val="18"/>
          <w:szCs w:val="18"/>
          <w:lang w:eastAsia="en-GB" w:bidi="en-GB"/>
        </w:rPr>
        <w:t xml:space="preserve"> defer a substantial portion of </w:t>
      </w:r>
      <w:r>
        <w:rPr>
          <w:rFonts w:ascii="Calibri" w:eastAsia="Calibri" w:hAnsi="Calibri" w:cs="Arial"/>
          <w:sz w:val="18"/>
          <w:szCs w:val="18"/>
          <w:lang w:eastAsia="en-GB" w:bidi="en-GB"/>
        </w:rPr>
        <w:t>non-essential</w:t>
      </w:r>
      <w:r w:rsidRPr="003C7BC3">
        <w:rPr>
          <w:rFonts w:ascii="Calibri" w:eastAsia="Calibri" w:hAnsi="Calibri" w:cs="Arial"/>
          <w:sz w:val="18"/>
          <w:szCs w:val="18"/>
          <w:lang w:eastAsia="en-GB" w:bidi="en-GB"/>
        </w:rPr>
        <w:t xml:space="preserve"> capital expenditure</w:t>
      </w:r>
      <w:r w:rsidR="009C6F05">
        <w:rPr>
          <w:rFonts w:ascii="Calibri" w:eastAsia="Calibri" w:hAnsi="Calibri" w:cs="Arial"/>
          <w:sz w:val="18"/>
          <w:szCs w:val="18"/>
          <w:lang w:eastAsia="en-GB" w:bidi="en-GB"/>
        </w:rPr>
        <w:t xml:space="preserve"> which was planned for FY20.</w:t>
      </w:r>
    </w:p>
    <w:p w14:paraId="23E78839" w14:textId="50539A21" w:rsidR="003C7BC3" w:rsidRPr="003C7BC3" w:rsidRDefault="003C7BC3" w:rsidP="00B52070">
      <w:pPr>
        <w:widowControl w:val="0"/>
        <w:autoSpaceDE w:val="0"/>
        <w:autoSpaceDN w:val="0"/>
        <w:spacing w:after="120" w:line="240" w:lineRule="auto"/>
        <w:jc w:val="both"/>
        <w:rPr>
          <w:rFonts w:ascii="Calibri" w:eastAsia="Calibri" w:hAnsi="Calibri" w:cs="Calibri"/>
          <w:sz w:val="18"/>
          <w:szCs w:val="18"/>
          <w:lang w:eastAsia="en-GB" w:bidi="en-GB"/>
        </w:rPr>
      </w:pPr>
      <w:r w:rsidRPr="003C7BC3">
        <w:rPr>
          <w:rFonts w:ascii="Calibri" w:eastAsia="Calibri" w:hAnsi="Calibri" w:cs="Arial"/>
          <w:sz w:val="18"/>
          <w:szCs w:val="18"/>
          <w:lang w:eastAsia="en-GB" w:bidi="en-GB"/>
        </w:rPr>
        <w:t xml:space="preserve">The Group’s capital allocation model has ensured a prudent financial profile for the business and a strong foundation from which to respond to the challenges </w:t>
      </w:r>
      <w:r w:rsidR="005B3245">
        <w:rPr>
          <w:rFonts w:ascii="Calibri" w:eastAsia="Calibri" w:hAnsi="Calibri" w:cs="Arial"/>
          <w:sz w:val="18"/>
          <w:szCs w:val="18"/>
          <w:lang w:eastAsia="en-GB" w:bidi="en-GB"/>
        </w:rPr>
        <w:t>presented</w:t>
      </w:r>
      <w:r w:rsidR="005B3245" w:rsidRPr="003C7BC3">
        <w:rPr>
          <w:rFonts w:ascii="Calibri" w:eastAsia="Calibri" w:hAnsi="Calibri" w:cs="Arial"/>
          <w:sz w:val="18"/>
          <w:szCs w:val="18"/>
          <w:lang w:eastAsia="en-GB" w:bidi="en-GB"/>
        </w:rPr>
        <w:t xml:space="preserve"> </w:t>
      </w:r>
      <w:r w:rsidRPr="003C7BC3">
        <w:rPr>
          <w:rFonts w:ascii="Calibri" w:eastAsia="Calibri" w:hAnsi="Calibri" w:cs="Arial"/>
          <w:sz w:val="18"/>
          <w:szCs w:val="18"/>
          <w:lang w:eastAsia="en-GB" w:bidi="en-GB"/>
        </w:rPr>
        <w:t xml:space="preserve">by the COVID-19 outbreak. </w:t>
      </w:r>
    </w:p>
    <w:p w14:paraId="3181A720" w14:textId="324CCBEA" w:rsidR="003C7BC3" w:rsidRPr="003C7BC3" w:rsidRDefault="003C7BC3" w:rsidP="005B3BEE">
      <w:pPr>
        <w:pStyle w:val="SectionH3"/>
      </w:pPr>
      <w:r w:rsidRPr="003C7BC3">
        <w:t>Performance</w:t>
      </w:r>
    </w:p>
    <w:p w14:paraId="3EFFF832" w14:textId="00028B78" w:rsidR="003C7BC3" w:rsidRPr="003C7BC3" w:rsidRDefault="00B71AB8" w:rsidP="005B3BEE">
      <w:pPr>
        <w:widowControl w:val="0"/>
        <w:autoSpaceDE w:val="0"/>
        <w:autoSpaceDN w:val="0"/>
        <w:adjustRightInd w:val="0"/>
        <w:spacing w:after="120" w:line="240" w:lineRule="auto"/>
        <w:jc w:val="both"/>
        <w:rPr>
          <w:rFonts w:ascii="Calibri" w:eastAsia="Calibri" w:hAnsi="Calibri" w:cs="Calibri"/>
          <w:sz w:val="18"/>
          <w:szCs w:val="18"/>
          <w:lang w:eastAsia="en-GB" w:bidi="en-GB"/>
        </w:rPr>
      </w:pPr>
      <w:r>
        <w:rPr>
          <w:rFonts w:ascii="Calibri" w:eastAsia="Calibri" w:hAnsi="Calibri" w:cs="Calibri"/>
          <w:sz w:val="18"/>
          <w:szCs w:val="18"/>
          <w:lang w:eastAsia="en-GB" w:bidi="en-GB"/>
        </w:rPr>
        <w:t>Free Cash Flow was a</w:t>
      </w:r>
      <w:r w:rsidR="00F601FE">
        <w:rPr>
          <w:rFonts w:ascii="Calibri" w:eastAsia="Calibri" w:hAnsi="Calibri" w:cs="Calibri"/>
          <w:sz w:val="18"/>
          <w:szCs w:val="18"/>
          <w:lang w:eastAsia="en-GB" w:bidi="en-GB"/>
        </w:rPr>
        <w:t xml:space="preserve"> modest</w:t>
      </w:r>
      <w:r>
        <w:rPr>
          <w:rFonts w:ascii="Calibri" w:eastAsia="Calibri" w:hAnsi="Calibri" w:cs="Calibri"/>
          <w:sz w:val="18"/>
          <w:szCs w:val="18"/>
          <w:lang w:eastAsia="en-GB" w:bidi="en-GB"/>
        </w:rPr>
        <w:t xml:space="preserve"> £</w:t>
      </w:r>
      <w:r w:rsidR="001737BC">
        <w:rPr>
          <w:rFonts w:ascii="Calibri" w:eastAsia="Calibri" w:hAnsi="Calibri" w:cs="Calibri"/>
          <w:sz w:val="18"/>
          <w:szCs w:val="18"/>
          <w:lang w:eastAsia="en-GB" w:bidi="en-GB"/>
        </w:rPr>
        <w:t>2.</w:t>
      </w:r>
      <w:r w:rsidR="00A72050">
        <w:rPr>
          <w:rFonts w:ascii="Calibri" w:eastAsia="Calibri" w:hAnsi="Calibri" w:cs="Calibri"/>
          <w:sz w:val="18"/>
          <w:szCs w:val="18"/>
          <w:lang w:eastAsia="en-GB" w:bidi="en-GB"/>
        </w:rPr>
        <w:t>6</w:t>
      </w:r>
      <w:r>
        <w:rPr>
          <w:rFonts w:ascii="Calibri" w:eastAsia="Calibri" w:hAnsi="Calibri" w:cs="Calibri"/>
          <w:sz w:val="18"/>
          <w:szCs w:val="18"/>
          <w:lang w:eastAsia="en-GB" w:bidi="en-GB"/>
        </w:rPr>
        <w:t>m in</w:t>
      </w:r>
      <w:r w:rsidR="003C7BC3" w:rsidRPr="003C7BC3">
        <w:rPr>
          <w:rFonts w:ascii="Calibri" w:eastAsia="Calibri" w:hAnsi="Calibri" w:cs="Calibri"/>
          <w:sz w:val="18"/>
          <w:szCs w:val="18"/>
          <w:lang w:eastAsia="en-GB" w:bidi="en-GB"/>
        </w:rPr>
        <w:t>flow in H1 20</w:t>
      </w:r>
      <w:r w:rsidR="00472A6F">
        <w:rPr>
          <w:rFonts w:ascii="Calibri" w:eastAsia="Calibri" w:hAnsi="Calibri" w:cs="Calibri"/>
          <w:sz w:val="18"/>
          <w:szCs w:val="18"/>
          <w:lang w:eastAsia="en-GB" w:bidi="en-GB"/>
        </w:rPr>
        <w:t xml:space="preserve"> compared with an outflow of £19.4m in H</w:t>
      </w:r>
      <w:r w:rsidR="00CB2AF1">
        <w:rPr>
          <w:rFonts w:ascii="Calibri" w:eastAsia="Calibri" w:hAnsi="Calibri" w:cs="Calibri"/>
          <w:sz w:val="18"/>
          <w:szCs w:val="18"/>
          <w:lang w:eastAsia="en-GB" w:bidi="en-GB"/>
        </w:rPr>
        <w:t>1</w:t>
      </w:r>
      <w:r w:rsidR="00472A6F">
        <w:rPr>
          <w:rFonts w:ascii="Calibri" w:eastAsia="Calibri" w:hAnsi="Calibri" w:cs="Calibri"/>
          <w:sz w:val="18"/>
          <w:szCs w:val="18"/>
          <w:lang w:eastAsia="en-GB" w:bidi="en-GB"/>
        </w:rPr>
        <w:t xml:space="preserve"> 19 which included the disposal of the US business. </w:t>
      </w:r>
      <w:r w:rsidR="0004743B">
        <w:rPr>
          <w:rFonts w:ascii="Calibri" w:eastAsia="Calibri" w:hAnsi="Calibri" w:cs="Calibri"/>
          <w:sz w:val="18"/>
          <w:szCs w:val="18"/>
          <w:lang w:eastAsia="en-GB" w:bidi="en-GB"/>
        </w:rPr>
        <w:t xml:space="preserve">The improvement </w:t>
      </w:r>
      <w:r w:rsidR="00CB2AF1">
        <w:rPr>
          <w:rFonts w:ascii="Calibri" w:eastAsia="Calibri" w:hAnsi="Calibri" w:cs="Calibri"/>
          <w:sz w:val="18"/>
          <w:szCs w:val="18"/>
          <w:lang w:eastAsia="en-GB" w:bidi="en-GB"/>
        </w:rPr>
        <w:t xml:space="preserve">was </w:t>
      </w:r>
      <w:r w:rsidR="0004743B" w:rsidRPr="00D1572A">
        <w:rPr>
          <w:rFonts w:ascii="Calibri" w:eastAsia="Calibri" w:hAnsi="Calibri" w:cs="Calibri"/>
          <w:sz w:val="18"/>
          <w:szCs w:val="18"/>
          <w:lang w:eastAsia="en-GB" w:bidi="en-GB"/>
        </w:rPr>
        <w:t xml:space="preserve">driven by lower working capital outflows, </w:t>
      </w:r>
      <w:r w:rsidR="0004743B">
        <w:rPr>
          <w:rFonts w:ascii="Calibri" w:eastAsia="Calibri" w:hAnsi="Calibri" w:cs="Calibri"/>
          <w:sz w:val="18"/>
          <w:szCs w:val="18"/>
          <w:lang w:eastAsia="en-GB" w:bidi="en-GB"/>
        </w:rPr>
        <w:t xml:space="preserve">a </w:t>
      </w:r>
      <w:r w:rsidR="0004743B" w:rsidRPr="00D1572A">
        <w:rPr>
          <w:rFonts w:ascii="Calibri" w:eastAsia="Calibri" w:hAnsi="Calibri" w:cs="Calibri"/>
          <w:sz w:val="18"/>
          <w:szCs w:val="18"/>
          <w:lang w:eastAsia="en-GB" w:bidi="en-GB"/>
        </w:rPr>
        <w:t>decrease in exceptional cash flows</w:t>
      </w:r>
      <w:r w:rsidR="0004743B">
        <w:rPr>
          <w:rFonts w:ascii="Calibri" w:eastAsia="Calibri" w:hAnsi="Calibri" w:cs="Calibri"/>
          <w:sz w:val="18"/>
          <w:szCs w:val="18"/>
          <w:lang w:eastAsia="en-GB" w:bidi="en-GB"/>
        </w:rPr>
        <w:t>, and the non-recurrence of cash outflows associated with discontinued operations</w:t>
      </w:r>
      <w:r w:rsidR="0004743B" w:rsidRPr="00D1572A">
        <w:rPr>
          <w:rFonts w:ascii="Calibri" w:eastAsia="Calibri" w:hAnsi="Calibri" w:cs="Calibri"/>
          <w:sz w:val="18"/>
          <w:szCs w:val="18"/>
          <w:lang w:eastAsia="en-GB" w:bidi="en-GB"/>
        </w:rPr>
        <w:t>.</w:t>
      </w:r>
      <w:r w:rsidR="0004743B">
        <w:rPr>
          <w:rFonts w:ascii="Calibri" w:eastAsia="Calibri" w:hAnsi="Calibri" w:cs="Calibri"/>
          <w:sz w:val="18"/>
          <w:szCs w:val="18"/>
          <w:lang w:eastAsia="en-GB" w:bidi="en-GB"/>
        </w:rPr>
        <w:tab/>
      </w:r>
      <w:r w:rsidR="003C7BC3" w:rsidRPr="003C7BC3">
        <w:rPr>
          <w:rFonts w:ascii="Calibri" w:eastAsia="Calibri" w:hAnsi="Calibri" w:cs="Calibri"/>
          <w:sz w:val="18"/>
          <w:szCs w:val="18"/>
          <w:lang w:eastAsia="en-GB" w:bidi="en-GB"/>
        </w:rPr>
        <w:t xml:space="preserve"> </w:t>
      </w:r>
    </w:p>
    <w:p w14:paraId="6FEEA3E5" w14:textId="1C82268F" w:rsidR="003C7BC3" w:rsidRPr="003C7BC3" w:rsidRDefault="005E778C" w:rsidP="005B3BEE">
      <w:pPr>
        <w:widowControl w:val="0"/>
        <w:autoSpaceDE w:val="0"/>
        <w:autoSpaceDN w:val="0"/>
        <w:spacing w:after="120" w:line="240" w:lineRule="auto"/>
        <w:jc w:val="both"/>
        <w:rPr>
          <w:rFonts w:ascii="Calibri" w:eastAsia="Calibri" w:hAnsi="Calibri" w:cs="Calibri"/>
          <w:sz w:val="18"/>
          <w:szCs w:val="18"/>
          <w:lang w:eastAsia="en-GB" w:bidi="en-GB"/>
        </w:rPr>
      </w:pPr>
      <w:r>
        <w:rPr>
          <w:rFonts w:ascii="Calibri" w:eastAsia="Calibri" w:hAnsi="Calibri" w:cs="Calibri"/>
          <w:sz w:val="18"/>
          <w:szCs w:val="18"/>
          <w:lang w:eastAsia="en-GB" w:bidi="en-GB"/>
        </w:rPr>
        <w:t>Net Debt increased to £374.4</w:t>
      </w:r>
      <w:r w:rsidR="003C7BC3" w:rsidRPr="003C7BC3">
        <w:rPr>
          <w:rFonts w:ascii="Calibri" w:eastAsia="Calibri" w:hAnsi="Calibri" w:cs="Calibri"/>
          <w:sz w:val="18"/>
          <w:szCs w:val="18"/>
          <w:lang w:eastAsia="en-GB" w:bidi="en-GB"/>
        </w:rPr>
        <w:t>m at the end of H1 20. This included the impact of IFRS</w:t>
      </w:r>
      <w:r w:rsidR="00E36638">
        <w:rPr>
          <w:rFonts w:ascii="Calibri" w:eastAsia="Calibri" w:hAnsi="Calibri" w:cs="Calibri"/>
          <w:sz w:val="18"/>
          <w:szCs w:val="18"/>
          <w:lang w:eastAsia="en-GB" w:bidi="en-GB"/>
        </w:rPr>
        <w:t xml:space="preserve"> </w:t>
      </w:r>
      <w:r w:rsidR="003C7BC3" w:rsidRPr="003C7BC3">
        <w:rPr>
          <w:rFonts w:ascii="Calibri" w:eastAsia="Calibri" w:hAnsi="Calibri" w:cs="Calibri"/>
          <w:sz w:val="18"/>
          <w:szCs w:val="18"/>
          <w:lang w:eastAsia="en-GB" w:bidi="en-GB"/>
        </w:rPr>
        <w:t>16</w:t>
      </w:r>
      <w:r w:rsidR="003669E7">
        <w:rPr>
          <w:rFonts w:ascii="Calibri" w:eastAsia="Calibri" w:hAnsi="Calibri" w:cs="Calibri"/>
          <w:sz w:val="18"/>
          <w:szCs w:val="18"/>
          <w:lang w:eastAsia="en-GB" w:bidi="en-GB"/>
        </w:rPr>
        <w:t xml:space="preserve"> lease obligations of £63.3m. </w:t>
      </w:r>
      <w:r w:rsidR="003C7BC3" w:rsidRPr="003C7BC3">
        <w:rPr>
          <w:rFonts w:ascii="Calibri" w:eastAsia="Calibri" w:hAnsi="Calibri" w:cs="Calibri"/>
          <w:sz w:val="18"/>
          <w:szCs w:val="18"/>
          <w:lang w:eastAsia="en-GB" w:bidi="en-GB"/>
        </w:rPr>
        <w:t xml:space="preserve">Net Debt (excluding </w:t>
      </w:r>
      <w:r w:rsidR="003C7BC3" w:rsidRPr="003C7BC3">
        <w:rPr>
          <w:rFonts w:ascii="Calibri" w:eastAsia="Calibri" w:hAnsi="Calibri" w:cs="Arial"/>
          <w:sz w:val="18"/>
          <w:szCs w:val="18"/>
          <w:lang w:val="en-US" w:eastAsia="en-GB" w:bidi="en-GB"/>
        </w:rPr>
        <w:t>lease liabilities</w:t>
      </w:r>
      <w:r w:rsidR="003C7BC3" w:rsidRPr="003C7BC3">
        <w:rPr>
          <w:rFonts w:ascii="Calibri" w:eastAsia="Calibri" w:hAnsi="Calibri" w:cs="Calibri"/>
          <w:sz w:val="18"/>
          <w:szCs w:val="18"/>
          <w:lang w:eastAsia="en-GB" w:bidi="en-GB"/>
        </w:rPr>
        <w:t>) increased to £311.1m from £284.1m at the end of H1 19 and £288.5m at the end of FY19. The Group’s Net Debt:</w:t>
      </w:r>
      <w:r w:rsidR="00CB2AF1">
        <w:rPr>
          <w:rFonts w:ascii="Calibri" w:eastAsia="Calibri" w:hAnsi="Calibri" w:cs="Calibri"/>
          <w:sz w:val="18"/>
          <w:szCs w:val="18"/>
          <w:lang w:eastAsia="en-GB" w:bidi="en-GB"/>
        </w:rPr>
        <w:t xml:space="preserve"> </w:t>
      </w:r>
      <w:r w:rsidR="003C7BC3" w:rsidRPr="003C7BC3">
        <w:rPr>
          <w:rFonts w:ascii="Calibri" w:eastAsia="Calibri" w:hAnsi="Calibri" w:cs="Calibri"/>
          <w:sz w:val="18"/>
          <w:szCs w:val="18"/>
          <w:lang w:eastAsia="en-GB" w:bidi="en-GB"/>
        </w:rPr>
        <w:t xml:space="preserve">EBITDA leverage as measured under financing agreements was </w:t>
      </w:r>
      <w:r w:rsidR="001737BC">
        <w:rPr>
          <w:rFonts w:ascii="Calibri" w:eastAsia="Calibri" w:hAnsi="Calibri" w:cs="Calibri"/>
          <w:sz w:val="18"/>
          <w:szCs w:val="18"/>
          <w:lang w:eastAsia="en-GB" w:bidi="en-GB"/>
        </w:rPr>
        <w:t>2.1</w:t>
      </w:r>
      <w:r w:rsidR="003C7BC3" w:rsidRPr="003C7BC3">
        <w:rPr>
          <w:rFonts w:ascii="Calibri" w:eastAsia="Calibri" w:hAnsi="Calibri" w:cs="Calibri"/>
          <w:sz w:val="18"/>
          <w:szCs w:val="18"/>
          <w:lang w:eastAsia="en-GB" w:bidi="en-GB"/>
        </w:rPr>
        <w:t xml:space="preserve">x at </w:t>
      </w:r>
      <w:r w:rsidR="001737BC">
        <w:rPr>
          <w:rFonts w:ascii="Calibri" w:eastAsia="Calibri" w:hAnsi="Calibri" w:cs="Calibri"/>
          <w:sz w:val="18"/>
          <w:szCs w:val="18"/>
          <w:lang w:eastAsia="en-GB" w:bidi="en-GB"/>
        </w:rPr>
        <w:t>period</w:t>
      </w:r>
      <w:r w:rsidR="003C7BC3" w:rsidRPr="003C7BC3">
        <w:rPr>
          <w:rFonts w:ascii="Calibri" w:eastAsia="Calibri" w:hAnsi="Calibri" w:cs="Calibri"/>
          <w:sz w:val="18"/>
          <w:szCs w:val="18"/>
          <w:lang w:eastAsia="en-GB" w:bidi="en-GB"/>
        </w:rPr>
        <w:t xml:space="preserve"> end, compared to 1.9x at the end of March 2019 and 1.8x at the end of September 2019. </w:t>
      </w:r>
      <w:r w:rsidR="003669E7">
        <w:rPr>
          <w:rFonts w:ascii="Calibri" w:eastAsia="Calibri" w:hAnsi="Calibri" w:cs="Calibri"/>
          <w:sz w:val="18"/>
          <w:szCs w:val="18"/>
          <w:lang w:eastAsia="en-GB" w:bidi="en-GB"/>
        </w:rPr>
        <w:t>Net Debt:</w:t>
      </w:r>
      <w:r w:rsidR="00CB2AF1">
        <w:rPr>
          <w:rFonts w:ascii="Calibri" w:eastAsia="Calibri" w:hAnsi="Calibri" w:cs="Calibri"/>
          <w:sz w:val="18"/>
          <w:szCs w:val="18"/>
          <w:lang w:eastAsia="en-GB" w:bidi="en-GB"/>
        </w:rPr>
        <w:t xml:space="preserve"> </w:t>
      </w:r>
      <w:r w:rsidR="003669E7">
        <w:rPr>
          <w:rFonts w:ascii="Calibri" w:eastAsia="Calibri" w:hAnsi="Calibri" w:cs="Calibri"/>
          <w:sz w:val="18"/>
          <w:szCs w:val="18"/>
          <w:lang w:eastAsia="en-GB" w:bidi="en-GB"/>
        </w:rPr>
        <w:t>EBITDA as measured under financing agreements is calculated excluding the impact of IFRS</w:t>
      </w:r>
      <w:r w:rsidR="00B246A1">
        <w:rPr>
          <w:rFonts w:ascii="Calibri" w:eastAsia="Calibri" w:hAnsi="Calibri" w:cs="Calibri"/>
          <w:sz w:val="18"/>
          <w:szCs w:val="18"/>
          <w:lang w:eastAsia="en-GB" w:bidi="en-GB"/>
        </w:rPr>
        <w:t xml:space="preserve"> </w:t>
      </w:r>
      <w:r w:rsidR="003669E7">
        <w:rPr>
          <w:rFonts w:ascii="Calibri" w:eastAsia="Calibri" w:hAnsi="Calibri" w:cs="Calibri"/>
          <w:sz w:val="18"/>
          <w:szCs w:val="18"/>
          <w:lang w:eastAsia="en-GB" w:bidi="en-GB"/>
        </w:rPr>
        <w:t>16.</w:t>
      </w:r>
    </w:p>
    <w:p w14:paraId="31127750" w14:textId="6F246EAE" w:rsidR="003C7BC3" w:rsidRPr="003C7BC3" w:rsidRDefault="005E778C" w:rsidP="005B3BEE">
      <w:pPr>
        <w:widowControl w:val="0"/>
        <w:autoSpaceDE w:val="0"/>
        <w:autoSpaceDN w:val="0"/>
        <w:spacing w:after="120" w:line="240" w:lineRule="auto"/>
        <w:jc w:val="both"/>
        <w:rPr>
          <w:rFonts w:ascii="Calibri" w:eastAsia="Calibri" w:hAnsi="Calibri" w:cs="Calibri"/>
          <w:sz w:val="18"/>
          <w:szCs w:val="18"/>
          <w:lang w:eastAsia="en-GB" w:bidi="en-GB"/>
        </w:rPr>
      </w:pPr>
      <w:r>
        <w:rPr>
          <w:rFonts w:ascii="Calibri" w:eastAsia="Calibri" w:hAnsi="Calibri" w:cs="Calibri"/>
          <w:sz w:val="18"/>
          <w:szCs w:val="18"/>
          <w:lang w:eastAsia="en-GB" w:bidi="en-GB"/>
        </w:rPr>
        <w:t>ROIC was 12.</w:t>
      </w:r>
      <w:r w:rsidR="00F601FE">
        <w:rPr>
          <w:rFonts w:ascii="Calibri" w:eastAsia="Calibri" w:hAnsi="Calibri" w:cs="Calibri"/>
          <w:sz w:val="18"/>
          <w:szCs w:val="18"/>
          <w:lang w:eastAsia="en-GB" w:bidi="en-GB"/>
        </w:rPr>
        <w:t>3</w:t>
      </w:r>
      <w:r w:rsidR="003C7BC3" w:rsidRPr="003C7BC3">
        <w:rPr>
          <w:rFonts w:ascii="Calibri" w:eastAsia="Calibri" w:hAnsi="Calibri" w:cs="Calibri"/>
          <w:sz w:val="18"/>
          <w:szCs w:val="18"/>
          <w:lang w:eastAsia="en-GB" w:bidi="en-GB"/>
        </w:rPr>
        <w:t xml:space="preserve">% for the 12 months ended 27 March 2020, compared to 14.6% for the 12 months ended 29 March 2019. The reduction was driven by increased investment over the last 12 months, in particular the acquisition of Freshtime, and also </w:t>
      </w:r>
      <w:r w:rsidR="00785EE7">
        <w:rPr>
          <w:rFonts w:ascii="Calibri" w:eastAsia="Calibri" w:hAnsi="Calibri" w:cs="Calibri"/>
          <w:sz w:val="18"/>
          <w:szCs w:val="18"/>
          <w:lang w:eastAsia="en-GB" w:bidi="en-GB"/>
        </w:rPr>
        <w:t>the impact of the recognition of leases on the Groups balance sheet under</w:t>
      </w:r>
      <w:r w:rsidR="003C7BC3" w:rsidRPr="003C7BC3">
        <w:rPr>
          <w:rFonts w:ascii="Calibri" w:eastAsia="Calibri" w:hAnsi="Calibri" w:cs="Calibri"/>
          <w:sz w:val="18"/>
          <w:szCs w:val="18"/>
          <w:lang w:eastAsia="en-GB" w:bidi="en-GB"/>
        </w:rPr>
        <w:t xml:space="preserve"> IFRS</w:t>
      </w:r>
      <w:r w:rsidR="00E36638">
        <w:rPr>
          <w:rFonts w:ascii="Calibri" w:eastAsia="Calibri" w:hAnsi="Calibri" w:cs="Calibri"/>
          <w:sz w:val="18"/>
          <w:szCs w:val="18"/>
          <w:lang w:eastAsia="en-GB" w:bidi="en-GB"/>
        </w:rPr>
        <w:t xml:space="preserve"> </w:t>
      </w:r>
      <w:r w:rsidR="003C7BC3" w:rsidRPr="003C7BC3">
        <w:rPr>
          <w:rFonts w:ascii="Calibri" w:eastAsia="Calibri" w:hAnsi="Calibri" w:cs="Calibri"/>
          <w:sz w:val="18"/>
          <w:szCs w:val="18"/>
          <w:lang w:eastAsia="en-GB" w:bidi="en-GB"/>
        </w:rPr>
        <w:t>16</w:t>
      </w:r>
      <w:r w:rsidR="00472A6F">
        <w:rPr>
          <w:rFonts w:ascii="Calibri" w:eastAsia="Calibri" w:hAnsi="Calibri" w:cs="Calibri"/>
          <w:sz w:val="18"/>
          <w:szCs w:val="18"/>
          <w:lang w:eastAsia="en-GB" w:bidi="en-GB"/>
        </w:rPr>
        <w:t>.</w:t>
      </w:r>
    </w:p>
    <w:p w14:paraId="11BBC5FA" w14:textId="77777777" w:rsidR="003C7BC3" w:rsidRPr="003C7BC3" w:rsidRDefault="003C7BC3" w:rsidP="005B3BEE">
      <w:pPr>
        <w:pStyle w:val="SectionH2"/>
        <w:rPr>
          <w:rFonts w:cs="Calibri"/>
          <w:sz w:val="18"/>
        </w:rPr>
      </w:pPr>
      <w:r w:rsidRPr="003C7BC3">
        <w:t xml:space="preserve">FINANCIAL REVIEW </w:t>
      </w:r>
      <w:r w:rsidRPr="003C7BC3">
        <w:rPr>
          <w:vertAlign w:val="superscript"/>
        </w:rPr>
        <w:t>1,2</w:t>
      </w:r>
    </w:p>
    <w:p w14:paraId="6BA6C93B" w14:textId="77777777" w:rsidR="004F5F1D" w:rsidRPr="008B4F3E" w:rsidRDefault="004F5F1D" w:rsidP="005B3BEE">
      <w:pPr>
        <w:pStyle w:val="SectionH3"/>
      </w:pPr>
      <w:r w:rsidRPr="008B4F3E">
        <w:t xml:space="preserve">Revenue and Operating Profit </w:t>
      </w:r>
    </w:p>
    <w:p w14:paraId="4CE1A735" w14:textId="045BABD1" w:rsidR="00D1572A" w:rsidRPr="00D1572A" w:rsidRDefault="00D1572A" w:rsidP="005B3BEE">
      <w:pPr>
        <w:widowControl w:val="0"/>
        <w:autoSpaceDE w:val="0"/>
        <w:autoSpaceDN w:val="0"/>
        <w:adjustRightInd w:val="0"/>
        <w:spacing w:after="120" w:line="240" w:lineRule="auto"/>
        <w:jc w:val="both"/>
        <w:rPr>
          <w:rFonts w:ascii="Calibri" w:eastAsia="Calibri" w:hAnsi="Calibri" w:cs="Calibri"/>
          <w:sz w:val="18"/>
          <w:szCs w:val="18"/>
          <w:lang w:eastAsia="en-GB" w:bidi="en-GB"/>
        </w:rPr>
      </w:pPr>
      <w:r w:rsidRPr="00D1572A">
        <w:rPr>
          <w:rFonts w:ascii="Calibri" w:eastAsia="Calibri" w:hAnsi="Calibri" w:cs="Calibri"/>
          <w:sz w:val="18"/>
          <w:szCs w:val="18"/>
          <w:lang w:eastAsia="en-GB" w:bidi="en-GB"/>
        </w:rPr>
        <w:t>Reported revenue in the period was £712.7m, an increase of 1.</w:t>
      </w:r>
      <w:r w:rsidR="0019701F">
        <w:rPr>
          <w:rFonts w:ascii="Calibri" w:eastAsia="Calibri" w:hAnsi="Calibri" w:cs="Calibri"/>
          <w:sz w:val="18"/>
          <w:szCs w:val="18"/>
          <w:lang w:eastAsia="en-GB" w:bidi="en-GB"/>
        </w:rPr>
        <w:t>6</w:t>
      </w:r>
      <w:r w:rsidRPr="00D1572A">
        <w:rPr>
          <w:rFonts w:ascii="Calibri" w:eastAsia="Calibri" w:hAnsi="Calibri" w:cs="Calibri"/>
          <w:sz w:val="18"/>
          <w:szCs w:val="18"/>
          <w:lang w:eastAsia="en-GB" w:bidi="en-GB"/>
        </w:rPr>
        <w:t xml:space="preserve">% compared to H1 </w:t>
      </w:r>
      <w:r w:rsidR="001C684B">
        <w:rPr>
          <w:rFonts w:ascii="Calibri" w:eastAsia="Calibri" w:hAnsi="Calibri" w:cs="Calibri"/>
          <w:sz w:val="18"/>
          <w:szCs w:val="18"/>
          <w:lang w:eastAsia="en-GB" w:bidi="en-GB"/>
        </w:rPr>
        <w:t>19</w:t>
      </w:r>
      <w:r w:rsidRPr="00D1572A">
        <w:rPr>
          <w:rFonts w:ascii="Calibri" w:eastAsia="Calibri" w:hAnsi="Calibri" w:cs="Calibri"/>
          <w:sz w:val="18"/>
          <w:szCs w:val="18"/>
          <w:lang w:eastAsia="en-GB" w:bidi="en-GB"/>
        </w:rPr>
        <w:t>, primarily reflecting the acquisition of Freshtime</w:t>
      </w:r>
      <w:r w:rsidR="00CB2AF1">
        <w:rPr>
          <w:rFonts w:ascii="Calibri" w:eastAsia="Calibri" w:hAnsi="Calibri" w:cs="Calibri"/>
          <w:sz w:val="18"/>
          <w:szCs w:val="18"/>
          <w:lang w:eastAsia="en-GB" w:bidi="en-GB"/>
        </w:rPr>
        <w:t xml:space="preserve"> in H2 20</w:t>
      </w:r>
      <w:r w:rsidRPr="00D1572A">
        <w:rPr>
          <w:rFonts w:ascii="Calibri" w:eastAsia="Calibri" w:hAnsi="Calibri" w:cs="Calibri"/>
          <w:sz w:val="18"/>
          <w:szCs w:val="18"/>
          <w:lang w:eastAsia="en-GB" w:bidi="en-GB"/>
        </w:rPr>
        <w:t xml:space="preserve"> and the exit of longer life ready meals manufacturing in H1 19. Pro Forma Revenue Growth was 0.1%. </w:t>
      </w:r>
    </w:p>
    <w:p w14:paraId="192E2640" w14:textId="40338F6D" w:rsidR="00D1572A" w:rsidRPr="00D1572A" w:rsidRDefault="00D1572A" w:rsidP="005B3BEE">
      <w:pPr>
        <w:widowControl w:val="0"/>
        <w:autoSpaceDE w:val="0"/>
        <w:autoSpaceDN w:val="0"/>
        <w:adjustRightInd w:val="0"/>
        <w:spacing w:after="120" w:line="240" w:lineRule="auto"/>
        <w:jc w:val="both"/>
        <w:rPr>
          <w:rFonts w:ascii="Calibri" w:eastAsia="Calibri" w:hAnsi="Calibri" w:cs="Calibri"/>
          <w:sz w:val="18"/>
          <w:szCs w:val="18"/>
          <w:lang w:eastAsia="en-GB" w:bidi="en-GB"/>
        </w:rPr>
      </w:pPr>
      <w:r w:rsidRPr="00D1572A">
        <w:rPr>
          <w:rFonts w:ascii="Calibri" w:eastAsia="Calibri" w:hAnsi="Calibri" w:cs="Calibri"/>
          <w:sz w:val="18"/>
          <w:szCs w:val="18"/>
          <w:lang w:eastAsia="en-GB" w:bidi="en-GB"/>
        </w:rPr>
        <w:t>Group Operating Profit declined by £5.7m to £35.6m primarily driven by deterioration in profitability, as revenue from food to go categories declined in th</w:t>
      </w:r>
      <w:r w:rsidR="00F97E8A">
        <w:rPr>
          <w:rFonts w:ascii="Calibri" w:eastAsia="Calibri" w:hAnsi="Calibri" w:cs="Calibri"/>
          <w:sz w:val="18"/>
          <w:szCs w:val="18"/>
          <w:lang w:eastAsia="en-GB" w:bidi="en-GB"/>
        </w:rPr>
        <w:t>e</w:t>
      </w:r>
      <w:r w:rsidRPr="00D1572A">
        <w:rPr>
          <w:rFonts w:ascii="Calibri" w:eastAsia="Calibri" w:hAnsi="Calibri" w:cs="Calibri"/>
          <w:sz w:val="18"/>
          <w:szCs w:val="18"/>
          <w:lang w:eastAsia="en-GB" w:bidi="en-GB"/>
        </w:rPr>
        <w:t xml:space="preserve"> second half of March </w:t>
      </w:r>
      <w:r w:rsidR="00CB2AF1">
        <w:rPr>
          <w:rFonts w:ascii="Calibri" w:eastAsia="Calibri" w:hAnsi="Calibri" w:cs="Calibri"/>
          <w:sz w:val="18"/>
          <w:szCs w:val="18"/>
          <w:lang w:eastAsia="en-GB" w:bidi="en-GB"/>
        </w:rPr>
        <w:t>due to the impact of</w:t>
      </w:r>
      <w:r w:rsidRPr="00D1572A">
        <w:rPr>
          <w:rFonts w:ascii="Calibri" w:eastAsia="Calibri" w:hAnsi="Calibri" w:cs="Calibri"/>
          <w:sz w:val="18"/>
          <w:szCs w:val="18"/>
          <w:lang w:eastAsia="en-GB" w:bidi="en-GB"/>
        </w:rPr>
        <w:t xml:space="preserve"> COVID-19. Adjusted Operating Profit of £38.3m</w:t>
      </w:r>
      <w:r w:rsidR="00CB2AF1">
        <w:rPr>
          <w:rFonts w:ascii="Calibri" w:eastAsia="Calibri" w:hAnsi="Calibri" w:cs="Calibri"/>
          <w:sz w:val="18"/>
          <w:szCs w:val="18"/>
          <w:lang w:eastAsia="en-GB" w:bidi="en-GB"/>
        </w:rPr>
        <w:t xml:space="preserve"> </w:t>
      </w:r>
      <w:r w:rsidRPr="00D1572A">
        <w:rPr>
          <w:rFonts w:ascii="Calibri" w:eastAsia="Calibri" w:hAnsi="Calibri" w:cs="Calibri"/>
          <w:sz w:val="18"/>
          <w:szCs w:val="18"/>
          <w:lang w:eastAsia="en-GB" w:bidi="en-GB"/>
        </w:rPr>
        <w:t>decline</w:t>
      </w:r>
      <w:r w:rsidR="00CB2AF1">
        <w:rPr>
          <w:rFonts w:ascii="Calibri" w:eastAsia="Calibri" w:hAnsi="Calibri" w:cs="Calibri"/>
          <w:sz w:val="18"/>
          <w:szCs w:val="18"/>
          <w:lang w:eastAsia="en-GB" w:bidi="en-GB"/>
        </w:rPr>
        <w:t>d</w:t>
      </w:r>
      <w:r w:rsidRPr="00D1572A">
        <w:rPr>
          <w:rFonts w:ascii="Calibri" w:eastAsia="Calibri" w:hAnsi="Calibri" w:cs="Calibri"/>
          <w:sz w:val="18"/>
          <w:szCs w:val="18"/>
          <w:lang w:eastAsia="en-GB" w:bidi="en-GB"/>
        </w:rPr>
        <w:t xml:space="preserve"> £6.4m on the prior period, also driven by the impact of trading performance in late March</w:t>
      </w:r>
      <w:r w:rsidR="003669E7">
        <w:rPr>
          <w:rFonts w:ascii="Calibri" w:eastAsia="Calibri" w:hAnsi="Calibri" w:cs="Calibri"/>
          <w:sz w:val="18"/>
          <w:szCs w:val="18"/>
          <w:lang w:eastAsia="en-GB" w:bidi="en-GB"/>
        </w:rPr>
        <w:t xml:space="preserve"> and includes the impact of IFRS</w:t>
      </w:r>
      <w:r w:rsidR="00B246A1">
        <w:rPr>
          <w:rFonts w:ascii="Calibri" w:eastAsia="Calibri" w:hAnsi="Calibri" w:cs="Calibri"/>
          <w:sz w:val="18"/>
          <w:szCs w:val="18"/>
          <w:lang w:eastAsia="en-GB" w:bidi="en-GB"/>
        </w:rPr>
        <w:t xml:space="preserve"> </w:t>
      </w:r>
      <w:r w:rsidR="003669E7">
        <w:rPr>
          <w:rFonts w:ascii="Calibri" w:eastAsia="Calibri" w:hAnsi="Calibri" w:cs="Calibri"/>
          <w:sz w:val="18"/>
          <w:szCs w:val="18"/>
          <w:lang w:eastAsia="en-GB" w:bidi="en-GB"/>
        </w:rPr>
        <w:t>16</w:t>
      </w:r>
      <w:r w:rsidRPr="00D1572A">
        <w:rPr>
          <w:rFonts w:ascii="Calibri" w:eastAsia="Calibri" w:hAnsi="Calibri" w:cs="Calibri"/>
          <w:sz w:val="18"/>
          <w:szCs w:val="18"/>
          <w:lang w:eastAsia="en-GB" w:bidi="en-GB"/>
        </w:rPr>
        <w:t xml:space="preserve">. Adjusted Operating Margin was 5.4%, 100 basis points lower than the prior period. </w:t>
      </w:r>
    </w:p>
    <w:p w14:paraId="1A7E30DB" w14:textId="77777777" w:rsidR="004F5F1D" w:rsidRPr="004F5F1D" w:rsidRDefault="004F5F1D" w:rsidP="005B3BEE">
      <w:pPr>
        <w:pStyle w:val="SectionH3"/>
      </w:pPr>
      <w:r w:rsidRPr="004F5F1D">
        <w:t xml:space="preserve">Net finance costs </w:t>
      </w:r>
    </w:p>
    <w:p w14:paraId="7624FF99" w14:textId="77777777" w:rsidR="004F5F1D" w:rsidRPr="004F5F1D" w:rsidRDefault="004F5F1D" w:rsidP="008B4F3E">
      <w:pPr>
        <w:widowControl w:val="0"/>
        <w:autoSpaceDE w:val="0"/>
        <w:autoSpaceDN w:val="0"/>
        <w:spacing w:after="120" w:line="240" w:lineRule="auto"/>
        <w:jc w:val="both"/>
        <w:rPr>
          <w:rFonts w:ascii="Calibri" w:eastAsia="Calibri" w:hAnsi="Calibri" w:cs="Arial"/>
          <w:sz w:val="18"/>
          <w:szCs w:val="18"/>
          <w:lang w:eastAsia="en-GB" w:bidi="en-GB"/>
        </w:rPr>
      </w:pPr>
      <w:r w:rsidRPr="004F5F1D">
        <w:rPr>
          <w:rFonts w:ascii="Calibri" w:eastAsia="Calibri" w:hAnsi="Calibri" w:cs="Arial"/>
          <w:sz w:val="18"/>
          <w:szCs w:val="18"/>
          <w:lang w:eastAsia="en-GB" w:bidi="en-GB"/>
        </w:rPr>
        <w:t xml:space="preserve">The Group’s net bank interest payable was £7.2m in H1 20, a decrease of £0.5m versus H1 19. The decrease was driven by </w:t>
      </w:r>
      <w:r w:rsidR="00674A3B">
        <w:rPr>
          <w:rFonts w:ascii="Calibri" w:eastAsia="Calibri" w:hAnsi="Calibri" w:cs="Arial"/>
          <w:sz w:val="18"/>
          <w:szCs w:val="18"/>
          <w:lang w:eastAsia="en-GB" w:bidi="en-GB"/>
        </w:rPr>
        <w:t>closing out swaps in the prior period.</w:t>
      </w:r>
      <w:r w:rsidRPr="004F5F1D">
        <w:rPr>
          <w:rFonts w:ascii="Calibri" w:eastAsia="Calibri" w:hAnsi="Calibri" w:cs="Arial"/>
          <w:sz w:val="18"/>
          <w:szCs w:val="18"/>
          <w:lang w:eastAsia="en-GB" w:bidi="en-GB"/>
        </w:rPr>
        <w:t xml:space="preserve"> </w:t>
      </w:r>
    </w:p>
    <w:p w14:paraId="046E79B6" w14:textId="77777777" w:rsidR="004F5F1D" w:rsidRPr="004F5F1D" w:rsidRDefault="004F5F1D" w:rsidP="008B4F3E">
      <w:pPr>
        <w:widowControl w:val="0"/>
        <w:autoSpaceDE w:val="0"/>
        <w:autoSpaceDN w:val="0"/>
        <w:spacing w:after="120" w:line="240" w:lineRule="auto"/>
        <w:jc w:val="both"/>
        <w:rPr>
          <w:rFonts w:ascii="Calibri" w:eastAsia="Calibri" w:hAnsi="Calibri" w:cs="Arial"/>
          <w:sz w:val="18"/>
          <w:szCs w:val="18"/>
          <w:lang w:eastAsia="en-GB" w:bidi="en-GB"/>
        </w:rPr>
      </w:pPr>
      <w:r w:rsidRPr="004F5F1D">
        <w:rPr>
          <w:rFonts w:ascii="Calibri" w:eastAsia="Calibri" w:hAnsi="Calibri" w:cs="Arial"/>
          <w:sz w:val="18"/>
          <w:szCs w:val="18"/>
          <w:lang w:eastAsia="en-GB" w:bidi="en-GB"/>
        </w:rPr>
        <w:t>The Group’s non-cash finance charge in H1 20 was £1.5m (H1 19: £3.1m). The Group recognised a £0.5m interest charge relating to the unwind</w:t>
      </w:r>
      <w:r w:rsidR="00821A3B">
        <w:rPr>
          <w:rFonts w:ascii="Calibri" w:eastAsia="Calibri" w:hAnsi="Calibri" w:cs="Arial"/>
          <w:sz w:val="18"/>
          <w:szCs w:val="18"/>
          <w:lang w:eastAsia="en-GB" w:bidi="en-GB"/>
        </w:rPr>
        <w:t>ing</w:t>
      </w:r>
      <w:r w:rsidRPr="004F5F1D">
        <w:rPr>
          <w:rFonts w:ascii="Calibri" w:eastAsia="Calibri" w:hAnsi="Calibri" w:cs="Arial"/>
          <w:sz w:val="18"/>
          <w:szCs w:val="18"/>
          <w:lang w:eastAsia="en-GB" w:bidi="en-GB"/>
        </w:rPr>
        <w:t xml:space="preserve"> of the IFRS 16 lease liability in the period. The change in the fair value of derivatives and related debt adjustments in the period netted to nil (H1 19 charge: £1.8m). The non-cash pension financing charge of £1.0m was £0.3m lower than the H1 </w:t>
      </w:r>
      <w:r w:rsidR="005E5BD2">
        <w:rPr>
          <w:rFonts w:ascii="Calibri" w:eastAsia="Calibri" w:hAnsi="Calibri" w:cs="Arial"/>
          <w:sz w:val="18"/>
          <w:szCs w:val="18"/>
          <w:lang w:eastAsia="en-GB" w:bidi="en-GB"/>
        </w:rPr>
        <w:t>19</w:t>
      </w:r>
      <w:r w:rsidRPr="004F5F1D">
        <w:rPr>
          <w:rFonts w:ascii="Calibri" w:eastAsia="Calibri" w:hAnsi="Calibri" w:cs="Arial"/>
          <w:sz w:val="18"/>
          <w:szCs w:val="18"/>
          <w:lang w:eastAsia="en-GB" w:bidi="en-GB"/>
        </w:rPr>
        <w:t xml:space="preserve"> charge of £1.3m. </w:t>
      </w:r>
    </w:p>
    <w:p w14:paraId="1D3FE89A" w14:textId="77777777" w:rsidR="004F5F1D" w:rsidRPr="004F5F1D" w:rsidRDefault="004F5F1D" w:rsidP="005B3BEE">
      <w:pPr>
        <w:pStyle w:val="SectionH3"/>
      </w:pPr>
      <w:r w:rsidRPr="004F5F1D">
        <w:t>Profit before taxation</w:t>
      </w:r>
    </w:p>
    <w:p w14:paraId="37CB193D" w14:textId="0BB9798D" w:rsidR="00D1572A" w:rsidRPr="00D1572A" w:rsidRDefault="00D1572A" w:rsidP="008B4F3E">
      <w:pPr>
        <w:spacing w:after="120"/>
        <w:jc w:val="both"/>
        <w:rPr>
          <w:rFonts w:ascii="Calibri" w:eastAsia="Calibri" w:hAnsi="Calibri" w:cs="Calibri"/>
          <w:sz w:val="18"/>
          <w:szCs w:val="18"/>
          <w:lang w:eastAsia="en-GB" w:bidi="en-GB"/>
        </w:rPr>
      </w:pPr>
      <w:r w:rsidRPr="00D1572A">
        <w:rPr>
          <w:rFonts w:ascii="Calibri" w:eastAsia="Calibri" w:hAnsi="Calibri" w:cs="Calibri"/>
          <w:sz w:val="18"/>
          <w:szCs w:val="18"/>
          <w:lang w:eastAsia="en-GB" w:bidi="en-GB"/>
        </w:rPr>
        <w:t>The Group’s Profit before taxation increased to £27.3m in H1 20 from £5.7m in H1 19, as higher finance costs in the prior period, which includes an exceptional finance charge, offsets the decline in Group Operating Profit in the current period. Adjusted Profit Before Tax in the period was £</w:t>
      </w:r>
      <w:r w:rsidR="005E5BD2">
        <w:rPr>
          <w:rFonts w:ascii="Calibri" w:eastAsia="Calibri" w:hAnsi="Calibri" w:cs="Calibri"/>
          <w:sz w:val="18"/>
          <w:szCs w:val="18"/>
          <w:lang w:eastAsia="en-GB" w:bidi="en-GB"/>
        </w:rPr>
        <w:t>31.1</w:t>
      </w:r>
      <w:r w:rsidRPr="00D1572A">
        <w:rPr>
          <w:rFonts w:ascii="Calibri" w:eastAsia="Calibri" w:hAnsi="Calibri" w:cs="Calibri"/>
          <w:sz w:val="18"/>
          <w:szCs w:val="18"/>
          <w:lang w:eastAsia="en-GB" w:bidi="en-GB"/>
        </w:rPr>
        <w:t>m</w:t>
      </w:r>
      <w:r w:rsidR="00AA0DC6">
        <w:rPr>
          <w:rFonts w:ascii="Calibri" w:eastAsia="Calibri" w:hAnsi="Calibri" w:cs="Calibri"/>
          <w:sz w:val="18"/>
          <w:szCs w:val="18"/>
          <w:lang w:eastAsia="en-GB" w:bidi="en-GB"/>
        </w:rPr>
        <w:t xml:space="preserve">, a decrease of £6.6m from </w:t>
      </w:r>
      <w:r w:rsidRPr="00D1572A">
        <w:rPr>
          <w:rFonts w:ascii="Calibri" w:eastAsia="Calibri" w:hAnsi="Calibri" w:cs="Calibri"/>
          <w:sz w:val="18"/>
          <w:szCs w:val="18"/>
          <w:lang w:eastAsia="en-GB" w:bidi="en-GB"/>
        </w:rPr>
        <w:t>£3</w:t>
      </w:r>
      <w:r w:rsidR="005E5BD2">
        <w:rPr>
          <w:rFonts w:ascii="Calibri" w:eastAsia="Calibri" w:hAnsi="Calibri" w:cs="Calibri"/>
          <w:sz w:val="18"/>
          <w:szCs w:val="18"/>
          <w:lang w:eastAsia="en-GB" w:bidi="en-GB"/>
        </w:rPr>
        <w:t>7.7</w:t>
      </w:r>
      <w:r w:rsidRPr="00D1572A">
        <w:rPr>
          <w:rFonts w:ascii="Calibri" w:eastAsia="Calibri" w:hAnsi="Calibri" w:cs="Calibri"/>
          <w:sz w:val="18"/>
          <w:szCs w:val="18"/>
          <w:lang w:eastAsia="en-GB" w:bidi="en-GB"/>
        </w:rPr>
        <w:t>m</w:t>
      </w:r>
      <w:r w:rsidR="00AA0DC6">
        <w:rPr>
          <w:rFonts w:ascii="Calibri" w:eastAsia="Calibri" w:hAnsi="Calibri" w:cs="Calibri"/>
          <w:sz w:val="18"/>
          <w:szCs w:val="18"/>
          <w:lang w:eastAsia="en-GB" w:bidi="en-GB"/>
        </w:rPr>
        <w:t xml:space="preserve"> in H1 19</w:t>
      </w:r>
      <w:r w:rsidRPr="00D1572A">
        <w:rPr>
          <w:rFonts w:ascii="Calibri" w:eastAsia="Calibri" w:hAnsi="Calibri" w:cs="Calibri"/>
          <w:sz w:val="18"/>
          <w:szCs w:val="18"/>
          <w:lang w:eastAsia="en-GB" w:bidi="en-GB"/>
        </w:rPr>
        <w:t>, primarily driven by a reduction in the Group’s Adjusted Operating Profit and a reduction in net interest expense.</w:t>
      </w:r>
    </w:p>
    <w:p w14:paraId="059402F8" w14:textId="77777777" w:rsidR="004F5F1D" w:rsidRPr="004F5F1D" w:rsidRDefault="004F5F1D" w:rsidP="005B3BEE">
      <w:pPr>
        <w:pStyle w:val="SectionH3"/>
      </w:pPr>
      <w:r w:rsidRPr="004F5F1D">
        <w:t xml:space="preserve">Taxation </w:t>
      </w:r>
    </w:p>
    <w:p w14:paraId="1A42945A" w14:textId="77777777" w:rsidR="00D1572A" w:rsidRPr="00D1572A" w:rsidRDefault="00D1572A" w:rsidP="008B4F3E">
      <w:pPr>
        <w:spacing w:after="120"/>
        <w:jc w:val="both"/>
        <w:rPr>
          <w:rFonts w:ascii="Calibri" w:eastAsia="Calibri" w:hAnsi="Calibri" w:cs="Calibri"/>
          <w:sz w:val="18"/>
          <w:szCs w:val="18"/>
          <w:lang w:eastAsia="en-GB" w:bidi="en-GB"/>
        </w:rPr>
      </w:pPr>
      <w:r w:rsidRPr="00D1572A">
        <w:rPr>
          <w:rFonts w:ascii="Calibri" w:eastAsia="Calibri" w:hAnsi="Calibri" w:cs="Calibri"/>
          <w:sz w:val="18"/>
          <w:szCs w:val="18"/>
          <w:lang w:eastAsia="en-GB" w:bidi="en-GB"/>
        </w:rPr>
        <w:t xml:space="preserve">The Group’s effective tax rate in H1 20 (including the tax impact associated with pension finance items) was 13% (H1 19: 15%). This reflects the rate benefit resulting from the restatement of the deferred tax assets, arising from the decision by the UK Government to maintain the UK corporation tax rate at 19%. This decision not to decrease the UK corporation tax </w:t>
      </w:r>
      <w:r w:rsidRPr="00D1572A">
        <w:rPr>
          <w:rFonts w:ascii="Calibri" w:eastAsia="Calibri" w:hAnsi="Calibri" w:cs="Calibri"/>
          <w:sz w:val="18"/>
          <w:szCs w:val="18"/>
          <w:lang w:eastAsia="en-GB" w:bidi="en-GB"/>
        </w:rPr>
        <w:lastRenderedPageBreak/>
        <w:t xml:space="preserve">rate to 17% results in a one-off tax credit to the income statement, with a corresponding increase to the Groups net deferred tax asset. </w:t>
      </w:r>
    </w:p>
    <w:p w14:paraId="0741F347" w14:textId="77777777" w:rsidR="004F5F1D" w:rsidRPr="004F5F1D" w:rsidRDefault="004F5F1D" w:rsidP="005B3BEE">
      <w:pPr>
        <w:pStyle w:val="SectionH3"/>
      </w:pPr>
      <w:r w:rsidRPr="004F5F1D">
        <w:t>Exceptional items</w:t>
      </w:r>
    </w:p>
    <w:p w14:paraId="1768C8BC" w14:textId="5ED8CE15" w:rsidR="00D1572A" w:rsidRPr="004F5F1D" w:rsidRDefault="004F5F1D" w:rsidP="004F5F1D">
      <w:pPr>
        <w:widowControl w:val="0"/>
        <w:autoSpaceDE w:val="0"/>
        <w:autoSpaceDN w:val="0"/>
        <w:adjustRightInd w:val="0"/>
        <w:spacing w:after="120" w:line="240" w:lineRule="auto"/>
        <w:rPr>
          <w:rFonts w:ascii="Calibri" w:eastAsia="Calibri" w:hAnsi="Calibri" w:cs="Calibri"/>
          <w:sz w:val="18"/>
          <w:szCs w:val="18"/>
          <w:lang w:eastAsia="en-GB" w:bidi="en-GB"/>
        </w:rPr>
      </w:pPr>
      <w:r w:rsidRPr="004F5F1D">
        <w:rPr>
          <w:rFonts w:ascii="Calibri" w:eastAsia="Calibri" w:hAnsi="Calibri" w:cs="Calibri"/>
          <w:sz w:val="18"/>
          <w:szCs w:val="18"/>
          <w:lang w:eastAsia="en-GB" w:bidi="en-GB"/>
        </w:rPr>
        <w:t>The Group</w:t>
      </w:r>
      <w:r w:rsidR="00D327FF">
        <w:rPr>
          <w:rFonts w:ascii="Calibri" w:eastAsia="Calibri" w:hAnsi="Calibri" w:cs="Calibri"/>
          <w:sz w:val="18"/>
          <w:szCs w:val="18"/>
          <w:lang w:eastAsia="en-GB" w:bidi="en-GB"/>
        </w:rPr>
        <w:t xml:space="preserve"> had</w:t>
      </w:r>
      <w:r w:rsidR="00CB2AF1">
        <w:rPr>
          <w:rFonts w:ascii="Calibri" w:eastAsia="Calibri" w:hAnsi="Calibri" w:cs="Calibri"/>
          <w:sz w:val="18"/>
          <w:szCs w:val="18"/>
          <w:lang w:eastAsia="en-GB" w:bidi="en-GB"/>
        </w:rPr>
        <w:t xml:space="preserve"> </w:t>
      </w:r>
      <w:r w:rsidRPr="004F5F1D">
        <w:rPr>
          <w:rFonts w:ascii="Calibri" w:eastAsia="Calibri" w:hAnsi="Calibri" w:cs="Calibri"/>
          <w:sz w:val="18"/>
          <w:szCs w:val="18"/>
          <w:lang w:eastAsia="en-GB" w:bidi="en-GB"/>
        </w:rPr>
        <w:t xml:space="preserve">an after tax </w:t>
      </w:r>
      <w:r w:rsidR="00D327FF">
        <w:rPr>
          <w:rFonts w:ascii="Calibri" w:eastAsia="Calibri" w:hAnsi="Calibri" w:cs="Calibri"/>
          <w:sz w:val="18"/>
          <w:szCs w:val="18"/>
          <w:lang w:eastAsia="en-GB" w:bidi="en-GB"/>
        </w:rPr>
        <w:t xml:space="preserve">exceptional </w:t>
      </w:r>
      <w:r w:rsidRPr="004F5F1D">
        <w:rPr>
          <w:rFonts w:ascii="Calibri" w:eastAsia="Calibri" w:hAnsi="Calibri" w:cs="Calibri"/>
          <w:sz w:val="18"/>
          <w:szCs w:val="18"/>
          <w:lang w:eastAsia="en-GB" w:bidi="en-GB"/>
        </w:rPr>
        <w:t>credit of £0.4m, comprised as follows:</w:t>
      </w:r>
    </w:p>
    <w:tbl>
      <w:tblPr>
        <w:tblStyle w:val="TableGrid"/>
        <w:tblW w:w="0" w:type="auto"/>
        <w:jc w:val="center"/>
        <w:tblLook w:val="04A0" w:firstRow="1" w:lastRow="0" w:firstColumn="1" w:lastColumn="0" w:noHBand="0" w:noVBand="1"/>
      </w:tblPr>
      <w:tblGrid>
        <w:gridCol w:w="5255"/>
        <w:gridCol w:w="1347"/>
      </w:tblGrid>
      <w:tr w:rsidR="004F5F1D" w:rsidRPr="004F5F1D" w14:paraId="41D82EDD" w14:textId="77777777" w:rsidTr="00B71AB8">
        <w:trPr>
          <w:jc w:val="center"/>
        </w:trPr>
        <w:tc>
          <w:tcPr>
            <w:tcW w:w="5255" w:type="dxa"/>
          </w:tcPr>
          <w:p w14:paraId="29E99E07" w14:textId="77777777" w:rsidR="004F5F1D" w:rsidRPr="004F5F1D" w:rsidRDefault="004F5F1D" w:rsidP="004F5F1D">
            <w:pPr>
              <w:widowControl w:val="0"/>
              <w:autoSpaceDE w:val="0"/>
              <w:autoSpaceDN w:val="0"/>
              <w:adjustRightInd w:val="0"/>
              <w:rPr>
                <w:rFonts w:ascii="Calibri" w:eastAsia="Calibri" w:hAnsi="Calibri" w:cs="Calibri"/>
                <w:b/>
                <w:sz w:val="18"/>
                <w:szCs w:val="18"/>
                <w:lang w:eastAsia="en-GB" w:bidi="en-GB"/>
              </w:rPr>
            </w:pPr>
            <w:r w:rsidRPr="004F5F1D">
              <w:rPr>
                <w:rFonts w:ascii="Calibri" w:eastAsia="Calibri" w:hAnsi="Calibri" w:cs="Calibri"/>
                <w:b/>
                <w:sz w:val="18"/>
                <w:szCs w:val="18"/>
                <w:lang w:eastAsia="en-GB" w:bidi="en-GB"/>
              </w:rPr>
              <w:t>Exceptional Items</w:t>
            </w:r>
          </w:p>
        </w:tc>
        <w:tc>
          <w:tcPr>
            <w:tcW w:w="1347" w:type="dxa"/>
          </w:tcPr>
          <w:p w14:paraId="02604232" w14:textId="77777777" w:rsidR="004F5F1D" w:rsidRPr="004F5F1D" w:rsidRDefault="004F5F1D" w:rsidP="004F5F1D">
            <w:pPr>
              <w:widowControl w:val="0"/>
              <w:autoSpaceDE w:val="0"/>
              <w:autoSpaceDN w:val="0"/>
              <w:adjustRightInd w:val="0"/>
              <w:jc w:val="right"/>
              <w:rPr>
                <w:rFonts w:ascii="Calibri" w:eastAsia="Calibri" w:hAnsi="Calibri" w:cs="Calibri"/>
                <w:b/>
                <w:sz w:val="18"/>
                <w:szCs w:val="18"/>
                <w:lang w:eastAsia="en-GB" w:bidi="en-GB"/>
              </w:rPr>
            </w:pPr>
            <w:r w:rsidRPr="004F5F1D">
              <w:rPr>
                <w:rFonts w:ascii="Calibri" w:eastAsia="Calibri" w:hAnsi="Calibri" w:cs="Calibri"/>
                <w:b/>
                <w:sz w:val="18"/>
                <w:szCs w:val="18"/>
                <w:lang w:eastAsia="en-GB" w:bidi="en-GB"/>
              </w:rPr>
              <w:t>£m</w:t>
            </w:r>
          </w:p>
        </w:tc>
      </w:tr>
      <w:tr w:rsidR="004F5F1D" w:rsidRPr="004F5F1D" w14:paraId="3AEE26D2" w14:textId="77777777" w:rsidTr="00B71AB8">
        <w:trPr>
          <w:jc w:val="center"/>
        </w:trPr>
        <w:tc>
          <w:tcPr>
            <w:tcW w:w="5255" w:type="dxa"/>
            <w:vAlign w:val="bottom"/>
          </w:tcPr>
          <w:p w14:paraId="1D8A9EB2" w14:textId="678C5815" w:rsidR="004F5F1D" w:rsidRPr="004F5F1D" w:rsidRDefault="004F5F1D" w:rsidP="004F5F1D">
            <w:pPr>
              <w:widowControl w:val="0"/>
              <w:autoSpaceDE w:val="0"/>
              <w:autoSpaceDN w:val="0"/>
              <w:adjustRightInd w:val="0"/>
              <w:rPr>
                <w:rFonts w:ascii="Calibri" w:eastAsia="Calibri" w:hAnsi="Calibri" w:cs="Calibri"/>
                <w:sz w:val="18"/>
                <w:szCs w:val="18"/>
                <w:lang w:eastAsia="en-GB" w:bidi="en-GB"/>
              </w:rPr>
            </w:pPr>
            <w:r w:rsidRPr="004F5F1D">
              <w:rPr>
                <w:rFonts w:ascii="Calibri" w:eastAsia="Calibri" w:hAnsi="Calibri" w:cs="Calibri"/>
                <w:sz w:val="18"/>
                <w:szCs w:val="18"/>
                <w:lang w:eastAsia="en-GB" w:bidi="en-GB"/>
              </w:rPr>
              <w:t>Impact of COVID-19</w:t>
            </w:r>
            <w:r w:rsidR="00CB2AF1">
              <w:rPr>
                <w:rFonts w:ascii="Calibri" w:eastAsia="Calibri" w:hAnsi="Calibri" w:cs="Calibri"/>
                <w:sz w:val="18"/>
                <w:szCs w:val="18"/>
                <w:lang w:eastAsia="en-GB" w:bidi="en-GB"/>
              </w:rPr>
              <w:t xml:space="preserve"> pandemic</w:t>
            </w:r>
          </w:p>
        </w:tc>
        <w:tc>
          <w:tcPr>
            <w:tcW w:w="1347" w:type="dxa"/>
          </w:tcPr>
          <w:p w14:paraId="69F6C4F0" w14:textId="77777777" w:rsidR="004F5F1D" w:rsidRPr="004F5F1D" w:rsidRDefault="003669E7" w:rsidP="004F5F1D">
            <w:pPr>
              <w:widowControl w:val="0"/>
              <w:autoSpaceDE w:val="0"/>
              <w:autoSpaceDN w:val="0"/>
              <w:adjustRightInd w:val="0"/>
              <w:jc w:val="right"/>
              <w:rPr>
                <w:rFonts w:ascii="Calibri" w:eastAsia="Calibri" w:hAnsi="Calibri" w:cs="Calibri"/>
                <w:sz w:val="18"/>
                <w:szCs w:val="18"/>
                <w:lang w:eastAsia="en-GB" w:bidi="en-GB"/>
              </w:rPr>
            </w:pPr>
            <w:r>
              <w:rPr>
                <w:rFonts w:ascii="Calibri" w:eastAsia="Calibri" w:hAnsi="Calibri" w:cs="Calibri"/>
                <w:sz w:val="18"/>
                <w:szCs w:val="18"/>
                <w:lang w:eastAsia="en-GB" w:bidi="en-GB"/>
              </w:rPr>
              <w:t>(</w:t>
            </w:r>
            <w:r w:rsidR="004F5F1D" w:rsidRPr="004F5F1D">
              <w:rPr>
                <w:rFonts w:ascii="Calibri" w:eastAsia="Calibri" w:hAnsi="Calibri" w:cs="Calibri"/>
                <w:sz w:val="18"/>
                <w:szCs w:val="18"/>
                <w:lang w:eastAsia="en-GB" w:bidi="en-GB"/>
              </w:rPr>
              <w:t>1.7</w:t>
            </w:r>
            <w:r>
              <w:rPr>
                <w:rFonts w:ascii="Calibri" w:eastAsia="Calibri" w:hAnsi="Calibri" w:cs="Calibri"/>
                <w:sz w:val="18"/>
                <w:szCs w:val="18"/>
                <w:lang w:eastAsia="en-GB" w:bidi="en-GB"/>
              </w:rPr>
              <w:t>)</w:t>
            </w:r>
          </w:p>
        </w:tc>
      </w:tr>
      <w:tr w:rsidR="004F5F1D" w:rsidRPr="004F5F1D" w14:paraId="38F7182F" w14:textId="77777777" w:rsidTr="00B71AB8">
        <w:trPr>
          <w:jc w:val="center"/>
        </w:trPr>
        <w:tc>
          <w:tcPr>
            <w:tcW w:w="5255" w:type="dxa"/>
            <w:vAlign w:val="bottom"/>
          </w:tcPr>
          <w:p w14:paraId="5D5414E3" w14:textId="77777777" w:rsidR="004F5F1D" w:rsidRPr="004F5F1D" w:rsidRDefault="004F5F1D" w:rsidP="004F5F1D">
            <w:pPr>
              <w:widowControl w:val="0"/>
              <w:autoSpaceDE w:val="0"/>
              <w:autoSpaceDN w:val="0"/>
              <w:adjustRightInd w:val="0"/>
              <w:rPr>
                <w:rFonts w:ascii="Calibri" w:eastAsia="Calibri" w:hAnsi="Calibri" w:cs="Calibri"/>
                <w:sz w:val="18"/>
                <w:szCs w:val="18"/>
                <w:lang w:eastAsia="en-GB" w:bidi="en-GB"/>
              </w:rPr>
            </w:pPr>
            <w:r w:rsidRPr="004F5F1D">
              <w:rPr>
                <w:rFonts w:ascii="Calibri" w:eastAsia="Calibri" w:hAnsi="Calibri" w:cs="Calibri"/>
                <w:sz w:val="18"/>
                <w:szCs w:val="18"/>
                <w:lang w:eastAsia="en-GB" w:bidi="en-GB"/>
              </w:rPr>
              <w:t>Legacy US legal matters</w:t>
            </w:r>
          </w:p>
        </w:tc>
        <w:tc>
          <w:tcPr>
            <w:tcW w:w="1347" w:type="dxa"/>
          </w:tcPr>
          <w:p w14:paraId="7DB2370E" w14:textId="77777777" w:rsidR="004F5F1D" w:rsidRPr="004F5F1D" w:rsidRDefault="004F5F1D" w:rsidP="004F5F1D">
            <w:pPr>
              <w:widowControl w:val="0"/>
              <w:autoSpaceDE w:val="0"/>
              <w:autoSpaceDN w:val="0"/>
              <w:adjustRightInd w:val="0"/>
              <w:jc w:val="right"/>
              <w:rPr>
                <w:rFonts w:ascii="Calibri" w:eastAsia="Calibri" w:hAnsi="Calibri" w:cs="Calibri"/>
                <w:sz w:val="18"/>
                <w:szCs w:val="18"/>
                <w:lang w:eastAsia="en-GB" w:bidi="en-GB"/>
              </w:rPr>
            </w:pPr>
            <w:r w:rsidRPr="004F5F1D">
              <w:rPr>
                <w:rFonts w:ascii="Calibri" w:eastAsia="Calibri" w:hAnsi="Calibri" w:cs="Calibri"/>
                <w:sz w:val="18"/>
                <w:szCs w:val="18"/>
                <w:lang w:eastAsia="en-GB" w:bidi="en-GB"/>
              </w:rPr>
              <w:t>2.2</w:t>
            </w:r>
          </w:p>
        </w:tc>
      </w:tr>
      <w:tr w:rsidR="004F5F1D" w:rsidRPr="004F5F1D" w14:paraId="459F25A1" w14:textId="77777777" w:rsidTr="00B71AB8">
        <w:trPr>
          <w:jc w:val="center"/>
        </w:trPr>
        <w:tc>
          <w:tcPr>
            <w:tcW w:w="5255" w:type="dxa"/>
            <w:vAlign w:val="bottom"/>
          </w:tcPr>
          <w:p w14:paraId="7A67A5E7" w14:textId="77777777" w:rsidR="004F5F1D" w:rsidRPr="004F5F1D" w:rsidRDefault="004F5F1D" w:rsidP="004F5F1D">
            <w:pPr>
              <w:widowControl w:val="0"/>
              <w:autoSpaceDE w:val="0"/>
              <w:autoSpaceDN w:val="0"/>
              <w:adjustRightInd w:val="0"/>
              <w:rPr>
                <w:rFonts w:ascii="Calibri" w:eastAsia="Calibri" w:hAnsi="Calibri" w:cs="Calibri"/>
                <w:sz w:val="18"/>
                <w:szCs w:val="18"/>
                <w:lang w:eastAsia="en-GB" w:bidi="en-GB"/>
              </w:rPr>
            </w:pPr>
            <w:r w:rsidRPr="004F5F1D">
              <w:rPr>
                <w:rFonts w:ascii="Calibri" w:eastAsia="Calibri" w:hAnsi="Calibri" w:cs="Calibri"/>
                <w:sz w:val="18"/>
                <w:szCs w:val="18"/>
                <w:lang w:eastAsia="en-GB" w:bidi="en-GB"/>
              </w:rPr>
              <w:t>Integration costs</w:t>
            </w:r>
          </w:p>
        </w:tc>
        <w:tc>
          <w:tcPr>
            <w:tcW w:w="1347" w:type="dxa"/>
          </w:tcPr>
          <w:p w14:paraId="75547F28" w14:textId="77777777" w:rsidR="004F5F1D" w:rsidRPr="004F5F1D" w:rsidRDefault="003669E7" w:rsidP="004F5F1D">
            <w:pPr>
              <w:widowControl w:val="0"/>
              <w:autoSpaceDE w:val="0"/>
              <w:autoSpaceDN w:val="0"/>
              <w:adjustRightInd w:val="0"/>
              <w:jc w:val="right"/>
              <w:rPr>
                <w:rFonts w:ascii="Calibri" w:eastAsia="Calibri" w:hAnsi="Calibri" w:cs="Calibri"/>
                <w:sz w:val="18"/>
                <w:szCs w:val="18"/>
                <w:lang w:eastAsia="en-GB" w:bidi="en-GB"/>
              </w:rPr>
            </w:pPr>
            <w:r>
              <w:rPr>
                <w:rFonts w:ascii="Calibri" w:eastAsia="Calibri" w:hAnsi="Calibri" w:cs="Calibri"/>
                <w:sz w:val="18"/>
                <w:szCs w:val="18"/>
                <w:lang w:eastAsia="en-GB" w:bidi="en-GB"/>
              </w:rPr>
              <w:t>(</w:t>
            </w:r>
            <w:r w:rsidR="004F5F1D" w:rsidRPr="004F5F1D">
              <w:rPr>
                <w:rFonts w:ascii="Calibri" w:eastAsia="Calibri" w:hAnsi="Calibri" w:cs="Calibri"/>
                <w:sz w:val="18"/>
                <w:szCs w:val="18"/>
                <w:lang w:eastAsia="en-GB" w:bidi="en-GB"/>
              </w:rPr>
              <w:t>0.5</w:t>
            </w:r>
            <w:r>
              <w:rPr>
                <w:rFonts w:ascii="Calibri" w:eastAsia="Calibri" w:hAnsi="Calibri" w:cs="Calibri"/>
                <w:sz w:val="18"/>
                <w:szCs w:val="18"/>
                <w:lang w:eastAsia="en-GB" w:bidi="en-GB"/>
              </w:rPr>
              <w:t>)</w:t>
            </w:r>
          </w:p>
        </w:tc>
      </w:tr>
      <w:tr w:rsidR="004F5F1D" w:rsidRPr="004F5F1D" w14:paraId="3C5E78B5" w14:textId="77777777" w:rsidTr="00B71AB8">
        <w:trPr>
          <w:jc w:val="center"/>
        </w:trPr>
        <w:tc>
          <w:tcPr>
            <w:tcW w:w="5255" w:type="dxa"/>
          </w:tcPr>
          <w:p w14:paraId="05737453" w14:textId="77777777" w:rsidR="004F5F1D" w:rsidRPr="004F5F1D" w:rsidRDefault="004F5F1D" w:rsidP="004F5F1D">
            <w:pPr>
              <w:widowControl w:val="0"/>
              <w:autoSpaceDE w:val="0"/>
              <w:autoSpaceDN w:val="0"/>
              <w:adjustRightInd w:val="0"/>
              <w:rPr>
                <w:rFonts w:ascii="Calibri" w:eastAsia="Calibri" w:hAnsi="Calibri" w:cs="Calibri"/>
                <w:b/>
                <w:sz w:val="18"/>
                <w:szCs w:val="18"/>
                <w:lang w:eastAsia="en-GB" w:bidi="en-GB"/>
              </w:rPr>
            </w:pPr>
            <w:r w:rsidRPr="004F5F1D">
              <w:rPr>
                <w:rFonts w:ascii="Calibri" w:eastAsia="Calibri" w:hAnsi="Calibri" w:cs="Calibri"/>
                <w:b/>
                <w:sz w:val="18"/>
                <w:szCs w:val="18"/>
                <w:lang w:eastAsia="en-GB" w:bidi="en-GB"/>
              </w:rPr>
              <w:t xml:space="preserve">Exceptional items (before tax) </w:t>
            </w:r>
          </w:p>
        </w:tc>
        <w:tc>
          <w:tcPr>
            <w:tcW w:w="1347" w:type="dxa"/>
            <w:shd w:val="clear" w:color="auto" w:fill="auto"/>
          </w:tcPr>
          <w:p w14:paraId="394237AB" w14:textId="6C1E9AD1" w:rsidR="004F5F1D" w:rsidRPr="004F5F1D" w:rsidRDefault="00CB2AF1" w:rsidP="004F5F1D">
            <w:pPr>
              <w:widowControl w:val="0"/>
              <w:autoSpaceDE w:val="0"/>
              <w:autoSpaceDN w:val="0"/>
              <w:adjustRightInd w:val="0"/>
              <w:jc w:val="right"/>
              <w:rPr>
                <w:rFonts w:ascii="Calibri" w:eastAsia="Calibri" w:hAnsi="Calibri" w:cs="Calibri"/>
                <w:b/>
                <w:sz w:val="18"/>
                <w:szCs w:val="18"/>
                <w:lang w:eastAsia="en-GB" w:bidi="en-GB"/>
              </w:rPr>
            </w:pPr>
            <w:r>
              <w:rPr>
                <w:rFonts w:ascii="Calibri" w:eastAsia="Calibri" w:hAnsi="Calibri" w:cs="Calibri"/>
                <w:b/>
                <w:sz w:val="18"/>
                <w:szCs w:val="18"/>
                <w:lang w:eastAsia="en-GB" w:bidi="en-GB"/>
              </w:rPr>
              <w:t>-</w:t>
            </w:r>
          </w:p>
        </w:tc>
      </w:tr>
      <w:tr w:rsidR="004F5F1D" w:rsidRPr="004F5F1D" w14:paraId="630F5E8B" w14:textId="77777777" w:rsidTr="00B71AB8">
        <w:trPr>
          <w:jc w:val="center"/>
        </w:trPr>
        <w:tc>
          <w:tcPr>
            <w:tcW w:w="5255" w:type="dxa"/>
          </w:tcPr>
          <w:p w14:paraId="0F498C93" w14:textId="77777777" w:rsidR="004F5F1D" w:rsidRPr="004F5F1D" w:rsidRDefault="004F5F1D" w:rsidP="004F5F1D">
            <w:pPr>
              <w:widowControl w:val="0"/>
              <w:autoSpaceDE w:val="0"/>
              <w:autoSpaceDN w:val="0"/>
              <w:adjustRightInd w:val="0"/>
              <w:rPr>
                <w:rFonts w:ascii="Calibri" w:eastAsia="Calibri" w:hAnsi="Calibri" w:cs="Calibri"/>
                <w:sz w:val="18"/>
                <w:szCs w:val="18"/>
                <w:lang w:eastAsia="en-GB" w:bidi="en-GB"/>
              </w:rPr>
            </w:pPr>
            <w:r w:rsidRPr="004F5F1D">
              <w:rPr>
                <w:rFonts w:ascii="Calibri" w:eastAsia="Calibri" w:hAnsi="Calibri" w:cs="Calibri"/>
                <w:sz w:val="18"/>
                <w:szCs w:val="18"/>
                <w:lang w:eastAsia="en-GB" w:bidi="en-GB"/>
              </w:rPr>
              <w:t xml:space="preserve">Tax credit on exceptional items </w:t>
            </w:r>
          </w:p>
        </w:tc>
        <w:tc>
          <w:tcPr>
            <w:tcW w:w="1347" w:type="dxa"/>
            <w:shd w:val="clear" w:color="auto" w:fill="auto"/>
          </w:tcPr>
          <w:p w14:paraId="13A2AE8F" w14:textId="77777777" w:rsidR="004F5F1D" w:rsidRPr="004F5F1D" w:rsidRDefault="004F5F1D" w:rsidP="004F5F1D">
            <w:pPr>
              <w:widowControl w:val="0"/>
              <w:autoSpaceDE w:val="0"/>
              <w:autoSpaceDN w:val="0"/>
              <w:adjustRightInd w:val="0"/>
              <w:jc w:val="right"/>
              <w:rPr>
                <w:rFonts w:ascii="Calibri" w:eastAsia="Calibri" w:hAnsi="Calibri" w:cs="Calibri"/>
                <w:sz w:val="18"/>
                <w:szCs w:val="18"/>
                <w:lang w:eastAsia="en-GB" w:bidi="en-GB"/>
              </w:rPr>
            </w:pPr>
            <w:r w:rsidRPr="004F5F1D">
              <w:rPr>
                <w:rFonts w:ascii="Calibri" w:eastAsia="Calibri" w:hAnsi="Calibri" w:cs="Calibri"/>
                <w:sz w:val="18"/>
                <w:szCs w:val="18"/>
                <w:lang w:eastAsia="en-GB" w:bidi="en-GB"/>
              </w:rPr>
              <w:t>0.4</w:t>
            </w:r>
          </w:p>
        </w:tc>
      </w:tr>
      <w:tr w:rsidR="004F5F1D" w:rsidRPr="004F5F1D" w14:paraId="25EFDBFE" w14:textId="77777777" w:rsidTr="00B71AB8">
        <w:trPr>
          <w:jc w:val="center"/>
        </w:trPr>
        <w:tc>
          <w:tcPr>
            <w:tcW w:w="5255" w:type="dxa"/>
          </w:tcPr>
          <w:p w14:paraId="5FAAD5FB" w14:textId="77777777" w:rsidR="004F5F1D" w:rsidRPr="004F5F1D" w:rsidRDefault="004F5F1D" w:rsidP="004F5F1D">
            <w:pPr>
              <w:widowControl w:val="0"/>
              <w:autoSpaceDE w:val="0"/>
              <w:autoSpaceDN w:val="0"/>
              <w:adjustRightInd w:val="0"/>
              <w:rPr>
                <w:rFonts w:ascii="Calibri" w:eastAsia="Calibri" w:hAnsi="Calibri" w:cs="Calibri"/>
                <w:b/>
                <w:sz w:val="18"/>
                <w:szCs w:val="18"/>
                <w:lang w:eastAsia="en-GB" w:bidi="en-GB"/>
              </w:rPr>
            </w:pPr>
            <w:r w:rsidRPr="004F5F1D">
              <w:rPr>
                <w:rFonts w:ascii="Calibri" w:eastAsia="Calibri" w:hAnsi="Calibri" w:cs="Calibri"/>
                <w:b/>
                <w:sz w:val="18"/>
                <w:szCs w:val="18"/>
                <w:lang w:eastAsia="en-GB" w:bidi="en-GB"/>
              </w:rPr>
              <w:t xml:space="preserve">Exceptional items (after tax) </w:t>
            </w:r>
          </w:p>
        </w:tc>
        <w:tc>
          <w:tcPr>
            <w:tcW w:w="1347" w:type="dxa"/>
            <w:shd w:val="clear" w:color="auto" w:fill="auto"/>
          </w:tcPr>
          <w:p w14:paraId="37DFF612" w14:textId="77777777" w:rsidR="004F5F1D" w:rsidRPr="004F5F1D" w:rsidRDefault="004F5F1D" w:rsidP="003B6495">
            <w:pPr>
              <w:widowControl w:val="0"/>
              <w:autoSpaceDE w:val="0"/>
              <w:autoSpaceDN w:val="0"/>
              <w:adjustRightInd w:val="0"/>
              <w:jc w:val="right"/>
              <w:rPr>
                <w:rFonts w:ascii="Calibri" w:eastAsia="Calibri" w:hAnsi="Calibri" w:cs="Calibri"/>
                <w:b/>
                <w:sz w:val="18"/>
                <w:szCs w:val="18"/>
                <w:lang w:eastAsia="en-GB" w:bidi="en-GB"/>
              </w:rPr>
            </w:pPr>
            <w:r w:rsidRPr="004F5F1D">
              <w:rPr>
                <w:rFonts w:ascii="Calibri" w:eastAsia="Calibri" w:hAnsi="Calibri" w:cs="Calibri"/>
                <w:b/>
                <w:sz w:val="18"/>
                <w:szCs w:val="18"/>
                <w:lang w:eastAsia="en-GB" w:bidi="en-GB"/>
              </w:rPr>
              <w:t>0.4</w:t>
            </w:r>
          </w:p>
        </w:tc>
      </w:tr>
    </w:tbl>
    <w:p w14:paraId="4DCCC507" w14:textId="66CA5F18" w:rsidR="00124466" w:rsidRPr="004F5F1D" w:rsidRDefault="00124466" w:rsidP="005B3BEE">
      <w:pPr>
        <w:widowControl w:val="0"/>
        <w:autoSpaceDE w:val="0"/>
        <w:autoSpaceDN w:val="0"/>
        <w:spacing w:before="120" w:after="120" w:line="240" w:lineRule="auto"/>
        <w:jc w:val="both"/>
        <w:rPr>
          <w:rFonts w:ascii="Calibri" w:eastAsia="Calibri" w:hAnsi="Calibri" w:cs="Arial"/>
          <w:sz w:val="18"/>
          <w:szCs w:val="18"/>
          <w:lang w:eastAsia="en-GB" w:bidi="en-GB"/>
        </w:rPr>
      </w:pPr>
      <w:r>
        <w:rPr>
          <w:rFonts w:ascii="Calibri" w:eastAsia="Calibri" w:hAnsi="Calibri" w:cs="Arial"/>
          <w:sz w:val="18"/>
          <w:szCs w:val="18"/>
          <w:lang w:eastAsia="en-GB" w:bidi="en-GB"/>
        </w:rPr>
        <w:t xml:space="preserve">These charges are described in Note </w:t>
      </w:r>
      <w:r w:rsidR="0034411F">
        <w:rPr>
          <w:rFonts w:ascii="Calibri" w:eastAsia="Calibri" w:hAnsi="Calibri" w:cs="Arial"/>
          <w:sz w:val="18"/>
          <w:szCs w:val="18"/>
          <w:lang w:eastAsia="en-GB" w:bidi="en-GB"/>
        </w:rPr>
        <w:t>5</w:t>
      </w:r>
      <w:r>
        <w:rPr>
          <w:rFonts w:ascii="Calibri" w:eastAsia="Calibri" w:hAnsi="Calibri" w:cs="Arial"/>
          <w:sz w:val="18"/>
          <w:szCs w:val="18"/>
          <w:lang w:eastAsia="en-GB" w:bidi="en-GB"/>
        </w:rPr>
        <w:t xml:space="preserve"> to the Condensed Group Financial Statements.</w:t>
      </w:r>
    </w:p>
    <w:p w14:paraId="43AF70A3" w14:textId="77777777" w:rsidR="004F5F1D" w:rsidRPr="004F5F1D" w:rsidRDefault="004F5F1D" w:rsidP="005B3BEE">
      <w:pPr>
        <w:pStyle w:val="SectionH3"/>
      </w:pPr>
      <w:r w:rsidRPr="004F5F1D">
        <w:t xml:space="preserve">Earnings per share </w:t>
      </w:r>
    </w:p>
    <w:p w14:paraId="3C8107EA" w14:textId="6E6CCA9D" w:rsidR="00D1572A" w:rsidRDefault="00D1572A" w:rsidP="005B3BEE">
      <w:pPr>
        <w:widowControl w:val="0"/>
        <w:autoSpaceDE w:val="0"/>
        <w:autoSpaceDN w:val="0"/>
        <w:spacing w:after="120" w:line="240" w:lineRule="auto"/>
        <w:jc w:val="both"/>
        <w:rPr>
          <w:rFonts w:ascii="Calibri" w:eastAsia="Calibri" w:hAnsi="Calibri" w:cs="Calibri"/>
          <w:sz w:val="18"/>
          <w:szCs w:val="18"/>
          <w:lang w:eastAsia="en-GB" w:bidi="en-GB"/>
        </w:rPr>
      </w:pPr>
      <w:r w:rsidRPr="00D1572A">
        <w:rPr>
          <w:rFonts w:ascii="Calibri" w:eastAsia="Calibri" w:hAnsi="Calibri" w:cs="Calibri"/>
          <w:sz w:val="18"/>
          <w:szCs w:val="18"/>
          <w:lang w:eastAsia="en-GB" w:bidi="en-GB"/>
        </w:rPr>
        <w:t xml:space="preserve">Basic earnings per share for total operations was 5.3 pence (H1 19: 10.5 pence). This was driven by a £41.8m decrease in </w:t>
      </w:r>
      <w:r w:rsidR="003669E7">
        <w:rPr>
          <w:rFonts w:ascii="Calibri" w:eastAsia="Calibri" w:hAnsi="Calibri" w:cs="Calibri"/>
          <w:sz w:val="18"/>
          <w:szCs w:val="18"/>
          <w:lang w:eastAsia="en-GB" w:bidi="en-GB"/>
        </w:rPr>
        <w:t>e</w:t>
      </w:r>
      <w:r w:rsidR="003669E7" w:rsidRPr="00D1572A">
        <w:rPr>
          <w:rFonts w:ascii="Calibri" w:eastAsia="Calibri" w:hAnsi="Calibri" w:cs="Calibri"/>
          <w:sz w:val="18"/>
          <w:szCs w:val="18"/>
          <w:lang w:eastAsia="en-GB" w:bidi="en-GB"/>
        </w:rPr>
        <w:t xml:space="preserve">arnings </w:t>
      </w:r>
      <w:r w:rsidRPr="00D1572A">
        <w:rPr>
          <w:rFonts w:ascii="Calibri" w:eastAsia="Calibri" w:hAnsi="Calibri" w:cs="Calibri"/>
          <w:sz w:val="18"/>
          <w:szCs w:val="18"/>
          <w:lang w:eastAsia="en-GB" w:bidi="en-GB"/>
        </w:rPr>
        <w:t xml:space="preserve">due to the reduction in profits </w:t>
      </w:r>
      <w:r w:rsidR="00254DCD">
        <w:rPr>
          <w:rFonts w:ascii="Calibri" w:eastAsia="Calibri" w:hAnsi="Calibri" w:cs="Calibri"/>
          <w:sz w:val="18"/>
          <w:szCs w:val="18"/>
          <w:lang w:eastAsia="en-GB" w:bidi="en-GB"/>
        </w:rPr>
        <w:t>as a result of</w:t>
      </w:r>
      <w:r w:rsidR="00254DCD" w:rsidRPr="00D1572A">
        <w:rPr>
          <w:rFonts w:ascii="Calibri" w:eastAsia="Calibri" w:hAnsi="Calibri" w:cs="Calibri"/>
          <w:sz w:val="18"/>
          <w:szCs w:val="18"/>
          <w:lang w:eastAsia="en-GB" w:bidi="en-GB"/>
        </w:rPr>
        <w:t xml:space="preserve"> </w:t>
      </w:r>
      <w:r w:rsidRPr="00D1572A">
        <w:rPr>
          <w:rFonts w:ascii="Calibri" w:eastAsia="Calibri" w:hAnsi="Calibri" w:cs="Calibri"/>
          <w:sz w:val="18"/>
          <w:szCs w:val="18"/>
          <w:lang w:eastAsia="en-GB" w:bidi="en-GB"/>
        </w:rPr>
        <w:t>the disposal of the Groups US business and the decline in profitability in the food to go categories in late March. Basic earnings per share also benefitted from a reduction of 261m in the number of shares in issue as a result of the tender offer which was executed in January 2019. The weighted average number of shares in issue in H1 20 was 4</w:t>
      </w:r>
      <w:r w:rsidR="005E0535">
        <w:rPr>
          <w:rFonts w:ascii="Calibri" w:eastAsia="Calibri" w:hAnsi="Calibri" w:cs="Calibri"/>
          <w:sz w:val="18"/>
          <w:szCs w:val="18"/>
          <w:lang w:eastAsia="en-GB" w:bidi="en-GB"/>
        </w:rPr>
        <w:t>4</w:t>
      </w:r>
      <w:r w:rsidRPr="00D1572A">
        <w:rPr>
          <w:rFonts w:ascii="Calibri" w:eastAsia="Calibri" w:hAnsi="Calibri" w:cs="Calibri"/>
          <w:sz w:val="18"/>
          <w:szCs w:val="18"/>
          <w:lang w:eastAsia="en-GB" w:bidi="en-GB"/>
        </w:rPr>
        <w:t>3.3m (H1 19: 620.9m). Adjusted earnings per share was 5.8 pence (H1 19: 6.4 pence)</w:t>
      </w:r>
    </w:p>
    <w:p w14:paraId="12D0EE45" w14:textId="77777777" w:rsidR="004F5F1D" w:rsidRPr="005B3BEE" w:rsidRDefault="004F5F1D" w:rsidP="005B3BEE">
      <w:pPr>
        <w:pStyle w:val="SectionH3"/>
        <w:rPr>
          <w:b w:val="0"/>
          <w:bCs w:val="0"/>
        </w:rPr>
      </w:pPr>
      <w:r w:rsidRPr="005B3BEE">
        <w:t>Cash Flow and Net Debt</w:t>
      </w:r>
    </w:p>
    <w:p w14:paraId="7521ED26" w14:textId="688B1EE5" w:rsidR="00D1572A" w:rsidRPr="00D1572A" w:rsidRDefault="00D1572A" w:rsidP="005B3BEE">
      <w:pPr>
        <w:widowControl w:val="0"/>
        <w:autoSpaceDE w:val="0"/>
        <w:autoSpaceDN w:val="0"/>
        <w:spacing w:after="120" w:line="240" w:lineRule="auto"/>
        <w:jc w:val="both"/>
        <w:rPr>
          <w:rFonts w:ascii="Calibri" w:eastAsia="Calibri" w:hAnsi="Calibri" w:cs="Calibri"/>
          <w:sz w:val="18"/>
          <w:szCs w:val="18"/>
          <w:lang w:eastAsia="en-GB" w:bidi="en-GB"/>
        </w:rPr>
      </w:pPr>
      <w:r w:rsidRPr="00D1572A">
        <w:rPr>
          <w:rFonts w:ascii="Calibri" w:eastAsia="Calibri" w:hAnsi="Calibri" w:cs="Calibri"/>
          <w:sz w:val="18"/>
          <w:szCs w:val="18"/>
          <w:lang w:eastAsia="en-GB" w:bidi="en-GB"/>
        </w:rPr>
        <w:t>Adjusted EBITDA was £1.3m higher in H1 20 at £6</w:t>
      </w:r>
      <w:r w:rsidR="005E5BD2">
        <w:rPr>
          <w:rFonts w:ascii="Calibri" w:eastAsia="Calibri" w:hAnsi="Calibri" w:cs="Calibri"/>
          <w:sz w:val="18"/>
          <w:szCs w:val="18"/>
          <w:lang w:eastAsia="en-GB" w:bidi="en-GB"/>
        </w:rPr>
        <w:t>3.8</w:t>
      </w:r>
      <w:r w:rsidRPr="00D1572A">
        <w:rPr>
          <w:rFonts w:ascii="Calibri" w:eastAsia="Calibri" w:hAnsi="Calibri" w:cs="Calibri"/>
          <w:sz w:val="18"/>
          <w:szCs w:val="18"/>
          <w:lang w:eastAsia="en-GB" w:bidi="en-GB"/>
        </w:rPr>
        <w:t>m</w:t>
      </w:r>
      <w:r w:rsidR="00254DCD">
        <w:rPr>
          <w:rFonts w:ascii="Calibri" w:eastAsia="Calibri" w:hAnsi="Calibri" w:cs="Calibri"/>
          <w:sz w:val="18"/>
          <w:szCs w:val="18"/>
          <w:lang w:eastAsia="en-GB" w:bidi="en-GB"/>
        </w:rPr>
        <w:t>, after the impact of IFRS 16</w:t>
      </w:r>
      <w:r w:rsidRPr="00D1572A">
        <w:rPr>
          <w:rFonts w:ascii="Calibri" w:eastAsia="Calibri" w:hAnsi="Calibri" w:cs="Calibri"/>
          <w:sz w:val="18"/>
          <w:szCs w:val="18"/>
          <w:lang w:eastAsia="en-GB" w:bidi="en-GB"/>
        </w:rPr>
        <w:t xml:space="preserve">. The Group incurred a net </w:t>
      </w:r>
      <w:r w:rsidR="001C684B">
        <w:rPr>
          <w:rFonts w:ascii="Calibri" w:eastAsia="Calibri" w:hAnsi="Calibri" w:cs="Calibri"/>
          <w:sz w:val="18"/>
          <w:szCs w:val="18"/>
          <w:lang w:eastAsia="en-GB" w:bidi="en-GB"/>
        </w:rPr>
        <w:t>working capital outflow of £21.8</w:t>
      </w:r>
      <w:r w:rsidRPr="00D1572A">
        <w:rPr>
          <w:rFonts w:ascii="Calibri" w:eastAsia="Calibri" w:hAnsi="Calibri" w:cs="Calibri"/>
          <w:sz w:val="18"/>
          <w:szCs w:val="18"/>
          <w:lang w:eastAsia="en-GB" w:bidi="en-GB"/>
        </w:rPr>
        <w:t>m. Maintenance capital expenditure of £1</w:t>
      </w:r>
      <w:r w:rsidR="001C684B">
        <w:rPr>
          <w:rFonts w:ascii="Calibri" w:eastAsia="Calibri" w:hAnsi="Calibri" w:cs="Calibri"/>
          <w:sz w:val="18"/>
          <w:szCs w:val="18"/>
          <w:lang w:eastAsia="en-GB" w:bidi="en-GB"/>
        </w:rPr>
        <w:t>1.</w:t>
      </w:r>
      <w:r w:rsidR="005E0535">
        <w:rPr>
          <w:rFonts w:ascii="Calibri" w:eastAsia="Calibri" w:hAnsi="Calibri" w:cs="Calibri"/>
          <w:sz w:val="18"/>
          <w:szCs w:val="18"/>
          <w:lang w:eastAsia="en-GB" w:bidi="en-GB"/>
        </w:rPr>
        <w:t>2</w:t>
      </w:r>
      <w:r w:rsidRPr="00D1572A">
        <w:rPr>
          <w:rFonts w:ascii="Calibri" w:eastAsia="Calibri" w:hAnsi="Calibri" w:cs="Calibri"/>
          <w:sz w:val="18"/>
          <w:szCs w:val="18"/>
          <w:lang w:eastAsia="en-GB" w:bidi="en-GB"/>
        </w:rPr>
        <w:t xml:space="preserve">m was incurred in the period (H1 19: £12.8m). The cash outflow in respect of exceptional charges was £2.6m (H1 19: £7.7m), of which £2.1m related to prior year exceptional charges. </w:t>
      </w:r>
    </w:p>
    <w:p w14:paraId="0CA96B72" w14:textId="2E8D9462" w:rsidR="00D1572A" w:rsidRPr="00D1572A" w:rsidRDefault="00D1572A" w:rsidP="005B3BEE">
      <w:pPr>
        <w:widowControl w:val="0"/>
        <w:autoSpaceDE w:val="0"/>
        <w:autoSpaceDN w:val="0"/>
        <w:spacing w:after="120" w:line="240" w:lineRule="auto"/>
        <w:jc w:val="both"/>
        <w:rPr>
          <w:rFonts w:ascii="Calibri" w:eastAsia="Calibri" w:hAnsi="Calibri" w:cs="Calibri"/>
          <w:sz w:val="18"/>
          <w:szCs w:val="18"/>
          <w:lang w:eastAsia="en-GB" w:bidi="en-GB"/>
        </w:rPr>
      </w:pPr>
      <w:r w:rsidRPr="00D1572A">
        <w:rPr>
          <w:rFonts w:ascii="Calibri" w:eastAsia="Calibri" w:hAnsi="Calibri" w:cs="Calibri"/>
          <w:sz w:val="18"/>
          <w:szCs w:val="18"/>
          <w:lang w:eastAsia="en-GB" w:bidi="en-GB"/>
        </w:rPr>
        <w:t>Interest paid in the period was £7.</w:t>
      </w:r>
      <w:r w:rsidR="00DF3EC7">
        <w:rPr>
          <w:rFonts w:ascii="Calibri" w:eastAsia="Calibri" w:hAnsi="Calibri" w:cs="Calibri"/>
          <w:sz w:val="18"/>
          <w:szCs w:val="18"/>
          <w:lang w:eastAsia="en-GB" w:bidi="en-GB"/>
        </w:rPr>
        <w:t>5</w:t>
      </w:r>
      <w:r w:rsidRPr="00D1572A">
        <w:rPr>
          <w:rFonts w:ascii="Calibri" w:eastAsia="Calibri" w:hAnsi="Calibri" w:cs="Calibri"/>
          <w:sz w:val="18"/>
          <w:szCs w:val="18"/>
          <w:lang w:eastAsia="en-GB" w:bidi="en-GB"/>
        </w:rPr>
        <w:t>m</w:t>
      </w:r>
      <w:r w:rsidR="00DF3EC7">
        <w:rPr>
          <w:rFonts w:ascii="Calibri" w:eastAsia="Calibri" w:hAnsi="Calibri" w:cs="Calibri"/>
          <w:sz w:val="18"/>
          <w:szCs w:val="18"/>
          <w:lang w:eastAsia="en-GB" w:bidi="en-GB"/>
        </w:rPr>
        <w:t>, in</w:t>
      </w:r>
      <w:r w:rsidR="00351342">
        <w:rPr>
          <w:rFonts w:ascii="Calibri" w:eastAsia="Calibri" w:hAnsi="Calibri" w:cs="Calibri"/>
          <w:sz w:val="18"/>
          <w:szCs w:val="18"/>
          <w:lang w:eastAsia="en-GB" w:bidi="en-GB"/>
        </w:rPr>
        <w:t xml:space="preserve">cluding interest on lease </w:t>
      </w:r>
      <w:r w:rsidR="00DF3EC7">
        <w:rPr>
          <w:rFonts w:ascii="Calibri" w:eastAsia="Calibri" w:hAnsi="Calibri" w:cs="Calibri"/>
          <w:sz w:val="18"/>
          <w:szCs w:val="18"/>
          <w:lang w:eastAsia="en-GB" w:bidi="en-GB"/>
        </w:rPr>
        <w:t>liabilities</w:t>
      </w:r>
      <w:r w:rsidRPr="00D1572A">
        <w:rPr>
          <w:rFonts w:ascii="Calibri" w:eastAsia="Calibri" w:hAnsi="Calibri" w:cs="Calibri"/>
          <w:sz w:val="18"/>
          <w:szCs w:val="18"/>
          <w:lang w:eastAsia="en-GB" w:bidi="en-GB"/>
        </w:rPr>
        <w:t xml:space="preserve"> (H1 19: £9.2m) </w:t>
      </w:r>
      <w:r w:rsidR="001C684B">
        <w:rPr>
          <w:rFonts w:ascii="Calibri" w:eastAsia="Calibri" w:hAnsi="Calibri" w:cs="Calibri"/>
          <w:sz w:val="18"/>
          <w:szCs w:val="18"/>
          <w:lang w:eastAsia="en-GB" w:bidi="en-GB"/>
        </w:rPr>
        <w:t xml:space="preserve">primarily </w:t>
      </w:r>
      <w:r w:rsidRPr="00D1572A">
        <w:rPr>
          <w:rFonts w:ascii="Calibri" w:eastAsia="Calibri" w:hAnsi="Calibri" w:cs="Calibri"/>
          <w:sz w:val="18"/>
          <w:szCs w:val="18"/>
          <w:lang w:eastAsia="en-GB" w:bidi="en-GB"/>
        </w:rPr>
        <w:t xml:space="preserve">reflecting </w:t>
      </w:r>
      <w:r w:rsidR="001C684B">
        <w:rPr>
          <w:rFonts w:ascii="Calibri" w:eastAsia="Calibri" w:hAnsi="Calibri" w:cs="Calibri"/>
          <w:sz w:val="18"/>
          <w:szCs w:val="18"/>
          <w:lang w:eastAsia="en-GB" w:bidi="en-GB"/>
        </w:rPr>
        <w:t>the impact of</w:t>
      </w:r>
      <w:r w:rsidRPr="00D1572A">
        <w:rPr>
          <w:rFonts w:ascii="Calibri" w:eastAsia="Calibri" w:hAnsi="Calibri" w:cs="Calibri"/>
          <w:sz w:val="18"/>
          <w:szCs w:val="18"/>
          <w:lang w:eastAsia="en-GB" w:bidi="en-GB"/>
        </w:rPr>
        <w:t xml:space="preserve"> </w:t>
      </w:r>
      <w:r w:rsidR="001C684B">
        <w:rPr>
          <w:rFonts w:ascii="Calibri" w:eastAsia="Calibri" w:hAnsi="Calibri" w:cs="Calibri"/>
          <w:sz w:val="18"/>
          <w:szCs w:val="18"/>
          <w:lang w:eastAsia="en-GB" w:bidi="en-GB"/>
        </w:rPr>
        <w:t>closing out swaps in the prior year</w:t>
      </w:r>
      <w:r w:rsidRPr="00D1572A">
        <w:rPr>
          <w:rFonts w:ascii="Calibri" w:eastAsia="Calibri" w:hAnsi="Calibri" w:cs="Calibri"/>
          <w:sz w:val="18"/>
          <w:szCs w:val="18"/>
          <w:lang w:eastAsia="en-GB" w:bidi="en-GB"/>
        </w:rPr>
        <w:t xml:space="preserve">. Cash tax increased by £2.6m to £4.2m due to a one-off change in </w:t>
      </w:r>
      <w:r w:rsidR="001B7302">
        <w:rPr>
          <w:rFonts w:ascii="Calibri" w:eastAsia="Calibri" w:hAnsi="Calibri" w:cs="Calibri"/>
          <w:sz w:val="18"/>
          <w:szCs w:val="18"/>
          <w:lang w:eastAsia="en-GB" w:bidi="en-GB"/>
        </w:rPr>
        <w:t>rules</w:t>
      </w:r>
      <w:r w:rsidRPr="00D1572A">
        <w:rPr>
          <w:rFonts w:ascii="Calibri" w:eastAsia="Calibri" w:hAnsi="Calibri" w:cs="Calibri"/>
          <w:sz w:val="18"/>
          <w:szCs w:val="18"/>
          <w:lang w:eastAsia="en-GB" w:bidi="en-GB"/>
        </w:rPr>
        <w:t xml:space="preserve"> for</w:t>
      </w:r>
      <w:r w:rsidR="001B7302">
        <w:rPr>
          <w:rFonts w:ascii="Calibri" w:eastAsia="Calibri" w:hAnsi="Calibri" w:cs="Calibri"/>
          <w:sz w:val="18"/>
          <w:szCs w:val="18"/>
          <w:lang w:eastAsia="en-GB" w:bidi="en-GB"/>
        </w:rPr>
        <w:t xml:space="preserve"> the timing of</w:t>
      </w:r>
      <w:r w:rsidRPr="00D1572A">
        <w:rPr>
          <w:rFonts w:ascii="Calibri" w:eastAsia="Calibri" w:hAnsi="Calibri" w:cs="Calibri"/>
          <w:sz w:val="18"/>
          <w:szCs w:val="18"/>
          <w:lang w:eastAsia="en-GB" w:bidi="en-GB"/>
        </w:rPr>
        <w:t xml:space="preserve"> UK corporation tax payments impacting H1 20</w:t>
      </w:r>
      <w:r w:rsidR="001B7302">
        <w:rPr>
          <w:rFonts w:ascii="Calibri" w:eastAsia="Calibri" w:hAnsi="Calibri" w:cs="Calibri"/>
          <w:sz w:val="18"/>
          <w:szCs w:val="18"/>
          <w:lang w:eastAsia="en-GB" w:bidi="en-GB"/>
        </w:rPr>
        <w:t>,</w:t>
      </w:r>
      <w:r w:rsidRPr="00D1572A">
        <w:rPr>
          <w:rFonts w:ascii="Calibri" w:eastAsia="Calibri" w:hAnsi="Calibri" w:cs="Calibri"/>
          <w:sz w:val="18"/>
          <w:szCs w:val="18"/>
          <w:lang w:eastAsia="en-GB" w:bidi="en-GB"/>
        </w:rPr>
        <w:t xml:space="preserve"> resulting in a cash tax rate in the period </w:t>
      </w:r>
      <w:r w:rsidR="001B7302">
        <w:rPr>
          <w:rFonts w:ascii="Calibri" w:eastAsia="Calibri" w:hAnsi="Calibri" w:cs="Calibri"/>
          <w:sz w:val="18"/>
          <w:szCs w:val="18"/>
          <w:lang w:eastAsia="en-GB" w:bidi="en-GB"/>
        </w:rPr>
        <w:t>of</w:t>
      </w:r>
      <w:r w:rsidRPr="00D1572A">
        <w:rPr>
          <w:rFonts w:ascii="Calibri" w:eastAsia="Calibri" w:hAnsi="Calibri" w:cs="Calibri"/>
          <w:sz w:val="18"/>
          <w:szCs w:val="18"/>
          <w:lang w:eastAsia="en-GB" w:bidi="en-GB"/>
        </w:rPr>
        <w:t xml:space="preserve"> 15.6% (H1 19: 4.7%). The cash tax rate for the Group is expected to rise towards the Group’s effective rate in the medium term as a result of increased profitability and a reduction in the degree to which UK losses may be utilised in any one year. The Group’s cash funding for defined benefit pension schemes was £</w:t>
      </w:r>
      <w:r w:rsidR="003746D3">
        <w:rPr>
          <w:rFonts w:ascii="Calibri" w:eastAsia="Calibri" w:hAnsi="Calibri" w:cs="Calibri"/>
          <w:sz w:val="18"/>
          <w:szCs w:val="18"/>
          <w:lang w:eastAsia="en-GB" w:bidi="en-GB"/>
        </w:rPr>
        <w:t>7.8</w:t>
      </w:r>
      <w:r w:rsidRPr="00D1572A">
        <w:rPr>
          <w:rFonts w:ascii="Calibri" w:eastAsia="Calibri" w:hAnsi="Calibri" w:cs="Calibri"/>
          <w:sz w:val="18"/>
          <w:szCs w:val="18"/>
          <w:lang w:eastAsia="en-GB" w:bidi="en-GB"/>
        </w:rPr>
        <w:t>m (</w:t>
      </w:r>
      <w:r w:rsidR="00BD5017">
        <w:rPr>
          <w:rFonts w:ascii="Calibri" w:eastAsia="Calibri" w:hAnsi="Calibri" w:cs="Calibri"/>
          <w:sz w:val="18"/>
          <w:szCs w:val="18"/>
          <w:lang w:eastAsia="en-GB" w:bidi="en-GB"/>
        </w:rPr>
        <w:t>H1 19</w:t>
      </w:r>
      <w:r w:rsidRPr="00D1572A">
        <w:rPr>
          <w:rFonts w:ascii="Calibri" w:eastAsia="Calibri" w:hAnsi="Calibri" w:cs="Calibri"/>
          <w:sz w:val="18"/>
          <w:szCs w:val="18"/>
          <w:lang w:eastAsia="en-GB" w:bidi="en-GB"/>
        </w:rPr>
        <w:t xml:space="preserve">: £8.0m). </w:t>
      </w:r>
    </w:p>
    <w:p w14:paraId="396456A2" w14:textId="6FB18B2C" w:rsidR="00D1572A" w:rsidRPr="00D1572A" w:rsidRDefault="00D1572A" w:rsidP="005B3BEE">
      <w:pPr>
        <w:widowControl w:val="0"/>
        <w:autoSpaceDE w:val="0"/>
        <w:autoSpaceDN w:val="0"/>
        <w:spacing w:after="120" w:line="240" w:lineRule="auto"/>
        <w:jc w:val="both"/>
        <w:rPr>
          <w:rFonts w:ascii="Calibri" w:eastAsia="Calibri" w:hAnsi="Calibri" w:cs="Calibri"/>
          <w:sz w:val="18"/>
          <w:szCs w:val="18"/>
          <w:lang w:eastAsia="en-GB" w:bidi="en-GB"/>
        </w:rPr>
      </w:pPr>
      <w:r w:rsidRPr="00D1572A">
        <w:rPr>
          <w:rFonts w:ascii="Calibri" w:eastAsia="Calibri" w:hAnsi="Calibri" w:cs="Calibri"/>
          <w:sz w:val="18"/>
          <w:szCs w:val="18"/>
          <w:lang w:eastAsia="en-GB" w:bidi="en-GB"/>
        </w:rPr>
        <w:t>These movements resulted in a Free Cash inflow of £</w:t>
      </w:r>
      <w:r w:rsidR="003746D3">
        <w:rPr>
          <w:rFonts w:ascii="Calibri" w:eastAsia="Calibri" w:hAnsi="Calibri" w:cs="Calibri"/>
          <w:sz w:val="18"/>
          <w:szCs w:val="18"/>
          <w:lang w:eastAsia="en-GB" w:bidi="en-GB"/>
        </w:rPr>
        <w:t>2.</w:t>
      </w:r>
      <w:r w:rsidR="00A72050">
        <w:rPr>
          <w:rFonts w:ascii="Calibri" w:eastAsia="Calibri" w:hAnsi="Calibri" w:cs="Calibri"/>
          <w:sz w:val="18"/>
          <w:szCs w:val="18"/>
          <w:lang w:eastAsia="en-GB" w:bidi="en-GB"/>
        </w:rPr>
        <w:t>6</w:t>
      </w:r>
      <w:r w:rsidRPr="00D1572A">
        <w:rPr>
          <w:rFonts w:ascii="Calibri" w:eastAsia="Calibri" w:hAnsi="Calibri" w:cs="Calibri"/>
          <w:sz w:val="18"/>
          <w:szCs w:val="18"/>
          <w:lang w:eastAsia="en-GB" w:bidi="en-GB"/>
        </w:rPr>
        <w:t>m compared to an outflow of £</w:t>
      </w:r>
      <w:r w:rsidR="00F601FE">
        <w:rPr>
          <w:rFonts w:ascii="Calibri" w:eastAsia="Calibri" w:hAnsi="Calibri" w:cs="Calibri"/>
          <w:sz w:val="18"/>
          <w:szCs w:val="18"/>
          <w:lang w:eastAsia="en-GB" w:bidi="en-GB"/>
        </w:rPr>
        <w:t>19.4</w:t>
      </w:r>
      <w:r w:rsidRPr="00D1572A">
        <w:rPr>
          <w:rFonts w:ascii="Calibri" w:eastAsia="Calibri" w:hAnsi="Calibri" w:cs="Calibri"/>
          <w:sz w:val="18"/>
          <w:szCs w:val="18"/>
          <w:lang w:eastAsia="en-GB" w:bidi="en-GB"/>
        </w:rPr>
        <w:t xml:space="preserve">m in H1 19 driven by lower working capital outflows, </w:t>
      </w:r>
      <w:r w:rsidR="003669E7">
        <w:rPr>
          <w:rFonts w:ascii="Calibri" w:eastAsia="Calibri" w:hAnsi="Calibri" w:cs="Calibri"/>
          <w:sz w:val="18"/>
          <w:szCs w:val="18"/>
          <w:lang w:eastAsia="en-GB" w:bidi="en-GB"/>
        </w:rPr>
        <w:t xml:space="preserve">a </w:t>
      </w:r>
      <w:r w:rsidRPr="00D1572A">
        <w:rPr>
          <w:rFonts w:ascii="Calibri" w:eastAsia="Calibri" w:hAnsi="Calibri" w:cs="Calibri"/>
          <w:sz w:val="18"/>
          <w:szCs w:val="18"/>
          <w:lang w:eastAsia="en-GB" w:bidi="en-GB"/>
        </w:rPr>
        <w:t>decrease in exceptional cash flows</w:t>
      </w:r>
      <w:r w:rsidR="00F601FE">
        <w:rPr>
          <w:rFonts w:ascii="Calibri" w:eastAsia="Calibri" w:hAnsi="Calibri" w:cs="Calibri"/>
          <w:sz w:val="18"/>
          <w:szCs w:val="18"/>
          <w:lang w:eastAsia="en-GB" w:bidi="en-GB"/>
        </w:rPr>
        <w:t>, and the non-recurrence of cash outflows associated with discontinued operations</w:t>
      </w:r>
      <w:r w:rsidRPr="00D1572A">
        <w:rPr>
          <w:rFonts w:ascii="Calibri" w:eastAsia="Calibri" w:hAnsi="Calibri" w:cs="Calibri"/>
          <w:sz w:val="18"/>
          <w:szCs w:val="18"/>
          <w:lang w:eastAsia="en-GB" w:bidi="en-GB"/>
        </w:rPr>
        <w:t>.</w:t>
      </w:r>
      <w:r w:rsidR="00F601FE" w:rsidRPr="00D1572A" w:rsidDel="00F601FE">
        <w:rPr>
          <w:rFonts w:ascii="Calibri" w:eastAsia="Calibri" w:hAnsi="Calibri" w:cs="Calibri"/>
          <w:sz w:val="18"/>
          <w:szCs w:val="18"/>
          <w:lang w:eastAsia="en-GB" w:bidi="en-GB"/>
        </w:rPr>
        <w:t xml:space="preserve"> </w:t>
      </w:r>
    </w:p>
    <w:p w14:paraId="451CFB54" w14:textId="0934FA31" w:rsidR="00D1572A" w:rsidRPr="00D1572A" w:rsidRDefault="00D1572A" w:rsidP="005B3BEE">
      <w:pPr>
        <w:widowControl w:val="0"/>
        <w:autoSpaceDE w:val="0"/>
        <w:autoSpaceDN w:val="0"/>
        <w:spacing w:after="120" w:line="240" w:lineRule="auto"/>
        <w:jc w:val="both"/>
        <w:rPr>
          <w:rFonts w:ascii="Calibri" w:eastAsia="Calibri" w:hAnsi="Calibri" w:cs="Calibri"/>
          <w:sz w:val="18"/>
          <w:szCs w:val="18"/>
          <w:lang w:eastAsia="en-GB" w:bidi="en-GB"/>
        </w:rPr>
      </w:pPr>
      <w:r w:rsidRPr="00D1572A">
        <w:rPr>
          <w:rFonts w:ascii="Calibri" w:eastAsia="Calibri" w:hAnsi="Calibri" w:cs="Calibri"/>
          <w:sz w:val="18"/>
          <w:szCs w:val="18"/>
          <w:lang w:eastAsia="en-GB" w:bidi="en-GB"/>
        </w:rPr>
        <w:t>In H1 20, the Group incurred strategic capital expenditure of £</w:t>
      </w:r>
      <w:r w:rsidR="003746D3">
        <w:rPr>
          <w:rFonts w:ascii="Calibri" w:eastAsia="Calibri" w:hAnsi="Calibri" w:cs="Calibri"/>
          <w:sz w:val="18"/>
          <w:szCs w:val="18"/>
          <w:lang w:eastAsia="en-GB" w:bidi="en-GB"/>
        </w:rPr>
        <w:t>9.</w:t>
      </w:r>
      <w:r w:rsidR="00A72050">
        <w:rPr>
          <w:rFonts w:ascii="Calibri" w:eastAsia="Calibri" w:hAnsi="Calibri" w:cs="Calibri"/>
          <w:sz w:val="18"/>
          <w:szCs w:val="18"/>
          <w:lang w:eastAsia="en-GB" w:bidi="en-GB"/>
        </w:rPr>
        <w:t>9</w:t>
      </w:r>
      <w:r w:rsidRPr="00D1572A">
        <w:rPr>
          <w:rFonts w:ascii="Calibri" w:eastAsia="Calibri" w:hAnsi="Calibri" w:cs="Calibri"/>
          <w:sz w:val="18"/>
          <w:szCs w:val="18"/>
          <w:lang w:eastAsia="en-GB" w:bidi="en-GB"/>
        </w:rPr>
        <w:t>m (H1 19: £</w:t>
      </w:r>
      <w:r w:rsidR="005E5BD2">
        <w:rPr>
          <w:rFonts w:ascii="Calibri" w:eastAsia="Calibri" w:hAnsi="Calibri" w:cs="Calibri"/>
          <w:sz w:val="18"/>
          <w:szCs w:val="18"/>
          <w:lang w:eastAsia="en-GB" w:bidi="en-GB"/>
        </w:rPr>
        <w:t>6.1</w:t>
      </w:r>
      <w:r w:rsidRPr="00D1572A">
        <w:rPr>
          <w:rFonts w:ascii="Calibri" w:eastAsia="Calibri" w:hAnsi="Calibri" w:cs="Calibri"/>
          <w:sz w:val="18"/>
          <w:szCs w:val="18"/>
          <w:lang w:eastAsia="en-GB" w:bidi="en-GB"/>
        </w:rPr>
        <w:t>m including £1.2m on discontinued operations)</w:t>
      </w:r>
    </w:p>
    <w:p w14:paraId="2A2D3F08" w14:textId="506EF028" w:rsidR="00D1572A" w:rsidRPr="00D1572A" w:rsidRDefault="00F601FE" w:rsidP="005B3BEE">
      <w:pPr>
        <w:widowControl w:val="0"/>
        <w:autoSpaceDE w:val="0"/>
        <w:autoSpaceDN w:val="0"/>
        <w:spacing w:after="120" w:line="240" w:lineRule="auto"/>
        <w:jc w:val="both"/>
        <w:rPr>
          <w:rFonts w:ascii="Calibri" w:eastAsia="Calibri" w:hAnsi="Calibri" w:cs="Calibri"/>
          <w:sz w:val="18"/>
          <w:szCs w:val="18"/>
          <w:lang w:eastAsia="en-GB" w:bidi="en-GB"/>
        </w:rPr>
      </w:pPr>
      <w:r w:rsidRPr="00D1572A">
        <w:rPr>
          <w:rFonts w:ascii="Calibri" w:eastAsia="Calibri" w:hAnsi="Calibri" w:cs="Calibri"/>
          <w:sz w:val="18"/>
          <w:szCs w:val="18"/>
          <w:lang w:eastAsia="en-GB" w:bidi="en-GB"/>
        </w:rPr>
        <w:t>Equity dividend cash payments decreased significantly to £16.7m (H1 19: £39.4m)</w:t>
      </w:r>
      <w:r>
        <w:rPr>
          <w:rFonts w:ascii="Calibri" w:eastAsia="Calibri" w:hAnsi="Calibri" w:cs="Calibri"/>
          <w:sz w:val="18"/>
          <w:szCs w:val="18"/>
          <w:lang w:eastAsia="en-GB" w:bidi="en-GB"/>
        </w:rPr>
        <w:t xml:space="preserve">. The H1 20 payment was made on a reduced number of shares, reflecting the impact of the Group’s tender offer which was executed in January 2019. The </w:t>
      </w:r>
      <w:r w:rsidRPr="00D1572A">
        <w:rPr>
          <w:rFonts w:ascii="Calibri" w:eastAsia="Calibri" w:hAnsi="Calibri" w:cs="Calibri"/>
          <w:sz w:val="18"/>
          <w:szCs w:val="18"/>
          <w:lang w:eastAsia="en-GB" w:bidi="en-GB"/>
        </w:rPr>
        <w:t xml:space="preserve">prior year </w:t>
      </w:r>
      <w:r>
        <w:rPr>
          <w:rFonts w:ascii="Calibri" w:eastAsia="Calibri" w:hAnsi="Calibri" w:cs="Calibri"/>
          <w:sz w:val="18"/>
          <w:szCs w:val="18"/>
          <w:lang w:eastAsia="en-GB" w:bidi="en-GB"/>
        </w:rPr>
        <w:t xml:space="preserve">period also included </w:t>
      </w:r>
      <w:r w:rsidRPr="00D1572A">
        <w:rPr>
          <w:rFonts w:ascii="Calibri" w:eastAsia="Calibri" w:hAnsi="Calibri" w:cs="Calibri"/>
          <w:sz w:val="18"/>
          <w:szCs w:val="18"/>
          <w:lang w:eastAsia="en-GB" w:bidi="en-GB"/>
        </w:rPr>
        <w:t>the change in the phasing of dividend cash payments resulting from the removal of the scrip dividend option</w:t>
      </w:r>
      <w:r>
        <w:rPr>
          <w:rFonts w:ascii="Calibri" w:eastAsia="Calibri" w:hAnsi="Calibri" w:cs="Calibri"/>
          <w:sz w:val="18"/>
          <w:szCs w:val="18"/>
          <w:lang w:eastAsia="en-GB" w:bidi="en-GB"/>
        </w:rPr>
        <w:t xml:space="preserve"> (both the interim and final dividend for FY18 were paid during H1 19)</w:t>
      </w:r>
      <w:r w:rsidRPr="00D1572A">
        <w:rPr>
          <w:rFonts w:ascii="Calibri" w:eastAsia="Calibri" w:hAnsi="Calibri" w:cs="Calibri"/>
          <w:sz w:val="18"/>
          <w:szCs w:val="18"/>
          <w:lang w:eastAsia="en-GB" w:bidi="en-GB"/>
        </w:rPr>
        <w:t>.</w:t>
      </w:r>
    </w:p>
    <w:p w14:paraId="080A471C" w14:textId="5E86F111" w:rsidR="00D1572A" w:rsidRPr="00D1572A" w:rsidRDefault="00D1572A" w:rsidP="005B3BEE">
      <w:pPr>
        <w:widowControl w:val="0"/>
        <w:autoSpaceDE w:val="0"/>
        <w:autoSpaceDN w:val="0"/>
        <w:spacing w:after="120" w:line="240" w:lineRule="auto"/>
        <w:jc w:val="both"/>
        <w:rPr>
          <w:rFonts w:ascii="Calibri" w:eastAsia="Calibri" w:hAnsi="Calibri" w:cs="Calibri"/>
          <w:sz w:val="18"/>
          <w:szCs w:val="18"/>
          <w:lang w:eastAsia="en-GB" w:bidi="en-GB"/>
        </w:rPr>
      </w:pPr>
      <w:r w:rsidRPr="00D1572A">
        <w:rPr>
          <w:rFonts w:ascii="Calibri" w:eastAsia="Calibri" w:hAnsi="Calibri" w:cs="Calibri"/>
          <w:sz w:val="18"/>
          <w:szCs w:val="18"/>
          <w:lang w:eastAsia="en-GB" w:bidi="en-GB"/>
        </w:rPr>
        <w:t>The Group’s Net Debt at 27 March 2020 was £374.</w:t>
      </w:r>
      <w:r w:rsidR="0019701F">
        <w:rPr>
          <w:rFonts w:ascii="Calibri" w:eastAsia="Calibri" w:hAnsi="Calibri" w:cs="Calibri"/>
          <w:sz w:val="18"/>
          <w:szCs w:val="18"/>
          <w:lang w:eastAsia="en-GB" w:bidi="en-GB"/>
        </w:rPr>
        <w:t>4</w:t>
      </w:r>
      <w:r w:rsidRPr="00D1572A">
        <w:rPr>
          <w:rFonts w:ascii="Calibri" w:eastAsia="Calibri" w:hAnsi="Calibri" w:cs="Calibri"/>
          <w:sz w:val="18"/>
          <w:szCs w:val="18"/>
          <w:lang w:eastAsia="en-GB" w:bidi="en-GB"/>
        </w:rPr>
        <w:t>m, an increase of £90.</w:t>
      </w:r>
      <w:r w:rsidR="0034411F">
        <w:rPr>
          <w:rFonts w:ascii="Calibri" w:eastAsia="Calibri" w:hAnsi="Calibri" w:cs="Calibri"/>
          <w:sz w:val="18"/>
          <w:szCs w:val="18"/>
          <w:lang w:eastAsia="en-GB" w:bidi="en-GB"/>
        </w:rPr>
        <w:t>3</w:t>
      </w:r>
      <w:r w:rsidRPr="00D1572A">
        <w:rPr>
          <w:rFonts w:ascii="Calibri" w:eastAsia="Calibri" w:hAnsi="Calibri" w:cs="Calibri"/>
          <w:sz w:val="18"/>
          <w:szCs w:val="18"/>
          <w:lang w:eastAsia="en-GB" w:bidi="en-GB"/>
        </w:rPr>
        <w:t xml:space="preserve">m compared to </w:t>
      </w:r>
      <w:r w:rsidR="003669E7">
        <w:rPr>
          <w:rFonts w:ascii="Calibri" w:eastAsia="Calibri" w:hAnsi="Calibri" w:cs="Calibri"/>
          <w:sz w:val="18"/>
          <w:szCs w:val="18"/>
          <w:lang w:eastAsia="en-GB" w:bidi="en-GB"/>
        </w:rPr>
        <w:t xml:space="preserve">the </w:t>
      </w:r>
      <w:r w:rsidRPr="00D1572A">
        <w:rPr>
          <w:rFonts w:ascii="Calibri" w:eastAsia="Calibri" w:hAnsi="Calibri" w:cs="Calibri"/>
          <w:sz w:val="18"/>
          <w:szCs w:val="18"/>
          <w:lang w:eastAsia="en-GB" w:bidi="en-GB"/>
        </w:rPr>
        <w:t xml:space="preserve">prior </w:t>
      </w:r>
      <w:r w:rsidR="003669E7">
        <w:rPr>
          <w:rFonts w:ascii="Calibri" w:eastAsia="Calibri" w:hAnsi="Calibri" w:cs="Calibri"/>
          <w:sz w:val="18"/>
          <w:szCs w:val="18"/>
          <w:lang w:eastAsia="en-GB" w:bidi="en-GB"/>
        </w:rPr>
        <w:t xml:space="preserve">year </w:t>
      </w:r>
      <w:r w:rsidRPr="00D1572A">
        <w:rPr>
          <w:rFonts w:ascii="Calibri" w:eastAsia="Calibri" w:hAnsi="Calibri" w:cs="Calibri"/>
          <w:sz w:val="18"/>
          <w:szCs w:val="18"/>
          <w:lang w:eastAsia="en-GB" w:bidi="en-GB"/>
        </w:rPr>
        <w:t>period, primarily driven by IFRS 16 lease obligations of £63.</w:t>
      </w:r>
      <w:r w:rsidR="005E5BD2">
        <w:rPr>
          <w:rFonts w:ascii="Calibri" w:eastAsia="Calibri" w:hAnsi="Calibri" w:cs="Calibri"/>
          <w:sz w:val="18"/>
          <w:szCs w:val="18"/>
          <w:lang w:eastAsia="en-GB" w:bidi="en-GB"/>
        </w:rPr>
        <w:t>3</w:t>
      </w:r>
      <w:r w:rsidRPr="00D1572A">
        <w:rPr>
          <w:rFonts w:ascii="Calibri" w:eastAsia="Calibri" w:hAnsi="Calibri" w:cs="Calibri"/>
          <w:sz w:val="18"/>
          <w:szCs w:val="18"/>
          <w:lang w:eastAsia="en-GB" w:bidi="en-GB"/>
        </w:rPr>
        <w:t>m and the acquisition of Freshtime in September 2019.</w:t>
      </w:r>
    </w:p>
    <w:p w14:paraId="0D56B479" w14:textId="77777777" w:rsidR="004F5F1D" w:rsidRPr="004F5F1D" w:rsidRDefault="004F5F1D" w:rsidP="005B3BEE">
      <w:pPr>
        <w:pStyle w:val="SectionH3"/>
      </w:pPr>
      <w:r w:rsidRPr="004F5F1D">
        <w:t xml:space="preserve">Financing </w:t>
      </w:r>
    </w:p>
    <w:p w14:paraId="3AB228CE" w14:textId="79DAF915" w:rsidR="008B4F3E" w:rsidRPr="008B4F3E" w:rsidRDefault="00F601FE" w:rsidP="005B3BEE">
      <w:pPr>
        <w:widowControl w:val="0"/>
        <w:autoSpaceDE w:val="0"/>
        <w:autoSpaceDN w:val="0"/>
        <w:spacing w:after="120" w:line="240" w:lineRule="auto"/>
        <w:jc w:val="both"/>
        <w:rPr>
          <w:rFonts w:ascii="Calibri" w:eastAsia="Calibri" w:hAnsi="Calibri" w:cs="Calibri"/>
          <w:sz w:val="18"/>
          <w:szCs w:val="18"/>
          <w:lang w:eastAsia="en-GB" w:bidi="en-GB"/>
        </w:rPr>
      </w:pPr>
      <w:bookmarkStart w:id="1" w:name="_Hlk38961856"/>
      <w:r w:rsidRPr="008F4B40">
        <w:rPr>
          <w:rFonts w:ascii="Calibri" w:eastAsia="Calibri" w:hAnsi="Calibri" w:cs="Calibri"/>
          <w:sz w:val="18"/>
          <w:szCs w:val="18"/>
          <w:lang w:eastAsia="en-GB" w:bidi="en-GB"/>
        </w:rPr>
        <w:t>In the period the Group extended the maturity of its £340m committed bank facility by one year to</w:t>
      </w:r>
      <w:r w:rsidR="00C85635">
        <w:rPr>
          <w:rFonts w:ascii="Calibri" w:eastAsia="Calibri" w:hAnsi="Calibri" w:cs="Calibri"/>
          <w:sz w:val="18"/>
          <w:szCs w:val="18"/>
          <w:lang w:eastAsia="en-GB" w:bidi="en-GB"/>
        </w:rPr>
        <w:t xml:space="preserve"> 2025</w:t>
      </w:r>
      <w:r>
        <w:rPr>
          <w:rFonts w:ascii="Calibri" w:eastAsia="Calibri" w:hAnsi="Calibri" w:cs="Calibri"/>
          <w:sz w:val="18"/>
          <w:szCs w:val="18"/>
          <w:lang w:eastAsia="en-GB" w:bidi="en-GB"/>
        </w:rPr>
        <w:t>. It also</w:t>
      </w:r>
      <w:r w:rsidRPr="008F4B40">
        <w:rPr>
          <w:rFonts w:ascii="Calibri" w:eastAsia="Calibri" w:hAnsi="Calibri" w:cs="Calibri"/>
          <w:sz w:val="18"/>
          <w:szCs w:val="18"/>
          <w:lang w:eastAsia="en-GB" w:bidi="en-GB"/>
        </w:rPr>
        <w:t xml:space="preserve"> secured an additional £75m committed debt facility which matures in March 2021. The Group had cash and undrawn committed facilities of £267.5m at 27 March 2020</w:t>
      </w:r>
      <w:r>
        <w:rPr>
          <w:rFonts w:ascii="Calibri" w:eastAsia="Calibri" w:hAnsi="Calibri" w:cs="Calibri"/>
          <w:sz w:val="18"/>
          <w:szCs w:val="18"/>
          <w:lang w:eastAsia="en-GB" w:bidi="en-GB"/>
        </w:rPr>
        <w:t xml:space="preserve">, compared to </w:t>
      </w:r>
      <w:r w:rsidRPr="008F4B40">
        <w:rPr>
          <w:rFonts w:ascii="Calibri" w:eastAsia="Calibri" w:hAnsi="Calibri" w:cs="Calibri"/>
          <w:sz w:val="18"/>
          <w:szCs w:val="18"/>
          <w:lang w:eastAsia="en-GB" w:bidi="en-GB"/>
        </w:rPr>
        <w:t>£</w:t>
      </w:r>
      <w:r w:rsidR="00351342">
        <w:rPr>
          <w:rFonts w:ascii="Calibri" w:eastAsia="Calibri" w:hAnsi="Calibri" w:cs="Calibri"/>
          <w:sz w:val="18"/>
          <w:szCs w:val="18"/>
          <w:lang w:eastAsia="en-GB" w:bidi="en-GB"/>
        </w:rPr>
        <w:t>216.6</w:t>
      </w:r>
      <w:r w:rsidRPr="008F4B40">
        <w:rPr>
          <w:rFonts w:ascii="Calibri" w:eastAsia="Calibri" w:hAnsi="Calibri" w:cs="Calibri"/>
          <w:sz w:val="18"/>
          <w:szCs w:val="18"/>
          <w:lang w:eastAsia="en-GB" w:bidi="en-GB"/>
        </w:rPr>
        <w:t>m</w:t>
      </w:r>
      <w:r>
        <w:rPr>
          <w:rFonts w:ascii="Calibri" w:eastAsia="Calibri" w:hAnsi="Calibri" w:cs="Calibri"/>
          <w:sz w:val="18"/>
          <w:szCs w:val="18"/>
          <w:lang w:eastAsia="en-GB" w:bidi="en-GB"/>
        </w:rPr>
        <w:t xml:space="preserve"> as at 27 September 2019</w:t>
      </w:r>
      <w:r w:rsidRPr="008F4B40">
        <w:rPr>
          <w:rFonts w:ascii="Calibri" w:eastAsia="Calibri" w:hAnsi="Calibri" w:cs="Calibri"/>
          <w:sz w:val="18"/>
          <w:szCs w:val="18"/>
          <w:lang w:eastAsia="en-GB" w:bidi="en-GB"/>
        </w:rPr>
        <w:t>.</w:t>
      </w:r>
    </w:p>
    <w:p w14:paraId="5BE6592F" w14:textId="609287A6" w:rsidR="00124466" w:rsidRPr="003C7BC3" w:rsidRDefault="00124466" w:rsidP="005B3BEE">
      <w:pPr>
        <w:widowControl w:val="0"/>
        <w:autoSpaceDE w:val="0"/>
        <w:autoSpaceDN w:val="0"/>
        <w:spacing w:after="120" w:line="240" w:lineRule="auto"/>
        <w:jc w:val="both"/>
        <w:rPr>
          <w:rFonts w:ascii="Calibri" w:eastAsia="Calibri" w:hAnsi="Calibri" w:cs="Arial"/>
          <w:sz w:val="18"/>
          <w:szCs w:val="18"/>
          <w:lang w:eastAsia="en-GB" w:bidi="en-GB"/>
        </w:rPr>
      </w:pPr>
      <w:r w:rsidRPr="008B4F3E">
        <w:rPr>
          <w:rFonts w:ascii="Calibri" w:eastAsia="Calibri" w:hAnsi="Calibri" w:cs="Calibri"/>
          <w:sz w:val="18"/>
          <w:szCs w:val="18"/>
          <w:lang w:eastAsia="en-GB" w:bidi="en-GB"/>
        </w:rPr>
        <w:t>As at 27 March 2020 the Group’s committed facilities had a weighted average maturity of 3.8 years and comprised:</w:t>
      </w:r>
    </w:p>
    <w:p w14:paraId="2EF8380B" w14:textId="77777777" w:rsidR="00124466" w:rsidRPr="009A0CE8" w:rsidRDefault="00124466" w:rsidP="00E168F7">
      <w:pPr>
        <w:widowControl w:val="0"/>
        <w:numPr>
          <w:ilvl w:val="0"/>
          <w:numId w:val="30"/>
        </w:numPr>
        <w:autoSpaceDE w:val="0"/>
        <w:autoSpaceDN w:val="0"/>
        <w:spacing w:after="0" w:line="240" w:lineRule="auto"/>
        <w:jc w:val="both"/>
        <w:rPr>
          <w:rFonts w:ascii="Calibri" w:eastAsia="Calibri" w:hAnsi="Calibri" w:cs="Arial"/>
          <w:sz w:val="18"/>
          <w:szCs w:val="18"/>
          <w:lang w:eastAsia="en-GB" w:bidi="en-GB"/>
        </w:rPr>
      </w:pPr>
      <w:r w:rsidRPr="009A0CE8">
        <w:rPr>
          <w:rFonts w:ascii="Calibri" w:eastAsia="Calibri" w:hAnsi="Calibri" w:cs="Arial"/>
          <w:sz w:val="18"/>
          <w:szCs w:val="18"/>
          <w:lang w:eastAsia="en-GB" w:bidi="en-GB"/>
        </w:rPr>
        <w:t>A £340m revolving credit bank facility with a maturity date of January 2025.</w:t>
      </w:r>
    </w:p>
    <w:p w14:paraId="038ABAEB" w14:textId="77777777" w:rsidR="00124466" w:rsidRPr="009A0CE8" w:rsidRDefault="00124466" w:rsidP="00E168F7">
      <w:pPr>
        <w:widowControl w:val="0"/>
        <w:numPr>
          <w:ilvl w:val="0"/>
          <w:numId w:val="30"/>
        </w:numPr>
        <w:autoSpaceDE w:val="0"/>
        <w:autoSpaceDN w:val="0"/>
        <w:spacing w:after="0" w:line="240" w:lineRule="auto"/>
        <w:jc w:val="both"/>
        <w:rPr>
          <w:rFonts w:ascii="Calibri" w:eastAsia="Calibri" w:hAnsi="Calibri" w:cs="Arial"/>
          <w:sz w:val="18"/>
          <w:szCs w:val="18"/>
          <w:lang w:eastAsia="en-GB" w:bidi="en-GB"/>
        </w:rPr>
      </w:pPr>
      <w:r w:rsidRPr="009A0CE8">
        <w:rPr>
          <w:rFonts w:ascii="Calibri" w:eastAsia="Calibri" w:hAnsi="Calibri" w:cs="Arial"/>
          <w:sz w:val="18"/>
          <w:szCs w:val="18"/>
          <w:lang w:eastAsia="en-GB" w:bidi="en-GB"/>
        </w:rPr>
        <w:t>A £50m bilateral bank facility with a maturity date of January 2022.</w:t>
      </w:r>
    </w:p>
    <w:p w14:paraId="7C317055" w14:textId="02D2DCF4" w:rsidR="00124466" w:rsidRPr="009A0CE8" w:rsidRDefault="00124466" w:rsidP="00E168F7">
      <w:pPr>
        <w:widowControl w:val="0"/>
        <w:numPr>
          <w:ilvl w:val="0"/>
          <w:numId w:val="30"/>
        </w:numPr>
        <w:autoSpaceDE w:val="0"/>
        <w:autoSpaceDN w:val="0"/>
        <w:spacing w:after="0" w:line="240" w:lineRule="auto"/>
        <w:jc w:val="both"/>
        <w:rPr>
          <w:rFonts w:ascii="Calibri" w:eastAsia="Calibri" w:hAnsi="Calibri" w:cs="Arial"/>
          <w:sz w:val="18"/>
          <w:szCs w:val="18"/>
          <w:lang w:eastAsia="en-GB" w:bidi="en-GB"/>
        </w:rPr>
      </w:pPr>
      <w:r w:rsidRPr="009A0CE8">
        <w:rPr>
          <w:rFonts w:ascii="Calibri" w:eastAsia="Calibri" w:hAnsi="Calibri" w:cs="Arial"/>
          <w:sz w:val="18"/>
          <w:szCs w:val="18"/>
          <w:lang w:eastAsia="en-GB" w:bidi="en-GB"/>
        </w:rPr>
        <w:t>£114.9m of outstanding Private Placement notes with maturities ranging between October 2021 and June 2026.</w:t>
      </w:r>
    </w:p>
    <w:p w14:paraId="0FAF581B" w14:textId="77777777" w:rsidR="00124466" w:rsidRPr="009A0CE8" w:rsidRDefault="00124466" w:rsidP="00E168F7">
      <w:pPr>
        <w:widowControl w:val="0"/>
        <w:numPr>
          <w:ilvl w:val="0"/>
          <w:numId w:val="30"/>
        </w:numPr>
        <w:autoSpaceDE w:val="0"/>
        <w:autoSpaceDN w:val="0"/>
        <w:spacing w:after="0" w:line="240" w:lineRule="auto"/>
        <w:jc w:val="both"/>
        <w:rPr>
          <w:rFonts w:ascii="Calibri" w:eastAsia="Calibri" w:hAnsi="Calibri" w:cs="Arial"/>
          <w:sz w:val="18"/>
          <w:szCs w:val="18"/>
          <w:lang w:eastAsia="en-GB" w:bidi="en-GB"/>
        </w:rPr>
      </w:pPr>
      <w:r w:rsidRPr="009A0CE8">
        <w:rPr>
          <w:rFonts w:ascii="Calibri" w:eastAsia="Calibri" w:hAnsi="Calibri" w:cs="Arial"/>
          <w:sz w:val="18"/>
          <w:szCs w:val="18"/>
          <w:lang w:eastAsia="en-GB" w:bidi="en-GB"/>
        </w:rPr>
        <w:t>A revolving credit bank facility of £75m, with a maturity date of March 2021.</w:t>
      </w:r>
    </w:p>
    <w:bookmarkEnd w:id="1"/>
    <w:p w14:paraId="54D3B496" w14:textId="6ED0035E" w:rsidR="009C6F05" w:rsidRPr="00B52070" w:rsidRDefault="009C6F05" w:rsidP="005B3BEE">
      <w:pPr>
        <w:pStyle w:val="Paragraph"/>
        <w:spacing w:before="120" w:after="120"/>
        <w:jc w:val="both"/>
      </w:pPr>
      <w:r w:rsidRPr="00B52070">
        <w:t>In addition, the Group has </w:t>
      </w:r>
      <w:r w:rsidR="000727B8" w:rsidRPr="00B52070">
        <w:t>receive</w:t>
      </w:r>
      <w:r w:rsidR="00000B37">
        <w:t>d</w:t>
      </w:r>
      <w:r w:rsidR="000727B8" w:rsidRPr="00B52070">
        <w:t xml:space="preserve"> eligibility, in principle, to access funding</w:t>
      </w:r>
      <w:r w:rsidRPr="00B52070">
        <w:t xml:space="preserve"> under the </w:t>
      </w:r>
      <w:proofErr w:type="spellStart"/>
      <w:r w:rsidRPr="00B52070">
        <w:t>Covid</w:t>
      </w:r>
      <w:proofErr w:type="spellEnd"/>
      <w:r w:rsidRPr="00B52070">
        <w:t xml:space="preserve"> Corporate Financing Facility (CCFF).</w:t>
      </w:r>
    </w:p>
    <w:p w14:paraId="11EC68EA" w14:textId="77777777" w:rsidR="00000B37" w:rsidRDefault="00000B37" w:rsidP="005B3BEE">
      <w:pPr>
        <w:pStyle w:val="SectionH3"/>
        <w:rPr>
          <w:rFonts w:eastAsia="Times New Roman"/>
        </w:rPr>
      </w:pPr>
    </w:p>
    <w:p w14:paraId="44DD8F65" w14:textId="77777777" w:rsidR="00000B37" w:rsidRDefault="00000B37" w:rsidP="005B3BEE">
      <w:pPr>
        <w:pStyle w:val="SectionH3"/>
        <w:rPr>
          <w:rFonts w:eastAsia="Times New Roman"/>
        </w:rPr>
      </w:pPr>
    </w:p>
    <w:p w14:paraId="68F07620" w14:textId="35818524" w:rsidR="004F5F1D" w:rsidRPr="004F5F1D" w:rsidRDefault="004F5F1D" w:rsidP="005B3BEE">
      <w:pPr>
        <w:pStyle w:val="SectionH3"/>
        <w:rPr>
          <w:rFonts w:eastAsia="Times New Roman"/>
        </w:rPr>
      </w:pPr>
      <w:r w:rsidRPr="009A0CE8">
        <w:rPr>
          <w:rFonts w:eastAsia="Times New Roman"/>
        </w:rPr>
        <w:lastRenderedPageBreak/>
        <w:t>Pensions</w:t>
      </w:r>
    </w:p>
    <w:p w14:paraId="6BF090B9" w14:textId="77777777" w:rsidR="008F4B40" w:rsidRPr="008D6BE3" w:rsidRDefault="008F4B40" w:rsidP="008B4F3E">
      <w:pPr>
        <w:pStyle w:val="Default"/>
        <w:spacing w:after="120"/>
        <w:jc w:val="both"/>
        <w:rPr>
          <w:rFonts w:ascii="Calibri" w:eastAsia="Calibri" w:hAnsi="Calibri" w:cs="Calibri"/>
          <w:sz w:val="18"/>
          <w:szCs w:val="18"/>
          <w:lang w:eastAsia="en-GB" w:bidi="en-GB"/>
        </w:rPr>
      </w:pPr>
      <w:r w:rsidRPr="008D6BE3">
        <w:rPr>
          <w:rFonts w:ascii="Calibri" w:eastAsia="Calibri" w:hAnsi="Calibri" w:cs="Calibri"/>
          <w:sz w:val="18"/>
          <w:szCs w:val="18"/>
          <w:lang w:val="en-GB" w:eastAsia="en-GB" w:bidi="en-GB"/>
        </w:rPr>
        <w:t>All legacy defined benefit pension schemes are closed to future accrual. The net pension deficit relating to legacy defined pension schemes, before related deferred tax, at 27 March 2020 was £52.3m, £39.7m lower than the position at 27 September 2019. The net pension deficit after related deferred tax was £39.2m, a decrease of £35.6m from 27 September 2019. The decrease in net pension deficit was driven principally by a decrease in UK scheme liabilities, resulting in a £32.0m actuarial gain, as relevant bond yield assumptions increased offset by a reduction in the return on scheme assets following the impact of COVID-19 on capital markets in March</w:t>
      </w:r>
      <w:r w:rsidR="00F601FE" w:rsidRPr="008D6BE3">
        <w:rPr>
          <w:rFonts w:ascii="Calibri" w:eastAsia="Calibri" w:hAnsi="Calibri" w:cs="Calibri"/>
          <w:sz w:val="18"/>
          <w:szCs w:val="18"/>
          <w:lang w:val="en-GB" w:eastAsia="en-GB" w:bidi="en-GB"/>
        </w:rPr>
        <w:t xml:space="preserve"> 2020</w:t>
      </w:r>
      <w:r w:rsidRPr="008D6BE3">
        <w:rPr>
          <w:rFonts w:ascii="Calibri" w:eastAsia="Calibri" w:hAnsi="Calibri" w:cs="Calibri"/>
          <w:sz w:val="18"/>
          <w:szCs w:val="18"/>
          <w:lang w:val="en-GB" w:eastAsia="en-GB" w:bidi="en-GB"/>
        </w:rPr>
        <w:t>.</w:t>
      </w:r>
    </w:p>
    <w:p w14:paraId="06ED0704" w14:textId="77777777" w:rsidR="00665CB5" w:rsidRPr="00665CB5" w:rsidRDefault="008F4B40" w:rsidP="008B4F3E">
      <w:pPr>
        <w:pStyle w:val="Default"/>
        <w:spacing w:after="120"/>
        <w:jc w:val="both"/>
        <w:rPr>
          <w:rFonts w:ascii="Calibri" w:eastAsia="Calibri" w:hAnsi="Calibri" w:cs="Calibri"/>
          <w:sz w:val="18"/>
          <w:szCs w:val="18"/>
          <w:lang w:eastAsia="en-GB" w:bidi="en-GB"/>
        </w:rPr>
      </w:pPr>
      <w:r w:rsidRPr="008F4B40">
        <w:rPr>
          <w:rFonts w:ascii="Calibri" w:eastAsia="Calibri" w:hAnsi="Calibri" w:cs="Calibri"/>
          <w:sz w:val="18"/>
          <w:szCs w:val="18"/>
          <w:lang w:val="en-GB" w:eastAsia="en-GB" w:bidi="en-GB"/>
        </w:rPr>
        <w:t xml:space="preserve">The valuations and funding obligations of the Group’s legacy defined benefit pension schemes are assessed on a triennial basis with the relevant trustees. Following the most recent reviews, the Group’s annual cash funding requirement for defined benefit pension schemes is approximately £15m. The Group is assessing opportunities to further de-risk liabilities, that if implemented, could modestly increase annual cash funding requirements. </w:t>
      </w:r>
      <w:r w:rsidR="00665CB5" w:rsidRPr="00D1572A">
        <w:rPr>
          <w:rFonts w:ascii="Calibri" w:eastAsia="Calibri" w:hAnsi="Calibri" w:cs="Calibri"/>
          <w:sz w:val="18"/>
          <w:szCs w:val="18"/>
          <w:lang w:eastAsia="en-GB" w:bidi="en-GB"/>
        </w:rPr>
        <w:t>During the period, the Trustees o</w:t>
      </w:r>
      <w:r w:rsidR="00665CB5">
        <w:rPr>
          <w:rFonts w:ascii="Calibri" w:eastAsia="Calibri" w:hAnsi="Calibri" w:cs="Calibri"/>
          <w:sz w:val="18"/>
          <w:szCs w:val="18"/>
          <w:lang w:eastAsia="en-GB" w:bidi="en-GB"/>
        </w:rPr>
        <w:t>f</w:t>
      </w:r>
      <w:r w:rsidR="00665CB5" w:rsidRPr="00D1572A">
        <w:rPr>
          <w:rFonts w:ascii="Calibri" w:eastAsia="Calibri" w:hAnsi="Calibri" w:cs="Calibri"/>
          <w:sz w:val="18"/>
          <w:szCs w:val="18"/>
          <w:lang w:eastAsia="en-GB" w:bidi="en-GB"/>
        </w:rPr>
        <w:t xml:space="preserve"> one of the smaller</w:t>
      </w:r>
      <w:r w:rsidR="00665CB5">
        <w:rPr>
          <w:rFonts w:ascii="Calibri" w:eastAsia="Calibri" w:hAnsi="Calibri" w:cs="Calibri"/>
          <w:sz w:val="18"/>
          <w:szCs w:val="18"/>
          <w:lang w:eastAsia="en-GB" w:bidi="en-GB"/>
        </w:rPr>
        <w:t xml:space="preserve"> </w:t>
      </w:r>
      <w:r w:rsidR="00665CB5" w:rsidRPr="00D1572A">
        <w:rPr>
          <w:rFonts w:ascii="Calibri" w:eastAsia="Calibri" w:hAnsi="Calibri" w:cs="Calibri"/>
          <w:sz w:val="18"/>
          <w:szCs w:val="18"/>
          <w:lang w:eastAsia="en-GB" w:bidi="en-GB"/>
        </w:rPr>
        <w:t xml:space="preserve">UK </w:t>
      </w:r>
      <w:r w:rsidR="00665CB5">
        <w:rPr>
          <w:rFonts w:ascii="Calibri" w:eastAsia="Calibri" w:hAnsi="Calibri" w:cs="Calibri"/>
          <w:sz w:val="18"/>
          <w:szCs w:val="18"/>
          <w:lang w:eastAsia="en-GB" w:bidi="en-GB"/>
        </w:rPr>
        <w:t xml:space="preserve">legacy </w:t>
      </w:r>
      <w:r w:rsidR="00665CB5" w:rsidRPr="00D1572A">
        <w:rPr>
          <w:rFonts w:ascii="Calibri" w:eastAsia="Calibri" w:hAnsi="Calibri" w:cs="Calibri"/>
          <w:sz w:val="18"/>
          <w:szCs w:val="18"/>
          <w:lang w:eastAsia="en-GB" w:bidi="en-GB"/>
        </w:rPr>
        <w:t xml:space="preserve">defined benefit schemes, completed a buy-out of the scheme, </w:t>
      </w:r>
      <w:r w:rsidR="00665CB5">
        <w:rPr>
          <w:rFonts w:ascii="Calibri" w:eastAsia="Calibri" w:hAnsi="Calibri" w:cs="Calibri"/>
          <w:sz w:val="18"/>
          <w:szCs w:val="18"/>
          <w:lang w:eastAsia="en-GB" w:bidi="en-GB"/>
        </w:rPr>
        <w:t xml:space="preserve">transferring insurance policies to individual scheme members </w:t>
      </w:r>
      <w:r w:rsidR="00665CB5" w:rsidRPr="00D1572A">
        <w:rPr>
          <w:rFonts w:ascii="Calibri" w:eastAsia="Calibri" w:hAnsi="Calibri" w:cs="Calibri"/>
          <w:sz w:val="18"/>
          <w:szCs w:val="18"/>
          <w:lang w:eastAsia="en-GB" w:bidi="en-GB"/>
        </w:rPr>
        <w:t xml:space="preserve">removing </w:t>
      </w:r>
      <w:r w:rsidR="00665CB5">
        <w:rPr>
          <w:rFonts w:ascii="Calibri" w:eastAsia="Calibri" w:hAnsi="Calibri" w:cs="Calibri"/>
          <w:sz w:val="18"/>
          <w:szCs w:val="18"/>
          <w:lang w:eastAsia="en-GB" w:bidi="en-GB"/>
        </w:rPr>
        <w:t xml:space="preserve">the </w:t>
      </w:r>
      <w:r w:rsidR="00F75453">
        <w:rPr>
          <w:rFonts w:ascii="Calibri" w:eastAsia="Calibri" w:hAnsi="Calibri" w:cs="Calibri"/>
          <w:sz w:val="18"/>
          <w:szCs w:val="18"/>
          <w:lang w:eastAsia="en-GB" w:bidi="en-GB"/>
        </w:rPr>
        <w:t>scheme liabilities from the Group’s Statement of Financial Position</w:t>
      </w:r>
      <w:r w:rsidR="00665CB5" w:rsidRPr="00D1572A">
        <w:rPr>
          <w:rFonts w:ascii="Calibri" w:eastAsia="Calibri" w:hAnsi="Calibri" w:cs="Calibri"/>
          <w:sz w:val="18"/>
          <w:szCs w:val="18"/>
          <w:lang w:eastAsia="en-GB" w:bidi="en-GB"/>
        </w:rPr>
        <w:t>.</w:t>
      </w:r>
    </w:p>
    <w:p w14:paraId="4E32D707" w14:textId="77777777" w:rsidR="004F5F1D" w:rsidRPr="009A0CE8" w:rsidRDefault="004F5F1D" w:rsidP="005B3BEE">
      <w:pPr>
        <w:pStyle w:val="SectionH3"/>
      </w:pPr>
      <w:r w:rsidRPr="009A0CE8">
        <w:t>Dividends</w:t>
      </w:r>
    </w:p>
    <w:p w14:paraId="0F7018B0" w14:textId="4618E298" w:rsidR="008F4B40" w:rsidRPr="009A0CE8" w:rsidRDefault="008F4B40" w:rsidP="00B52070">
      <w:pPr>
        <w:widowControl w:val="0"/>
        <w:autoSpaceDE w:val="0"/>
        <w:autoSpaceDN w:val="0"/>
        <w:spacing w:after="120" w:line="240" w:lineRule="auto"/>
        <w:jc w:val="both"/>
        <w:rPr>
          <w:rFonts w:cs="Arial"/>
          <w:sz w:val="18"/>
          <w:szCs w:val="18"/>
        </w:rPr>
      </w:pPr>
      <w:r w:rsidRPr="009A0CE8">
        <w:rPr>
          <w:sz w:val="18"/>
          <w:szCs w:val="18"/>
        </w:rPr>
        <w:t>The Group announced on 30 March 2020 that it is not proceeding with an interim FY20 dividend payment</w:t>
      </w:r>
      <w:r w:rsidR="00A91DFC" w:rsidRPr="009A0CE8">
        <w:rPr>
          <w:sz w:val="18"/>
          <w:szCs w:val="18"/>
        </w:rPr>
        <w:t xml:space="preserve"> and </w:t>
      </w:r>
      <w:r w:rsidR="00A91DFC" w:rsidRPr="009A0CE8">
        <w:rPr>
          <w:rFonts w:ascii="Calibri" w:eastAsia="Calibri" w:hAnsi="Calibri" w:cs="Arial"/>
          <w:sz w:val="18"/>
          <w:szCs w:val="18"/>
          <w:lang w:eastAsia="en-GB" w:bidi="en-GB"/>
        </w:rPr>
        <w:t xml:space="preserve">today announces that it will not be proceeding with </w:t>
      </w:r>
      <w:r w:rsidR="000727B8" w:rsidRPr="009A0CE8">
        <w:rPr>
          <w:rFonts w:ascii="Calibri" w:eastAsia="Calibri" w:hAnsi="Calibri" w:cs="Arial"/>
          <w:sz w:val="18"/>
          <w:szCs w:val="18"/>
          <w:lang w:eastAsia="en-GB" w:bidi="en-GB"/>
        </w:rPr>
        <w:t>either a f</w:t>
      </w:r>
      <w:r w:rsidR="000727B8" w:rsidRPr="00B52070">
        <w:rPr>
          <w:rFonts w:ascii="Calibri" w:eastAsia="Calibri" w:hAnsi="Calibri" w:cs="Arial"/>
          <w:sz w:val="18"/>
          <w:szCs w:val="18"/>
          <w:lang w:eastAsia="en-GB" w:bidi="en-GB"/>
        </w:rPr>
        <w:t>inal</w:t>
      </w:r>
      <w:r w:rsidR="000727B8" w:rsidRPr="009A0CE8">
        <w:rPr>
          <w:rFonts w:ascii="Calibri" w:eastAsia="Calibri" w:hAnsi="Calibri" w:cs="Arial"/>
          <w:sz w:val="18"/>
          <w:szCs w:val="18"/>
          <w:lang w:eastAsia="en-GB" w:bidi="en-GB"/>
        </w:rPr>
        <w:t xml:space="preserve"> FY20</w:t>
      </w:r>
      <w:r w:rsidR="000727B8" w:rsidRPr="00B52070">
        <w:rPr>
          <w:rFonts w:ascii="Calibri" w:eastAsia="Calibri" w:hAnsi="Calibri" w:cs="Arial"/>
          <w:sz w:val="18"/>
          <w:szCs w:val="18"/>
          <w:lang w:eastAsia="en-GB" w:bidi="en-GB"/>
        </w:rPr>
        <w:t xml:space="preserve"> or</w:t>
      </w:r>
      <w:r w:rsidR="000727B8" w:rsidRPr="009A0CE8">
        <w:rPr>
          <w:rFonts w:ascii="Calibri" w:eastAsia="Calibri" w:hAnsi="Calibri" w:cs="Arial"/>
          <w:sz w:val="18"/>
          <w:szCs w:val="18"/>
          <w:lang w:eastAsia="en-GB" w:bidi="en-GB"/>
        </w:rPr>
        <w:t xml:space="preserve"> an interim FY21 dividend payment.</w:t>
      </w:r>
      <w:r w:rsidR="00560300" w:rsidRPr="00B52070">
        <w:rPr>
          <w:rFonts w:ascii="Calibri" w:eastAsia="Calibri" w:hAnsi="Calibri" w:cs="Arial"/>
          <w:sz w:val="18"/>
          <w:szCs w:val="18"/>
          <w:lang w:eastAsia="en-GB" w:bidi="en-GB"/>
        </w:rPr>
        <w:t xml:space="preserve"> The Group</w:t>
      </w:r>
      <w:r w:rsidR="00254DCD" w:rsidRPr="00B52070">
        <w:rPr>
          <w:sz w:val="18"/>
          <w:szCs w:val="18"/>
        </w:rPr>
        <w:t xml:space="preserve"> will seek to reinstate dividend payments as soon as is practicable thereafter</w:t>
      </w:r>
      <w:r w:rsidR="00560300" w:rsidRPr="009A0CE8">
        <w:rPr>
          <w:sz w:val="18"/>
          <w:szCs w:val="18"/>
        </w:rPr>
        <w:t xml:space="preserve"> in accordance with </w:t>
      </w:r>
      <w:r w:rsidR="00560300" w:rsidRPr="00B52070">
        <w:rPr>
          <w:sz w:val="18"/>
          <w:szCs w:val="18"/>
        </w:rPr>
        <w:t>its</w:t>
      </w:r>
      <w:r w:rsidR="00560300" w:rsidRPr="009A0CE8">
        <w:rPr>
          <w:sz w:val="18"/>
          <w:szCs w:val="18"/>
        </w:rPr>
        <w:t xml:space="preserve"> capital allocation strategy. </w:t>
      </w:r>
    </w:p>
    <w:p w14:paraId="5A6FD60D" w14:textId="77777777" w:rsidR="003C7BC3" w:rsidRPr="009A0CE8" w:rsidRDefault="003C7BC3" w:rsidP="005B3BEE">
      <w:pPr>
        <w:pStyle w:val="SectionH3"/>
      </w:pPr>
      <w:r w:rsidRPr="009A0CE8">
        <w:t>Principal risks and uncertainties</w:t>
      </w:r>
    </w:p>
    <w:p w14:paraId="61ED4193" w14:textId="017DE348" w:rsidR="003C7BC3" w:rsidRPr="003C7BC3" w:rsidRDefault="003C7BC3" w:rsidP="005B3BEE">
      <w:pPr>
        <w:widowControl w:val="0"/>
        <w:autoSpaceDE w:val="0"/>
        <w:autoSpaceDN w:val="0"/>
        <w:spacing w:after="120" w:line="240" w:lineRule="auto"/>
        <w:jc w:val="both"/>
        <w:rPr>
          <w:rFonts w:ascii="Calibri" w:eastAsia="Calibri" w:hAnsi="Calibri" w:cs="Calibri"/>
          <w:sz w:val="18"/>
          <w:szCs w:val="18"/>
          <w:lang w:eastAsia="en-GB" w:bidi="en-GB"/>
        </w:rPr>
      </w:pPr>
      <w:r w:rsidRPr="009A0CE8">
        <w:rPr>
          <w:rFonts w:ascii="Calibri" w:eastAsia="Calibri" w:hAnsi="Calibri" w:cs="Calibri"/>
          <w:sz w:val="18"/>
          <w:szCs w:val="18"/>
          <w:lang w:eastAsia="en-GB" w:bidi="en-GB"/>
        </w:rPr>
        <w:t>There are a number of potential risks and uncertainties which could have a material impact on future Group</w:t>
      </w:r>
      <w:r w:rsidRPr="003C7BC3">
        <w:rPr>
          <w:rFonts w:ascii="Calibri" w:eastAsia="Calibri" w:hAnsi="Calibri" w:cs="Calibri"/>
          <w:sz w:val="18"/>
          <w:szCs w:val="18"/>
          <w:lang w:eastAsia="en-GB" w:bidi="en-GB"/>
        </w:rPr>
        <w:t xml:space="preserve"> performance and could cause actual results to differ materially from expected and historical results. The Board considers the risks and uncertainties as described in detail in the section Risks and Risk Management in the Annual Report and Financial Statements for the year ended 27 September 2019 issued on 26 November 2019, to remain applicable in the second half of the year. </w:t>
      </w:r>
    </w:p>
    <w:p w14:paraId="2FE87CA3" w14:textId="558501D2" w:rsidR="003C7BC3" w:rsidRPr="003C7BC3" w:rsidRDefault="003C7BC3" w:rsidP="005B3BEE">
      <w:pPr>
        <w:widowControl w:val="0"/>
        <w:autoSpaceDE w:val="0"/>
        <w:autoSpaceDN w:val="0"/>
        <w:spacing w:after="120" w:line="240" w:lineRule="auto"/>
        <w:jc w:val="both"/>
        <w:rPr>
          <w:rFonts w:ascii="Calibri" w:eastAsia="Calibri" w:hAnsi="Calibri" w:cs="Calibri"/>
          <w:sz w:val="18"/>
          <w:szCs w:val="18"/>
          <w:lang w:eastAsia="en-GB" w:bidi="en-GB"/>
        </w:rPr>
      </w:pPr>
      <w:r w:rsidRPr="003C7BC3">
        <w:rPr>
          <w:rFonts w:ascii="Calibri" w:eastAsia="Calibri" w:hAnsi="Calibri" w:cs="Calibri"/>
          <w:sz w:val="18"/>
          <w:szCs w:val="18"/>
          <w:lang w:eastAsia="en-GB" w:bidi="en-GB"/>
        </w:rPr>
        <w:t xml:space="preserve">The Board has also considered an additional risk factor, relating to the financial and operational impacts associated with COVID-19, to be applicable in the second half of the year. Greencore management are continuing to perform detailed assessments of the continuing risks faced specifically in relation to COVID-19, and defined strategies for mitigating these risks and the specific actions for achieving these are already underway. </w:t>
      </w:r>
    </w:p>
    <w:p w14:paraId="05023ADB" w14:textId="77777777" w:rsidR="003C7BC3" w:rsidRPr="003C7BC3" w:rsidRDefault="003C7BC3" w:rsidP="005B3BEE">
      <w:pPr>
        <w:widowControl w:val="0"/>
        <w:autoSpaceDE w:val="0"/>
        <w:autoSpaceDN w:val="0"/>
        <w:spacing w:after="120" w:line="240" w:lineRule="auto"/>
        <w:jc w:val="both"/>
        <w:rPr>
          <w:rFonts w:ascii="Calibri" w:eastAsia="Calibri" w:hAnsi="Calibri" w:cs="Calibri"/>
          <w:sz w:val="18"/>
          <w:szCs w:val="18"/>
          <w:lang w:eastAsia="en-GB" w:bidi="en-GB"/>
        </w:rPr>
      </w:pPr>
      <w:r w:rsidRPr="003C7BC3">
        <w:rPr>
          <w:rFonts w:ascii="Calibri" w:eastAsia="Calibri" w:hAnsi="Calibri" w:cs="Calibri"/>
          <w:sz w:val="18"/>
          <w:szCs w:val="18"/>
          <w:lang w:eastAsia="en-GB" w:bidi="en-GB"/>
        </w:rPr>
        <w:t>A description of the risks and uncertainties</w:t>
      </w:r>
      <w:r w:rsidR="003669E7">
        <w:rPr>
          <w:rFonts w:ascii="Calibri" w:eastAsia="Calibri" w:hAnsi="Calibri" w:cs="Calibri"/>
          <w:sz w:val="18"/>
          <w:szCs w:val="18"/>
          <w:lang w:eastAsia="en-GB" w:bidi="en-GB"/>
        </w:rPr>
        <w:t>, including the risks associated with COVID-19,</w:t>
      </w:r>
      <w:r w:rsidRPr="003C7BC3">
        <w:rPr>
          <w:rFonts w:ascii="Calibri" w:eastAsia="Calibri" w:hAnsi="Calibri" w:cs="Calibri"/>
          <w:sz w:val="18"/>
          <w:szCs w:val="18"/>
          <w:lang w:eastAsia="en-GB" w:bidi="en-GB"/>
        </w:rPr>
        <w:t xml:space="preserve"> are set out in the Appendix to the Interim Financial Report. </w:t>
      </w:r>
    </w:p>
    <w:p w14:paraId="72BE861D" w14:textId="77777777" w:rsidR="00254DCD" w:rsidRDefault="00254DCD" w:rsidP="005B3BEE">
      <w:pPr>
        <w:pStyle w:val="SectionH3"/>
      </w:pPr>
    </w:p>
    <w:p w14:paraId="16937E2F" w14:textId="47ED395D" w:rsidR="003C7BC3" w:rsidRPr="00F73714" w:rsidRDefault="003C7BC3" w:rsidP="005B3BEE">
      <w:pPr>
        <w:pStyle w:val="SectionH3"/>
        <w:rPr>
          <w:sz w:val="20"/>
          <w:szCs w:val="20"/>
        </w:rPr>
      </w:pPr>
      <w:r w:rsidRPr="00F73714">
        <w:rPr>
          <w:sz w:val="20"/>
          <w:szCs w:val="20"/>
        </w:rPr>
        <w:t>Responsibility Statement</w:t>
      </w:r>
    </w:p>
    <w:p w14:paraId="027502F2" w14:textId="231B124B" w:rsidR="003C7BC3" w:rsidRPr="003C7BC3" w:rsidRDefault="003C7BC3" w:rsidP="005B3BEE">
      <w:pPr>
        <w:widowControl w:val="0"/>
        <w:autoSpaceDE w:val="0"/>
        <w:autoSpaceDN w:val="0"/>
        <w:spacing w:after="120" w:line="240" w:lineRule="auto"/>
        <w:jc w:val="both"/>
        <w:rPr>
          <w:rFonts w:ascii="Calibri" w:eastAsia="Calibri" w:hAnsi="Calibri" w:cs="Calibri"/>
          <w:sz w:val="18"/>
          <w:szCs w:val="18"/>
          <w:lang w:eastAsia="en-GB" w:bidi="en-GB"/>
        </w:rPr>
      </w:pPr>
      <w:r w:rsidRPr="003C7BC3">
        <w:rPr>
          <w:rFonts w:ascii="Calibri" w:eastAsia="Calibri" w:hAnsi="Calibri" w:cs="Calibri"/>
          <w:sz w:val="18"/>
          <w:szCs w:val="18"/>
          <w:lang w:eastAsia="en-GB" w:bidi="en-GB"/>
        </w:rPr>
        <w:t xml:space="preserve">The Directors are responsible for preparing the Interim Financial Report in accordance with the Transparency (Directive 2004/109/EC) Regulations 2007, the related Transparency Rules of the </w:t>
      </w:r>
      <w:r w:rsidR="003669E7">
        <w:rPr>
          <w:rFonts w:ascii="Calibri" w:eastAsia="Calibri" w:hAnsi="Calibri" w:cs="Calibri"/>
          <w:sz w:val="18"/>
          <w:szCs w:val="18"/>
          <w:lang w:eastAsia="en-GB" w:bidi="en-GB"/>
        </w:rPr>
        <w:t>Central Bank of Ireland</w:t>
      </w:r>
      <w:r w:rsidRPr="003C7BC3">
        <w:rPr>
          <w:rFonts w:ascii="Calibri" w:eastAsia="Calibri" w:hAnsi="Calibri" w:cs="Calibri"/>
          <w:sz w:val="18"/>
          <w:szCs w:val="18"/>
          <w:lang w:eastAsia="en-GB" w:bidi="en-GB"/>
        </w:rPr>
        <w:t xml:space="preserve"> and with IAS 34 Interim Financial Reporting as adopted by the European Union.</w:t>
      </w:r>
    </w:p>
    <w:p w14:paraId="0FA012BB" w14:textId="609982AA" w:rsidR="003C7BC3" w:rsidRPr="003C7BC3" w:rsidRDefault="003C7BC3" w:rsidP="005B3BEE">
      <w:pPr>
        <w:widowControl w:val="0"/>
        <w:autoSpaceDE w:val="0"/>
        <w:autoSpaceDN w:val="0"/>
        <w:spacing w:after="120" w:line="240" w:lineRule="auto"/>
        <w:jc w:val="both"/>
        <w:rPr>
          <w:rFonts w:ascii="Calibri" w:eastAsia="Calibri" w:hAnsi="Calibri" w:cs="Calibri"/>
          <w:sz w:val="18"/>
          <w:szCs w:val="18"/>
          <w:lang w:eastAsia="en-GB" w:bidi="en-GB"/>
        </w:rPr>
      </w:pPr>
      <w:r w:rsidRPr="003C7BC3">
        <w:rPr>
          <w:rFonts w:ascii="Calibri" w:eastAsia="Calibri" w:hAnsi="Calibri" w:cs="Calibri"/>
          <w:sz w:val="18"/>
          <w:szCs w:val="18"/>
          <w:lang w:eastAsia="en-GB" w:bidi="en-GB"/>
        </w:rPr>
        <w:t>The Directors confirm that, to the best of their knowledge:</w:t>
      </w:r>
    </w:p>
    <w:p w14:paraId="0AFB3866" w14:textId="77777777" w:rsidR="003C7BC3" w:rsidRPr="003C7BC3" w:rsidRDefault="003C7BC3" w:rsidP="00E168F7">
      <w:pPr>
        <w:widowControl w:val="0"/>
        <w:numPr>
          <w:ilvl w:val="0"/>
          <w:numId w:val="8"/>
        </w:numPr>
        <w:autoSpaceDE w:val="0"/>
        <w:autoSpaceDN w:val="0"/>
        <w:spacing w:afterLines="120" w:after="288" w:line="240" w:lineRule="auto"/>
        <w:ind w:left="714" w:hanging="357"/>
        <w:jc w:val="both"/>
        <w:rPr>
          <w:rFonts w:ascii="Calibri" w:eastAsia="Calibri" w:hAnsi="Calibri" w:cs="Calibri"/>
          <w:sz w:val="18"/>
          <w:szCs w:val="18"/>
          <w:lang w:eastAsia="en-GB" w:bidi="en-GB"/>
        </w:rPr>
      </w:pPr>
      <w:r w:rsidRPr="003C7BC3">
        <w:rPr>
          <w:rFonts w:ascii="Calibri" w:eastAsia="Calibri" w:hAnsi="Calibri" w:cs="Calibri"/>
          <w:sz w:val="18"/>
          <w:szCs w:val="18"/>
          <w:lang w:eastAsia="en-GB" w:bidi="en-GB"/>
        </w:rPr>
        <w:t>the Condensed Group Financial Statements for the half year ended 27 March 2020 have been prepared in accordance with the international accounting standard applicable to interim financial reporting adopted pursuant to the procedure provided for under Article 6 of the Regulation (EC) No. 1606/2002 of the European Parliament and of the Council of 19 July 2002;</w:t>
      </w:r>
    </w:p>
    <w:p w14:paraId="707886D7" w14:textId="7C368F2B" w:rsidR="003C7BC3" w:rsidRPr="00D15351" w:rsidRDefault="003C7BC3" w:rsidP="00E168F7">
      <w:pPr>
        <w:widowControl w:val="0"/>
        <w:numPr>
          <w:ilvl w:val="0"/>
          <w:numId w:val="8"/>
        </w:numPr>
        <w:autoSpaceDE w:val="0"/>
        <w:autoSpaceDN w:val="0"/>
        <w:spacing w:afterLines="120" w:after="288" w:line="240" w:lineRule="auto"/>
        <w:jc w:val="both"/>
        <w:rPr>
          <w:rFonts w:ascii="Calibri" w:eastAsia="Calibri" w:hAnsi="Calibri" w:cs="Calibri"/>
          <w:sz w:val="18"/>
          <w:szCs w:val="18"/>
          <w:lang w:eastAsia="en-GB" w:bidi="en-GB"/>
        </w:rPr>
      </w:pPr>
      <w:r w:rsidRPr="003C7BC3">
        <w:rPr>
          <w:rFonts w:ascii="Calibri" w:eastAsia="Calibri" w:hAnsi="Calibri" w:cs="Calibri"/>
          <w:sz w:val="18"/>
          <w:szCs w:val="18"/>
          <w:lang w:eastAsia="en-GB" w:bidi="en-GB"/>
        </w:rPr>
        <w:t>the Interim Management Report includes a fair review of the important events that have occurred during the first six months of the financial year and their impact on the Condensed Group Financial Statements for the half year ended 27 March 2020 and a description of the principal risks and uncertainties for the remaining six months; and</w:t>
      </w:r>
    </w:p>
    <w:p w14:paraId="5AD9EB40" w14:textId="77777777" w:rsidR="003C7BC3" w:rsidRDefault="003C7BC3" w:rsidP="00E168F7">
      <w:pPr>
        <w:widowControl w:val="0"/>
        <w:numPr>
          <w:ilvl w:val="0"/>
          <w:numId w:val="8"/>
        </w:numPr>
        <w:autoSpaceDE w:val="0"/>
        <w:autoSpaceDN w:val="0"/>
        <w:spacing w:afterLines="120" w:after="288" w:line="240" w:lineRule="auto"/>
        <w:jc w:val="both"/>
        <w:rPr>
          <w:rFonts w:ascii="Calibri" w:eastAsia="Calibri" w:hAnsi="Calibri" w:cs="Calibri"/>
          <w:sz w:val="18"/>
          <w:szCs w:val="18"/>
          <w:lang w:eastAsia="en-GB" w:bidi="en-GB"/>
        </w:rPr>
      </w:pPr>
      <w:r w:rsidRPr="003C7BC3">
        <w:rPr>
          <w:rFonts w:ascii="Calibri" w:eastAsia="Calibri" w:hAnsi="Calibri" w:cs="Calibri"/>
          <w:sz w:val="18"/>
          <w:szCs w:val="18"/>
          <w:lang w:eastAsia="en-GB" w:bidi="en-GB"/>
        </w:rPr>
        <w:t>the Interim Management Report includes a fair review of related party transactions that have occurred during the first six months of the current financial year and that have materially affected the financial position or the performance of the Group during that period, and any changes in the related parties’ transactions described in the last Annual Report that could have a material effect on the financial position or performance of the Group in the first six months of the current financial year.</w:t>
      </w:r>
    </w:p>
    <w:p w14:paraId="7522EDE8" w14:textId="77777777" w:rsidR="00B907E7" w:rsidRPr="003C7BC3" w:rsidRDefault="00B907E7" w:rsidP="005F112A">
      <w:pPr>
        <w:widowControl w:val="0"/>
        <w:autoSpaceDE w:val="0"/>
        <w:autoSpaceDN w:val="0"/>
        <w:spacing w:after="0" w:line="240" w:lineRule="auto"/>
        <w:jc w:val="both"/>
        <w:rPr>
          <w:rFonts w:ascii="Calibri" w:eastAsia="Calibri" w:hAnsi="Calibri" w:cs="Calibri"/>
          <w:sz w:val="18"/>
          <w:szCs w:val="18"/>
          <w:lang w:eastAsia="en-GB" w:bidi="en-GB"/>
        </w:rPr>
      </w:pPr>
    </w:p>
    <w:tbl>
      <w:tblPr>
        <w:tblW w:w="7088" w:type="dxa"/>
        <w:tblLook w:val="04A0" w:firstRow="1" w:lastRow="0" w:firstColumn="1" w:lastColumn="0" w:noHBand="0" w:noVBand="1"/>
      </w:tblPr>
      <w:tblGrid>
        <w:gridCol w:w="3544"/>
        <w:gridCol w:w="3544"/>
      </w:tblGrid>
      <w:tr w:rsidR="003C7BC3" w:rsidRPr="003C7BC3" w14:paraId="0A06F4C1" w14:textId="77777777" w:rsidTr="001413EA">
        <w:tc>
          <w:tcPr>
            <w:tcW w:w="3544" w:type="dxa"/>
          </w:tcPr>
          <w:p w14:paraId="580DE08E" w14:textId="77777777" w:rsidR="003C7BC3" w:rsidRPr="00A91DFC" w:rsidRDefault="003C7BC3" w:rsidP="003C7BC3">
            <w:pPr>
              <w:widowControl w:val="0"/>
              <w:autoSpaceDE w:val="0"/>
              <w:autoSpaceDN w:val="0"/>
              <w:spacing w:before="160" w:after="0" w:line="240" w:lineRule="auto"/>
              <w:rPr>
                <w:rFonts w:ascii="Calibri" w:eastAsia="Calibri" w:hAnsi="Calibri" w:cs="Calibri"/>
                <w:sz w:val="18"/>
                <w:szCs w:val="18"/>
                <w:lang w:eastAsia="en-GB" w:bidi="en-GB"/>
              </w:rPr>
            </w:pPr>
            <w:r w:rsidRPr="00A91DFC">
              <w:rPr>
                <w:rFonts w:ascii="Calibri" w:eastAsia="Calibri" w:hAnsi="Calibri" w:cs="Calibri"/>
                <w:b/>
                <w:sz w:val="18"/>
                <w:szCs w:val="18"/>
                <w:lang w:eastAsia="en-GB" w:bidi="en-GB"/>
              </w:rPr>
              <w:t>P.F. Coveney</w:t>
            </w:r>
            <w:r w:rsidRPr="00A91DFC">
              <w:rPr>
                <w:rFonts w:ascii="Calibri" w:eastAsia="Calibri" w:hAnsi="Calibri" w:cs="Calibri"/>
                <w:sz w:val="18"/>
                <w:szCs w:val="18"/>
                <w:lang w:eastAsia="en-GB" w:bidi="en-GB"/>
              </w:rPr>
              <w:br/>
              <w:t>Chief Executive Officer</w:t>
            </w:r>
            <w:r w:rsidRPr="00A91DFC">
              <w:rPr>
                <w:rFonts w:ascii="Calibri" w:eastAsia="Calibri" w:hAnsi="Calibri" w:cs="Calibri"/>
                <w:sz w:val="18"/>
                <w:szCs w:val="18"/>
                <w:lang w:eastAsia="en-GB" w:bidi="en-GB"/>
              </w:rPr>
              <w:br/>
              <w:t>Date: 18 May 2020</w:t>
            </w:r>
          </w:p>
        </w:tc>
        <w:tc>
          <w:tcPr>
            <w:tcW w:w="3544" w:type="dxa"/>
          </w:tcPr>
          <w:p w14:paraId="276C8A6B" w14:textId="77777777" w:rsidR="003C7BC3" w:rsidRPr="005B3BEE" w:rsidRDefault="003C7BC3" w:rsidP="003C7BC3">
            <w:pPr>
              <w:widowControl w:val="0"/>
              <w:autoSpaceDE w:val="0"/>
              <w:autoSpaceDN w:val="0"/>
              <w:spacing w:before="160" w:after="0" w:line="240" w:lineRule="auto"/>
              <w:rPr>
                <w:rFonts w:ascii="Calibri" w:eastAsia="Calibri" w:hAnsi="Calibri" w:cs="Calibri"/>
                <w:b/>
                <w:sz w:val="18"/>
                <w:szCs w:val="18"/>
                <w:lang w:eastAsia="en-GB" w:bidi="en-GB"/>
              </w:rPr>
            </w:pPr>
            <w:r w:rsidRPr="005B3BEE">
              <w:rPr>
                <w:rFonts w:ascii="Calibri" w:eastAsia="Calibri" w:hAnsi="Calibri" w:cs="Calibri"/>
                <w:b/>
                <w:sz w:val="18"/>
                <w:szCs w:val="18"/>
                <w:lang w:eastAsia="en-GB" w:bidi="en-GB"/>
              </w:rPr>
              <w:t>E.P. Tonge</w:t>
            </w:r>
            <w:r w:rsidRPr="005B3BEE">
              <w:rPr>
                <w:rFonts w:ascii="Calibri" w:eastAsia="Calibri" w:hAnsi="Calibri" w:cs="Calibri"/>
                <w:sz w:val="18"/>
                <w:szCs w:val="18"/>
                <w:lang w:eastAsia="en-GB" w:bidi="en-GB"/>
              </w:rPr>
              <w:br/>
              <w:t>Chief Financial Officer</w:t>
            </w:r>
            <w:r w:rsidRPr="005B3BEE">
              <w:rPr>
                <w:rFonts w:ascii="Calibri" w:eastAsia="Calibri" w:hAnsi="Calibri" w:cs="Calibri"/>
                <w:sz w:val="18"/>
                <w:szCs w:val="18"/>
                <w:lang w:eastAsia="en-GB" w:bidi="en-GB"/>
              </w:rPr>
              <w:br/>
              <w:t>Date: 18 May 2020</w:t>
            </w:r>
          </w:p>
        </w:tc>
      </w:tr>
    </w:tbl>
    <w:p w14:paraId="47E84756" w14:textId="77777777" w:rsidR="00773F7B" w:rsidRDefault="00773F7B" w:rsidP="00773F7B">
      <w:pPr>
        <w:widowControl w:val="0"/>
        <w:autoSpaceDE w:val="0"/>
        <w:autoSpaceDN w:val="0"/>
        <w:spacing w:after="120" w:line="240" w:lineRule="auto"/>
        <w:rPr>
          <w:rFonts w:ascii="Calibri" w:eastAsia="Calibri" w:hAnsi="Calibri" w:cs="Calibri"/>
          <w:lang w:eastAsia="en-GB" w:bidi="en-GB"/>
        </w:rPr>
      </w:pPr>
    </w:p>
    <w:p w14:paraId="35058310" w14:textId="77777777" w:rsidR="00773F7B" w:rsidRDefault="00773F7B" w:rsidP="00773F7B">
      <w:pPr>
        <w:widowControl w:val="0"/>
        <w:autoSpaceDE w:val="0"/>
        <w:autoSpaceDN w:val="0"/>
        <w:spacing w:after="120" w:line="240" w:lineRule="auto"/>
        <w:rPr>
          <w:rFonts w:ascii="Calibri" w:eastAsia="Calibri" w:hAnsi="Calibri" w:cs="Calibri"/>
          <w:lang w:eastAsia="en-GB" w:bidi="en-GB"/>
        </w:rPr>
      </w:pPr>
    </w:p>
    <w:p w14:paraId="2F81C7F8" w14:textId="77777777" w:rsidR="00773F7B" w:rsidRDefault="00773F7B" w:rsidP="00773F7B">
      <w:pPr>
        <w:widowControl w:val="0"/>
        <w:autoSpaceDE w:val="0"/>
        <w:autoSpaceDN w:val="0"/>
        <w:spacing w:after="120" w:line="240" w:lineRule="auto"/>
        <w:rPr>
          <w:rFonts w:ascii="Calibri" w:eastAsia="Calibri" w:hAnsi="Calibri" w:cs="Calibri"/>
          <w:lang w:eastAsia="en-GB" w:bidi="en-GB"/>
        </w:rPr>
      </w:pPr>
    </w:p>
    <w:p w14:paraId="20E12FB1" w14:textId="77777777" w:rsidR="00773F7B" w:rsidRDefault="00773F7B" w:rsidP="00773F7B">
      <w:pPr>
        <w:widowControl w:val="0"/>
        <w:autoSpaceDE w:val="0"/>
        <w:autoSpaceDN w:val="0"/>
        <w:spacing w:after="120" w:line="240" w:lineRule="auto"/>
        <w:rPr>
          <w:rFonts w:ascii="Calibri" w:eastAsia="Calibri" w:hAnsi="Calibri" w:cs="Calibri"/>
          <w:lang w:eastAsia="en-GB" w:bidi="en-GB"/>
        </w:rPr>
      </w:pPr>
    </w:p>
    <w:tbl>
      <w:tblPr>
        <w:tblStyle w:val="TableGrid"/>
        <w:tblW w:w="10487" w:type="dxa"/>
        <w:jc w:val="center"/>
        <w:tblLayout w:type="fixed"/>
        <w:tblLook w:val="04A0" w:firstRow="1" w:lastRow="0" w:firstColumn="1" w:lastColumn="0" w:noHBand="0" w:noVBand="1"/>
      </w:tblPr>
      <w:tblGrid>
        <w:gridCol w:w="3805"/>
        <w:gridCol w:w="431"/>
        <w:gridCol w:w="1134"/>
        <w:gridCol w:w="1134"/>
        <w:gridCol w:w="856"/>
        <w:gridCol w:w="1134"/>
        <w:gridCol w:w="1134"/>
        <w:gridCol w:w="859"/>
      </w:tblGrid>
      <w:tr w:rsidR="003E307B" w14:paraId="5FB9480E" w14:textId="77777777" w:rsidTr="00656003">
        <w:trPr>
          <w:jc w:val="center"/>
        </w:trPr>
        <w:tc>
          <w:tcPr>
            <w:tcW w:w="4236" w:type="dxa"/>
            <w:gridSpan w:val="2"/>
            <w:vMerge w:val="restart"/>
            <w:tcBorders>
              <w:top w:val="nil"/>
              <w:left w:val="nil"/>
              <w:right w:val="nil"/>
            </w:tcBorders>
            <w:vAlign w:val="bottom"/>
          </w:tcPr>
          <w:p w14:paraId="094977AD" w14:textId="77777777" w:rsidR="003E307B" w:rsidRPr="00E8718C" w:rsidRDefault="003E307B" w:rsidP="00773F7B">
            <w:pPr>
              <w:ind w:right="-109"/>
              <w:jc w:val="right"/>
              <w:rPr>
                <w:sz w:val="18"/>
                <w:szCs w:val="18"/>
              </w:rPr>
            </w:pPr>
          </w:p>
        </w:tc>
        <w:tc>
          <w:tcPr>
            <w:tcW w:w="3124" w:type="dxa"/>
            <w:gridSpan w:val="3"/>
            <w:tcBorders>
              <w:top w:val="nil"/>
              <w:left w:val="nil"/>
              <w:bottom w:val="nil"/>
              <w:right w:val="nil"/>
            </w:tcBorders>
            <w:vAlign w:val="bottom"/>
          </w:tcPr>
          <w:p w14:paraId="6280D733" w14:textId="77777777" w:rsidR="003E307B" w:rsidRPr="00E8718C" w:rsidRDefault="003E307B" w:rsidP="00773F7B">
            <w:pPr>
              <w:pStyle w:val="Subtitle"/>
            </w:pPr>
            <w:r w:rsidRPr="00323878">
              <w:t xml:space="preserve">Half year ended </w:t>
            </w:r>
            <w:r>
              <w:t>27</w:t>
            </w:r>
            <w:r w:rsidRPr="00323878">
              <w:t xml:space="preserve"> March 20</w:t>
            </w:r>
            <w:r>
              <w:t>20</w:t>
            </w:r>
          </w:p>
        </w:tc>
        <w:tc>
          <w:tcPr>
            <w:tcW w:w="3127" w:type="dxa"/>
            <w:gridSpan w:val="3"/>
            <w:tcBorders>
              <w:top w:val="nil"/>
              <w:left w:val="nil"/>
              <w:bottom w:val="nil"/>
              <w:right w:val="nil"/>
            </w:tcBorders>
            <w:vAlign w:val="bottom"/>
          </w:tcPr>
          <w:p w14:paraId="03CCB7F1" w14:textId="77777777" w:rsidR="003E307B" w:rsidRPr="00E8718C" w:rsidRDefault="003E307B" w:rsidP="00773F7B">
            <w:pPr>
              <w:pStyle w:val="T2"/>
            </w:pPr>
            <w:r w:rsidRPr="00A00268">
              <w:rPr>
                <w:rStyle w:val="SubtleEmphasis"/>
              </w:rPr>
              <w:t xml:space="preserve">Half year ended </w:t>
            </w:r>
            <w:r>
              <w:rPr>
                <w:rStyle w:val="SubtleEmphasis"/>
              </w:rPr>
              <w:t>29 March 2019</w:t>
            </w:r>
          </w:p>
        </w:tc>
      </w:tr>
      <w:tr w:rsidR="003E307B" w14:paraId="5CC8470C" w14:textId="77777777" w:rsidTr="005B3BEE">
        <w:trPr>
          <w:jc w:val="center"/>
        </w:trPr>
        <w:tc>
          <w:tcPr>
            <w:tcW w:w="4236" w:type="dxa"/>
            <w:gridSpan w:val="2"/>
            <w:vMerge/>
            <w:tcBorders>
              <w:left w:val="nil"/>
              <w:bottom w:val="nil"/>
              <w:right w:val="nil"/>
            </w:tcBorders>
            <w:vAlign w:val="bottom"/>
          </w:tcPr>
          <w:p w14:paraId="53177D2A" w14:textId="77777777" w:rsidR="003E307B" w:rsidRPr="00E8718C" w:rsidRDefault="003E307B" w:rsidP="00773F7B">
            <w:pPr>
              <w:jc w:val="right"/>
              <w:rPr>
                <w:sz w:val="18"/>
                <w:szCs w:val="18"/>
              </w:rPr>
            </w:pPr>
          </w:p>
        </w:tc>
        <w:tc>
          <w:tcPr>
            <w:tcW w:w="1134" w:type="dxa"/>
            <w:tcBorders>
              <w:top w:val="nil"/>
              <w:left w:val="nil"/>
              <w:bottom w:val="nil"/>
              <w:right w:val="nil"/>
            </w:tcBorders>
            <w:vAlign w:val="bottom"/>
          </w:tcPr>
          <w:p w14:paraId="472994FD" w14:textId="77777777" w:rsidR="003E307B" w:rsidRPr="00E8718C" w:rsidRDefault="003E307B" w:rsidP="00773F7B">
            <w:pPr>
              <w:pStyle w:val="Subtitle"/>
            </w:pPr>
          </w:p>
        </w:tc>
        <w:tc>
          <w:tcPr>
            <w:tcW w:w="1134" w:type="dxa"/>
            <w:tcBorders>
              <w:top w:val="nil"/>
              <w:left w:val="nil"/>
              <w:bottom w:val="nil"/>
              <w:right w:val="nil"/>
            </w:tcBorders>
            <w:vAlign w:val="bottom"/>
          </w:tcPr>
          <w:p w14:paraId="21459ADC" w14:textId="77777777" w:rsidR="003E307B" w:rsidRPr="00E8718C" w:rsidRDefault="003E307B" w:rsidP="00773F7B">
            <w:pPr>
              <w:pStyle w:val="Subtitle"/>
            </w:pPr>
            <w:r>
              <w:t>(Unaudited)</w:t>
            </w:r>
          </w:p>
        </w:tc>
        <w:tc>
          <w:tcPr>
            <w:tcW w:w="856" w:type="dxa"/>
            <w:tcBorders>
              <w:top w:val="nil"/>
              <w:left w:val="nil"/>
              <w:bottom w:val="nil"/>
              <w:right w:val="nil"/>
            </w:tcBorders>
            <w:vAlign w:val="bottom"/>
          </w:tcPr>
          <w:p w14:paraId="0652A173" w14:textId="77777777" w:rsidR="003E307B" w:rsidRPr="00E8718C" w:rsidRDefault="003E307B" w:rsidP="00773F7B">
            <w:pPr>
              <w:pStyle w:val="Subtitle"/>
            </w:pPr>
          </w:p>
        </w:tc>
        <w:tc>
          <w:tcPr>
            <w:tcW w:w="1134" w:type="dxa"/>
            <w:tcBorders>
              <w:top w:val="nil"/>
              <w:left w:val="nil"/>
              <w:bottom w:val="nil"/>
              <w:right w:val="nil"/>
            </w:tcBorders>
            <w:vAlign w:val="bottom"/>
          </w:tcPr>
          <w:p w14:paraId="2B085CBF" w14:textId="77777777" w:rsidR="003E307B" w:rsidRPr="00E8718C" w:rsidRDefault="003E307B" w:rsidP="00773F7B">
            <w:pPr>
              <w:jc w:val="center"/>
              <w:rPr>
                <w:sz w:val="18"/>
                <w:szCs w:val="18"/>
              </w:rPr>
            </w:pPr>
          </w:p>
        </w:tc>
        <w:tc>
          <w:tcPr>
            <w:tcW w:w="1134" w:type="dxa"/>
            <w:tcBorders>
              <w:top w:val="nil"/>
              <w:left w:val="nil"/>
              <w:bottom w:val="nil"/>
              <w:right w:val="nil"/>
            </w:tcBorders>
            <w:vAlign w:val="bottom"/>
          </w:tcPr>
          <w:p w14:paraId="7ADAC60D" w14:textId="77777777" w:rsidR="003E307B" w:rsidRPr="00E8718C" w:rsidRDefault="003E307B" w:rsidP="00773F7B">
            <w:pPr>
              <w:jc w:val="right"/>
              <w:rPr>
                <w:sz w:val="18"/>
                <w:szCs w:val="18"/>
              </w:rPr>
            </w:pPr>
            <w:r w:rsidRPr="00A00268">
              <w:rPr>
                <w:sz w:val="18"/>
                <w:szCs w:val="18"/>
              </w:rPr>
              <w:t>(Unaudited)</w:t>
            </w:r>
          </w:p>
        </w:tc>
        <w:tc>
          <w:tcPr>
            <w:tcW w:w="859" w:type="dxa"/>
            <w:tcBorders>
              <w:top w:val="nil"/>
              <w:left w:val="nil"/>
              <w:bottom w:val="nil"/>
              <w:right w:val="nil"/>
            </w:tcBorders>
            <w:vAlign w:val="bottom"/>
          </w:tcPr>
          <w:p w14:paraId="35ECE98B" w14:textId="77777777" w:rsidR="003E307B" w:rsidRPr="00E8718C" w:rsidRDefault="003E307B" w:rsidP="00773F7B">
            <w:pPr>
              <w:jc w:val="center"/>
              <w:rPr>
                <w:sz w:val="18"/>
                <w:szCs w:val="18"/>
              </w:rPr>
            </w:pPr>
          </w:p>
        </w:tc>
      </w:tr>
      <w:tr w:rsidR="00773F7B" w14:paraId="15BD669D" w14:textId="77777777" w:rsidTr="00656003">
        <w:trPr>
          <w:jc w:val="center"/>
        </w:trPr>
        <w:tc>
          <w:tcPr>
            <w:tcW w:w="4236" w:type="dxa"/>
            <w:gridSpan w:val="2"/>
            <w:tcBorders>
              <w:top w:val="nil"/>
              <w:left w:val="nil"/>
              <w:bottom w:val="nil"/>
              <w:right w:val="nil"/>
            </w:tcBorders>
            <w:vAlign w:val="bottom"/>
          </w:tcPr>
          <w:p w14:paraId="0A5A7121" w14:textId="77777777" w:rsidR="00773F7B" w:rsidRPr="00E8718C" w:rsidRDefault="00773F7B" w:rsidP="00773F7B">
            <w:pPr>
              <w:jc w:val="right"/>
              <w:rPr>
                <w:sz w:val="18"/>
                <w:szCs w:val="18"/>
              </w:rPr>
            </w:pPr>
            <w:r w:rsidRPr="00323878">
              <w:rPr>
                <w:sz w:val="18"/>
                <w:szCs w:val="18"/>
              </w:rPr>
              <w:t>Notes</w:t>
            </w:r>
          </w:p>
        </w:tc>
        <w:tc>
          <w:tcPr>
            <w:tcW w:w="1134" w:type="dxa"/>
            <w:tcBorders>
              <w:top w:val="nil"/>
              <w:left w:val="nil"/>
              <w:bottom w:val="nil"/>
              <w:right w:val="nil"/>
            </w:tcBorders>
            <w:vAlign w:val="bottom"/>
          </w:tcPr>
          <w:p w14:paraId="4AB2A354" w14:textId="77777777" w:rsidR="00773F7B" w:rsidRPr="00A00268" w:rsidRDefault="00773F7B" w:rsidP="00773F7B">
            <w:pPr>
              <w:pStyle w:val="T2"/>
              <w:jc w:val="right"/>
              <w:rPr>
                <w:b/>
              </w:rPr>
            </w:pPr>
            <w:r w:rsidRPr="00A00268">
              <w:rPr>
                <w:b/>
              </w:rPr>
              <w:t>Pre</w:t>
            </w:r>
            <w:r>
              <w:rPr>
                <w:b/>
              </w:rPr>
              <w:t>–</w:t>
            </w:r>
            <w:r w:rsidRPr="00A00268">
              <w:rPr>
                <w:b/>
              </w:rPr>
              <w:t xml:space="preserve"> exceptional</w:t>
            </w:r>
          </w:p>
        </w:tc>
        <w:tc>
          <w:tcPr>
            <w:tcW w:w="1134" w:type="dxa"/>
            <w:tcBorders>
              <w:top w:val="nil"/>
              <w:left w:val="nil"/>
              <w:bottom w:val="nil"/>
              <w:right w:val="nil"/>
            </w:tcBorders>
            <w:vAlign w:val="bottom"/>
          </w:tcPr>
          <w:p w14:paraId="4230AB07" w14:textId="77777777" w:rsidR="00773F7B" w:rsidRPr="00A00268" w:rsidRDefault="00773F7B" w:rsidP="00773F7B">
            <w:pPr>
              <w:pStyle w:val="T2"/>
              <w:jc w:val="right"/>
              <w:rPr>
                <w:b/>
              </w:rPr>
            </w:pPr>
            <w:r w:rsidRPr="00A00268">
              <w:rPr>
                <w:b/>
              </w:rPr>
              <w:t>Exceptional</w:t>
            </w:r>
            <w:r w:rsidRPr="00A00268">
              <w:rPr>
                <w:b/>
              </w:rPr>
              <w:br/>
              <w:t>(Note 5)</w:t>
            </w:r>
          </w:p>
        </w:tc>
        <w:tc>
          <w:tcPr>
            <w:tcW w:w="856" w:type="dxa"/>
            <w:tcBorders>
              <w:top w:val="nil"/>
              <w:left w:val="nil"/>
              <w:bottom w:val="nil"/>
              <w:right w:val="nil"/>
            </w:tcBorders>
            <w:vAlign w:val="bottom"/>
          </w:tcPr>
          <w:p w14:paraId="601DF964" w14:textId="77777777" w:rsidR="00773F7B" w:rsidRPr="00A00268" w:rsidRDefault="00773F7B" w:rsidP="00773F7B">
            <w:pPr>
              <w:pStyle w:val="T2"/>
              <w:jc w:val="right"/>
              <w:rPr>
                <w:b/>
              </w:rPr>
            </w:pPr>
            <w:r w:rsidRPr="00A00268">
              <w:rPr>
                <w:b/>
              </w:rPr>
              <w:t>Total</w:t>
            </w:r>
          </w:p>
        </w:tc>
        <w:tc>
          <w:tcPr>
            <w:tcW w:w="1134" w:type="dxa"/>
            <w:tcBorders>
              <w:top w:val="nil"/>
              <w:left w:val="nil"/>
              <w:bottom w:val="nil"/>
              <w:right w:val="nil"/>
            </w:tcBorders>
            <w:vAlign w:val="bottom"/>
          </w:tcPr>
          <w:p w14:paraId="78F566F6" w14:textId="77777777" w:rsidR="00773F7B" w:rsidRDefault="00773F7B" w:rsidP="00773F7B">
            <w:pPr>
              <w:pStyle w:val="T2"/>
              <w:jc w:val="right"/>
            </w:pPr>
            <w:r>
              <w:t>Pre– exceptional</w:t>
            </w:r>
          </w:p>
        </w:tc>
        <w:tc>
          <w:tcPr>
            <w:tcW w:w="1134" w:type="dxa"/>
            <w:tcBorders>
              <w:top w:val="nil"/>
              <w:left w:val="nil"/>
              <w:bottom w:val="nil"/>
              <w:right w:val="nil"/>
            </w:tcBorders>
            <w:vAlign w:val="bottom"/>
          </w:tcPr>
          <w:p w14:paraId="797BF24F" w14:textId="77777777" w:rsidR="00773F7B" w:rsidRDefault="00773F7B" w:rsidP="00773F7B">
            <w:pPr>
              <w:pStyle w:val="T2"/>
              <w:jc w:val="right"/>
            </w:pPr>
            <w:r>
              <w:t>Exceptional</w:t>
            </w:r>
            <w:r>
              <w:br/>
              <w:t>(Note 5)</w:t>
            </w:r>
          </w:p>
        </w:tc>
        <w:tc>
          <w:tcPr>
            <w:tcW w:w="859" w:type="dxa"/>
            <w:tcBorders>
              <w:top w:val="nil"/>
              <w:left w:val="nil"/>
              <w:bottom w:val="nil"/>
              <w:right w:val="nil"/>
            </w:tcBorders>
            <w:vAlign w:val="bottom"/>
          </w:tcPr>
          <w:p w14:paraId="230BC626" w14:textId="77777777" w:rsidR="00773F7B" w:rsidRDefault="00773F7B" w:rsidP="00773F7B">
            <w:pPr>
              <w:pStyle w:val="T2"/>
              <w:jc w:val="right"/>
            </w:pPr>
            <w:r>
              <w:t>Total</w:t>
            </w:r>
          </w:p>
        </w:tc>
      </w:tr>
      <w:tr w:rsidR="003E307B" w14:paraId="655F0E00" w14:textId="77777777" w:rsidTr="00656003">
        <w:trPr>
          <w:jc w:val="center"/>
        </w:trPr>
        <w:tc>
          <w:tcPr>
            <w:tcW w:w="4236" w:type="dxa"/>
            <w:gridSpan w:val="2"/>
            <w:tcBorders>
              <w:top w:val="nil"/>
              <w:left w:val="nil"/>
              <w:bottom w:val="single" w:sz="2" w:space="0" w:color="auto"/>
              <w:right w:val="nil"/>
            </w:tcBorders>
            <w:shd w:val="clear" w:color="auto" w:fill="auto"/>
            <w:vAlign w:val="bottom"/>
          </w:tcPr>
          <w:p w14:paraId="5BA5D032" w14:textId="77777777" w:rsidR="003E307B" w:rsidRPr="00E8718C" w:rsidRDefault="003E307B" w:rsidP="00773F7B">
            <w:pPr>
              <w:jc w:val="right"/>
              <w:rPr>
                <w:sz w:val="18"/>
                <w:szCs w:val="18"/>
              </w:rPr>
            </w:pPr>
          </w:p>
        </w:tc>
        <w:tc>
          <w:tcPr>
            <w:tcW w:w="1134" w:type="dxa"/>
            <w:tcBorders>
              <w:top w:val="nil"/>
              <w:left w:val="nil"/>
              <w:bottom w:val="single" w:sz="2" w:space="0" w:color="auto"/>
              <w:right w:val="nil"/>
            </w:tcBorders>
            <w:shd w:val="clear" w:color="auto" w:fill="auto"/>
            <w:vAlign w:val="bottom"/>
          </w:tcPr>
          <w:p w14:paraId="0330F053" w14:textId="77777777" w:rsidR="003E307B" w:rsidRPr="00A00268" w:rsidRDefault="003E307B" w:rsidP="00773F7B">
            <w:pPr>
              <w:pStyle w:val="T2"/>
              <w:jc w:val="right"/>
              <w:rPr>
                <w:b/>
                <w:sz w:val="20"/>
                <w:szCs w:val="20"/>
              </w:rPr>
            </w:pPr>
            <w:r w:rsidRPr="00A00268">
              <w:rPr>
                <w:b/>
                <w:sz w:val="20"/>
                <w:szCs w:val="20"/>
              </w:rPr>
              <w:t>£m</w:t>
            </w:r>
          </w:p>
        </w:tc>
        <w:tc>
          <w:tcPr>
            <w:tcW w:w="1134" w:type="dxa"/>
            <w:tcBorders>
              <w:top w:val="nil"/>
              <w:left w:val="nil"/>
              <w:bottom w:val="single" w:sz="2" w:space="0" w:color="auto"/>
              <w:right w:val="nil"/>
            </w:tcBorders>
            <w:shd w:val="clear" w:color="auto" w:fill="auto"/>
            <w:vAlign w:val="bottom"/>
          </w:tcPr>
          <w:p w14:paraId="078051AF" w14:textId="77777777" w:rsidR="003E307B" w:rsidRPr="00A00268" w:rsidRDefault="003E307B" w:rsidP="00773F7B">
            <w:pPr>
              <w:pStyle w:val="T2"/>
              <w:jc w:val="right"/>
              <w:rPr>
                <w:b/>
                <w:sz w:val="20"/>
                <w:szCs w:val="20"/>
              </w:rPr>
            </w:pPr>
            <w:r w:rsidRPr="00A00268">
              <w:rPr>
                <w:b/>
                <w:sz w:val="20"/>
                <w:szCs w:val="20"/>
              </w:rPr>
              <w:t>£m</w:t>
            </w:r>
          </w:p>
        </w:tc>
        <w:tc>
          <w:tcPr>
            <w:tcW w:w="856" w:type="dxa"/>
            <w:tcBorders>
              <w:top w:val="nil"/>
              <w:left w:val="nil"/>
              <w:bottom w:val="single" w:sz="2" w:space="0" w:color="auto"/>
              <w:right w:val="nil"/>
            </w:tcBorders>
            <w:shd w:val="clear" w:color="auto" w:fill="auto"/>
            <w:vAlign w:val="bottom"/>
          </w:tcPr>
          <w:p w14:paraId="60CA5C86" w14:textId="77777777" w:rsidR="003E307B" w:rsidRPr="00A00268" w:rsidRDefault="003E307B" w:rsidP="00773F7B">
            <w:pPr>
              <w:pStyle w:val="T2"/>
              <w:jc w:val="right"/>
              <w:rPr>
                <w:b/>
                <w:sz w:val="20"/>
                <w:szCs w:val="20"/>
              </w:rPr>
            </w:pPr>
            <w:r w:rsidRPr="00A00268">
              <w:rPr>
                <w:b/>
                <w:sz w:val="20"/>
                <w:szCs w:val="20"/>
              </w:rPr>
              <w:t>£m</w:t>
            </w:r>
          </w:p>
        </w:tc>
        <w:tc>
          <w:tcPr>
            <w:tcW w:w="1134" w:type="dxa"/>
            <w:tcBorders>
              <w:top w:val="nil"/>
              <w:left w:val="nil"/>
              <w:bottom w:val="single" w:sz="2" w:space="0" w:color="auto"/>
              <w:right w:val="nil"/>
            </w:tcBorders>
            <w:shd w:val="clear" w:color="auto" w:fill="auto"/>
            <w:vAlign w:val="bottom"/>
          </w:tcPr>
          <w:p w14:paraId="4E4C691F" w14:textId="77777777" w:rsidR="003E307B" w:rsidRDefault="003E307B" w:rsidP="00773F7B">
            <w:pPr>
              <w:pStyle w:val="T2"/>
              <w:jc w:val="right"/>
              <w:rPr>
                <w:sz w:val="20"/>
                <w:szCs w:val="20"/>
              </w:rPr>
            </w:pPr>
            <w:r>
              <w:rPr>
                <w:sz w:val="20"/>
                <w:szCs w:val="20"/>
              </w:rPr>
              <w:t>£m</w:t>
            </w:r>
          </w:p>
        </w:tc>
        <w:tc>
          <w:tcPr>
            <w:tcW w:w="1134" w:type="dxa"/>
            <w:tcBorders>
              <w:top w:val="nil"/>
              <w:left w:val="nil"/>
              <w:bottom w:val="single" w:sz="2" w:space="0" w:color="auto"/>
              <w:right w:val="nil"/>
            </w:tcBorders>
            <w:shd w:val="clear" w:color="auto" w:fill="auto"/>
            <w:vAlign w:val="bottom"/>
          </w:tcPr>
          <w:p w14:paraId="64699CC2" w14:textId="77777777" w:rsidR="003E307B" w:rsidRDefault="003E307B" w:rsidP="00773F7B">
            <w:pPr>
              <w:pStyle w:val="T2"/>
              <w:jc w:val="right"/>
              <w:rPr>
                <w:sz w:val="20"/>
                <w:szCs w:val="20"/>
              </w:rPr>
            </w:pPr>
            <w:r>
              <w:rPr>
                <w:sz w:val="20"/>
                <w:szCs w:val="20"/>
              </w:rPr>
              <w:t>£m</w:t>
            </w:r>
          </w:p>
        </w:tc>
        <w:tc>
          <w:tcPr>
            <w:tcW w:w="859" w:type="dxa"/>
            <w:tcBorders>
              <w:top w:val="nil"/>
              <w:left w:val="nil"/>
              <w:bottom w:val="single" w:sz="2" w:space="0" w:color="auto"/>
              <w:right w:val="nil"/>
            </w:tcBorders>
            <w:shd w:val="clear" w:color="auto" w:fill="auto"/>
            <w:vAlign w:val="bottom"/>
          </w:tcPr>
          <w:p w14:paraId="42AF97CB" w14:textId="77777777" w:rsidR="003E307B" w:rsidRDefault="003E307B" w:rsidP="00773F7B">
            <w:pPr>
              <w:pStyle w:val="T2"/>
              <w:jc w:val="right"/>
              <w:rPr>
                <w:sz w:val="20"/>
                <w:szCs w:val="20"/>
              </w:rPr>
            </w:pPr>
            <w:r>
              <w:rPr>
                <w:sz w:val="20"/>
                <w:szCs w:val="20"/>
              </w:rPr>
              <w:t>£m</w:t>
            </w:r>
          </w:p>
        </w:tc>
      </w:tr>
      <w:tr w:rsidR="00773F7B" w14:paraId="28EE3805" w14:textId="77777777" w:rsidTr="00656003">
        <w:trPr>
          <w:jc w:val="center"/>
        </w:trPr>
        <w:tc>
          <w:tcPr>
            <w:tcW w:w="3805" w:type="dxa"/>
            <w:tcBorders>
              <w:top w:val="single" w:sz="2" w:space="0" w:color="auto"/>
              <w:left w:val="nil"/>
              <w:bottom w:val="nil"/>
              <w:right w:val="nil"/>
            </w:tcBorders>
            <w:vAlign w:val="bottom"/>
          </w:tcPr>
          <w:p w14:paraId="0AA90C3E" w14:textId="77777777" w:rsidR="00773F7B" w:rsidRPr="00E8718C" w:rsidRDefault="00773F7B" w:rsidP="00773F7B">
            <w:pPr>
              <w:pStyle w:val="Subtitle"/>
              <w:jc w:val="left"/>
            </w:pPr>
            <w:r w:rsidRPr="00CD4C0F">
              <w:t>Continuing operations</w:t>
            </w:r>
          </w:p>
        </w:tc>
        <w:tc>
          <w:tcPr>
            <w:tcW w:w="431" w:type="dxa"/>
            <w:tcBorders>
              <w:top w:val="single" w:sz="2" w:space="0" w:color="auto"/>
              <w:left w:val="nil"/>
              <w:bottom w:val="nil"/>
              <w:right w:val="nil"/>
            </w:tcBorders>
            <w:vAlign w:val="bottom"/>
          </w:tcPr>
          <w:p w14:paraId="12474BC4" w14:textId="77777777" w:rsidR="00773F7B" w:rsidRPr="00E8718C" w:rsidRDefault="00773F7B" w:rsidP="00773F7B">
            <w:pPr>
              <w:jc w:val="right"/>
              <w:rPr>
                <w:sz w:val="18"/>
                <w:szCs w:val="18"/>
              </w:rPr>
            </w:pPr>
          </w:p>
        </w:tc>
        <w:tc>
          <w:tcPr>
            <w:tcW w:w="1134" w:type="dxa"/>
            <w:tcBorders>
              <w:top w:val="single" w:sz="2" w:space="0" w:color="auto"/>
              <w:left w:val="nil"/>
              <w:bottom w:val="nil"/>
              <w:right w:val="nil"/>
            </w:tcBorders>
            <w:vAlign w:val="bottom"/>
          </w:tcPr>
          <w:p w14:paraId="54325C3E" w14:textId="77777777" w:rsidR="00773F7B" w:rsidRPr="00E8718C" w:rsidRDefault="00773F7B" w:rsidP="00773F7B">
            <w:pPr>
              <w:pStyle w:val="T2"/>
              <w:jc w:val="right"/>
            </w:pPr>
          </w:p>
        </w:tc>
        <w:tc>
          <w:tcPr>
            <w:tcW w:w="1134" w:type="dxa"/>
            <w:tcBorders>
              <w:top w:val="single" w:sz="2" w:space="0" w:color="auto"/>
              <w:left w:val="nil"/>
              <w:bottom w:val="nil"/>
              <w:right w:val="nil"/>
            </w:tcBorders>
            <w:vAlign w:val="bottom"/>
          </w:tcPr>
          <w:p w14:paraId="2B099FA6" w14:textId="77777777" w:rsidR="00773F7B" w:rsidRPr="00E8718C" w:rsidRDefault="00773F7B" w:rsidP="00773F7B">
            <w:pPr>
              <w:pStyle w:val="T2"/>
              <w:jc w:val="right"/>
            </w:pPr>
          </w:p>
        </w:tc>
        <w:tc>
          <w:tcPr>
            <w:tcW w:w="856" w:type="dxa"/>
            <w:tcBorders>
              <w:top w:val="single" w:sz="2" w:space="0" w:color="auto"/>
              <w:left w:val="nil"/>
              <w:bottom w:val="nil"/>
              <w:right w:val="nil"/>
            </w:tcBorders>
            <w:vAlign w:val="bottom"/>
          </w:tcPr>
          <w:p w14:paraId="2B3E7713" w14:textId="77777777" w:rsidR="00773F7B" w:rsidRPr="00E8718C" w:rsidRDefault="00773F7B" w:rsidP="00773F7B">
            <w:pPr>
              <w:pStyle w:val="T2"/>
              <w:jc w:val="right"/>
            </w:pPr>
          </w:p>
        </w:tc>
        <w:tc>
          <w:tcPr>
            <w:tcW w:w="1134" w:type="dxa"/>
            <w:tcBorders>
              <w:top w:val="single" w:sz="2" w:space="0" w:color="auto"/>
              <w:left w:val="nil"/>
              <w:bottom w:val="nil"/>
              <w:right w:val="nil"/>
            </w:tcBorders>
            <w:vAlign w:val="bottom"/>
          </w:tcPr>
          <w:p w14:paraId="166AF097" w14:textId="77777777" w:rsidR="00773F7B" w:rsidRPr="00E8718C" w:rsidRDefault="00773F7B" w:rsidP="00773F7B">
            <w:pPr>
              <w:pStyle w:val="T2"/>
              <w:jc w:val="right"/>
            </w:pPr>
          </w:p>
        </w:tc>
        <w:tc>
          <w:tcPr>
            <w:tcW w:w="1134" w:type="dxa"/>
            <w:tcBorders>
              <w:top w:val="single" w:sz="2" w:space="0" w:color="auto"/>
              <w:left w:val="nil"/>
              <w:bottom w:val="nil"/>
              <w:right w:val="nil"/>
            </w:tcBorders>
            <w:vAlign w:val="bottom"/>
          </w:tcPr>
          <w:p w14:paraId="1F9C9EC8" w14:textId="77777777" w:rsidR="00773F7B" w:rsidRPr="00E8718C" w:rsidRDefault="00773F7B" w:rsidP="00773F7B">
            <w:pPr>
              <w:pStyle w:val="T2"/>
              <w:jc w:val="right"/>
            </w:pPr>
          </w:p>
        </w:tc>
        <w:tc>
          <w:tcPr>
            <w:tcW w:w="859" w:type="dxa"/>
            <w:tcBorders>
              <w:top w:val="single" w:sz="2" w:space="0" w:color="auto"/>
              <w:left w:val="nil"/>
              <w:bottom w:val="nil"/>
              <w:right w:val="nil"/>
            </w:tcBorders>
            <w:vAlign w:val="bottom"/>
          </w:tcPr>
          <w:p w14:paraId="568434E6" w14:textId="77777777" w:rsidR="00773F7B" w:rsidRPr="00E8718C" w:rsidRDefault="00773F7B" w:rsidP="00773F7B">
            <w:pPr>
              <w:pStyle w:val="T2"/>
              <w:jc w:val="right"/>
            </w:pPr>
          </w:p>
        </w:tc>
      </w:tr>
      <w:tr w:rsidR="00773F7B" w:rsidRPr="00CD4C0F" w14:paraId="6288025E" w14:textId="77777777" w:rsidTr="00656003">
        <w:trPr>
          <w:jc w:val="center"/>
        </w:trPr>
        <w:tc>
          <w:tcPr>
            <w:tcW w:w="3805" w:type="dxa"/>
            <w:tcBorders>
              <w:top w:val="nil"/>
              <w:left w:val="nil"/>
              <w:bottom w:val="nil"/>
              <w:right w:val="nil"/>
            </w:tcBorders>
            <w:vAlign w:val="bottom"/>
          </w:tcPr>
          <w:p w14:paraId="55E7D0D6" w14:textId="77777777" w:rsidR="00773F7B" w:rsidRPr="00C65534" w:rsidRDefault="00773F7B" w:rsidP="00773F7B">
            <w:pPr>
              <w:pStyle w:val="T2"/>
              <w:jc w:val="left"/>
            </w:pPr>
            <w:r w:rsidRPr="00C65534">
              <w:t>Revenue</w:t>
            </w:r>
          </w:p>
        </w:tc>
        <w:tc>
          <w:tcPr>
            <w:tcW w:w="431" w:type="dxa"/>
            <w:tcBorders>
              <w:top w:val="nil"/>
              <w:left w:val="nil"/>
              <w:bottom w:val="nil"/>
              <w:right w:val="nil"/>
            </w:tcBorders>
            <w:vAlign w:val="bottom"/>
          </w:tcPr>
          <w:p w14:paraId="39438459" w14:textId="77777777" w:rsidR="00773F7B" w:rsidRPr="00CD4C0F" w:rsidRDefault="00773F7B" w:rsidP="00773F7B">
            <w:pPr>
              <w:pStyle w:val="T2"/>
              <w:jc w:val="right"/>
            </w:pPr>
            <w:r>
              <w:t>3</w:t>
            </w:r>
          </w:p>
        </w:tc>
        <w:tc>
          <w:tcPr>
            <w:tcW w:w="1134" w:type="dxa"/>
            <w:tcBorders>
              <w:top w:val="nil"/>
              <w:left w:val="nil"/>
              <w:bottom w:val="nil"/>
              <w:right w:val="nil"/>
            </w:tcBorders>
            <w:vAlign w:val="bottom"/>
          </w:tcPr>
          <w:p w14:paraId="6E3925AB" w14:textId="77777777" w:rsidR="00773F7B" w:rsidRPr="00A31437" w:rsidRDefault="00773F7B" w:rsidP="00773F7B">
            <w:pPr>
              <w:pStyle w:val="T2"/>
              <w:jc w:val="right"/>
              <w:rPr>
                <w:b/>
              </w:rPr>
            </w:pPr>
            <w:r>
              <w:rPr>
                <w:b/>
              </w:rPr>
              <w:t>712.7</w:t>
            </w:r>
          </w:p>
        </w:tc>
        <w:tc>
          <w:tcPr>
            <w:tcW w:w="1134" w:type="dxa"/>
            <w:tcBorders>
              <w:top w:val="nil"/>
              <w:left w:val="nil"/>
              <w:bottom w:val="nil"/>
              <w:right w:val="nil"/>
            </w:tcBorders>
            <w:vAlign w:val="bottom"/>
          </w:tcPr>
          <w:p w14:paraId="2166FB12" w14:textId="77777777" w:rsidR="00773F7B" w:rsidRPr="00681334" w:rsidRDefault="00773F7B" w:rsidP="00773F7B">
            <w:pPr>
              <w:pStyle w:val="T2"/>
              <w:jc w:val="right"/>
              <w:rPr>
                <w:b/>
              </w:rPr>
            </w:pPr>
            <w:r w:rsidRPr="00681334">
              <w:rPr>
                <w:b/>
                <w:bCs/>
              </w:rPr>
              <w:t>–</w:t>
            </w:r>
          </w:p>
        </w:tc>
        <w:tc>
          <w:tcPr>
            <w:tcW w:w="856" w:type="dxa"/>
            <w:tcBorders>
              <w:top w:val="nil"/>
              <w:left w:val="nil"/>
              <w:bottom w:val="nil"/>
              <w:right w:val="nil"/>
            </w:tcBorders>
            <w:vAlign w:val="bottom"/>
          </w:tcPr>
          <w:p w14:paraId="06BAB563" w14:textId="77777777" w:rsidR="00773F7B" w:rsidRPr="00A31437" w:rsidRDefault="00773F7B" w:rsidP="00773F7B">
            <w:pPr>
              <w:pStyle w:val="T2"/>
              <w:jc w:val="right"/>
              <w:rPr>
                <w:b/>
              </w:rPr>
            </w:pPr>
            <w:r>
              <w:rPr>
                <w:b/>
              </w:rPr>
              <w:t>712.7</w:t>
            </w:r>
          </w:p>
        </w:tc>
        <w:tc>
          <w:tcPr>
            <w:tcW w:w="1134" w:type="dxa"/>
            <w:tcBorders>
              <w:top w:val="nil"/>
              <w:left w:val="nil"/>
              <w:bottom w:val="nil"/>
              <w:right w:val="nil"/>
            </w:tcBorders>
            <w:vAlign w:val="bottom"/>
          </w:tcPr>
          <w:p w14:paraId="43CD5442" w14:textId="77777777" w:rsidR="00773F7B" w:rsidRPr="00006931" w:rsidRDefault="00773F7B" w:rsidP="00773F7B">
            <w:pPr>
              <w:pStyle w:val="T2"/>
              <w:jc w:val="right"/>
              <w:rPr>
                <w:bCs/>
              </w:rPr>
            </w:pPr>
            <w:r w:rsidRPr="005D0EFF">
              <w:rPr>
                <w:bCs/>
              </w:rPr>
              <w:t>701.4</w:t>
            </w:r>
          </w:p>
        </w:tc>
        <w:tc>
          <w:tcPr>
            <w:tcW w:w="1134" w:type="dxa"/>
            <w:tcBorders>
              <w:top w:val="nil"/>
              <w:left w:val="nil"/>
              <w:bottom w:val="nil"/>
              <w:right w:val="nil"/>
            </w:tcBorders>
            <w:vAlign w:val="bottom"/>
          </w:tcPr>
          <w:p w14:paraId="372631C8" w14:textId="77777777" w:rsidR="00773F7B" w:rsidRPr="00006931" w:rsidRDefault="00773F7B" w:rsidP="00773F7B">
            <w:pPr>
              <w:pStyle w:val="T2"/>
              <w:jc w:val="right"/>
              <w:rPr>
                <w:bCs/>
              </w:rPr>
            </w:pPr>
            <w:r w:rsidRPr="005D0EFF">
              <w:rPr>
                <w:bCs/>
              </w:rPr>
              <w:t>–</w:t>
            </w:r>
          </w:p>
        </w:tc>
        <w:tc>
          <w:tcPr>
            <w:tcW w:w="859" w:type="dxa"/>
            <w:tcBorders>
              <w:top w:val="nil"/>
              <w:left w:val="nil"/>
              <w:bottom w:val="nil"/>
              <w:right w:val="nil"/>
            </w:tcBorders>
            <w:vAlign w:val="bottom"/>
          </w:tcPr>
          <w:p w14:paraId="4F509C46" w14:textId="77777777" w:rsidR="00773F7B" w:rsidRPr="005D0EFF" w:rsidRDefault="00773F7B" w:rsidP="00773F7B">
            <w:pPr>
              <w:pStyle w:val="T2"/>
              <w:jc w:val="right"/>
              <w:rPr>
                <w:bCs/>
              </w:rPr>
            </w:pPr>
            <w:r w:rsidRPr="005D0EFF">
              <w:rPr>
                <w:bCs/>
              </w:rPr>
              <w:t>701.4</w:t>
            </w:r>
          </w:p>
        </w:tc>
      </w:tr>
      <w:tr w:rsidR="00773F7B" w14:paraId="597AF011" w14:textId="77777777" w:rsidTr="00656003">
        <w:trPr>
          <w:jc w:val="center"/>
        </w:trPr>
        <w:tc>
          <w:tcPr>
            <w:tcW w:w="3805" w:type="dxa"/>
            <w:tcBorders>
              <w:top w:val="nil"/>
              <w:left w:val="nil"/>
              <w:bottom w:val="single" w:sz="2" w:space="0" w:color="auto"/>
              <w:right w:val="nil"/>
            </w:tcBorders>
            <w:vAlign w:val="bottom"/>
          </w:tcPr>
          <w:p w14:paraId="16CFC14B" w14:textId="77777777" w:rsidR="00773F7B" w:rsidRPr="00C65534" w:rsidRDefault="00773F7B" w:rsidP="00773F7B">
            <w:pPr>
              <w:pStyle w:val="T2"/>
              <w:jc w:val="left"/>
            </w:pPr>
            <w:r w:rsidRPr="00C65534">
              <w:t>Cost of sales</w:t>
            </w:r>
          </w:p>
        </w:tc>
        <w:tc>
          <w:tcPr>
            <w:tcW w:w="431" w:type="dxa"/>
            <w:tcBorders>
              <w:top w:val="nil"/>
              <w:left w:val="nil"/>
              <w:bottom w:val="single" w:sz="2" w:space="0" w:color="auto"/>
              <w:right w:val="nil"/>
            </w:tcBorders>
            <w:vAlign w:val="bottom"/>
          </w:tcPr>
          <w:p w14:paraId="3B37185D" w14:textId="77777777" w:rsidR="00773F7B" w:rsidRPr="00E8718C" w:rsidRDefault="00773F7B" w:rsidP="00773F7B">
            <w:pPr>
              <w:jc w:val="right"/>
              <w:rPr>
                <w:sz w:val="18"/>
                <w:szCs w:val="18"/>
              </w:rPr>
            </w:pPr>
          </w:p>
        </w:tc>
        <w:tc>
          <w:tcPr>
            <w:tcW w:w="1134" w:type="dxa"/>
            <w:tcBorders>
              <w:top w:val="nil"/>
              <w:left w:val="nil"/>
              <w:bottom w:val="single" w:sz="2" w:space="0" w:color="auto"/>
              <w:right w:val="nil"/>
            </w:tcBorders>
            <w:vAlign w:val="bottom"/>
          </w:tcPr>
          <w:p w14:paraId="4BAE7184" w14:textId="77777777" w:rsidR="00773F7B" w:rsidRPr="00A31437" w:rsidRDefault="00773F7B" w:rsidP="00773F7B">
            <w:pPr>
              <w:pStyle w:val="T2"/>
              <w:jc w:val="right"/>
              <w:rPr>
                <w:b/>
              </w:rPr>
            </w:pPr>
            <w:r>
              <w:rPr>
                <w:b/>
              </w:rPr>
              <w:t>(</w:t>
            </w:r>
            <w:r w:rsidR="003B4949">
              <w:rPr>
                <w:b/>
              </w:rPr>
              <w:t>475.7</w:t>
            </w:r>
            <w:r>
              <w:rPr>
                <w:b/>
              </w:rPr>
              <w:t>)</w:t>
            </w:r>
          </w:p>
        </w:tc>
        <w:tc>
          <w:tcPr>
            <w:tcW w:w="1134" w:type="dxa"/>
            <w:tcBorders>
              <w:top w:val="nil"/>
              <w:left w:val="nil"/>
              <w:bottom w:val="single" w:sz="2" w:space="0" w:color="auto"/>
              <w:right w:val="nil"/>
            </w:tcBorders>
            <w:vAlign w:val="bottom"/>
          </w:tcPr>
          <w:p w14:paraId="7E45A499" w14:textId="77777777" w:rsidR="00773F7B" w:rsidRPr="00681334" w:rsidRDefault="00773F7B" w:rsidP="00773F7B">
            <w:pPr>
              <w:pStyle w:val="T2"/>
              <w:jc w:val="right"/>
              <w:rPr>
                <w:b/>
              </w:rPr>
            </w:pPr>
            <w:r w:rsidRPr="00681334">
              <w:rPr>
                <w:b/>
                <w:bCs/>
              </w:rPr>
              <w:t>–</w:t>
            </w:r>
          </w:p>
        </w:tc>
        <w:tc>
          <w:tcPr>
            <w:tcW w:w="856" w:type="dxa"/>
            <w:tcBorders>
              <w:top w:val="nil"/>
              <w:left w:val="nil"/>
              <w:bottom w:val="single" w:sz="2" w:space="0" w:color="auto"/>
              <w:right w:val="nil"/>
            </w:tcBorders>
            <w:vAlign w:val="bottom"/>
          </w:tcPr>
          <w:p w14:paraId="50C88501" w14:textId="77777777" w:rsidR="00773F7B" w:rsidRPr="00A31437" w:rsidRDefault="00773F7B" w:rsidP="00773F7B">
            <w:pPr>
              <w:pStyle w:val="T2"/>
              <w:jc w:val="right"/>
              <w:rPr>
                <w:b/>
              </w:rPr>
            </w:pPr>
            <w:r>
              <w:rPr>
                <w:b/>
              </w:rPr>
              <w:t>(4</w:t>
            </w:r>
            <w:r w:rsidR="003B4949">
              <w:rPr>
                <w:b/>
              </w:rPr>
              <w:t>75.7</w:t>
            </w:r>
            <w:r>
              <w:rPr>
                <w:b/>
              </w:rPr>
              <w:t>)</w:t>
            </w:r>
          </w:p>
        </w:tc>
        <w:tc>
          <w:tcPr>
            <w:tcW w:w="1134" w:type="dxa"/>
            <w:tcBorders>
              <w:top w:val="nil"/>
              <w:left w:val="nil"/>
              <w:bottom w:val="single" w:sz="2" w:space="0" w:color="auto"/>
              <w:right w:val="nil"/>
            </w:tcBorders>
            <w:vAlign w:val="bottom"/>
          </w:tcPr>
          <w:p w14:paraId="37A36848" w14:textId="77777777" w:rsidR="00773F7B" w:rsidRPr="00006931" w:rsidRDefault="00773F7B" w:rsidP="00773F7B">
            <w:pPr>
              <w:pStyle w:val="T2"/>
              <w:jc w:val="right"/>
              <w:rPr>
                <w:bCs/>
              </w:rPr>
            </w:pPr>
            <w:r w:rsidRPr="005D0EFF">
              <w:rPr>
                <w:bCs/>
              </w:rPr>
              <w:t>(467.8)</w:t>
            </w:r>
          </w:p>
        </w:tc>
        <w:tc>
          <w:tcPr>
            <w:tcW w:w="1134" w:type="dxa"/>
            <w:tcBorders>
              <w:top w:val="nil"/>
              <w:left w:val="nil"/>
              <w:bottom w:val="single" w:sz="2" w:space="0" w:color="auto"/>
              <w:right w:val="nil"/>
            </w:tcBorders>
            <w:vAlign w:val="bottom"/>
          </w:tcPr>
          <w:p w14:paraId="12E461BC" w14:textId="77777777" w:rsidR="00773F7B" w:rsidRPr="00006931" w:rsidRDefault="00773F7B" w:rsidP="00773F7B">
            <w:pPr>
              <w:pStyle w:val="T2"/>
              <w:jc w:val="right"/>
              <w:rPr>
                <w:bCs/>
              </w:rPr>
            </w:pPr>
            <w:r w:rsidRPr="005D0EFF">
              <w:rPr>
                <w:bCs/>
              </w:rPr>
              <w:t>–</w:t>
            </w:r>
          </w:p>
        </w:tc>
        <w:tc>
          <w:tcPr>
            <w:tcW w:w="859" w:type="dxa"/>
            <w:tcBorders>
              <w:top w:val="nil"/>
              <w:left w:val="nil"/>
              <w:bottom w:val="single" w:sz="2" w:space="0" w:color="auto"/>
              <w:right w:val="nil"/>
            </w:tcBorders>
            <w:vAlign w:val="bottom"/>
          </w:tcPr>
          <w:p w14:paraId="5E861906" w14:textId="77777777" w:rsidR="00773F7B" w:rsidRPr="005D0EFF" w:rsidRDefault="00773F7B" w:rsidP="00773F7B">
            <w:pPr>
              <w:pStyle w:val="T2"/>
              <w:jc w:val="right"/>
              <w:rPr>
                <w:bCs/>
              </w:rPr>
            </w:pPr>
            <w:r w:rsidRPr="005D0EFF">
              <w:rPr>
                <w:bCs/>
              </w:rPr>
              <w:t>(467.8)</w:t>
            </w:r>
          </w:p>
        </w:tc>
      </w:tr>
      <w:tr w:rsidR="00773F7B" w14:paraId="18656902" w14:textId="77777777" w:rsidTr="00656003">
        <w:trPr>
          <w:jc w:val="center"/>
        </w:trPr>
        <w:tc>
          <w:tcPr>
            <w:tcW w:w="3805" w:type="dxa"/>
            <w:tcBorders>
              <w:top w:val="single" w:sz="2" w:space="0" w:color="auto"/>
              <w:left w:val="nil"/>
              <w:bottom w:val="nil"/>
              <w:right w:val="nil"/>
            </w:tcBorders>
            <w:vAlign w:val="bottom"/>
          </w:tcPr>
          <w:p w14:paraId="5C58A3CD" w14:textId="77777777" w:rsidR="00773F7B" w:rsidRPr="00323878" w:rsidRDefault="00773F7B" w:rsidP="00773F7B">
            <w:pPr>
              <w:pStyle w:val="T2"/>
              <w:jc w:val="left"/>
              <w:rPr>
                <w:b/>
              </w:rPr>
            </w:pPr>
            <w:r w:rsidRPr="00323878">
              <w:rPr>
                <w:b/>
              </w:rPr>
              <w:t>Gross profit</w:t>
            </w:r>
          </w:p>
        </w:tc>
        <w:tc>
          <w:tcPr>
            <w:tcW w:w="431" w:type="dxa"/>
            <w:tcBorders>
              <w:top w:val="single" w:sz="2" w:space="0" w:color="auto"/>
              <w:left w:val="nil"/>
              <w:bottom w:val="nil"/>
              <w:right w:val="nil"/>
            </w:tcBorders>
            <w:vAlign w:val="bottom"/>
          </w:tcPr>
          <w:p w14:paraId="4F90D154" w14:textId="77777777" w:rsidR="00773F7B" w:rsidRPr="00E8718C" w:rsidRDefault="00773F7B" w:rsidP="00773F7B">
            <w:pPr>
              <w:jc w:val="right"/>
              <w:rPr>
                <w:sz w:val="18"/>
                <w:szCs w:val="18"/>
              </w:rPr>
            </w:pPr>
          </w:p>
        </w:tc>
        <w:tc>
          <w:tcPr>
            <w:tcW w:w="1134" w:type="dxa"/>
            <w:tcBorders>
              <w:top w:val="single" w:sz="2" w:space="0" w:color="auto"/>
              <w:left w:val="nil"/>
              <w:bottom w:val="nil"/>
              <w:right w:val="nil"/>
            </w:tcBorders>
            <w:vAlign w:val="bottom"/>
          </w:tcPr>
          <w:p w14:paraId="01BB65E7" w14:textId="77777777" w:rsidR="00773F7B" w:rsidRPr="00A31437" w:rsidRDefault="00773F7B" w:rsidP="00773F7B">
            <w:pPr>
              <w:pStyle w:val="T2"/>
              <w:jc w:val="right"/>
              <w:rPr>
                <w:b/>
              </w:rPr>
            </w:pPr>
            <w:r>
              <w:rPr>
                <w:b/>
              </w:rPr>
              <w:t>2</w:t>
            </w:r>
            <w:r w:rsidR="003B4949">
              <w:rPr>
                <w:b/>
              </w:rPr>
              <w:t>37.0</w:t>
            </w:r>
          </w:p>
        </w:tc>
        <w:tc>
          <w:tcPr>
            <w:tcW w:w="1134" w:type="dxa"/>
            <w:tcBorders>
              <w:top w:val="single" w:sz="2" w:space="0" w:color="auto"/>
              <w:left w:val="nil"/>
              <w:bottom w:val="nil"/>
              <w:right w:val="nil"/>
            </w:tcBorders>
            <w:vAlign w:val="bottom"/>
          </w:tcPr>
          <w:p w14:paraId="0D40EEFE" w14:textId="77777777" w:rsidR="00773F7B" w:rsidRPr="00681334" w:rsidRDefault="00773F7B" w:rsidP="00773F7B">
            <w:pPr>
              <w:pStyle w:val="T2"/>
              <w:jc w:val="right"/>
              <w:rPr>
                <w:b/>
              </w:rPr>
            </w:pPr>
            <w:r w:rsidRPr="00681334">
              <w:rPr>
                <w:b/>
                <w:bCs/>
              </w:rPr>
              <w:t>–</w:t>
            </w:r>
          </w:p>
        </w:tc>
        <w:tc>
          <w:tcPr>
            <w:tcW w:w="856" w:type="dxa"/>
            <w:tcBorders>
              <w:top w:val="single" w:sz="2" w:space="0" w:color="auto"/>
              <w:left w:val="nil"/>
              <w:bottom w:val="nil"/>
              <w:right w:val="nil"/>
            </w:tcBorders>
            <w:vAlign w:val="bottom"/>
          </w:tcPr>
          <w:p w14:paraId="0F1D2FDD" w14:textId="77777777" w:rsidR="00773F7B" w:rsidRPr="00A31437" w:rsidRDefault="00773F7B" w:rsidP="00773F7B">
            <w:pPr>
              <w:pStyle w:val="T2"/>
              <w:jc w:val="right"/>
              <w:rPr>
                <w:b/>
              </w:rPr>
            </w:pPr>
            <w:r>
              <w:rPr>
                <w:b/>
              </w:rPr>
              <w:t>2</w:t>
            </w:r>
            <w:r w:rsidR="003B4949">
              <w:rPr>
                <w:b/>
              </w:rPr>
              <w:t>37.0</w:t>
            </w:r>
          </w:p>
        </w:tc>
        <w:tc>
          <w:tcPr>
            <w:tcW w:w="1134" w:type="dxa"/>
            <w:tcBorders>
              <w:top w:val="single" w:sz="2" w:space="0" w:color="auto"/>
              <w:left w:val="nil"/>
              <w:bottom w:val="nil"/>
              <w:right w:val="nil"/>
            </w:tcBorders>
            <w:vAlign w:val="bottom"/>
          </w:tcPr>
          <w:p w14:paraId="6DC1F47C" w14:textId="77777777" w:rsidR="00773F7B" w:rsidRPr="00006931" w:rsidRDefault="00773F7B" w:rsidP="00773F7B">
            <w:pPr>
              <w:pStyle w:val="T2"/>
              <w:jc w:val="right"/>
              <w:rPr>
                <w:bCs/>
              </w:rPr>
            </w:pPr>
            <w:r w:rsidRPr="005D0EFF">
              <w:rPr>
                <w:bCs/>
              </w:rPr>
              <w:t>233.6</w:t>
            </w:r>
          </w:p>
        </w:tc>
        <w:tc>
          <w:tcPr>
            <w:tcW w:w="1134" w:type="dxa"/>
            <w:tcBorders>
              <w:top w:val="single" w:sz="2" w:space="0" w:color="auto"/>
              <w:left w:val="nil"/>
              <w:bottom w:val="nil"/>
              <w:right w:val="nil"/>
            </w:tcBorders>
            <w:vAlign w:val="bottom"/>
          </w:tcPr>
          <w:p w14:paraId="44CD2761" w14:textId="77777777" w:rsidR="00773F7B" w:rsidRPr="00006931" w:rsidRDefault="00773F7B" w:rsidP="00773F7B">
            <w:pPr>
              <w:pStyle w:val="T2"/>
              <w:jc w:val="right"/>
              <w:rPr>
                <w:bCs/>
              </w:rPr>
            </w:pPr>
            <w:r w:rsidRPr="005D0EFF">
              <w:rPr>
                <w:bCs/>
              </w:rPr>
              <w:t>–</w:t>
            </w:r>
          </w:p>
        </w:tc>
        <w:tc>
          <w:tcPr>
            <w:tcW w:w="859" w:type="dxa"/>
            <w:tcBorders>
              <w:top w:val="single" w:sz="2" w:space="0" w:color="auto"/>
              <w:left w:val="nil"/>
              <w:bottom w:val="nil"/>
              <w:right w:val="nil"/>
            </w:tcBorders>
            <w:vAlign w:val="bottom"/>
          </w:tcPr>
          <w:p w14:paraId="0D6C8CE2" w14:textId="77777777" w:rsidR="00773F7B" w:rsidRPr="005D0EFF" w:rsidRDefault="00773F7B" w:rsidP="00773F7B">
            <w:pPr>
              <w:pStyle w:val="T2"/>
              <w:jc w:val="right"/>
              <w:rPr>
                <w:bCs/>
              </w:rPr>
            </w:pPr>
            <w:r w:rsidRPr="005D0EFF">
              <w:rPr>
                <w:bCs/>
              </w:rPr>
              <w:t>233.6</w:t>
            </w:r>
          </w:p>
        </w:tc>
      </w:tr>
      <w:tr w:rsidR="00773F7B" w14:paraId="1DB10868" w14:textId="77777777" w:rsidTr="00656003">
        <w:trPr>
          <w:jc w:val="center"/>
        </w:trPr>
        <w:tc>
          <w:tcPr>
            <w:tcW w:w="3805" w:type="dxa"/>
            <w:tcBorders>
              <w:top w:val="nil"/>
              <w:left w:val="nil"/>
              <w:bottom w:val="single" w:sz="2" w:space="0" w:color="auto"/>
              <w:right w:val="nil"/>
            </w:tcBorders>
            <w:vAlign w:val="bottom"/>
          </w:tcPr>
          <w:p w14:paraId="057A4055" w14:textId="77777777" w:rsidR="00773F7B" w:rsidRPr="00C65534" w:rsidRDefault="00773F7B" w:rsidP="00773F7B">
            <w:pPr>
              <w:pStyle w:val="T2"/>
              <w:jc w:val="left"/>
            </w:pPr>
            <w:r w:rsidRPr="00C65534">
              <w:t>Operating costs, net</w:t>
            </w:r>
          </w:p>
        </w:tc>
        <w:tc>
          <w:tcPr>
            <w:tcW w:w="431" w:type="dxa"/>
            <w:tcBorders>
              <w:top w:val="nil"/>
              <w:left w:val="nil"/>
              <w:bottom w:val="single" w:sz="2" w:space="0" w:color="auto"/>
              <w:right w:val="nil"/>
            </w:tcBorders>
            <w:vAlign w:val="bottom"/>
          </w:tcPr>
          <w:p w14:paraId="3E029EBF" w14:textId="77777777" w:rsidR="00773F7B" w:rsidRPr="00E8718C" w:rsidRDefault="00773F7B" w:rsidP="00773F7B">
            <w:pPr>
              <w:jc w:val="right"/>
              <w:rPr>
                <w:sz w:val="18"/>
                <w:szCs w:val="18"/>
              </w:rPr>
            </w:pPr>
          </w:p>
        </w:tc>
        <w:tc>
          <w:tcPr>
            <w:tcW w:w="1134" w:type="dxa"/>
            <w:tcBorders>
              <w:top w:val="nil"/>
              <w:left w:val="nil"/>
              <w:bottom w:val="single" w:sz="2" w:space="0" w:color="auto"/>
              <w:right w:val="nil"/>
            </w:tcBorders>
            <w:vAlign w:val="bottom"/>
          </w:tcPr>
          <w:p w14:paraId="0590E320" w14:textId="77777777" w:rsidR="00773F7B" w:rsidRPr="00A31437" w:rsidRDefault="00773F7B" w:rsidP="00773F7B">
            <w:pPr>
              <w:pStyle w:val="T2"/>
              <w:jc w:val="right"/>
              <w:rPr>
                <w:b/>
              </w:rPr>
            </w:pPr>
            <w:r>
              <w:rPr>
                <w:b/>
              </w:rPr>
              <w:t>(</w:t>
            </w:r>
            <w:r w:rsidR="003B4949">
              <w:rPr>
                <w:b/>
              </w:rPr>
              <w:t>198.7</w:t>
            </w:r>
            <w:r>
              <w:rPr>
                <w:b/>
              </w:rPr>
              <w:t>)</w:t>
            </w:r>
          </w:p>
        </w:tc>
        <w:tc>
          <w:tcPr>
            <w:tcW w:w="1134" w:type="dxa"/>
            <w:tcBorders>
              <w:top w:val="nil"/>
              <w:left w:val="nil"/>
              <w:bottom w:val="single" w:sz="2" w:space="0" w:color="auto"/>
              <w:right w:val="nil"/>
            </w:tcBorders>
            <w:vAlign w:val="bottom"/>
          </w:tcPr>
          <w:p w14:paraId="2265FF05" w14:textId="77777777" w:rsidR="00773F7B" w:rsidRPr="00A31437" w:rsidRDefault="00773F7B" w:rsidP="00773F7B">
            <w:pPr>
              <w:pStyle w:val="T2"/>
              <w:jc w:val="right"/>
              <w:rPr>
                <w:b/>
              </w:rPr>
            </w:pPr>
            <w:r w:rsidRPr="00681334">
              <w:rPr>
                <w:b/>
                <w:bCs/>
              </w:rPr>
              <w:t>–</w:t>
            </w:r>
            <w:r w:rsidDel="00FB1D54">
              <w:rPr>
                <w:b/>
              </w:rPr>
              <w:t xml:space="preserve"> </w:t>
            </w:r>
          </w:p>
        </w:tc>
        <w:tc>
          <w:tcPr>
            <w:tcW w:w="856" w:type="dxa"/>
            <w:tcBorders>
              <w:top w:val="nil"/>
              <w:left w:val="nil"/>
              <w:bottom w:val="single" w:sz="2" w:space="0" w:color="auto"/>
              <w:right w:val="nil"/>
            </w:tcBorders>
            <w:vAlign w:val="bottom"/>
          </w:tcPr>
          <w:p w14:paraId="3DF525BA" w14:textId="77777777" w:rsidR="00773F7B" w:rsidRPr="00A31437" w:rsidRDefault="00773F7B" w:rsidP="00773F7B">
            <w:pPr>
              <w:pStyle w:val="T2"/>
              <w:jc w:val="right"/>
              <w:rPr>
                <w:b/>
              </w:rPr>
            </w:pPr>
            <w:r>
              <w:rPr>
                <w:b/>
              </w:rPr>
              <w:t>(</w:t>
            </w:r>
            <w:r w:rsidR="003B4949">
              <w:rPr>
                <w:b/>
              </w:rPr>
              <w:t>198.7</w:t>
            </w:r>
            <w:r>
              <w:rPr>
                <w:b/>
              </w:rPr>
              <w:t>)</w:t>
            </w:r>
          </w:p>
        </w:tc>
        <w:tc>
          <w:tcPr>
            <w:tcW w:w="1134" w:type="dxa"/>
            <w:tcBorders>
              <w:top w:val="nil"/>
              <w:left w:val="nil"/>
              <w:bottom w:val="single" w:sz="2" w:space="0" w:color="auto"/>
              <w:right w:val="nil"/>
            </w:tcBorders>
            <w:vAlign w:val="bottom"/>
          </w:tcPr>
          <w:p w14:paraId="00B53248" w14:textId="77777777" w:rsidR="00773F7B" w:rsidRPr="00006931" w:rsidRDefault="00773F7B" w:rsidP="00773F7B">
            <w:pPr>
              <w:pStyle w:val="T2"/>
              <w:jc w:val="right"/>
              <w:rPr>
                <w:bCs/>
              </w:rPr>
            </w:pPr>
            <w:r w:rsidRPr="005D0EFF">
              <w:rPr>
                <w:bCs/>
              </w:rPr>
              <w:t>(188.9)</w:t>
            </w:r>
          </w:p>
        </w:tc>
        <w:tc>
          <w:tcPr>
            <w:tcW w:w="1134" w:type="dxa"/>
            <w:tcBorders>
              <w:top w:val="nil"/>
              <w:left w:val="nil"/>
              <w:bottom w:val="single" w:sz="2" w:space="0" w:color="auto"/>
              <w:right w:val="nil"/>
            </w:tcBorders>
            <w:vAlign w:val="bottom"/>
          </w:tcPr>
          <w:p w14:paraId="4256A23D" w14:textId="77777777" w:rsidR="00773F7B" w:rsidRPr="00006931" w:rsidRDefault="00773F7B" w:rsidP="00773F7B">
            <w:pPr>
              <w:pStyle w:val="T2"/>
              <w:jc w:val="right"/>
              <w:rPr>
                <w:bCs/>
              </w:rPr>
            </w:pPr>
            <w:r w:rsidRPr="005D0EFF">
              <w:rPr>
                <w:bCs/>
              </w:rPr>
              <w:t>(3.0)</w:t>
            </w:r>
          </w:p>
        </w:tc>
        <w:tc>
          <w:tcPr>
            <w:tcW w:w="859" w:type="dxa"/>
            <w:tcBorders>
              <w:top w:val="nil"/>
              <w:left w:val="nil"/>
              <w:bottom w:val="single" w:sz="2" w:space="0" w:color="auto"/>
              <w:right w:val="nil"/>
            </w:tcBorders>
            <w:vAlign w:val="bottom"/>
          </w:tcPr>
          <w:p w14:paraId="109ACCD7" w14:textId="77777777" w:rsidR="00773F7B" w:rsidRPr="005D0EFF" w:rsidRDefault="00773F7B" w:rsidP="00773F7B">
            <w:pPr>
              <w:pStyle w:val="T2"/>
              <w:jc w:val="right"/>
              <w:rPr>
                <w:bCs/>
              </w:rPr>
            </w:pPr>
            <w:r w:rsidRPr="005D0EFF">
              <w:rPr>
                <w:bCs/>
              </w:rPr>
              <w:t>(191.9)</w:t>
            </w:r>
          </w:p>
        </w:tc>
      </w:tr>
      <w:tr w:rsidR="00773F7B" w14:paraId="04A849AA" w14:textId="77777777" w:rsidTr="00656003">
        <w:trPr>
          <w:jc w:val="center"/>
        </w:trPr>
        <w:tc>
          <w:tcPr>
            <w:tcW w:w="3805" w:type="dxa"/>
            <w:tcBorders>
              <w:top w:val="single" w:sz="2" w:space="0" w:color="auto"/>
              <w:left w:val="nil"/>
              <w:bottom w:val="nil"/>
              <w:right w:val="nil"/>
            </w:tcBorders>
            <w:vAlign w:val="bottom"/>
          </w:tcPr>
          <w:p w14:paraId="2B9C4F61" w14:textId="77777777" w:rsidR="00773F7B" w:rsidRPr="00323878" w:rsidRDefault="00773F7B" w:rsidP="00773F7B">
            <w:pPr>
              <w:pStyle w:val="T2"/>
              <w:jc w:val="left"/>
              <w:rPr>
                <w:b/>
              </w:rPr>
            </w:pPr>
            <w:r>
              <w:rPr>
                <w:b/>
              </w:rPr>
              <w:t>Group operating p</w:t>
            </w:r>
            <w:r w:rsidRPr="00323878">
              <w:rPr>
                <w:b/>
              </w:rPr>
              <w:t>rofit before acquisition related amortisation</w:t>
            </w:r>
          </w:p>
        </w:tc>
        <w:tc>
          <w:tcPr>
            <w:tcW w:w="431" w:type="dxa"/>
            <w:tcBorders>
              <w:top w:val="single" w:sz="2" w:space="0" w:color="auto"/>
              <w:left w:val="nil"/>
              <w:bottom w:val="nil"/>
              <w:right w:val="nil"/>
            </w:tcBorders>
            <w:vAlign w:val="bottom"/>
          </w:tcPr>
          <w:p w14:paraId="269E0EA9" w14:textId="77777777" w:rsidR="00773F7B" w:rsidRPr="00E8718C" w:rsidRDefault="00773F7B" w:rsidP="00773F7B">
            <w:pPr>
              <w:jc w:val="right"/>
              <w:rPr>
                <w:sz w:val="18"/>
                <w:szCs w:val="18"/>
              </w:rPr>
            </w:pPr>
            <w:r>
              <w:rPr>
                <w:sz w:val="18"/>
                <w:szCs w:val="18"/>
              </w:rPr>
              <w:t>3</w:t>
            </w:r>
          </w:p>
        </w:tc>
        <w:tc>
          <w:tcPr>
            <w:tcW w:w="1134" w:type="dxa"/>
            <w:tcBorders>
              <w:top w:val="single" w:sz="2" w:space="0" w:color="auto"/>
              <w:left w:val="nil"/>
              <w:bottom w:val="nil"/>
              <w:right w:val="nil"/>
            </w:tcBorders>
            <w:vAlign w:val="bottom"/>
          </w:tcPr>
          <w:p w14:paraId="18A53BBE" w14:textId="77777777" w:rsidR="00773F7B" w:rsidRPr="00A31437" w:rsidRDefault="00773F7B" w:rsidP="00773F7B">
            <w:pPr>
              <w:pStyle w:val="T2"/>
              <w:jc w:val="right"/>
              <w:rPr>
                <w:b/>
              </w:rPr>
            </w:pPr>
            <w:r>
              <w:rPr>
                <w:b/>
              </w:rPr>
              <w:t>38.3</w:t>
            </w:r>
          </w:p>
        </w:tc>
        <w:tc>
          <w:tcPr>
            <w:tcW w:w="1134" w:type="dxa"/>
            <w:tcBorders>
              <w:top w:val="single" w:sz="2" w:space="0" w:color="auto"/>
              <w:left w:val="nil"/>
              <w:bottom w:val="nil"/>
              <w:right w:val="nil"/>
            </w:tcBorders>
            <w:vAlign w:val="bottom"/>
          </w:tcPr>
          <w:p w14:paraId="15F1B367" w14:textId="77777777" w:rsidR="00773F7B" w:rsidRPr="00A31437" w:rsidRDefault="00773F7B" w:rsidP="00773F7B">
            <w:pPr>
              <w:pStyle w:val="T2"/>
              <w:jc w:val="right"/>
              <w:rPr>
                <w:b/>
              </w:rPr>
            </w:pPr>
            <w:r w:rsidRPr="00681334">
              <w:rPr>
                <w:b/>
                <w:bCs/>
              </w:rPr>
              <w:t>–</w:t>
            </w:r>
          </w:p>
        </w:tc>
        <w:tc>
          <w:tcPr>
            <w:tcW w:w="856" w:type="dxa"/>
            <w:tcBorders>
              <w:top w:val="single" w:sz="2" w:space="0" w:color="auto"/>
              <w:left w:val="nil"/>
              <w:bottom w:val="nil"/>
              <w:right w:val="nil"/>
            </w:tcBorders>
            <w:vAlign w:val="bottom"/>
          </w:tcPr>
          <w:p w14:paraId="747C45EA" w14:textId="77777777" w:rsidR="00773F7B" w:rsidRPr="00A31437" w:rsidRDefault="00773F7B" w:rsidP="00773F7B">
            <w:pPr>
              <w:pStyle w:val="T2"/>
              <w:jc w:val="right"/>
              <w:rPr>
                <w:b/>
              </w:rPr>
            </w:pPr>
            <w:r>
              <w:rPr>
                <w:b/>
              </w:rPr>
              <w:t>38.3</w:t>
            </w:r>
          </w:p>
        </w:tc>
        <w:tc>
          <w:tcPr>
            <w:tcW w:w="1134" w:type="dxa"/>
            <w:tcBorders>
              <w:top w:val="single" w:sz="2" w:space="0" w:color="auto"/>
              <w:left w:val="nil"/>
              <w:bottom w:val="nil"/>
              <w:right w:val="nil"/>
            </w:tcBorders>
            <w:vAlign w:val="bottom"/>
          </w:tcPr>
          <w:p w14:paraId="5E93177E" w14:textId="130D8956" w:rsidR="00773F7B" w:rsidRPr="00006931" w:rsidRDefault="00773F7B" w:rsidP="00773F7B">
            <w:pPr>
              <w:pStyle w:val="T2"/>
              <w:jc w:val="right"/>
              <w:rPr>
                <w:bCs/>
              </w:rPr>
            </w:pPr>
            <w:r w:rsidRPr="005D0EFF">
              <w:rPr>
                <w:bCs/>
              </w:rPr>
              <w:t>44.7</w:t>
            </w:r>
          </w:p>
        </w:tc>
        <w:tc>
          <w:tcPr>
            <w:tcW w:w="1134" w:type="dxa"/>
            <w:tcBorders>
              <w:top w:val="single" w:sz="2" w:space="0" w:color="auto"/>
              <w:left w:val="nil"/>
              <w:bottom w:val="nil"/>
              <w:right w:val="nil"/>
            </w:tcBorders>
            <w:vAlign w:val="bottom"/>
          </w:tcPr>
          <w:p w14:paraId="4BF935C8" w14:textId="77777777" w:rsidR="00773F7B" w:rsidRPr="00006931" w:rsidRDefault="00773F7B" w:rsidP="00773F7B">
            <w:pPr>
              <w:pStyle w:val="T2"/>
              <w:jc w:val="right"/>
              <w:rPr>
                <w:bCs/>
              </w:rPr>
            </w:pPr>
            <w:r w:rsidRPr="005D0EFF">
              <w:rPr>
                <w:bCs/>
              </w:rPr>
              <w:t>(3.0)</w:t>
            </w:r>
          </w:p>
        </w:tc>
        <w:tc>
          <w:tcPr>
            <w:tcW w:w="859" w:type="dxa"/>
            <w:tcBorders>
              <w:top w:val="single" w:sz="2" w:space="0" w:color="auto"/>
              <w:left w:val="nil"/>
              <w:bottom w:val="nil"/>
              <w:right w:val="nil"/>
            </w:tcBorders>
            <w:vAlign w:val="bottom"/>
          </w:tcPr>
          <w:p w14:paraId="329120E9" w14:textId="77777777" w:rsidR="00773F7B" w:rsidRPr="00006931" w:rsidRDefault="00773F7B" w:rsidP="00773F7B">
            <w:pPr>
              <w:pStyle w:val="T2"/>
              <w:jc w:val="right"/>
              <w:rPr>
                <w:bCs/>
              </w:rPr>
            </w:pPr>
            <w:r w:rsidRPr="005D0EFF">
              <w:rPr>
                <w:bCs/>
              </w:rPr>
              <w:t>41.7</w:t>
            </w:r>
          </w:p>
        </w:tc>
      </w:tr>
      <w:tr w:rsidR="00773F7B" w14:paraId="1E5D87DD" w14:textId="77777777" w:rsidTr="00656003">
        <w:trPr>
          <w:jc w:val="center"/>
        </w:trPr>
        <w:tc>
          <w:tcPr>
            <w:tcW w:w="3805" w:type="dxa"/>
            <w:tcBorders>
              <w:top w:val="nil"/>
              <w:left w:val="nil"/>
              <w:bottom w:val="single" w:sz="2" w:space="0" w:color="auto"/>
              <w:right w:val="nil"/>
            </w:tcBorders>
            <w:vAlign w:val="bottom"/>
          </w:tcPr>
          <w:p w14:paraId="471EA904" w14:textId="77777777" w:rsidR="00773F7B" w:rsidRPr="00C65534" w:rsidRDefault="00773F7B" w:rsidP="00773F7B">
            <w:pPr>
              <w:pStyle w:val="T2"/>
              <w:jc w:val="left"/>
            </w:pPr>
            <w:r w:rsidRPr="00C65534">
              <w:t>Amortisation of acquisition related intangibles</w:t>
            </w:r>
          </w:p>
        </w:tc>
        <w:tc>
          <w:tcPr>
            <w:tcW w:w="431" w:type="dxa"/>
            <w:tcBorders>
              <w:top w:val="nil"/>
              <w:left w:val="nil"/>
              <w:bottom w:val="single" w:sz="2" w:space="0" w:color="auto"/>
              <w:right w:val="nil"/>
            </w:tcBorders>
            <w:vAlign w:val="bottom"/>
          </w:tcPr>
          <w:p w14:paraId="7E46E95F" w14:textId="77777777" w:rsidR="00773F7B" w:rsidRPr="00E8718C" w:rsidRDefault="00773F7B" w:rsidP="00773F7B">
            <w:pPr>
              <w:jc w:val="right"/>
              <w:rPr>
                <w:sz w:val="18"/>
                <w:szCs w:val="18"/>
              </w:rPr>
            </w:pPr>
          </w:p>
        </w:tc>
        <w:tc>
          <w:tcPr>
            <w:tcW w:w="1134" w:type="dxa"/>
            <w:tcBorders>
              <w:top w:val="nil"/>
              <w:left w:val="nil"/>
              <w:bottom w:val="single" w:sz="2" w:space="0" w:color="auto"/>
              <w:right w:val="nil"/>
            </w:tcBorders>
            <w:vAlign w:val="bottom"/>
          </w:tcPr>
          <w:p w14:paraId="0173E970" w14:textId="77777777" w:rsidR="00773F7B" w:rsidRPr="00A31437" w:rsidRDefault="00773F7B" w:rsidP="00773F7B">
            <w:pPr>
              <w:pStyle w:val="T2"/>
              <w:jc w:val="right"/>
              <w:rPr>
                <w:b/>
              </w:rPr>
            </w:pPr>
            <w:r>
              <w:rPr>
                <w:b/>
              </w:rPr>
              <w:t>(2.7)</w:t>
            </w:r>
          </w:p>
        </w:tc>
        <w:tc>
          <w:tcPr>
            <w:tcW w:w="1134" w:type="dxa"/>
            <w:tcBorders>
              <w:top w:val="nil"/>
              <w:left w:val="nil"/>
              <w:bottom w:val="single" w:sz="2" w:space="0" w:color="auto"/>
              <w:right w:val="nil"/>
            </w:tcBorders>
            <w:vAlign w:val="bottom"/>
          </w:tcPr>
          <w:p w14:paraId="56CF0DFB" w14:textId="77777777" w:rsidR="00773F7B" w:rsidRPr="00A31437" w:rsidRDefault="00773F7B" w:rsidP="00773F7B">
            <w:pPr>
              <w:pStyle w:val="T2"/>
              <w:jc w:val="right"/>
              <w:rPr>
                <w:b/>
              </w:rPr>
            </w:pPr>
            <w:r w:rsidRPr="00681334">
              <w:rPr>
                <w:b/>
                <w:bCs/>
              </w:rPr>
              <w:t>–</w:t>
            </w:r>
          </w:p>
        </w:tc>
        <w:tc>
          <w:tcPr>
            <w:tcW w:w="856" w:type="dxa"/>
            <w:tcBorders>
              <w:top w:val="nil"/>
              <w:left w:val="nil"/>
              <w:bottom w:val="single" w:sz="2" w:space="0" w:color="auto"/>
              <w:right w:val="nil"/>
            </w:tcBorders>
            <w:vAlign w:val="bottom"/>
          </w:tcPr>
          <w:p w14:paraId="60583B09" w14:textId="77777777" w:rsidR="00773F7B" w:rsidRPr="00A31437" w:rsidRDefault="00773F7B" w:rsidP="00773F7B">
            <w:pPr>
              <w:pStyle w:val="T2"/>
              <w:jc w:val="right"/>
              <w:rPr>
                <w:b/>
              </w:rPr>
            </w:pPr>
            <w:r>
              <w:rPr>
                <w:b/>
              </w:rPr>
              <w:t>(2.7)</w:t>
            </w:r>
          </w:p>
        </w:tc>
        <w:tc>
          <w:tcPr>
            <w:tcW w:w="1134" w:type="dxa"/>
            <w:tcBorders>
              <w:top w:val="nil"/>
              <w:left w:val="nil"/>
              <w:bottom w:val="single" w:sz="2" w:space="0" w:color="auto"/>
              <w:right w:val="nil"/>
            </w:tcBorders>
            <w:vAlign w:val="bottom"/>
          </w:tcPr>
          <w:p w14:paraId="33DDC04E" w14:textId="77777777" w:rsidR="00773F7B" w:rsidRPr="00006931" w:rsidRDefault="00773F7B" w:rsidP="00773F7B">
            <w:pPr>
              <w:pStyle w:val="T2"/>
              <w:jc w:val="right"/>
              <w:rPr>
                <w:bCs/>
              </w:rPr>
            </w:pPr>
            <w:r w:rsidRPr="005D0EFF">
              <w:rPr>
                <w:bCs/>
              </w:rPr>
              <w:t>(0.4)</w:t>
            </w:r>
          </w:p>
        </w:tc>
        <w:tc>
          <w:tcPr>
            <w:tcW w:w="1134" w:type="dxa"/>
            <w:tcBorders>
              <w:top w:val="nil"/>
              <w:left w:val="nil"/>
              <w:bottom w:val="single" w:sz="2" w:space="0" w:color="auto"/>
              <w:right w:val="nil"/>
            </w:tcBorders>
            <w:vAlign w:val="bottom"/>
          </w:tcPr>
          <w:p w14:paraId="5D2749B9" w14:textId="77777777" w:rsidR="00773F7B" w:rsidRPr="00006931" w:rsidRDefault="00773F7B" w:rsidP="00773F7B">
            <w:pPr>
              <w:pStyle w:val="T2"/>
              <w:jc w:val="right"/>
              <w:rPr>
                <w:bCs/>
              </w:rPr>
            </w:pPr>
            <w:r w:rsidRPr="005D0EFF">
              <w:rPr>
                <w:bCs/>
              </w:rPr>
              <w:t>–</w:t>
            </w:r>
          </w:p>
        </w:tc>
        <w:tc>
          <w:tcPr>
            <w:tcW w:w="859" w:type="dxa"/>
            <w:tcBorders>
              <w:top w:val="nil"/>
              <w:left w:val="nil"/>
              <w:bottom w:val="single" w:sz="2" w:space="0" w:color="auto"/>
              <w:right w:val="nil"/>
            </w:tcBorders>
            <w:vAlign w:val="bottom"/>
          </w:tcPr>
          <w:p w14:paraId="474432CC" w14:textId="77777777" w:rsidR="00773F7B" w:rsidRPr="00006931" w:rsidRDefault="00773F7B" w:rsidP="00773F7B">
            <w:pPr>
              <w:pStyle w:val="T2"/>
              <w:jc w:val="right"/>
              <w:rPr>
                <w:bCs/>
              </w:rPr>
            </w:pPr>
            <w:r w:rsidRPr="005D0EFF">
              <w:rPr>
                <w:bCs/>
              </w:rPr>
              <w:t>(0.4)</w:t>
            </w:r>
          </w:p>
        </w:tc>
      </w:tr>
      <w:tr w:rsidR="00773F7B" w14:paraId="401FAB07" w14:textId="77777777" w:rsidTr="00656003">
        <w:trPr>
          <w:jc w:val="center"/>
        </w:trPr>
        <w:tc>
          <w:tcPr>
            <w:tcW w:w="3805" w:type="dxa"/>
            <w:tcBorders>
              <w:top w:val="single" w:sz="2" w:space="0" w:color="auto"/>
              <w:left w:val="nil"/>
              <w:bottom w:val="nil"/>
              <w:right w:val="nil"/>
            </w:tcBorders>
            <w:vAlign w:val="bottom"/>
          </w:tcPr>
          <w:p w14:paraId="0531F544" w14:textId="77777777" w:rsidR="00773F7B" w:rsidRPr="00323878" w:rsidRDefault="00773F7B" w:rsidP="00773F7B">
            <w:pPr>
              <w:pStyle w:val="T2"/>
              <w:jc w:val="left"/>
              <w:rPr>
                <w:b/>
              </w:rPr>
            </w:pPr>
            <w:r>
              <w:rPr>
                <w:b/>
              </w:rPr>
              <w:t>Group operating p</w:t>
            </w:r>
            <w:r w:rsidRPr="00323878">
              <w:rPr>
                <w:b/>
              </w:rPr>
              <w:t>rofit</w:t>
            </w:r>
          </w:p>
        </w:tc>
        <w:tc>
          <w:tcPr>
            <w:tcW w:w="431" w:type="dxa"/>
            <w:tcBorders>
              <w:top w:val="single" w:sz="2" w:space="0" w:color="auto"/>
              <w:left w:val="nil"/>
              <w:bottom w:val="nil"/>
              <w:right w:val="nil"/>
            </w:tcBorders>
            <w:vAlign w:val="bottom"/>
          </w:tcPr>
          <w:p w14:paraId="689AEC38" w14:textId="77777777" w:rsidR="00773F7B" w:rsidRPr="00E8718C" w:rsidRDefault="00773F7B" w:rsidP="00773F7B">
            <w:pPr>
              <w:jc w:val="right"/>
              <w:rPr>
                <w:sz w:val="18"/>
                <w:szCs w:val="18"/>
              </w:rPr>
            </w:pPr>
          </w:p>
        </w:tc>
        <w:tc>
          <w:tcPr>
            <w:tcW w:w="1134" w:type="dxa"/>
            <w:tcBorders>
              <w:top w:val="single" w:sz="2" w:space="0" w:color="auto"/>
              <w:left w:val="nil"/>
              <w:bottom w:val="nil"/>
              <w:right w:val="nil"/>
            </w:tcBorders>
            <w:vAlign w:val="bottom"/>
          </w:tcPr>
          <w:p w14:paraId="1A651B3B" w14:textId="77777777" w:rsidR="00773F7B" w:rsidRPr="00A31437" w:rsidRDefault="00773F7B" w:rsidP="00773F7B">
            <w:pPr>
              <w:pStyle w:val="T2"/>
              <w:jc w:val="right"/>
              <w:rPr>
                <w:b/>
              </w:rPr>
            </w:pPr>
            <w:r>
              <w:rPr>
                <w:b/>
              </w:rPr>
              <w:t>35.6</w:t>
            </w:r>
          </w:p>
        </w:tc>
        <w:tc>
          <w:tcPr>
            <w:tcW w:w="1134" w:type="dxa"/>
            <w:tcBorders>
              <w:top w:val="single" w:sz="2" w:space="0" w:color="auto"/>
              <w:left w:val="nil"/>
              <w:bottom w:val="nil"/>
              <w:right w:val="nil"/>
            </w:tcBorders>
            <w:vAlign w:val="bottom"/>
          </w:tcPr>
          <w:p w14:paraId="33D255B7" w14:textId="77777777" w:rsidR="00773F7B" w:rsidRPr="00A31437" w:rsidRDefault="00773F7B" w:rsidP="00773F7B">
            <w:pPr>
              <w:pStyle w:val="T2"/>
              <w:jc w:val="right"/>
              <w:rPr>
                <w:b/>
              </w:rPr>
            </w:pPr>
            <w:r w:rsidRPr="00681334">
              <w:rPr>
                <w:b/>
                <w:bCs/>
              </w:rPr>
              <w:t>–</w:t>
            </w:r>
          </w:p>
        </w:tc>
        <w:tc>
          <w:tcPr>
            <w:tcW w:w="856" w:type="dxa"/>
            <w:tcBorders>
              <w:top w:val="single" w:sz="2" w:space="0" w:color="auto"/>
              <w:left w:val="nil"/>
              <w:bottom w:val="nil"/>
              <w:right w:val="nil"/>
            </w:tcBorders>
            <w:vAlign w:val="bottom"/>
          </w:tcPr>
          <w:p w14:paraId="272F188F" w14:textId="77777777" w:rsidR="00773F7B" w:rsidRPr="00A31437" w:rsidRDefault="00773F7B" w:rsidP="00773F7B">
            <w:pPr>
              <w:pStyle w:val="T2"/>
              <w:jc w:val="right"/>
              <w:rPr>
                <w:b/>
              </w:rPr>
            </w:pPr>
            <w:r>
              <w:rPr>
                <w:b/>
              </w:rPr>
              <w:t>35.6</w:t>
            </w:r>
          </w:p>
        </w:tc>
        <w:tc>
          <w:tcPr>
            <w:tcW w:w="1134" w:type="dxa"/>
            <w:tcBorders>
              <w:top w:val="single" w:sz="2" w:space="0" w:color="auto"/>
              <w:left w:val="nil"/>
              <w:bottom w:val="nil"/>
              <w:right w:val="nil"/>
            </w:tcBorders>
            <w:vAlign w:val="bottom"/>
          </w:tcPr>
          <w:p w14:paraId="54CDFFF0" w14:textId="77777777" w:rsidR="00773F7B" w:rsidRPr="00006931" w:rsidRDefault="00773F7B" w:rsidP="00773F7B">
            <w:pPr>
              <w:pStyle w:val="T2"/>
              <w:jc w:val="right"/>
              <w:rPr>
                <w:bCs/>
              </w:rPr>
            </w:pPr>
            <w:r w:rsidRPr="005D0EFF">
              <w:rPr>
                <w:bCs/>
              </w:rPr>
              <w:t>44.3</w:t>
            </w:r>
          </w:p>
        </w:tc>
        <w:tc>
          <w:tcPr>
            <w:tcW w:w="1134" w:type="dxa"/>
            <w:tcBorders>
              <w:top w:val="single" w:sz="2" w:space="0" w:color="auto"/>
              <w:left w:val="nil"/>
              <w:bottom w:val="nil"/>
              <w:right w:val="nil"/>
            </w:tcBorders>
            <w:vAlign w:val="bottom"/>
          </w:tcPr>
          <w:p w14:paraId="7DE079CB" w14:textId="77777777" w:rsidR="00773F7B" w:rsidRPr="00006931" w:rsidRDefault="00773F7B" w:rsidP="00773F7B">
            <w:pPr>
              <w:pStyle w:val="T2"/>
              <w:jc w:val="right"/>
              <w:rPr>
                <w:bCs/>
              </w:rPr>
            </w:pPr>
            <w:r w:rsidRPr="005D0EFF">
              <w:rPr>
                <w:bCs/>
              </w:rPr>
              <w:t>(3.0)</w:t>
            </w:r>
          </w:p>
        </w:tc>
        <w:tc>
          <w:tcPr>
            <w:tcW w:w="859" w:type="dxa"/>
            <w:tcBorders>
              <w:top w:val="single" w:sz="2" w:space="0" w:color="auto"/>
              <w:left w:val="nil"/>
              <w:bottom w:val="nil"/>
              <w:right w:val="nil"/>
            </w:tcBorders>
            <w:vAlign w:val="bottom"/>
          </w:tcPr>
          <w:p w14:paraId="27AD5842" w14:textId="77777777" w:rsidR="00773F7B" w:rsidRPr="00006931" w:rsidRDefault="00773F7B" w:rsidP="00773F7B">
            <w:pPr>
              <w:pStyle w:val="T2"/>
              <w:jc w:val="right"/>
              <w:rPr>
                <w:bCs/>
              </w:rPr>
            </w:pPr>
            <w:r w:rsidRPr="005D0EFF">
              <w:rPr>
                <w:bCs/>
              </w:rPr>
              <w:t>41.3</w:t>
            </w:r>
          </w:p>
        </w:tc>
      </w:tr>
      <w:tr w:rsidR="00773F7B" w14:paraId="49EF7907" w14:textId="77777777" w:rsidTr="00656003">
        <w:trPr>
          <w:jc w:val="center"/>
        </w:trPr>
        <w:tc>
          <w:tcPr>
            <w:tcW w:w="3805" w:type="dxa"/>
            <w:tcBorders>
              <w:top w:val="nil"/>
              <w:left w:val="nil"/>
              <w:bottom w:val="nil"/>
              <w:right w:val="nil"/>
            </w:tcBorders>
            <w:vAlign w:val="bottom"/>
          </w:tcPr>
          <w:p w14:paraId="19F0F739" w14:textId="77777777" w:rsidR="00773F7B" w:rsidRPr="00C65534" w:rsidRDefault="00773F7B" w:rsidP="00773F7B">
            <w:pPr>
              <w:pStyle w:val="T2"/>
              <w:jc w:val="left"/>
            </w:pPr>
            <w:r w:rsidRPr="00C65534">
              <w:t>Finance income</w:t>
            </w:r>
          </w:p>
        </w:tc>
        <w:tc>
          <w:tcPr>
            <w:tcW w:w="431" w:type="dxa"/>
            <w:tcBorders>
              <w:top w:val="nil"/>
              <w:left w:val="nil"/>
              <w:bottom w:val="nil"/>
              <w:right w:val="nil"/>
            </w:tcBorders>
            <w:vAlign w:val="bottom"/>
          </w:tcPr>
          <w:p w14:paraId="4C490AB7" w14:textId="77777777" w:rsidR="00773F7B" w:rsidRPr="00E8718C" w:rsidRDefault="00773F7B" w:rsidP="00773F7B">
            <w:pPr>
              <w:ind w:left="-108"/>
              <w:jc w:val="right"/>
              <w:rPr>
                <w:sz w:val="18"/>
                <w:szCs w:val="18"/>
              </w:rPr>
            </w:pPr>
            <w:r>
              <w:rPr>
                <w:sz w:val="18"/>
                <w:szCs w:val="18"/>
              </w:rPr>
              <w:t>6</w:t>
            </w:r>
          </w:p>
        </w:tc>
        <w:tc>
          <w:tcPr>
            <w:tcW w:w="1134" w:type="dxa"/>
            <w:tcBorders>
              <w:top w:val="nil"/>
              <w:left w:val="nil"/>
              <w:bottom w:val="nil"/>
              <w:right w:val="nil"/>
            </w:tcBorders>
            <w:vAlign w:val="bottom"/>
          </w:tcPr>
          <w:p w14:paraId="292CF37C" w14:textId="77777777" w:rsidR="00773F7B" w:rsidRPr="00A31437" w:rsidRDefault="00773F7B" w:rsidP="00773F7B">
            <w:pPr>
              <w:pStyle w:val="T2"/>
              <w:jc w:val="right"/>
              <w:rPr>
                <w:b/>
              </w:rPr>
            </w:pPr>
            <w:r>
              <w:rPr>
                <w:b/>
              </w:rPr>
              <w:t>0.1</w:t>
            </w:r>
          </w:p>
        </w:tc>
        <w:tc>
          <w:tcPr>
            <w:tcW w:w="1134" w:type="dxa"/>
            <w:tcBorders>
              <w:top w:val="nil"/>
              <w:left w:val="nil"/>
              <w:bottom w:val="nil"/>
              <w:right w:val="nil"/>
            </w:tcBorders>
            <w:vAlign w:val="bottom"/>
          </w:tcPr>
          <w:p w14:paraId="3C85B031" w14:textId="77777777" w:rsidR="00773F7B" w:rsidRPr="00A31437" w:rsidRDefault="00773F7B" w:rsidP="00773F7B">
            <w:pPr>
              <w:pStyle w:val="T2"/>
              <w:jc w:val="right"/>
              <w:rPr>
                <w:b/>
              </w:rPr>
            </w:pPr>
            <w:r w:rsidRPr="00681334">
              <w:rPr>
                <w:b/>
                <w:bCs/>
              </w:rPr>
              <w:t>–</w:t>
            </w:r>
          </w:p>
        </w:tc>
        <w:tc>
          <w:tcPr>
            <w:tcW w:w="856" w:type="dxa"/>
            <w:tcBorders>
              <w:top w:val="nil"/>
              <w:left w:val="nil"/>
              <w:bottom w:val="nil"/>
              <w:right w:val="nil"/>
            </w:tcBorders>
            <w:vAlign w:val="bottom"/>
          </w:tcPr>
          <w:p w14:paraId="6FC520F6" w14:textId="77777777" w:rsidR="00773F7B" w:rsidRPr="00A31437" w:rsidRDefault="00773F7B" w:rsidP="00773F7B">
            <w:pPr>
              <w:pStyle w:val="T2"/>
              <w:jc w:val="right"/>
              <w:rPr>
                <w:b/>
              </w:rPr>
            </w:pPr>
            <w:r>
              <w:rPr>
                <w:b/>
              </w:rPr>
              <w:t>0.1</w:t>
            </w:r>
          </w:p>
        </w:tc>
        <w:tc>
          <w:tcPr>
            <w:tcW w:w="1134" w:type="dxa"/>
            <w:tcBorders>
              <w:top w:val="nil"/>
              <w:left w:val="nil"/>
              <w:bottom w:val="nil"/>
              <w:right w:val="nil"/>
            </w:tcBorders>
            <w:vAlign w:val="bottom"/>
          </w:tcPr>
          <w:p w14:paraId="788E8369" w14:textId="77777777" w:rsidR="00773F7B" w:rsidRPr="00006931" w:rsidRDefault="00773F7B" w:rsidP="00773F7B">
            <w:pPr>
              <w:pStyle w:val="T2"/>
              <w:jc w:val="right"/>
              <w:rPr>
                <w:bCs/>
              </w:rPr>
            </w:pPr>
            <w:r w:rsidRPr="005D0EFF">
              <w:rPr>
                <w:bCs/>
              </w:rPr>
              <w:t>0.7</w:t>
            </w:r>
          </w:p>
        </w:tc>
        <w:tc>
          <w:tcPr>
            <w:tcW w:w="1134" w:type="dxa"/>
            <w:tcBorders>
              <w:top w:val="nil"/>
              <w:left w:val="nil"/>
              <w:bottom w:val="nil"/>
              <w:right w:val="nil"/>
            </w:tcBorders>
            <w:vAlign w:val="bottom"/>
          </w:tcPr>
          <w:p w14:paraId="0E5451B4" w14:textId="77777777" w:rsidR="00773F7B" w:rsidRPr="00006931" w:rsidRDefault="00773F7B" w:rsidP="00773F7B">
            <w:pPr>
              <w:pStyle w:val="T2"/>
              <w:jc w:val="right"/>
              <w:rPr>
                <w:bCs/>
              </w:rPr>
            </w:pPr>
            <w:r w:rsidRPr="005D0EFF">
              <w:rPr>
                <w:bCs/>
              </w:rPr>
              <w:t>–</w:t>
            </w:r>
          </w:p>
        </w:tc>
        <w:tc>
          <w:tcPr>
            <w:tcW w:w="859" w:type="dxa"/>
            <w:tcBorders>
              <w:top w:val="nil"/>
              <w:left w:val="nil"/>
              <w:bottom w:val="nil"/>
              <w:right w:val="nil"/>
            </w:tcBorders>
            <w:vAlign w:val="bottom"/>
          </w:tcPr>
          <w:p w14:paraId="53CF11EC" w14:textId="77777777" w:rsidR="00773F7B" w:rsidRPr="00006931" w:rsidRDefault="00773F7B" w:rsidP="00773F7B">
            <w:pPr>
              <w:pStyle w:val="T2"/>
              <w:jc w:val="right"/>
              <w:rPr>
                <w:bCs/>
              </w:rPr>
            </w:pPr>
            <w:r w:rsidRPr="005D0EFF">
              <w:rPr>
                <w:bCs/>
              </w:rPr>
              <w:t>0.7</w:t>
            </w:r>
          </w:p>
        </w:tc>
      </w:tr>
      <w:tr w:rsidR="00773F7B" w14:paraId="77520284" w14:textId="77777777" w:rsidTr="00656003">
        <w:trPr>
          <w:jc w:val="center"/>
        </w:trPr>
        <w:tc>
          <w:tcPr>
            <w:tcW w:w="3805" w:type="dxa"/>
            <w:tcBorders>
              <w:top w:val="nil"/>
              <w:left w:val="nil"/>
              <w:bottom w:val="nil"/>
              <w:right w:val="nil"/>
            </w:tcBorders>
            <w:vAlign w:val="bottom"/>
          </w:tcPr>
          <w:p w14:paraId="0302E9C6" w14:textId="77777777" w:rsidR="00773F7B" w:rsidRPr="00C65534" w:rsidRDefault="00773F7B" w:rsidP="00773F7B">
            <w:pPr>
              <w:pStyle w:val="T2"/>
              <w:jc w:val="left"/>
            </w:pPr>
            <w:r w:rsidRPr="00C65534">
              <w:t>Finance costs</w:t>
            </w:r>
          </w:p>
        </w:tc>
        <w:tc>
          <w:tcPr>
            <w:tcW w:w="431" w:type="dxa"/>
            <w:tcBorders>
              <w:top w:val="nil"/>
              <w:left w:val="nil"/>
              <w:bottom w:val="nil"/>
              <w:right w:val="nil"/>
            </w:tcBorders>
            <w:vAlign w:val="bottom"/>
          </w:tcPr>
          <w:p w14:paraId="21CEF772" w14:textId="77777777" w:rsidR="00773F7B" w:rsidRPr="00E8718C" w:rsidRDefault="00773F7B" w:rsidP="00773F7B">
            <w:pPr>
              <w:ind w:left="-108"/>
              <w:jc w:val="right"/>
              <w:rPr>
                <w:sz w:val="18"/>
                <w:szCs w:val="18"/>
              </w:rPr>
            </w:pPr>
            <w:r>
              <w:rPr>
                <w:sz w:val="18"/>
                <w:szCs w:val="18"/>
              </w:rPr>
              <w:t>6</w:t>
            </w:r>
          </w:p>
        </w:tc>
        <w:tc>
          <w:tcPr>
            <w:tcW w:w="1134" w:type="dxa"/>
            <w:tcBorders>
              <w:top w:val="nil"/>
              <w:left w:val="nil"/>
              <w:bottom w:val="nil"/>
              <w:right w:val="nil"/>
            </w:tcBorders>
            <w:vAlign w:val="bottom"/>
          </w:tcPr>
          <w:p w14:paraId="1BF791D5" w14:textId="77777777" w:rsidR="00773F7B" w:rsidRPr="00A31437" w:rsidRDefault="00773F7B" w:rsidP="00773F7B">
            <w:pPr>
              <w:pStyle w:val="T2"/>
              <w:jc w:val="right"/>
              <w:rPr>
                <w:b/>
              </w:rPr>
            </w:pPr>
            <w:r>
              <w:rPr>
                <w:b/>
              </w:rPr>
              <w:t>(8.8)</w:t>
            </w:r>
          </w:p>
        </w:tc>
        <w:tc>
          <w:tcPr>
            <w:tcW w:w="1134" w:type="dxa"/>
            <w:tcBorders>
              <w:top w:val="nil"/>
              <w:left w:val="nil"/>
              <w:bottom w:val="nil"/>
              <w:right w:val="nil"/>
            </w:tcBorders>
            <w:vAlign w:val="bottom"/>
          </w:tcPr>
          <w:p w14:paraId="03A25274" w14:textId="77777777" w:rsidR="00773F7B" w:rsidRPr="00A31437" w:rsidRDefault="00773F7B" w:rsidP="00773F7B">
            <w:pPr>
              <w:pStyle w:val="T2"/>
              <w:jc w:val="right"/>
              <w:rPr>
                <w:b/>
              </w:rPr>
            </w:pPr>
            <w:r w:rsidRPr="00681334">
              <w:rPr>
                <w:b/>
                <w:bCs/>
              </w:rPr>
              <w:t>–</w:t>
            </w:r>
          </w:p>
        </w:tc>
        <w:tc>
          <w:tcPr>
            <w:tcW w:w="856" w:type="dxa"/>
            <w:tcBorders>
              <w:top w:val="nil"/>
              <w:left w:val="nil"/>
              <w:bottom w:val="nil"/>
              <w:right w:val="nil"/>
            </w:tcBorders>
            <w:vAlign w:val="bottom"/>
          </w:tcPr>
          <w:p w14:paraId="0541D6DB" w14:textId="77777777" w:rsidR="00773F7B" w:rsidRPr="00A31437" w:rsidRDefault="00773F7B" w:rsidP="00773F7B">
            <w:pPr>
              <w:pStyle w:val="T2"/>
              <w:jc w:val="right"/>
              <w:rPr>
                <w:b/>
              </w:rPr>
            </w:pPr>
            <w:r>
              <w:rPr>
                <w:b/>
              </w:rPr>
              <w:t>(8.8)</w:t>
            </w:r>
          </w:p>
        </w:tc>
        <w:tc>
          <w:tcPr>
            <w:tcW w:w="1134" w:type="dxa"/>
            <w:tcBorders>
              <w:top w:val="nil"/>
              <w:left w:val="nil"/>
              <w:bottom w:val="nil"/>
              <w:right w:val="nil"/>
            </w:tcBorders>
            <w:vAlign w:val="bottom"/>
          </w:tcPr>
          <w:p w14:paraId="49DC3133" w14:textId="77777777" w:rsidR="00773F7B" w:rsidRPr="00006931" w:rsidRDefault="00773F7B" w:rsidP="00773F7B">
            <w:pPr>
              <w:pStyle w:val="T2"/>
              <w:jc w:val="right"/>
              <w:rPr>
                <w:bCs/>
              </w:rPr>
            </w:pPr>
            <w:r w:rsidRPr="005D0EFF">
              <w:rPr>
                <w:bCs/>
              </w:rPr>
              <w:t>(11.5)</w:t>
            </w:r>
          </w:p>
        </w:tc>
        <w:tc>
          <w:tcPr>
            <w:tcW w:w="1134" w:type="dxa"/>
            <w:tcBorders>
              <w:top w:val="nil"/>
              <w:left w:val="nil"/>
              <w:bottom w:val="nil"/>
              <w:right w:val="nil"/>
            </w:tcBorders>
            <w:vAlign w:val="bottom"/>
          </w:tcPr>
          <w:p w14:paraId="1F5860B9" w14:textId="77777777" w:rsidR="00773F7B" w:rsidRPr="00006931" w:rsidRDefault="00773F7B" w:rsidP="00773F7B">
            <w:pPr>
              <w:pStyle w:val="T2"/>
              <w:jc w:val="right"/>
              <w:rPr>
                <w:bCs/>
              </w:rPr>
            </w:pPr>
            <w:r w:rsidRPr="005D0EFF">
              <w:rPr>
                <w:bCs/>
              </w:rPr>
              <w:t>(25.4)</w:t>
            </w:r>
          </w:p>
        </w:tc>
        <w:tc>
          <w:tcPr>
            <w:tcW w:w="859" w:type="dxa"/>
            <w:tcBorders>
              <w:top w:val="nil"/>
              <w:left w:val="nil"/>
              <w:bottom w:val="nil"/>
              <w:right w:val="nil"/>
            </w:tcBorders>
            <w:vAlign w:val="bottom"/>
          </w:tcPr>
          <w:p w14:paraId="1C8361F7" w14:textId="77777777" w:rsidR="00773F7B" w:rsidRPr="005D0EFF" w:rsidRDefault="00773F7B" w:rsidP="00773F7B">
            <w:pPr>
              <w:pStyle w:val="T2"/>
              <w:jc w:val="right"/>
              <w:rPr>
                <w:bCs/>
              </w:rPr>
            </w:pPr>
            <w:r w:rsidRPr="005D0EFF">
              <w:rPr>
                <w:bCs/>
              </w:rPr>
              <w:t>(36.9)</w:t>
            </w:r>
          </w:p>
        </w:tc>
      </w:tr>
      <w:tr w:rsidR="00773F7B" w14:paraId="1169D7BF" w14:textId="77777777" w:rsidTr="00656003">
        <w:trPr>
          <w:jc w:val="center"/>
        </w:trPr>
        <w:tc>
          <w:tcPr>
            <w:tcW w:w="3805" w:type="dxa"/>
            <w:tcBorders>
              <w:top w:val="nil"/>
              <w:left w:val="nil"/>
              <w:bottom w:val="single" w:sz="2" w:space="0" w:color="auto"/>
              <w:right w:val="nil"/>
            </w:tcBorders>
            <w:vAlign w:val="bottom"/>
          </w:tcPr>
          <w:p w14:paraId="20376E3A" w14:textId="77777777" w:rsidR="00773F7B" w:rsidRPr="00C65534" w:rsidRDefault="00773F7B" w:rsidP="00773F7B">
            <w:pPr>
              <w:pStyle w:val="T2"/>
              <w:jc w:val="left"/>
            </w:pPr>
            <w:r w:rsidRPr="00C65534">
              <w:t>Share of profit of associates after tax</w:t>
            </w:r>
          </w:p>
        </w:tc>
        <w:tc>
          <w:tcPr>
            <w:tcW w:w="431" w:type="dxa"/>
            <w:tcBorders>
              <w:top w:val="nil"/>
              <w:left w:val="nil"/>
              <w:bottom w:val="single" w:sz="2" w:space="0" w:color="auto"/>
              <w:right w:val="nil"/>
            </w:tcBorders>
            <w:vAlign w:val="bottom"/>
          </w:tcPr>
          <w:p w14:paraId="098C6CAF" w14:textId="77777777" w:rsidR="00773F7B" w:rsidRPr="00E8718C" w:rsidRDefault="00773F7B" w:rsidP="00773F7B">
            <w:pPr>
              <w:jc w:val="right"/>
              <w:rPr>
                <w:sz w:val="18"/>
                <w:szCs w:val="18"/>
              </w:rPr>
            </w:pPr>
          </w:p>
        </w:tc>
        <w:tc>
          <w:tcPr>
            <w:tcW w:w="1134" w:type="dxa"/>
            <w:tcBorders>
              <w:top w:val="nil"/>
              <w:left w:val="nil"/>
              <w:bottom w:val="single" w:sz="2" w:space="0" w:color="auto"/>
              <w:right w:val="nil"/>
            </w:tcBorders>
            <w:vAlign w:val="bottom"/>
          </w:tcPr>
          <w:p w14:paraId="6B321F3B" w14:textId="77777777" w:rsidR="00773F7B" w:rsidRPr="00A31437" w:rsidRDefault="00773F7B" w:rsidP="00773F7B">
            <w:pPr>
              <w:pStyle w:val="T2"/>
              <w:jc w:val="right"/>
              <w:rPr>
                <w:b/>
              </w:rPr>
            </w:pPr>
            <w:r>
              <w:rPr>
                <w:b/>
              </w:rPr>
              <w:t>0.4</w:t>
            </w:r>
          </w:p>
        </w:tc>
        <w:tc>
          <w:tcPr>
            <w:tcW w:w="1134" w:type="dxa"/>
            <w:tcBorders>
              <w:top w:val="nil"/>
              <w:left w:val="nil"/>
              <w:bottom w:val="single" w:sz="2" w:space="0" w:color="auto"/>
              <w:right w:val="nil"/>
            </w:tcBorders>
            <w:vAlign w:val="bottom"/>
          </w:tcPr>
          <w:p w14:paraId="7CE51A55" w14:textId="77777777" w:rsidR="00773F7B" w:rsidRPr="00A31437" w:rsidRDefault="00773F7B" w:rsidP="00773F7B">
            <w:pPr>
              <w:pStyle w:val="T2"/>
              <w:jc w:val="right"/>
              <w:rPr>
                <w:b/>
              </w:rPr>
            </w:pPr>
            <w:r w:rsidRPr="00681334">
              <w:rPr>
                <w:b/>
                <w:bCs/>
              </w:rPr>
              <w:t>–</w:t>
            </w:r>
          </w:p>
        </w:tc>
        <w:tc>
          <w:tcPr>
            <w:tcW w:w="856" w:type="dxa"/>
            <w:tcBorders>
              <w:top w:val="nil"/>
              <w:left w:val="nil"/>
              <w:bottom w:val="single" w:sz="2" w:space="0" w:color="auto"/>
              <w:right w:val="nil"/>
            </w:tcBorders>
            <w:vAlign w:val="bottom"/>
          </w:tcPr>
          <w:p w14:paraId="7C30317A" w14:textId="77777777" w:rsidR="00773F7B" w:rsidRPr="00A31437" w:rsidRDefault="00773F7B" w:rsidP="00773F7B">
            <w:pPr>
              <w:pStyle w:val="T2"/>
              <w:jc w:val="right"/>
              <w:rPr>
                <w:b/>
              </w:rPr>
            </w:pPr>
            <w:r>
              <w:rPr>
                <w:b/>
              </w:rPr>
              <w:t>0.4</w:t>
            </w:r>
          </w:p>
        </w:tc>
        <w:tc>
          <w:tcPr>
            <w:tcW w:w="1134" w:type="dxa"/>
            <w:tcBorders>
              <w:top w:val="nil"/>
              <w:left w:val="nil"/>
              <w:bottom w:val="single" w:sz="2" w:space="0" w:color="auto"/>
              <w:right w:val="nil"/>
            </w:tcBorders>
            <w:vAlign w:val="bottom"/>
          </w:tcPr>
          <w:p w14:paraId="5FE7063C" w14:textId="77777777" w:rsidR="00773F7B" w:rsidRPr="00006931" w:rsidRDefault="00773F7B" w:rsidP="00773F7B">
            <w:pPr>
              <w:pStyle w:val="T2"/>
              <w:jc w:val="right"/>
              <w:rPr>
                <w:bCs/>
              </w:rPr>
            </w:pPr>
            <w:r w:rsidRPr="005D0EFF">
              <w:rPr>
                <w:bCs/>
              </w:rPr>
              <w:t>0.6</w:t>
            </w:r>
          </w:p>
        </w:tc>
        <w:tc>
          <w:tcPr>
            <w:tcW w:w="1134" w:type="dxa"/>
            <w:tcBorders>
              <w:top w:val="nil"/>
              <w:left w:val="nil"/>
              <w:bottom w:val="single" w:sz="2" w:space="0" w:color="auto"/>
              <w:right w:val="nil"/>
            </w:tcBorders>
            <w:vAlign w:val="bottom"/>
          </w:tcPr>
          <w:p w14:paraId="3CE721CF" w14:textId="77777777" w:rsidR="00773F7B" w:rsidRPr="00006931" w:rsidRDefault="00773F7B" w:rsidP="00773F7B">
            <w:pPr>
              <w:pStyle w:val="T2"/>
              <w:jc w:val="right"/>
              <w:rPr>
                <w:bCs/>
              </w:rPr>
            </w:pPr>
            <w:r w:rsidRPr="005D0EFF">
              <w:rPr>
                <w:bCs/>
              </w:rPr>
              <w:t>–</w:t>
            </w:r>
          </w:p>
        </w:tc>
        <w:tc>
          <w:tcPr>
            <w:tcW w:w="859" w:type="dxa"/>
            <w:tcBorders>
              <w:top w:val="nil"/>
              <w:left w:val="nil"/>
              <w:bottom w:val="single" w:sz="2" w:space="0" w:color="auto"/>
              <w:right w:val="nil"/>
            </w:tcBorders>
            <w:vAlign w:val="bottom"/>
          </w:tcPr>
          <w:p w14:paraId="0A08DF44" w14:textId="77777777" w:rsidR="00773F7B" w:rsidRPr="00006931" w:rsidRDefault="00773F7B" w:rsidP="00773F7B">
            <w:pPr>
              <w:pStyle w:val="T2"/>
              <w:jc w:val="right"/>
              <w:rPr>
                <w:bCs/>
              </w:rPr>
            </w:pPr>
            <w:r w:rsidRPr="005D0EFF">
              <w:rPr>
                <w:bCs/>
              </w:rPr>
              <w:t>0.6</w:t>
            </w:r>
          </w:p>
        </w:tc>
      </w:tr>
      <w:tr w:rsidR="00773F7B" w14:paraId="4EA023D9" w14:textId="77777777" w:rsidTr="00656003">
        <w:trPr>
          <w:jc w:val="center"/>
        </w:trPr>
        <w:tc>
          <w:tcPr>
            <w:tcW w:w="3805" w:type="dxa"/>
            <w:tcBorders>
              <w:top w:val="single" w:sz="2" w:space="0" w:color="auto"/>
              <w:left w:val="nil"/>
              <w:bottom w:val="nil"/>
              <w:right w:val="nil"/>
            </w:tcBorders>
            <w:vAlign w:val="bottom"/>
          </w:tcPr>
          <w:p w14:paraId="24867C07" w14:textId="77777777" w:rsidR="00773F7B" w:rsidRPr="00323878" w:rsidRDefault="00773F7B" w:rsidP="00773F7B">
            <w:pPr>
              <w:pStyle w:val="T2"/>
              <w:jc w:val="left"/>
              <w:rPr>
                <w:b/>
              </w:rPr>
            </w:pPr>
            <w:r w:rsidRPr="00323878">
              <w:rPr>
                <w:b/>
              </w:rPr>
              <w:t>Profit before taxation</w:t>
            </w:r>
          </w:p>
        </w:tc>
        <w:tc>
          <w:tcPr>
            <w:tcW w:w="431" w:type="dxa"/>
            <w:tcBorders>
              <w:top w:val="single" w:sz="2" w:space="0" w:color="auto"/>
              <w:left w:val="nil"/>
              <w:bottom w:val="nil"/>
              <w:right w:val="nil"/>
            </w:tcBorders>
            <w:vAlign w:val="bottom"/>
          </w:tcPr>
          <w:p w14:paraId="5650D083" w14:textId="77777777" w:rsidR="00773F7B" w:rsidRPr="00E8718C" w:rsidRDefault="00773F7B" w:rsidP="00773F7B">
            <w:pPr>
              <w:jc w:val="right"/>
              <w:rPr>
                <w:sz w:val="18"/>
                <w:szCs w:val="18"/>
              </w:rPr>
            </w:pPr>
          </w:p>
        </w:tc>
        <w:tc>
          <w:tcPr>
            <w:tcW w:w="1134" w:type="dxa"/>
            <w:tcBorders>
              <w:top w:val="single" w:sz="2" w:space="0" w:color="auto"/>
              <w:left w:val="nil"/>
              <w:bottom w:val="nil"/>
              <w:right w:val="nil"/>
            </w:tcBorders>
            <w:vAlign w:val="bottom"/>
          </w:tcPr>
          <w:p w14:paraId="755C25BA" w14:textId="77777777" w:rsidR="00773F7B" w:rsidRPr="00A31437" w:rsidRDefault="00773F7B" w:rsidP="00773F7B">
            <w:pPr>
              <w:pStyle w:val="T2"/>
              <w:jc w:val="right"/>
              <w:rPr>
                <w:b/>
              </w:rPr>
            </w:pPr>
            <w:r>
              <w:rPr>
                <w:b/>
              </w:rPr>
              <w:t>27.3</w:t>
            </w:r>
          </w:p>
        </w:tc>
        <w:tc>
          <w:tcPr>
            <w:tcW w:w="1134" w:type="dxa"/>
            <w:tcBorders>
              <w:top w:val="single" w:sz="2" w:space="0" w:color="auto"/>
              <w:left w:val="nil"/>
              <w:bottom w:val="nil"/>
              <w:right w:val="nil"/>
            </w:tcBorders>
            <w:vAlign w:val="bottom"/>
          </w:tcPr>
          <w:p w14:paraId="6B203F3D" w14:textId="77777777" w:rsidR="00773F7B" w:rsidRPr="00A31437" w:rsidRDefault="00773F7B" w:rsidP="00773F7B">
            <w:pPr>
              <w:pStyle w:val="T2"/>
              <w:jc w:val="right"/>
              <w:rPr>
                <w:b/>
              </w:rPr>
            </w:pPr>
            <w:r w:rsidRPr="00681334">
              <w:rPr>
                <w:b/>
                <w:bCs/>
              </w:rPr>
              <w:t>–</w:t>
            </w:r>
          </w:p>
        </w:tc>
        <w:tc>
          <w:tcPr>
            <w:tcW w:w="856" w:type="dxa"/>
            <w:tcBorders>
              <w:top w:val="single" w:sz="2" w:space="0" w:color="auto"/>
              <w:left w:val="nil"/>
              <w:bottom w:val="nil"/>
              <w:right w:val="nil"/>
            </w:tcBorders>
            <w:vAlign w:val="bottom"/>
          </w:tcPr>
          <w:p w14:paraId="4F26EBF0" w14:textId="77777777" w:rsidR="00773F7B" w:rsidRPr="00A31437" w:rsidRDefault="00773F7B" w:rsidP="00773F7B">
            <w:pPr>
              <w:pStyle w:val="T2"/>
              <w:jc w:val="right"/>
              <w:rPr>
                <w:b/>
              </w:rPr>
            </w:pPr>
            <w:r>
              <w:rPr>
                <w:b/>
              </w:rPr>
              <w:t>27.3</w:t>
            </w:r>
          </w:p>
        </w:tc>
        <w:tc>
          <w:tcPr>
            <w:tcW w:w="1134" w:type="dxa"/>
            <w:tcBorders>
              <w:top w:val="single" w:sz="2" w:space="0" w:color="auto"/>
              <w:left w:val="nil"/>
              <w:bottom w:val="nil"/>
              <w:right w:val="nil"/>
            </w:tcBorders>
            <w:vAlign w:val="bottom"/>
          </w:tcPr>
          <w:p w14:paraId="23363BDE" w14:textId="77777777" w:rsidR="00773F7B" w:rsidRPr="00006931" w:rsidRDefault="00773F7B" w:rsidP="00773F7B">
            <w:pPr>
              <w:pStyle w:val="T2"/>
              <w:jc w:val="right"/>
              <w:rPr>
                <w:bCs/>
              </w:rPr>
            </w:pPr>
            <w:r w:rsidRPr="005D0EFF">
              <w:rPr>
                <w:bCs/>
              </w:rPr>
              <w:t>34.1</w:t>
            </w:r>
          </w:p>
        </w:tc>
        <w:tc>
          <w:tcPr>
            <w:tcW w:w="1134" w:type="dxa"/>
            <w:tcBorders>
              <w:top w:val="single" w:sz="2" w:space="0" w:color="auto"/>
              <w:left w:val="nil"/>
              <w:bottom w:val="nil"/>
              <w:right w:val="nil"/>
            </w:tcBorders>
            <w:vAlign w:val="bottom"/>
          </w:tcPr>
          <w:p w14:paraId="72A379C7" w14:textId="77777777" w:rsidR="00773F7B" w:rsidRPr="00006931" w:rsidRDefault="00773F7B" w:rsidP="00773F7B">
            <w:pPr>
              <w:pStyle w:val="T2"/>
              <w:jc w:val="right"/>
              <w:rPr>
                <w:bCs/>
              </w:rPr>
            </w:pPr>
            <w:r w:rsidRPr="005D0EFF">
              <w:rPr>
                <w:bCs/>
              </w:rPr>
              <w:t>(28.4)</w:t>
            </w:r>
          </w:p>
        </w:tc>
        <w:tc>
          <w:tcPr>
            <w:tcW w:w="859" w:type="dxa"/>
            <w:tcBorders>
              <w:top w:val="single" w:sz="2" w:space="0" w:color="auto"/>
              <w:left w:val="nil"/>
              <w:bottom w:val="nil"/>
              <w:right w:val="nil"/>
            </w:tcBorders>
            <w:vAlign w:val="bottom"/>
          </w:tcPr>
          <w:p w14:paraId="0483C819" w14:textId="77777777" w:rsidR="00773F7B" w:rsidRPr="00006931" w:rsidRDefault="00773F7B" w:rsidP="00773F7B">
            <w:pPr>
              <w:pStyle w:val="T2"/>
              <w:jc w:val="right"/>
              <w:rPr>
                <w:bCs/>
              </w:rPr>
            </w:pPr>
            <w:r w:rsidRPr="005D0EFF">
              <w:rPr>
                <w:bCs/>
              </w:rPr>
              <w:t>5.7</w:t>
            </w:r>
          </w:p>
        </w:tc>
      </w:tr>
      <w:tr w:rsidR="00773F7B" w14:paraId="654D4FCE" w14:textId="77777777" w:rsidTr="00656003">
        <w:trPr>
          <w:jc w:val="center"/>
        </w:trPr>
        <w:tc>
          <w:tcPr>
            <w:tcW w:w="3805" w:type="dxa"/>
            <w:tcBorders>
              <w:top w:val="nil"/>
              <w:left w:val="nil"/>
              <w:bottom w:val="single" w:sz="2" w:space="0" w:color="auto"/>
              <w:right w:val="nil"/>
            </w:tcBorders>
            <w:vAlign w:val="bottom"/>
          </w:tcPr>
          <w:p w14:paraId="708C2195" w14:textId="77777777" w:rsidR="00773F7B" w:rsidRPr="00C65534" w:rsidRDefault="00773F7B" w:rsidP="00773F7B">
            <w:pPr>
              <w:pStyle w:val="T2"/>
              <w:jc w:val="left"/>
            </w:pPr>
            <w:r w:rsidRPr="00C65534">
              <w:t>Taxation</w:t>
            </w:r>
          </w:p>
        </w:tc>
        <w:tc>
          <w:tcPr>
            <w:tcW w:w="431" w:type="dxa"/>
            <w:tcBorders>
              <w:top w:val="nil"/>
              <w:left w:val="nil"/>
              <w:bottom w:val="single" w:sz="2" w:space="0" w:color="auto"/>
              <w:right w:val="nil"/>
            </w:tcBorders>
            <w:vAlign w:val="bottom"/>
          </w:tcPr>
          <w:p w14:paraId="4AF14498" w14:textId="77777777" w:rsidR="00773F7B" w:rsidRPr="00E8718C" w:rsidRDefault="00773F7B" w:rsidP="00773F7B">
            <w:pPr>
              <w:jc w:val="right"/>
              <w:rPr>
                <w:sz w:val="18"/>
                <w:szCs w:val="18"/>
              </w:rPr>
            </w:pPr>
            <w:r>
              <w:rPr>
                <w:sz w:val="18"/>
                <w:szCs w:val="18"/>
              </w:rPr>
              <w:t>7</w:t>
            </w:r>
          </w:p>
        </w:tc>
        <w:tc>
          <w:tcPr>
            <w:tcW w:w="1134" w:type="dxa"/>
            <w:tcBorders>
              <w:top w:val="nil"/>
              <w:left w:val="nil"/>
              <w:bottom w:val="single" w:sz="2" w:space="0" w:color="auto"/>
              <w:right w:val="nil"/>
            </w:tcBorders>
            <w:vAlign w:val="bottom"/>
          </w:tcPr>
          <w:p w14:paraId="24E1519D" w14:textId="77777777" w:rsidR="00773F7B" w:rsidRPr="00A31437" w:rsidRDefault="00773F7B" w:rsidP="00773F7B">
            <w:pPr>
              <w:pStyle w:val="T2"/>
              <w:jc w:val="right"/>
              <w:rPr>
                <w:b/>
              </w:rPr>
            </w:pPr>
            <w:r>
              <w:rPr>
                <w:b/>
              </w:rPr>
              <w:t>(3.5)</w:t>
            </w:r>
          </w:p>
        </w:tc>
        <w:tc>
          <w:tcPr>
            <w:tcW w:w="1134" w:type="dxa"/>
            <w:tcBorders>
              <w:top w:val="nil"/>
              <w:left w:val="nil"/>
              <w:bottom w:val="single" w:sz="2" w:space="0" w:color="auto"/>
              <w:right w:val="nil"/>
            </w:tcBorders>
            <w:vAlign w:val="bottom"/>
          </w:tcPr>
          <w:p w14:paraId="7304B811" w14:textId="77777777" w:rsidR="00773F7B" w:rsidRPr="00A31437" w:rsidRDefault="00773F7B" w:rsidP="00773F7B">
            <w:pPr>
              <w:pStyle w:val="T2"/>
              <w:jc w:val="right"/>
              <w:rPr>
                <w:b/>
              </w:rPr>
            </w:pPr>
            <w:r>
              <w:rPr>
                <w:b/>
              </w:rPr>
              <w:t>0.4</w:t>
            </w:r>
          </w:p>
        </w:tc>
        <w:tc>
          <w:tcPr>
            <w:tcW w:w="856" w:type="dxa"/>
            <w:tcBorders>
              <w:top w:val="nil"/>
              <w:left w:val="nil"/>
              <w:bottom w:val="single" w:sz="2" w:space="0" w:color="auto"/>
              <w:right w:val="nil"/>
            </w:tcBorders>
            <w:vAlign w:val="bottom"/>
          </w:tcPr>
          <w:p w14:paraId="171661AF" w14:textId="77777777" w:rsidR="00773F7B" w:rsidRPr="00A31437" w:rsidRDefault="00773F7B" w:rsidP="00773F7B">
            <w:pPr>
              <w:pStyle w:val="T2"/>
              <w:jc w:val="right"/>
              <w:rPr>
                <w:b/>
              </w:rPr>
            </w:pPr>
            <w:r>
              <w:rPr>
                <w:b/>
              </w:rPr>
              <w:t>(3.1)</w:t>
            </w:r>
          </w:p>
        </w:tc>
        <w:tc>
          <w:tcPr>
            <w:tcW w:w="1134" w:type="dxa"/>
            <w:tcBorders>
              <w:top w:val="nil"/>
              <w:left w:val="nil"/>
              <w:bottom w:val="single" w:sz="2" w:space="0" w:color="auto"/>
              <w:right w:val="nil"/>
            </w:tcBorders>
            <w:vAlign w:val="bottom"/>
          </w:tcPr>
          <w:p w14:paraId="50AE33A4" w14:textId="77777777" w:rsidR="00773F7B" w:rsidRPr="00006931" w:rsidRDefault="00773F7B" w:rsidP="00773F7B">
            <w:pPr>
              <w:pStyle w:val="T2"/>
              <w:jc w:val="right"/>
              <w:rPr>
                <w:bCs/>
              </w:rPr>
            </w:pPr>
            <w:r w:rsidRPr="005D0EFF">
              <w:rPr>
                <w:bCs/>
              </w:rPr>
              <w:t>(5.4)</w:t>
            </w:r>
          </w:p>
        </w:tc>
        <w:tc>
          <w:tcPr>
            <w:tcW w:w="1134" w:type="dxa"/>
            <w:tcBorders>
              <w:top w:val="nil"/>
              <w:left w:val="nil"/>
              <w:bottom w:val="single" w:sz="2" w:space="0" w:color="auto"/>
              <w:right w:val="nil"/>
            </w:tcBorders>
            <w:vAlign w:val="bottom"/>
          </w:tcPr>
          <w:p w14:paraId="45FFF5D7" w14:textId="77777777" w:rsidR="00773F7B" w:rsidRPr="00006931" w:rsidRDefault="00773F7B" w:rsidP="00773F7B">
            <w:pPr>
              <w:pStyle w:val="T2"/>
              <w:jc w:val="right"/>
              <w:rPr>
                <w:bCs/>
              </w:rPr>
            </w:pPr>
            <w:r w:rsidRPr="005D0EFF">
              <w:rPr>
                <w:bCs/>
              </w:rPr>
              <w:t>0.5</w:t>
            </w:r>
          </w:p>
        </w:tc>
        <w:tc>
          <w:tcPr>
            <w:tcW w:w="859" w:type="dxa"/>
            <w:tcBorders>
              <w:top w:val="nil"/>
              <w:left w:val="nil"/>
              <w:bottom w:val="single" w:sz="2" w:space="0" w:color="auto"/>
              <w:right w:val="nil"/>
            </w:tcBorders>
            <w:vAlign w:val="bottom"/>
          </w:tcPr>
          <w:p w14:paraId="07871C17" w14:textId="77777777" w:rsidR="00773F7B" w:rsidRPr="00006931" w:rsidRDefault="00773F7B" w:rsidP="00773F7B">
            <w:pPr>
              <w:pStyle w:val="T2"/>
              <w:jc w:val="right"/>
              <w:rPr>
                <w:bCs/>
              </w:rPr>
            </w:pPr>
            <w:r w:rsidRPr="005D0EFF">
              <w:rPr>
                <w:bCs/>
              </w:rPr>
              <w:t>(4.9)</w:t>
            </w:r>
          </w:p>
        </w:tc>
      </w:tr>
      <w:tr w:rsidR="00773F7B" w14:paraId="72BB049F" w14:textId="77777777" w:rsidTr="00656003">
        <w:trPr>
          <w:jc w:val="center"/>
        </w:trPr>
        <w:tc>
          <w:tcPr>
            <w:tcW w:w="3805" w:type="dxa"/>
            <w:tcBorders>
              <w:top w:val="single" w:sz="2" w:space="0" w:color="auto"/>
              <w:left w:val="nil"/>
              <w:bottom w:val="single" w:sz="2" w:space="0" w:color="auto"/>
              <w:right w:val="nil"/>
            </w:tcBorders>
            <w:vAlign w:val="bottom"/>
          </w:tcPr>
          <w:p w14:paraId="61FB8D8A" w14:textId="77777777" w:rsidR="00773F7B" w:rsidRPr="00323878" w:rsidRDefault="00773F7B" w:rsidP="00773F7B">
            <w:pPr>
              <w:pStyle w:val="T2"/>
              <w:jc w:val="left"/>
              <w:rPr>
                <w:b/>
              </w:rPr>
            </w:pPr>
            <w:r w:rsidRPr="00323878">
              <w:rPr>
                <w:b/>
              </w:rPr>
              <w:t>Profit for the financial period from continuing operations</w:t>
            </w:r>
          </w:p>
        </w:tc>
        <w:tc>
          <w:tcPr>
            <w:tcW w:w="431" w:type="dxa"/>
            <w:tcBorders>
              <w:top w:val="single" w:sz="2" w:space="0" w:color="auto"/>
              <w:left w:val="nil"/>
              <w:bottom w:val="single" w:sz="2" w:space="0" w:color="auto"/>
              <w:right w:val="nil"/>
            </w:tcBorders>
            <w:vAlign w:val="bottom"/>
          </w:tcPr>
          <w:p w14:paraId="0A71E311" w14:textId="77777777" w:rsidR="00773F7B" w:rsidRPr="00E8718C" w:rsidRDefault="00773F7B" w:rsidP="00773F7B">
            <w:pPr>
              <w:jc w:val="right"/>
              <w:rPr>
                <w:sz w:val="18"/>
                <w:szCs w:val="18"/>
              </w:rPr>
            </w:pPr>
          </w:p>
        </w:tc>
        <w:tc>
          <w:tcPr>
            <w:tcW w:w="1134" w:type="dxa"/>
            <w:tcBorders>
              <w:top w:val="single" w:sz="2" w:space="0" w:color="auto"/>
              <w:left w:val="nil"/>
              <w:bottom w:val="single" w:sz="2" w:space="0" w:color="auto"/>
              <w:right w:val="nil"/>
            </w:tcBorders>
            <w:vAlign w:val="bottom"/>
          </w:tcPr>
          <w:p w14:paraId="4E20C749" w14:textId="77777777" w:rsidR="00773F7B" w:rsidRPr="00A31437" w:rsidRDefault="00773F7B" w:rsidP="00773F7B">
            <w:pPr>
              <w:pStyle w:val="T2"/>
              <w:jc w:val="right"/>
              <w:rPr>
                <w:b/>
              </w:rPr>
            </w:pPr>
            <w:r>
              <w:rPr>
                <w:b/>
              </w:rPr>
              <w:t>23.8</w:t>
            </w:r>
          </w:p>
        </w:tc>
        <w:tc>
          <w:tcPr>
            <w:tcW w:w="1134" w:type="dxa"/>
            <w:tcBorders>
              <w:top w:val="single" w:sz="2" w:space="0" w:color="auto"/>
              <w:left w:val="nil"/>
              <w:bottom w:val="single" w:sz="2" w:space="0" w:color="auto"/>
              <w:right w:val="nil"/>
            </w:tcBorders>
            <w:vAlign w:val="bottom"/>
          </w:tcPr>
          <w:p w14:paraId="5A8A19A1" w14:textId="77777777" w:rsidR="00773F7B" w:rsidRPr="00A31437" w:rsidRDefault="00773F7B" w:rsidP="00773F7B">
            <w:pPr>
              <w:pStyle w:val="T2"/>
              <w:jc w:val="right"/>
              <w:rPr>
                <w:b/>
              </w:rPr>
            </w:pPr>
            <w:r>
              <w:rPr>
                <w:b/>
                <w:bCs/>
              </w:rPr>
              <w:t>0.4</w:t>
            </w:r>
          </w:p>
        </w:tc>
        <w:tc>
          <w:tcPr>
            <w:tcW w:w="856" w:type="dxa"/>
            <w:tcBorders>
              <w:top w:val="single" w:sz="2" w:space="0" w:color="auto"/>
              <w:left w:val="nil"/>
              <w:bottom w:val="single" w:sz="2" w:space="0" w:color="auto"/>
              <w:right w:val="nil"/>
            </w:tcBorders>
            <w:vAlign w:val="bottom"/>
          </w:tcPr>
          <w:p w14:paraId="7F0614B8" w14:textId="77777777" w:rsidR="00773F7B" w:rsidRPr="00A31437" w:rsidRDefault="00773F7B" w:rsidP="00773F7B">
            <w:pPr>
              <w:pStyle w:val="T2"/>
              <w:jc w:val="right"/>
              <w:rPr>
                <w:b/>
              </w:rPr>
            </w:pPr>
            <w:r>
              <w:rPr>
                <w:b/>
              </w:rPr>
              <w:t>24.2</w:t>
            </w:r>
          </w:p>
        </w:tc>
        <w:tc>
          <w:tcPr>
            <w:tcW w:w="1134" w:type="dxa"/>
            <w:tcBorders>
              <w:top w:val="single" w:sz="2" w:space="0" w:color="auto"/>
              <w:left w:val="nil"/>
              <w:bottom w:val="single" w:sz="2" w:space="0" w:color="auto"/>
              <w:right w:val="nil"/>
            </w:tcBorders>
            <w:vAlign w:val="bottom"/>
          </w:tcPr>
          <w:p w14:paraId="2755D1E1" w14:textId="77777777" w:rsidR="00773F7B" w:rsidRPr="00006931" w:rsidRDefault="00773F7B" w:rsidP="00773F7B">
            <w:pPr>
              <w:pStyle w:val="T2"/>
              <w:jc w:val="right"/>
              <w:rPr>
                <w:bCs/>
              </w:rPr>
            </w:pPr>
            <w:r w:rsidRPr="005D0EFF">
              <w:rPr>
                <w:bCs/>
              </w:rPr>
              <w:t>28.7</w:t>
            </w:r>
          </w:p>
        </w:tc>
        <w:tc>
          <w:tcPr>
            <w:tcW w:w="1134" w:type="dxa"/>
            <w:tcBorders>
              <w:top w:val="single" w:sz="2" w:space="0" w:color="auto"/>
              <w:left w:val="nil"/>
              <w:bottom w:val="single" w:sz="2" w:space="0" w:color="auto"/>
              <w:right w:val="nil"/>
            </w:tcBorders>
            <w:vAlign w:val="bottom"/>
          </w:tcPr>
          <w:p w14:paraId="2261621B" w14:textId="77777777" w:rsidR="00773F7B" w:rsidRPr="00006931" w:rsidRDefault="00773F7B" w:rsidP="00773F7B">
            <w:pPr>
              <w:pStyle w:val="T2"/>
              <w:jc w:val="right"/>
              <w:rPr>
                <w:bCs/>
              </w:rPr>
            </w:pPr>
            <w:r w:rsidRPr="005D0EFF">
              <w:rPr>
                <w:bCs/>
              </w:rPr>
              <w:t>(27.9)</w:t>
            </w:r>
          </w:p>
        </w:tc>
        <w:tc>
          <w:tcPr>
            <w:tcW w:w="859" w:type="dxa"/>
            <w:tcBorders>
              <w:top w:val="single" w:sz="2" w:space="0" w:color="auto"/>
              <w:left w:val="nil"/>
              <w:bottom w:val="single" w:sz="2" w:space="0" w:color="auto"/>
              <w:right w:val="nil"/>
            </w:tcBorders>
            <w:vAlign w:val="bottom"/>
          </w:tcPr>
          <w:p w14:paraId="0CFD7696" w14:textId="77777777" w:rsidR="00773F7B" w:rsidRPr="00006931" w:rsidRDefault="00773F7B" w:rsidP="00773F7B">
            <w:pPr>
              <w:pStyle w:val="T2"/>
              <w:jc w:val="right"/>
              <w:rPr>
                <w:bCs/>
              </w:rPr>
            </w:pPr>
            <w:r w:rsidRPr="005D0EFF">
              <w:rPr>
                <w:bCs/>
              </w:rPr>
              <w:t>0.8</w:t>
            </w:r>
          </w:p>
        </w:tc>
      </w:tr>
      <w:tr w:rsidR="00773F7B" w14:paraId="44B2FD8C" w14:textId="77777777" w:rsidTr="00656003">
        <w:trPr>
          <w:jc w:val="center"/>
        </w:trPr>
        <w:tc>
          <w:tcPr>
            <w:tcW w:w="3805" w:type="dxa"/>
            <w:tcBorders>
              <w:top w:val="single" w:sz="2" w:space="0" w:color="auto"/>
              <w:left w:val="nil"/>
              <w:bottom w:val="nil"/>
              <w:right w:val="nil"/>
            </w:tcBorders>
            <w:vAlign w:val="bottom"/>
          </w:tcPr>
          <w:p w14:paraId="0BAD4771" w14:textId="77777777" w:rsidR="00773F7B" w:rsidRPr="00323878" w:rsidRDefault="00773F7B" w:rsidP="00773F7B">
            <w:pPr>
              <w:pStyle w:val="T2"/>
              <w:jc w:val="left"/>
              <w:rPr>
                <w:b/>
              </w:rPr>
            </w:pPr>
            <w:r w:rsidRPr="00323878">
              <w:rPr>
                <w:b/>
              </w:rPr>
              <w:t>Discontinued operations</w:t>
            </w:r>
          </w:p>
        </w:tc>
        <w:tc>
          <w:tcPr>
            <w:tcW w:w="431" w:type="dxa"/>
            <w:tcBorders>
              <w:top w:val="single" w:sz="2" w:space="0" w:color="auto"/>
              <w:left w:val="nil"/>
              <w:bottom w:val="nil"/>
              <w:right w:val="nil"/>
            </w:tcBorders>
            <w:vAlign w:val="bottom"/>
          </w:tcPr>
          <w:p w14:paraId="119A8150" w14:textId="77777777" w:rsidR="00773F7B" w:rsidRPr="00E8718C" w:rsidRDefault="00773F7B" w:rsidP="00773F7B">
            <w:pPr>
              <w:jc w:val="right"/>
              <w:rPr>
                <w:sz w:val="18"/>
                <w:szCs w:val="18"/>
              </w:rPr>
            </w:pPr>
          </w:p>
        </w:tc>
        <w:tc>
          <w:tcPr>
            <w:tcW w:w="1134" w:type="dxa"/>
            <w:tcBorders>
              <w:top w:val="single" w:sz="2" w:space="0" w:color="auto"/>
              <w:left w:val="nil"/>
              <w:bottom w:val="nil"/>
              <w:right w:val="nil"/>
            </w:tcBorders>
            <w:vAlign w:val="bottom"/>
          </w:tcPr>
          <w:p w14:paraId="6F5F8392" w14:textId="77777777" w:rsidR="00773F7B" w:rsidRPr="00A31437" w:rsidRDefault="00773F7B" w:rsidP="00773F7B">
            <w:pPr>
              <w:pStyle w:val="T2"/>
              <w:jc w:val="right"/>
              <w:rPr>
                <w:b/>
              </w:rPr>
            </w:pPr>
          </w:p>
        </w:tc>
        <w:tc>
          <w:tcPr>
            <w:tcW w:w="1134" w:type="dxa"/>
            <w:tcBorders>
              <w:top w:val="single" w:sz="2" w:space="0" w:color="auto"/>
              <w:left w:val="nil"/>
              <w:bottom w:val="nil"/>
              <w:right w:val="nil"/>
            </w:tcBorders>
            <w:vAlign w:val="bottom"/>
          </w:tcPr>
          <w:p w14:paraId="3E476A01" w14:textId="77777777" w:rsidR="00773F7B" w:rsidRPr="00A31437" w:rsidRDefault="00773F7B" w:rsidP="00773F7B">
            <w:pPr>
              <w:pStyle w:val="T2"/>
              <w:jc w:val="right"/>
              <w:rPr>
                <w:b/>
              </w:rPr>
            </w:pPr>
          </w:p>
        </w:tc>
        <w:tc>
          <w:tcPr>
            <w:tcW w:w="856" w:type="dxa"/>
            <w:tcBorders>
              <w:top w:val="single" w:sz="2" w:space="0" w:color="auto"/>
              <w:left w:val="nil"/>
              <w:bottom w:val="nil"/>
              <w:right w:val="nil"/>
            </w:tcBorders>
            <w:vAlign w:val="bottom"/>
          </w:tcPr>
          <w:p w14:paraId="54BA8CD7" w14:textId="77777777" w:rsidR="00773F7B" w:rsidRPr="00A31437" w:rsidRDefault="00773F7B" w:rsidP="00773F7B">
            <w:pPr>
              <w:pStyle w:val="T2"/>
              <w:jc w:val="right"/>
              <w:rPr>
                <w:b/>
              </w:rPr>
            </w:pPr>
          </w:p>
        </w:tc>
        <w:tc>
          <w:tcPr>
            <w:tcW w:w="1134" w:type="dxa"/>
            <w:tcBorders>
              <w:top w:val="single" w:sz="2" w:space="0" w:color="auto"/>
              <w:left w:val="nil"/>
              <w:bottom w:val="nil"/>
              <w:right w:val="nil"/>
            </w:tcBorders>
            <w:vAlign w:val="bottom"/>
          </w:tcPr>
          <w:p w14:paraId="13BA0434" w14:textId="77777777" w:rsidR="00773F7B" w:rsidRPr="00006931" w:rsidRDefault="00773F7B" w:rsidP="00773F7B">
            <w:pPr>
              <w:pStyle w:val="T2"/>
              <w:jc w:val="right"/>
              <w:rPr>
                <w:bCs/>
              </w:rPr>
            </w:pPr>
          </w:p>
        </w:tc>
        <w:tc>
          <w:tcPr>
            <w:tcW w:w="1134" w:type="dxa"/>
            <w:tcBorders>
              <w:top w:val="single" w:sz="2" w:space="0" w:color="auto"/>
              <w:left w:val="nil"/>
              <w:bottom w:val="nil"/>
              <w:right w:val="nil"/>
            </w:tcBorders>
            <w:vAlign w:val="bottom"/>
          </w:tcPr>
          <w:p w14:paraId="623FE82D" w14:textId="77777777" w:rsidR="00773F7B" w:rsidRPr="005D0EFF" w:rsidRDefault="00773F7B" w:rsidP="00773F7B">
            <w:pPr>
              <w:pStyle w:val="T2"/>
              <w:jc w:val="right"/>
              <w:rPr>
                <w:bCs/>
              </w:rPr>
            </w:pPr>
          </w:p>
        </w:tc>
        <w:tc>
          <w:tcPr>
            <w:tcW w:w="859" w:type="dxa"/>
            <w:tcBorders>
              <w:top w:val="single" w:sz="2" w:space="0" w:color="auto"/>
              <w:left w:val="nil"/>
              <w:bottom w:val="nil"/>
              <w:right w:val="nil"/>
            </w:tcBorders>
            <w:vAlign w:val="bottom"/>
          </w:tcPr>
          <w:p w14:paraId="48BAE369" w14:textId="77777777" w:rsidR="00773F7B" w:rsidRPr="005D0EFF" w:rsidRDefault="00773F7B" w:rsidP="00773F7B">
            <w:pPr>
              <w:pStyle w:val="T2"/>
              <w:jc w:val="right"/>
              <w:rPr>
                <w:bCs/>
              </w:rPr>
            </w:pPr>
          </w:p>
        </w:tc>
      </w:tr>
      <w:tr w:rsidR="00773F7B" w14:paraId="1E8F655F" w14:textId="77777777" w:rsidTr="00656003">
        <w:trPr>
          <w:jc w:val="center"/>
        </w:trPr>
        <w:tc>
          <w:tcPr>
            <w:tcW w:w="3805" w:type="dxa"/>
            <w:tcBorders>
              <w:top w:val="nil"/>
              <w:left w:val="nil"/>
              <w:bottom w:val="single" w:sz="2" w:space="0" w:color="auto"/>
              <w:right w:val="nil"/>
            </w:tcBorders>
            <w:vAlign w:val="bottom"/>
          </w:tcPr>
          <w:p w14:paraId="21B5CBDD" w14:textId="77777777" w:rsidR="00773F7B" w:rsidRPr="00C65534" w:rsidRDefault="00773F7B" w:rsidP="00773F7B">
            <w:pPr>
              <w:pStyle w:val="T2"/>
              <w:jc w:val="left"/>
            </w:pPr>
            <w:r w:rsidRPr="00C65534">
              <w:t>Result from discontinued operations</w:t>
            </w:r>
          </w:p>
        </w:tc>
        <w:tc>
          <w:tcPr>
            <w:tcW w:w="431" w:type="dxa"/>
            <w:tcBorders>
              <w:top w:val="nil"/>
              <w:left w:val="nil"/>
              <w:bottom w:val="single" w:sz="2" w:space="0" w:color="auto"/>
              <w:right w:val="nil"/>
            </w:tcBorders>
            <w:vAlign w:val="bottom"/>
          </w:tcPr>
          <w:p w14:paraId="565A9541" w14:textId="77777777" w:rsidR="00773F7B" w:rsidRPr="00E8718C" w:rsidRDefault="00773F7B" w:rsidP="00773F7B">
            <w:pPr>
              <w:jc w:val="right"/>
              <w:rPr>
                <w:sz w:val="18"/>
                <w:szCs w:val="18"/>
              </w:rPr>
            </w:pPr>
            <w:r>
              <w:rPr>
                <w:sz w:val="18"/>
                <w:szCs w:val="18"/>
              </w:rPr>
              <w:t>15</w:t>
            </w:r>
          </w:p>
        </w:tc>
        <w:tc>
          <w:tcPr>
            <w:tcW w:w="1134" w:type="dxa"/>
            <w:tcBorders>
              <w:top w:val="nil"/>
              <w:left w:val="nil"/>
              <w:bottom w:val="single" w:sz="2" w:space="0" w:color="auto"/>
              <w:right w:val="nil"/>
            </w:tcBorders>
            <w:vAlign w:val="bottom"/>
          </w:tcPr>
          <w:p w14:paraId="6C1CD2C0" w14:textId="77777777" w:rsidR="00773F7B" w:rsidRPr="00A31437" w:rsidRDefault="00773F7B" w:rsidP="00773F7B">
            <w:pPr>
              <w:pStyle w:val="T2"/>
              <w:jc w:val="right"/>
              <w:rPr>
                <w:b/>
              </w:rPr>
            </w:pPr>
            <w:r>
              <w:rPr>
                <w:b/>
              </w:rPr>
              <w:t>–</w:t>
            </w:r>
          </w:p>
        </w:tc>
        <w:tc>
          <w:tcPr>
            <w:tcW w:w="1134" w:type="dxa"/>
            <w:tcBorders>
              <w:top w:val="nil"/>
              <w:left w:val="nil"/>
              <w:bottom w:val="single" w:sz="2" w:space="0" w:color="auto"/>
              <w:right w:val="nil"/>
            </w:tcBorders>
            <w:vAlign w:val="bottom"/>
          </w:tcPr>
          <w:p w14:paraId="28CDFE6C" w14:textId="77777777" w:rsidR="00773F7B" w:rsidRPr="00A31437" w:rsidRDefault="00773F7B" w:rsidP="00773F7B">
            <w:pPr>
              <w:pStyle w:val="T2"/>
              <w:jc w:val="right"/>
              <w:rPr>
                <w:b/>
              </w:rPr>
            </w:pPr>
            <w:r>
              <w:rPr>
                <w:b/>
              </w:rPr>
              <w:t>–</w:t>
            </w:r>
          </w:p>
        </w:tc>
        <w:tc>
          <w:tcPr>
            <w:tcW w:w="856" w:type="dxa"/>
            <w:tcBorders>
              <w:top w:val="nil"/>
              <w:left w:val="nil"/>
              <w:bottom w:val="single" w:sz="2" w:space="0" w:color="auto"/>
              <w:right w:val="nil"/>
            </w:tcBorders>
            <w:vAlign w:val="bottom"/>
          </w:tcPr>
          <w:p w14:paraId="01A633A7" w14:textId="77777777" w:rsidR="00773F7B" w:rsidRPr="00A31437" w:rsidRDefault="00773F7B" w:rsidP="00773F7B">
            <w:pPr>
              <w:pStyle w:val="T2"/>
              <w:jc w:val="right"/>
              <w:rPr>
                <w:b/>
              </w:rPr>
            </w:pPr>
            <w:r>
              <w:rPr>
                <w:b/>
              </w:rPr>
              <w:t>–</w:t>
            </w:r>
          </w:p>
        </w:tc>
        <w:tc>
          <w:tcPr>
            <w:tcW w:w="1134" w:type="dxa"/>
            <w:tcBorders>
              <w:top w:val="nil"/>
              <w:left w:val="nil"/>
              <w:bottom w:val="single" w:sz="2" w:space="0" w:color="auto"/>
              <w:right w:val="nil"/>
            </w:tcBorders>
            <w:vAlign w:val="bottom"/>
          </w:tcPr>
          <w:p w14:paraId="60184CE8" w14:textId="77777777" w:rsidR="00773F7B" w:rsidRPr="00006931" w:rsidRDefault="00773F7B" w:rsidP="00773F7B">
            <w:pPr>
              <w:pStyle w:val="T2"/>
              <w:jc w:val="right"/>
              <w:rPr>
                <w:bCs/>
              </w:rPr>
            </w:pPr>
            <w:r w:rsidRPr="005D0EFF">
              <w:rPr>
                <w:bCs/>
              </w:rPr>
              <w:t>8.9</w:t>
            </w:r>
          </w:p>
        </w:tc>
        <w:tc>
          <w:tcPr>
            <w:tcW w:w="1134" w:type="dxa"/>
            <w:tcBorders>
              <w:top w:val="nil"/>
              <w:left w:val="nil"/>
              <w:bottom w:val="single" w:sz="2" w:space="0" w:color="auto"/>
              <w:right w:val="nil"/>
            </w:tcBorders>
            <w:vAlign w:val="bottom"/>
          </w:tcPr>
          <w:p w14:paraId="1F4B45D0" w14:textId="77777777" w:rsidR="00773F7B" w:rsidRPr="00006931" w:rsidRDefault="00773F7B" w:rsidP="00773F7B">
            <w:pPr>
              <w:pStyle w:val="T2"/>
              <w:jc w:val="right"/>
              <w:rPr>
                <w:bCs/>
              </w:rPr>
            </w:pPr>
            <w:r w:rsidRPr="005D0EFF">
              <w:rPr>
                <w:bCs/>
              </w:rPr>
              <w:t>56.7</w:t>
            </w:r>
          </w:p>
        </w:tc>
        <w:tc>
          <w:tcPr>
            <w:tcW w:w="859" w:type="dxa"/>
            <w:tcBorders>
              <w:top w:val="nil"/>
              <w:left w:val="nil"/>
              <w:bottom w:val="single" w:sz="2" w:space="0" w:color="auto"/>
              <w:right w:val="nil"/>
            </w:tcBorders>
            <w:vAlign w:val="bottom"/>
          </w:tcPr>
          <w:p w14:paraId="25C2003A" w14:textId="77777777" w:rsidR="00773F7B" w:rsidRPr="00006931" w:rsidRDefault="00773F7B" w:rsidP="00773F7B">
            <w:pPr>
              <w:pStyle w:val="T2"/>
              <w:jc w:val="right"/>
              <w:rPr>
                <w:bCs/>
              </w:rPr>
            </w:pPr>
            <w:r w:rsidRPr="005D0EFF">
              <w:rPr>
                <w:bCs/>
              </w:rPr>
              <w:t>65.6</w:t>
            </w:r>
          </w:p>
        </w:tc>
      </w:tr>
      <w:tr w:rsidR="00773F7B" w14:paraId="2F4B5644" w14:textId="77777777" w:rsidTr="00656003">
        <w:trPr>
          <w:jc w:val="center"/>
        </w:trPr>
        <w:tc>
          <w:tcPr>
            <w:tcW w:w="3805" w:type="dxa"/>
            <w:tcBorders>
              <w:top w:val="single" w:sz="2" w:space="0" w:color="auto"/>
              <w:left w:val="nil"/>
              <w:bottom w:val="single" w:sz="8" w:space="0" w:color="auto"/>
              <w:right w:val="nil"/>
            </w:tcBorders>
            <w:vAlign w:val="bottom"/>
          </w:tcPr>
          <w:p w14:paraId="7E30BF1B" w14:textId="77777777" w:rsidR="00773F7B" w:rsidRPr="00323878" w:rsidRDefault="00773F7B" w:rsidP="00773F7B">
            <w:pPr>
              <w:pStyle w:val="T2"/>
              <w:jc w:val="left"/>
              <w:rPr>
                <w:b/>
              </w:rPr>
            </w:pPr>
            <w:r w:rsidRPr="00323878">
              <w:rPr>
                <w:b/>
              </w:rPr>
              <w:t>Profit for the financial period</w:t>
            </w:r>
          </w:p>
        </w:tc>
        <w:tc>
          <w:tcPr>
            <w:tcW w:w="431" w:type="dxa"/>
            <w:tcBorders>
              <w:top w:val="single" w:sz="2" w:space="0" w:color="auto"/>
              <w:left w:val="nil"/>
              <w:bottom w:val="single" w:sz="8" w:space="0" w:color="auto"/>
              <w:right w:val="nil"/>
            </w:tcBorders>
            <w:vAlign w:val="bottom"/>
          </w:tcPr>
          <w:p w14:paraId="2F206798" w14:textId="77777777" w:rsidR="00773F7B" w:rsidRPr="00E8718C" w:rsidRDefault="00773F7B" w:rsidP="00773F7B">
            <w:pPr>
              <w:jc w:val="right"/>
              <w:rPr>
                <w:sz w:val="18"/>
                <w:szCs w:val="18"/>
              </w:rPr>
            </w:pPr>
          </w:p>
        </w:tc>
        <w:tc>
          <w:tcPr>
            <w:tcW w:w="1134" w:type="dxa"/>
            <w:tcBorders>
              <w:top w:val="single" w:sz="2" w:space="0" w:color="auto"/>
              <w:left w:val="nil"/>
              <w:bottom w:val="single" w:sz="8" w:space="0" w:color="auto"/>
              <w:right w:val="nil"/>
            </w:tcBorders>
            <w:vAlign w:val="bottom"/>
          </w:tcPr>
          <w:p w14:paraId="09330492" w14:textId="77777777" w:rsidR="00773F7B" w:rsidRPr="00A31437" w:rsidRDefault="00773F7B" w:rsidP="00773F7B">
            <w:pPr>
              <w:pStyle w:val="T2"/>
              <w:jc w:val="right"/>
              <w:rPr>
                <w:b/>
              </w:rPr>
            </w:pPr>
            <w:r>
              <w:rPr>
                <w:b/>
              </w:rPr>
              <w:t>23.8</w:t>
            </w:r>
          </w:p>
        </w:tc>
        <w:tc>
          <w:tcPr>
            <w:tcW w:w="1134" w:type="dxa"/>
            <w:tcBorders>
              <w:top w:val="single" w:sz="2" w:space="0" w:color="auto"/>
              <w:left w:val="nil"/>
              <w:bottom w:val="single" w:sz="8" w:space="0" w:color="auto"/>
              <w:right w:val="nil"/>
            </w:tcBorders>
            <w:vAlign w:val="bottom"/>
          </w:tcPr>
          <w:p w14:paraId="0542FA0F" w14:textId="77777777" w:rsidR="00773F7B" w:rsidRPr="00A31437" w:rsidRDefault="00773F7B" w:rsidP="00773F7B">
            <w:pPr>
              <w:pStyle w:val="T2"/>
              <w:jc w:val="right"/>
              <w:rPr>
                <w:b/>
              </w:rPr>
            </w:pPr>
            <w:r>
              <w:rPr>
                <w:b/>
              </w:rPr>
              <w:t>0.4</w:t>
            </w:r>
          </w:p>
        </w:tc>
        <w:tc>
          <w:tcPr>
            <w:tcW w:w="856" w:type="dxa"/>
            <w:tcBorders>
              <w:top w:val="single" w:sz="2" w:space="0" w:color="auto"/>
              <w:left w:val="nil"/>
              <w:bottom w:val="single" w:sz="8" w:space="0" w:color="auto"/>
              <w:right w:val="nil"/>
            </w:tcBorders>
            <w:vAlign w:val="bottom"/>
          </w:tcPr>
          <w:p w14:paraId="757FBA95" w14:textId="77777777" w:rsidR="00773F7B" w:rsidRPr="00A31437" w:rsidRDefault="00773F7B" w:rsidP="00773F7B">
            <w:pPr>
              <w:pStyle w:val="T2"/>
              <w:jc w:val="right"/>
              <w:rPr>
                <w:b/>
              </w:rPr>
            </w:pPr>
            <w:r>
              <w:rPr>
                <w:b/>
              </w:rPr>
              <w:t>24.2</w:t>
            </w:r>
          </w:p>
        </w:tc>
        <w:tc>
          <w:tcPr>
            <w:tcW w:w="1134" w:type="dxa"/>
            <w:tcBorders>
              <w:top w:val="single" w:sz="2" w:space="0" w:color="auto"/>
              <w:left w:val="nil"/>
              <w:bottom w:val="single" w:sz="8" w:space="0" w:color="auto"/>
              <w:right w:val="nil"/>
            </w:tcBorders>
            <w:vAlign w:val="bottom"/>
          </w:tcPr>
          <w:p w14:paraId="4025DB9E" w14:textId="77777777" w:rsidR="00773F7B" w:rsidRPr="00006931" w:rsidRDefault="00773F7B" w:rsidP="00773F7B">
            <w:pPr>
              <w:pStyle w:val="T2"/>
              <w:jc w:val="right"/>
              <w:rPr>
                <w:bCs/>
              </w:rPr>
            </w:pPr>
            <w:r w:rsidRPr="005D0EFF">
              <w:rPr>
                <w:bCs/>
              </w:rPr>
              <w:t>37.6</w:t>
            </w:r>
          </w:p>
        </w:tc>
        <w:tc>
          <w:tcPr>
            <w:tcW w:w="1134" w:type="dxa"/>
            <w:tcBorders>
              <w:top w:val="single" w:sz="2" w:space="0" w:color="auto"/>
              <w:left w:val="nil"/>
              <w:bottom w:val="single" w:sz="8" w:space="0" w:color="auto"/>
              <w:right w:val="nil"/>
            </w:tcBorders>
            <w:vAlign w:val="bottom"/>
          </w:tcPr>
          <w:p w14:paraId="07670F0C" w14:textId="77777777" w:rsidR="00773F7B" w:rsidRPr="00006931" w:rsidRDefault="00773F7B" w:rsidP="00773F7B">
            <w:pPr>
              <w:pStyle w:val="T2"/>
              <w:jc w:val="right"/>
              <w:rPr>
                <w:bCs/>
              </w:rPr>
            </w:pPr>
            <w:r w:rsidRPr="005D0EFF">
              <w:rPr>
                <w:bCs/>
              </w:rPr>
              <w:t>28.8</w:t>
            </w:r>
          </w:p>
        </w:tc>
        <w:tc>
          <w:tcPr>
            <w:tcW w:w="859" w:type="dxa"/>
            <w:tcBorders>
              <w:top w:val="single" w:sz="2" w:space="0" w:color="auto"/>
              <w:left w:val="nil"/>
              <w:bottom w:val="single" w:sz="8" w:space="0" w:color="auto"/>
              <w:right w:val="nil"/>
            </w:tcBorders>
            <w:vAlign w:val="bottom"/>
          </w:tcPr>
          <w:p w14:paraId="17B90040" w14:textId="77777777" w:rsidR="00773F7B" w:rsidRPr="00006931" w:rsidRDefault="00773F7B" w:rsidP="00773F7B">
            <w:pPr>
              <w:pStyle w:val="T2"/>
              <w:jc w:val="right"/>
              <w:rPr>
                <w:bCs/>
              </w:rPr>
            </w:pPr>
            <w:r w:rsidRPr="005D0EFF">
              <w:rPr>
                <w:bCs/>
              </w:rPr>
              <w:t>66.4</w:t>
            </w:r>
          </w:p>
        </w:tc>
      </w:tr>
      <w:tr w:rsidR="00773F7B" w14:paraId="330C02DD" w14:textId="77777777" w:rsidTr="00656003">
        <w:trPr>
          <w:jc w:val="center"/>
        </w:trPr>
        <w:tc>
          <w:tcPr>
            <w:tcW w:w="3805" w:type="dxa"/>
            <w:tcBorders>
              <w:top w:val="single" w:sz="8" w:space="0" w:color="auto"/>
              <w:left w:val="nil"/>
              <w:bottom w:val="nil"/>
              <w:right w:val="nil"/>
            </w:tcBorders>
            <w:vAlign w:val="bottom"/>
          </w:tcPr>
          <w:p w14:paraId="78393F53" w14:textId="77777777" w:rsidR="00773F7B" w:rsidRPr="00E8718C" w:rsidRDefault="00773F7B" w:rsidP="00773F7B">
            <w:pPr>
              <w:rPr>
                <w:sz w:val="18"/>
                <w:szCs w:val="18"/>
              </w:rPr>
            </w:pPr>
          </w:p>
        </w:tc>
        <w:tc>
          <w:tcPr>
            <w:tcW w:w="431" w:type="dxa"/>
            <w:tcBorders>
              <w:top w:val="single" w:sz="8" w:space="0" w:color="auto"/>
              <w:left w:val="nil"/>
              <w:bottom w:val="nil"/>
              <w:right w:val="nil"/>
            </w:tcBorders>
            <w:vAlign w:val="bottom"/>
          </w:tcPr>
          <w:p w14:paraId="473F3E13" w14:textId="77777777" w:rsidR="00773F7B" w:rsidRPr="00E8718C" w:rsidRDefault="00773F7B" w:rsidP="00773F7B">
            <w:pPr>
              <w:jc w:val="right"/>
              <w:rPr>
                <w:sz w:val="18"/>
                <w:szCs w:val="18"/>
              </w:rPr>
            </w:pPr>
          </w:p>
        </w:tc>
        <w:tc>
          <w:tcPr>
            <w:tcW w:w="1134" w:type="dxa"/>
            <w:tcBorders>
              <w:top w:val="single" w:sz="8" w:space="0" w:color="auto"/>
              <w:left w:val="nil"/>
              <w:bottom w:val="nil"/>
              <w:right w:val="nil"/>
            </w:tcBorders>
            <w:vAlign w:val="bottom"/>
          </w:tcPr>
          <w:p w14:paraId="603D4088" w14:textId="77777777" w:rsidR="00773F7B" w:rsidRPr="00A31437" w:rsidRDefault="00773F7B" w:rsidP="00773F7B">
            <w:pPr>
              <w:pStyle w:val="T2"/>
              <w:jc w:val="right"/>
              <w:rPr>
                <w:b/>
              </w:rPr>
            </w:pPr>
          </w:p>
        </w:tc>
        <w:tc>
          <w:tcPr>
            <w:tcW w:w="1134" w:type="dxa"/>
            <w:tcBorders>
              <w:top w:val="single" w:sz="8" w:space="0" w:color="auto"/>
              <w:left w:val="nil"/>
              <w:bottom w:val="nil"/>
              <w:right w:val="nil"/>
            </w:tcBorders>
            <w:vAlign w:val="bottom"/>
          </w:tcPr>
          <w:p w14:paraId="28E1953F" w14:textId="77777777" w:rsidR="00773F7B" w:rsidRPr="00A31437" w:rsidRDefault="00773F7B" w:rsidP="00773F7B">
            <w:pPr>
              <w:pStyle w:val="T2"/>
              <w:jc w:val="right"/>
              <w:rPr>
                <w:b/>
              </w:rPr>
            </w:pPr>
          </w:p>
        </w:tc>
        <w:tc>
          <w:tcPr>
            <w:tcW w:w="856" w:type="dxa"/>
            <w:tcBorders>
              <w:top w:val="single" w:sz="8" w:space="0" w:color="auto"/>
              <w:left w:val="nil"/>
              <w:bottom w:val="nil"/>
              <w:right w:val="nil"/>
            </w:tcBorders>
            <w:vAlign w:val="bottom"/>
          </w:tcPr>
          <w:p w14:paraId="712764AE" w14:textId="77777777" w:rsidR="00773F7B" w:rsidRPr="00A31437" w:rsidRDefault="00773F7B" w:rsidP="00773F7B">
            <w:pPr>
              <w:pStyle w:val="T2"/>
              <w:jc w:val="right"/>
              <w:rPr>
                <w:b/>
              </w:rPr>
            </w:pPr>
          </w:p>
        </w:tc>
        <w:tc>
          <w:tcPr>
            <w:tcW w:w="1134" w:type="dxa"/>
            <w:tcBorders>
              <w:top w:val="single" w:sz="8" w:space="0" w:color="auto"/>
              <w:left w:val="nil"/>
              <w:bottom w:val="nil"/>
              <w:right w:val="nil"/>
            </w:tcBorders>
            <w:vAlign w:val="bottom"/>
          </w:tcPr>
          <w:p w14:paraId="0F4E5C67" w14:textId="77777777" w:rsidR="00773F7B" w:rsidRPr="00006931" w:rsidRDefault="00773F7B" w:rsidP="00773F7B">
            <w:pPr>
              <w:pStyle w:val="T2"/>
              <w:jc w:val="right"/>
              <w:rPr>
                <w:bCs/>
              </w:rPr>
            </w:pPr>
          </w:p>
        </w:tc>
        <w:tc>
          <w:tcPr>
            <w:tcW w:w="1134" w:type="dxa"/>
            <w:tcBorders>
              <w:top w:val="single" w:sz="8" w:space="0" w:color="auto"/>
              <w:left w:val="nil"/>
              <w:bottom w:val="nil"/>
              <w:right w:val="nil"/>
            </w:tcBorders>
            <w:vAlign w:val="bottom"/>
          </w:tcPr>
          <w:p w14:paraId="4C3B9231" w14:textId="77777777" w:rsidR="00773F7B" w:rsidRPr="005D0EFF" w:rsidRDefault="00773F7B" w:rsidP="00773F7B">
            <w:pPr>
              <w:pStyle w:val="T2"/>
              <w:jc w:val="right"/>
              <w:rPr>
                <w:bCs/>
              </w:rPr>
            </w:pPr>
          </w:p>
        </w:tc>
        <w:tc>
          <w:tcPr>
            <w:tcW w:w="859" w:type="dxa"/>
            <w:tcBorders>
              <w:top w:val="single" w:sz="8" w:space="0" w:color="auto"/>
              <w:left w:val="nil"/>
              <w:bottom w:val="nil"/>
              <w:right w:val="nil"/>
            </w:tcBorders>
            <w:vAlign w:val="bottom"/>
          </w:tcPr>
          <w:p w14:paraId="2464332D" w14:textId="77777777" w:rsidR="00773F7B" w:rsidRPr="005D0EFF" w:rsidRDefault="00773F7B" w:rsidP="00773F7B">
            <w:pPr>
              <w:pStyle w:val="T2"/>
              <w:jc w:val="right"/>
              <w:rPr>
                <w:bCs/>
              </w:rPr>
            </w:pPr>
          </w:p>
        </w:tc>
      </w:tr>
      <w:tr w:rsidR="00773F7B" w14:paraId="4126E390" w14:textId="77777777" w:rsidTr="00656003">
        <w:trPr>
          <w:jc w:val="center"/>
        </w:trPr>
        <w:tc>
          <w:tcPr>
            <w:tcW w:w="3805" w:type="dxa"/>
            <w:tcBorders>
              <w:top w:val="nil"/>
              <w:left w:val="nil"/>
              <w:bottom w:val="nil"/>
              <w:right w:val="nil"/>
            </w:tcBorders>
            <w:vAlign w:val="bottom"/>
          </w:tcPr>
          <w:p w14:paraId="6ED6B6FE" w14:textId="77777777" w:rsidR="00773F7B" w:rsidRPr="00323878" w:rsidRDefault="00773F7B" w:rsidP="00773F7B">
            <w:pPr>
              <w:pStyle w:val="T2"/>
              <w:jc w:val="left"/>
              <w:rPr>
                <w:b/>
              </w:rPr>
            </w:pPr>
            <w:r w:rsidRPr="00323878">
              <w:rPr>
                <w:b/>
              </w:rPr>
              <w:t>Attributable to:</w:t>
            </w:r>
          </w:p>
        </w:tc>
        <w:tc>
          <w:tcPr>
            <w:tcW w:w="431" w:type="dxa"/>
            <w:tcBorders>
              <w:top w:val="nil"/>
              <w:left w:val="nil"/>
              <w:bottom w:val="nil"/>
              <w:right w:val="nil"/>
            </w:tcBorders>
            <w:vAlign w:val="bottom"/>
          </w:tcPr>
          <w:p w14:paraId="3E371EE4" w14:textId="77777777" w:rsidR="00773F7B" w:rsidRPr="00E8718C" w:rsidRDefault="00773F7B" w:rsidP="00773F7B">
            <w:pPr>
              <w:jc w:val="right"/>
              <w:rPr>
                <w:sz w:val="18"/>
                <w:szCs w:val="18"/>
              </w:rPr>
            </w:pPr>
          </w:p>
        </w:tc>
        <w:tc>
          <w:tcPr>
            <w:tcW w:w="1134" w:type="dxa"/>
            <w:tcBorders>
              <w:top w:val="nil"/>
              <w:left w:val="nil"/>
              <w:bottom w:val="nil"/>
              <w:right w:val="nil"/>
            </w:tcBorders>
            <w:vAlign w:val="bottom"/>
          </w:tcPr>
          <w:p w14:paraId="63A8EAF7" w14:textId="77777777" w:rsidR="00773F7B" w:rsidRPr="00A31437" w:rsidRDefault="00773F7B" w:rsidP="00773F7B">
            <w:pPr>
              <w:pStyle w:val="T2"/>
              <w:jc w:val="right"/>
              <w:rPr>
                <w:b/>
              </w:rPr>
            </w:pPr>
          </w:p>
        </w:tc>
        <w:tc>
          <w:tcPr>
            <w:tcW w:w="1134" w:type="dxa"/>
            <w:tcBorders>
              <w:top w:val="nil"/>
              <w:left w:val="nil"/>
              <w:bottom w:val="nil"/>
              <w:right w:val="nil"/>
            </w:tcBorders>
            <w:vAlign w:val="bottom"/>
          </w:tcPr>
          <w:p w14:paraId="624AF346" w14:textId="77777777" w:rsidR="00773F7B" w:rsidRPr="00A31437" w:rsidRDefault="00773F7B" w:rsidP="00773F7B">
            <w:pPr>
              <w:pStyle w:val="T2"/>
              <w:jc w:val="right"/>
              <w:rPr>
                <w:b/>
              </w:rPr>
            </w:pPr>
          </w:p>
        </w:tc>
        <w:tc>
          <w:tcPr>
            <w:tcW w:w="856" w:type="dxa"/>
            <w:tcBorders>
              <w:top w:val="nil"/>
              <w:left w:val="nil"/>
              <w:bottom w:val="nil"/>
              <w:right w:val="nil"/>
            </w:tcBorders>
            <w:vAlign w:val="bottom"/>
          </w:tcPr>
          <w:p w14:paraId="7063B3B2" w14:textId="77777777" w:rsidR="00773F7B" w:rsidRPr="00A31437" w:rsidRDefault="00773F7B" w:rsidP="00773F7B">
            <w:pPr>
              <w:pStyle w:val="T2"/>
              <w:jc w:val="right"/>
              <w:rPr>
                <w:b/>
              </w:rPr>
            </w:pPr>
          </w:p>
        </w:tc>
        <w:tc>
          <w:tcPr>
            <w:tcW w:w="1134" w:type="dxa"/>
            <w:tcBorders>
              <w:top w:val="nil"/>
              <w:left w:val="nil"/>
              <w:bottom w:val="nil"/>
              <w:right w:val="nil"/>
            </w:tcBorders>
            <w:vAlign w:val="bottom"/>
          </w:tcPr>
          <w:p w14:paraId="3BF1A9C0" w14:textId="77777777" w:rsidR="00773F7B" w:rsidRPr="00006931" w:rsidRDefault="00773F7B" w:rsidP="00773F7B">
            <w:pPr>
              <w:pStyle w:val="T2"/>
              <w:jc w:val="right"/>
              <w:rPr>
                <w:bCs/>
              </w:rPr>
            </w:pPr>
          </w:p>
        </w:tc>
        <w:tc>
          <w:tcPr>
            <w:tcW w:w="1134" w:type="dxa"/>
            <w:tcBorders>
              <w:top w:val="nil"/>
              <w:left w:val="nil"/>
              <w:bottom w:val="nil"/>
              <w:right w:val="nil"/>
            </w:tcBorders>
            <w:vAlign w:val="bottom"/>
          </w:tcPr>
          <w:p w14:paraId="410A0EC8" w14:textId="77777777" w:rsidR="00773F7B" w:rsidRPr="005D0EFF" w:rsidRDefault="00773F7B" w:rsidP="00773F7B">
            <w:pPr>
              <w:pStyle w:val="T2"/>
              <w:jc w:val="right"/>
              <w:rPr>
                <w:bCs/>
              </w:rPr>
            </w:pPr>
          </w:p>
        </w:tc>
        <w:tc>
          <w:tcPr>
            <w:tcW w:w="859" w:type="dxa"/>
            <w:tcBorders>
              <w:top w:val="nil"/>
              <w:left w:val="nil"/>
              <w:bottom w:val="nil"/>
              <w:right w:val="nil"/>
            </w:tcBorders>
            <w:vAlign w:val="bottom"/>
          </w:tcPr>
          <w:p w14:paraId="39E5D4F1" w14:textId="77777777" w:rsidR="00773F7B" w:rsidRPr="005D0EFF" w:rsidRDefault="00773F7B" w:rsidP="00773F7B">
            <w:pPr>
              <w:pStyle w:val="T2"/>
              <w:jc w:val="right"/>
              <w:rPr>
                <w:bCs/>
              </w:rPr>
            </w:pPr>
          </w:p>
        </w:tc>
      </w:tr>
      <w:tr w:rsidR="00773F7B" w14:paraId="34AE7553" w14:textId="77777777" w:rsidTr="00656003">
        <w:trPr>
          <w:jc w:val="center"/>
        </w:trPr>
        <w:tc>
          <w:tcPr>
            <w:tcW w:w="3805" w:type="dxa"/>
            <w:tcBorders>
              <w:top w:val="nil"/>
              <w:left w:val="nil"/>
              <w:bottom w:val="nil"/>
              <w:right w:val="nil"/>
            </w:tcBorders>
            <w:vAlign w:val="bottom"/>
          </w:tcPr>
          <w:p w14:paraId="0BF4E621" w14:textId="77777777" w:rsidR="00773F7B" w:rsidRPr="00196A88" w:rsidRDefault="00773F7B" w:rsidP="00773F7B">
            <w:pPr>
              <w:pStyle w:val="T2"/>
              <w:jc w:val="left"/>
            </w:pPr>
            <w:r w:rsidRPr="00196A88">
              <w:t xml:space="preserve">Equity </w:t>
            </w:r>
            <w:r>
              <w:t>shareholders</w:t>
            </w:r>
          </w:p>
        </w:tc>
        <w:tc>
          <w:tcPr>
            <w:tcW w:w="431" w:type="dxa"/>
            <w:tcBorders>
              <w:top w:val="nil"/>
              <w:left w:val="nil"/>
              <w:bottom w:val="nil"/>
              <w:right w:val="nil"/>
            </w:tcBorders>
            <w:vAlign w:val="bottom"/>
          </w:tcPr>
          <w:p w14:paraId="4D2D3928" w14:textId="77777777" w:rsidR="00773F7B" w:rsidRPr="00E8718C" w:rsidRDefault="00773F7B" w:rsidP="00773F7B">
            <w:pPr>
              <w:jc w:val="right"/>
              <w:rPr>
                <w:sz w:val="18"/>
                <w:szCs w:val="18"/>
              </w:rPr>
            </w:pPr>
          </w:p>
        </w:tc>
        <w:tc>
          <w:tcPr>
            <w:tcW w:w="1134" w:type="dxa"/>
            <w:tcBorders>
              <w:top w:val="nil"/>
              <w:left w:val="nil"/>
              <w:bottom w:val="nil"/>
              <w:right w:val="nil"/>
            </w:tcBorders>
            <w:vAlign w:val="bottom"/>
          </w:tcPr>
          <w:p w14:paraId="5AF6A412" w14:textId="77777777" w:rsidR="00773F7B" w:rsidRPr="00A31437" w:rsidRDefault="00773F7B" w:rsidP="00773F7B">
            <w:pPr>
              <w:pStyle w:val="T2"/>
              <w:jc w:val="right"/>
              <w:rPr>
                <w:b/>
              </w:rPr>
            </w:pPr>
            <w:r>
              <w:rPr>
                <w:b/>
              </w:rPr>
              <w:t>22.9</w:t>
            </w:r>
          </w:p>
        </w:tc>
        <w:tc>
          <w:tcPr>
            <w:tcW w:w="1134" w:type="dxa"/>
            <w:tcBorders>
              <w:top w:val="nil"/>
              <w:left w:val="nil"/>
              <w:bottom w:val="nil"/>
              <w:right w:val="nil"/>
            </w:tcBorders>
            <w:vAlign w:val="bottom"/>
          </w:tcPr>
          <w:p w14:paraId="43013FFF" w14:textId="77777777" w:rsidR="00773F7B" w:rsidRPr="00A31437" w:rsidRDefault="00773F7B" w:rsidP="00773F7B">
            <w:pPr>
              <w:pStyle w:val="T2"/>
              <w:jc w:val="right"/>
              <w:rPr>
                <w:b/>
              </w:rPr>
            </w:pPr>
            <w:r>
              <w:rPr>
                <w:b/>
              </w:rPr>
              <w:t>0.4</w:t>
            </w:r>
          </w:p>
        </w:tc>
        <w:tc>
          <w:tcPr>
            <w:tcW w:w="856" w:type="dxa"/>
            <w:tcBorders>
              <w:top w:val="nil"/>
              <w:left w:val="nil"/>
              <w:bottom w:val="nil"/>
              <w:right w:val="nil"/>
            </w:tcBorders>
            <w:vAlign w:val="bottom"/>
          </w:tcPr>
          <w:p w14:paraId="22010456" w14:textId="77777777" w:rsidR="00773F7B" w:rsidRPr="00A31437" w:rsidRDefault="00773F7B" w:rsidP="00773F7B">
            <w:pPr>
              <w:pStyle w:val="T2"/>
              <w:jc w:val="right"/>
              <w:rPr>
                <w:b/>
              </w:rPr>
            </w:pPr>
            <w:r>
              <w:rPr>
                <w:b/>
              </w:rPr>
              <w:t>23.3</w:t>
            </w:r>
          </w:p>
        </w:tc>
        <w:tc>
          <w:tcPr>
            <w:tcW w:w="1134" w:type="dxa"/>
            <w:tcBorders>
              <w:top w:val="nil"/>
              <w:left w:val="nil"/>
              <w:bottom w:val="nil"/>
              <w:right w:val="nil"/>
            </w:tcBorders>
            <w:vAlign w:val="bottom"/>
          </w:tcPr>
          <w:p w14:paraId="1C1023E5" w14:textId="77777777" w:rsidR="00773F7B" w:rsidRPr="00006931" w:rsidRDefault="00773F7B" w:rsidP="00773F7B">
            <w:pPr>
              <w:pStyle w:val="T2"/>
              <w:jc w:val="right"/>
              <w:rPr>
                <w:bCs/>
              </w:rPr>
            </w:pPr>
            <w:r w:rsidRPr="005D0EFF">
              <w:rPr>
                <w:bCs/>
              </w:rPr>
              <w:t>36.3</w:t>
            </w:r>
          </w:p>
        </w:tc>
        <w:tc>
          <w:tcPr>
            <w:tcW w:w="1134" w:type="dxa"/>
            <w:tcBorders>
              <w:top w:val="nil"/>
              <w:left w:val="nil"/>
              <w:bottom w:val="nil"/>
              <w:right w:val="nil"/>
            </w:tcBorders>
            <w:vAlign w:val="bottom"/>
          </w:tcPr>
          <w:p w14:paraId="323DDB10" w14:textId="77777777" w:rsidR="00773F7B" w:rsidRPr="00006931" w:rsidRDefault="00773F7B" w:rsidP="00773F7B">
            <w:pPr>
              <w:pStyle w:val="T2"/>
              <w:jc w:val="right"/>
              <w:rPr>
                <w:bCs/>
              </w:rPr>
            </w:pPr>
            <w:r w:rsidRPr="005D0EFF">
              <w:rPr>
                <w:bCs/>
              </w:rPr>
              <w:t>28.8</w:t>
            </w:r>
          </w:p>
        </w:tc>
        <w:tc>
          <w:tcPr>
            <w:tcW w:w="859" w:type="dxa"/>
            <w:tcBorders>
              <w:top w:val="nil"/>
              <w:left w:val="nil"/>
              <w:bottom w:val="nil"/>
              <w:right w:val="nil"/>
            </w:tcBorders>
            <w:vAlign w:val="bottom"/>
          </w:tcPr>
          <w:p w14:paraId="0A09CA9C" w14:textId="77777777" w:rsidR="00773F7B" w:rsidRPr="00006931" w:rsidRDefault="00773F7B" w:rsidP="00773F7B">
            <w:pPr>
              <w:pStyle w:val="T2"/>
              <w:jc w:val="right"/>
              <w:rPr>
                <w:bCs/>
              </w:rPr>
            </w:pPr>
            <w:r w:rsidRPr="005D0EFF">
              <w:rPr>
                <w:bCs/>
              </w:rPr>
              <w:t>65.1</w:t>
            </w:r>
          </w:p>
        </w:tc>
      </w:tr>
      <w:tr w:rsidR="00773F7B" w14:paraId="1C76DC06" w14:textId="77777777" w:rsidTr="00656003">
        <w:trPr>
          <w:jc w:val="center"/>
        </w:trPr>
        <w:tc>
          <w:tcPr>
            <w:tcW w:w="3805" w:type="dxa"/>
            <w:tcBorders>
              <w:top w:val="nil"/>
              <w:left w:val="nil"/>
              <w:bottom w:val="single" w:sz="2" w:space="0" w:color="auto"/>
              <w:right w:val="nil"/>
            </w:tcBorders>
            <w:vAlign w:val="bottom"/>
          </w:tcPr>
          <w:p w14:paraId="23D7C2E7" w14:textId="77777777" w:rsidR="00773F7B" w:rsidRDefault="00773F7B" w:rsidP="00773F7B">
            <w:pPr>
              <w:pStyle w:val="T2"/>
              <w:jc w:val="left"/>
            </w:pPr>
            <w:r w:rsidRPr="00196A88">
              <w:t>Non</w:t>
            </w:r>
            <w:r>
              <w:t>–</w:t>
            </w:r>
            <w:r w:rsidRPr="00196A88">
              <w:t>controlling interests</w:t>
            </w:r>
          </w:p>
        </w:tc>
        <w:tc>
          <w:tcPr>
            <w:tcW w:w="431" w:type="dxa"/>
            <w:tcBorders>
              <w:top w:val="nil"/>
              <w:left w:val="nil"/>
              <w:bottom w:val="single" w:sz="2" w:space="0" w:color="auto"/>
              <w:right w:val="nil"/>
            </w:tcBorders>
            <w:vAlign w:val="bottom"/>
          </w:tcPr>
          <w:p w14:paraId="275CD1EA" w14:textId="77777777" w:rsidR="00773F7B" w:rsidRPr="00E8718C" w:rsidRDefault="00773F7B" w:rsidP="00773F7B">
            <w:pPr>
              <w:jc w:val="right"/>
              <w:rPr>
                <w:sz w:val="18"/>
                <w:szCs w:val="18"/>
              </w:rPr>
            </w:pPr>
          </w:p>
        </w:tc>
        <w:tc>
          <w:tcPr>
            <w:tcW w:w="1134" w:type="dxa"/>
            <w:tcBorders>
              <w:top w:val="nil"/>
              <w:left w:val="nil"/>
              <w:bottom w:val="single" w:sz="2" w:space="0" w:color="auto"/>
              <w:right w:val="nil"/>
            </w:tcBorders>
            <w:vAlign w:val="bottom"/>
          </w:tcPr>
          <w:p w14:paraId="2EEDC81D" w14:textId="77777777" w:rsidR="00773F7B" w:rsidRPr="00A31437" w:rsidRDefault="00773F7B" w:rsidP="00773F7B">
            <w:pPr>
              <w:pStyle w:val="T2"/>
              <w:jc w:val="right"/>
              <w:rPr>
                <w:b/>
              </w:rPr>
            </w:pPr>
            <w:r>
              <w:rPr>
                <w:b/>
              </w:rPr>
              <w:t>0.9</w:t>
            </w:r>
          </w:p>
        </w:tc>
        <w:tc>
          <w:tcPr>
            <w:tcW w:w="1134" w:type="dxa"/>
            <w:tcBorders>
              <w:top w:val="nil"/>
              <w:left w:val="nil"/>
              <w:bottom w:val="single" w:sz="2" w:space="0" w:color="auto"/>
              <w:right w:val="nil"/>
            </w:tcBorders>
            <w:vAlign w:val="bottom"/>
          </w:tcPr>
          <w:p w14:paraId="7322CCA9" w14:textId="77777777" w:rsidR="00773F7B" w:rsidRPr="00A31437" w:rsidRDefault="00773F7B" w:rsidP="00773F7B">
            <w:pPr>
              <w:pStyle w:val="T2"/>
              <w:jc w:val="right"/>
              <w:rPr>
                <w:b/>
              </w:rPr>
            </w:pPr>
            <w:r>
              <w:rPr>
                <w:b/>
              </w:rPr>
              <w:t>–</w:t>
            </w:r>
          </w:p>
        </w:tc>
        <w:tc>
          <w:tcPr>
            <w:tcW w:w="856" w:type="dxa"/>
            <w:tcBorders>
              <w:top w:val="nil"/>
              <w:left w:val="nil"/>
              <w:bottom w:val="single" w:sz="2" w:space="0" w:color="auto"/>
              <w:right w:val="nil"/>
            </w:tcBorders>
            <w:vAlign w:val="bottom"/>
          </w:tcPr>
          <w:p w14:paraId="19125E37" w14:textId="77777777" w:rsidR="00773F7B" w:rsidRPr="00A31437" w:rsidRDefault="00773F7B" w:rsidP="00773F7B">
            <w:pPr>
              <w:pStyle w:val="T2"/>
              <w:jc w:val="right"/>
              <w:rPr>
                <w:b/>
              </w:rPr>
            </w:pPr>
            <w:r>
              <w:rPr>
                <w:b/>
              </w:rPr>
              <w:t>0.9</w:t>
            </w:r>
          </w:p>
        </w:tc>
        <w:tc>
          <w:tcPr>
            <w:tcW w:w="1134" w:type="dxa"/>
            <w:tcBorders>
              <w:top w:val="nil"/>
              <w:left w:val="nil"/>
              <w:bottom w:val="single" w:sz="2" w:space="0" w:color="auto"/>
              <w:right w:val="nil"/>
            </w:tcBorders>
            <w:vAlign w:val="bottom"/>
          </w:tcPr>
          <w:p w14:paraId="70B53054" w14:textId="77777777" w:rsidR="00773F7B" w:rsidRPr="00006931" w:rsidRDefault="00773F7B" w:rsidP="00773F7B">
            <w:pPr>
              <w:pStyle w:val="T2"/>
              <w:jc w:val="right"/>
              <w:rPr>
                <w:bCs/>
              </w:rPr>
            </w:pPr>
            <w:r w:rsidRPr="005D0EFF">
              <w:rPr>
                <w:bCs/>
              </w:rPr>
              <w:t>1.3</w:t>
            </w:r>
          </w:p>
        </w:tc>
        <w:tc>
          <w:tcPr>
            <w:tcW w:w="1134" w:type="dxa"/>
            <w:tcBorders>
              <w:top w:val="nil"/>
              <w:left w:val="nil"/>
              <w:bottom w:val="single" w:sz="2" w:space="0" w:color="auto"/>
              <w:right w:val="nil"/>
            </w:tcBorders>
            <w:vAlign w:val="bottom"/>
          </w:tcPr>
          <w:p w14:paraId="720C0A3D" w14:textId="77777777" w:rsidR="00773F7B" w:rsidRPr="00006931" w:rsidRDefault="00773F7B" w:rsidP="00773F7B">
            <w:pPr>
              <w:pStyle w:val="T2"/>
              <w:jc w:val="right"/>
              <w:rPr>
                <w:bCs/>
              </w:rPr>
            </w:pPr>
            <w:r w:rsidRPr="005D0EFF">
              <w:rPr>
                <w:bCs/>
              </w:rPr>
              <w:t>–</w:t>
            </w:r>
          </w:p>
        </w:tc>
        <w:tc>
          <w:tcPr>
            <w:tcW w:w="859" w:type="dxa"/>
            <w:tcBorders>
              <w:top w:val="nil"/>
              <w:left w:val="nil"/>
              <w:bottom w:val="single" w:sz="2" w:space="0" w:color="auto"/>
              <w:right w:val="nil"/>
            </w:tcBorders>
            <w:vAlign w:val="bottom"/>
          </w:tcPr>
          <w:p w14:paraId="52F1AC96" w14:textId="77777777" w:rsidR="00773F7B" w:rsidRPr="00006931" w:rsidRDefault="00773F7B" w:rsidP="00773F7B">
            <w:pPr>
              <w:pStyle w:val="T2"/>
              <w:jc w:val="right"/>
              <w:rPr>
                <w:bCs/>
              </w:rPr>
            </w:pPr>
            <w:r w:rsidRPr="005D0EFF">
              <w:rPr>
                <w:bCs/>
              </w:rPr>
              <w:t>1.3</w:t>
            </w:r>
          </w:p>
        </w:tc>
      </w:tr>
      <w:tr w:rsidR="00773F7B" w14:paraId="20CFD796" w14:textId="77777777" w:rsidTr="00656003">
        <w:trPr>
          <w:jc w:val="center"/>
        </w:trPr>
        <w:tc>
          <w:tcPr>
            <w:tcW w:w="3805" w:type="dxa"/>
            <w:tcBorders>
              <w:top w:val="single" w:sz="2" w:space="0" w:color="auto"/>
              <w:left w:val="nil"/>
              <w:bottom w:val="single" w:sz="8" w:space="0" w:color="auto"/>
              <w:right w:val="nil"/>
            </w:tcBorders>
            <w:vAlign w:val="bottom"/>
          </w:tcPr>
          <w:p w14:paraId="16E38A61" w14:textId="77777777" w:rsidR="00773F7B" w:rsidRPr="00196A88" w:rsidRDefault="00773F7B" w:rsidP="00773F7B">
            <w:pPr>
              <w:pStyle w:val="T2"/>
              <w:jc w:val="left"/>
            </w:pPr>
          </w:p>
        </w:tc>
        <w:tc>
          <w:tcPr>
            <w:tcW w:w="431" w:type="dxa"/>
            <w:tcBorders>
              <w:top w:val="single" w:sz="2" w:space="0" w:color="auto"/>
              <w:left w:val="nil"/>
              <w:bottom w:val="single" w:sz="8" w:space="0" w:color="auto"/>
              <w:right w:val="nil"/>
            </w:tcBorders>
            <w:vAlign w:val="bottom"/>
          </w:tcPr>
          <w:p w14:paraId="3240678F" w14:textId="77777777" w:rsidR="00773F7B" w:rsidRPr="00E8718C" w:rsidRDefault="00773F7B" w:rsidP="00773F7B">
            <w:pPr>
              <w:jc w:val="right"/>
              <w:rPr>
                <w:sz w:val="18"/>
                <w:szCs w:val="18"/>
              </w:rPr>
            </w:pPr>
          </w:p>
        </w:tc>
        <w:tc>
          <w:tcPr>
            <w:tcW w:w="1134" w:type="dxa"/>
            <w:tcBorders>
              <w:top w:val="single" w:sz="2" w:space="0" w:color="auto"/>
              <w:left w:val="nil"/>
              <w:bottom w:val="single" w:sz="8" w:space="0" w:color="auto"/>
              <w:right w:val="nil"/>
            </w:tcBorders>
            <w:vAlign w:val="bottom"/>
          </w:tcPr>
          <w:p w14:paraId="6BD194E4" w14:textId="77777777" w:rsidR="00773F7B" w:rsidRPr="00A31437" w:rsidRDefault="00773F7B" w:rsidP="00773F7B">
            <w:pPr>
              <w:pStyle w:val="T2"/>
              <w:jc w:val="right"/>
              <w:rPr>
                <w:b/>
              </w:rPr>
            </w:pPr>
            <w:r>
              <w:rPr>
                <w:b/>
              </w:rPr>
              <w:t>23.8</w:t>
            </w:r>
          </w:p>
        </w:tc>
        <w:tc>
          <w:tcPr>
            <w:tcW w:w="1134" w:type="dxa"/>
            <w:tcBorders>
              <w:top w:val="single" w:sz="2" w:space="0" w:color="auto"/>
              <w:left w:val="nil"/>
              <w:bottom w:val="single" w:sz="8" w:space="0" w:color="auto"/>
              <w:right w:val="nil"/>
            </w:tcBorders>
            <w:vAlign w:val="bottom"/>
          </w:tcPr>
          <w:p w14:paraId="6249D4A7" w14:textId="77777777" w:rsidR="00773F7B" w:rsidRPr="00A31437" w:rsidRDefault="00773F7B" w:rsidP="00773F7B">
            <w:pPr>
              <w:pStyle w:val="T2"/>
              <w:jc w:val="right"/>
              <w:rPr>
                <w:b/>
              </w:rPr>
            </w:pPr>
            <w:r>
              <w:rPr>
                <w:b/>
              </w:rPr>
              <w:t>0.4</w:t>
            </w:r>
          </w:p>
        </w:tc>
        <w:tc>
          <w:tcPr>
            <w:tcW w:w="856" w:type="dxa"/>
            <w:tcBorders>
              <w:top w:val="single" w:sz="2" w:space="0" w:color="auto"/>
              <w:left w:val="nil"/>
              <w:bottom w:val="single" w:sz="8" w:space="0" w:color="auto"/>
              <w:right w:val="nil"/>
            </w:tcBorders>
            <w:vAlign w:val="bottom"/>
          </w:tcPr>
          <w:p w14:paraId="4570052D" w14:textId="77777777" w:rsidR="00773F7B" w:rsidRPr="00A31437" w:rsidRDefault="00773F7B" w:rsidP="00773F7B">
            <w:pPr>
              <w:pStyle w:val="T2"/>
              <w:jc w:val="right"/>
              <w:rPr>
                <w:b/>
              </w:rPr>
            </w:pPr>
            <w:r>
              <w:rPr>
                <w:b/>
              </w:rPr>
              <w:t>24.2</w:t>
            </w:r>
          </w:p>
        </w:tc>
        <w:tc>
          <w:tcPr>
            <w:tcW w:w="1134" w:type="dxa"/>
            <w:tcBorders>
              <w:top w:val="single" w:sz="2" w:space="0" w:color="auto"/>
              <w:left w:val="nil"/>
              <w:bottom w:val="single" w:sz="8" w:space="0" w:color="auto"/>
              <w:right w:val="nil"/>
            </w:tcBorders>
            <w:vAlign w:val="bottom"/>
          </w:tcPr>
          <w:p w14:paraId="75836882" w14:textId="77777777" w:rsidR="00773F7B" w:rsidRPr="00006931" w:rsidRDefault="00773F7B" w:rsidP="00773F7B">
            <w:pPr>
              <w:pStyle w:val="T2"/>
              <w:jc w:val="right"/>
              <w:rPr>
                <w:bCs/>
              </w:rPr>
            </w:pPr>
            <w:r w:rsidRPr="005D0EFF">
              <w:rPr>
                <w:bCs/>
              </w:rPr>
              <w:t>37.6</w:t>
            </w:r>
          </w:p>
        </w:tc>
        <w:tc>
          <w:tcPr>
            <w:tcW w:w="1134" w:type="dxa"/>
            <w:tcBorders>
              <w:top w:val="single" w:sz="2" w:space="0" w:color="auto"/>
              <w:left w:val="nil"/>
              <w:bottom w:val="single" w:sz="8" w:space="0" w:color="auto"/>
              <w:right w:val="nil"/>
            </w:tcBorders>
            <w:vAlign w:val="bottom"/>
          </w:tcPr>
          <w:p w14:paraId="4D4D4946" w14:textId="77777777" w:rsidR="00773F7B" w:rsidRPr="00006931" w:rsidRDefault="00773F7B" w:rsidP="00773F7B">
            <w:pPr>
              <w:pStyle w:val="T2"/>
              <w:jc w:val="right"/>
              <w:rPr>
                <w:bCs/>
              </w:rPr>
            </w:pPr>
            <w:r w:rsidRPr="005D0EFF">
              <w:rPr>
                <w:bCs/>
              </w:rPr>
              <w:t>28.8</w:t>
            </w:r>
          </w:p>
        </w:tc>
        <w:tc>
          <w:tcPr>
            <w:tcW w:w="859" w:type="dxa"/>
            <w:tcBorders>
              <w:top w:val="single" w:sz="2" w:space="0" w:color="auto"/>
              <w:left w:val="nil"/>
              <w:bottom w:val="single" w:sz="8" w:space="0" w:color="auto"/>
              <w:right w:val="nil"/>
            </w:tcBorders>
            <w:vAlign w:val="bottom"/>
          </w:tcPr>
          <w:p w14:paraId="2900DA9F" w14:textId="77777777" w:rsidR="00773F7B" w:rsidRPr="00006931" w:rsidRDefault="00773F7B" w:rsidP="00773F7B">
            <w:pPr>
              <w:pStyle w:val="T2"/>
              <w:jc w:val="right"/>
              <w:rPr>
                <w:bCs/>
              </w:rPr>
            </w:pPr>
            <w:r w:rsidRPr="005D0EFF">
              <w:rPr>
                <w:bCs/>
              </w:rPr>
              <w:t>66.4</w:t>
            </w:r>
          </w:p>
        </w:tc>
      </w:tr>
      <w:tr w:rsidR="00773F7B" w14:paraId="4F978C7C" w14:textId="77777777" w:rsidTr="00656003">
        <w:trPr>
          <w:jc w:val="center"/>
        </w:trPr>
        <w:tc>
          <w:tcPr>
            <w:tcW w:w="10487" w:type="dxa"/>
            <w:gridSpan w:val="8"/>
            <w:tcBorders>
              <w:top w:val="single" w:sz="8" w:space="0" w:color="auto"/>
              <w:left w:val="nil"/>
              <w:bottom w:val="nil"/>
              <w:right w:val="nil"/>
            </w:tcBorders>
            <w:vAlign w:val="bottom"/>
          </w:tcPr>
          <w:p w14:paraId="608E5674" w14:textId="77777777" w:rsidR="00773F7B" w:rsidRPr="00A40E08" w:rsidRDefault="00773F7B" w:rsidP="00773F7B">
            <w:pPr>
              <w:pStyle w:val="T2"/>
              <w:jc w:val="left"/>
              <w:rPr>
                <w:b/>
              </w:rPr>
            </w:pPr>
          </w:p>
        </w:tc>
      </w:tr>
      <w:tr w:rsidR="00773F7B" w14:paraId="7806CCF0" w14:textId="77777777" w:rsidTr="00656003">
        <w:trPr>
          <w:jc w:val="center"/>
        </w:trPr>
        <w:tc>
          <w:tcPr>
            <w:tcW w:w="10487" w:type="dxa"/>
            <w:gridSpan w:val="8"/>
            <w:tcBorders>
              <w:top w:val="nil"/>
              <w:left w:val="nil"/>
              <w:bottom w:val="nil"/>
              <w:right w:val="nil"/>
            </w:tcBorders>
            <w:vAlign w:val="bottom"/>
          </w:tcPr>
          <w:p w14:paraId="03F563EA" w14:textId="77777777" w:rsidR="00773F7B" w:rsidRPr="00D2352A" w:rsidRDefault="00773F7B" w:rsidP="00773F7B">
            <w:pPr>
              <w:pStyle w:val="T2"/>
              <w:jc w:val="left"/>
            </w:pPr>
            <w:r w:rsidRPr="00A40E08">
              <w:rPr>
                <w:b/>
              </w:rPr>
              <w:t>Earnings per share (pence)</w:t>
            </w:r>
            <w:r>
              <w:rPr>
                <w:b/>
              </w:rPr>
              <w:t xml:space="preserve"> – continuing operations</w:t>
            </w:r>
          </w:p>
        </w:tc>
      </w:tr>
      <w:tr w:rsidR="00773F7B" w14:paraId="7E2A47FD" w14:textId="77777777" w:rsidTr="00656003">
        <w:trPr>
          <w:jc w:val="center"/>
        </w:trPr>
        <w:tc>
          <w:tcPr>
            <w:tcW w:w="3805" w:type="dxa"/>
            <w:tcBorders>
              <w:top w:val="nil"/>
              <w:left w:val="nil"/>
              <w:bottom w:val="nil"/>
              <w:right w:val="nil"/>
            </w:tcBorders>
            <w:vAlign w:val="bottom"/>
          </w:tcPr>
          <w:p w14:paraId="37F11796" w14:textId="77777777" w:rsidR="00773F7B" w:rsidRPr="00827814" w:rsidRDefault="00773F7B" w:rsidP="00773F7B">
            <w:pPr>
              <w:pStyle w:val="T2"/>
              <w:jc w:val="left"/>
            </w:pPr>
            <w:r w:rsidRPr="00827814">
              <w:t>Basic earnings per share</w:t>
            </w:r>
          </w:p>
        </w:tc>
        <w:tc>
          <w:tcPr>
            <w:tcW w:w="431" w:type="dxa"/>
            <w:tcBorders>
              <w:top w:val="nil"/>
              <w:left w:val="nil"/>
              <w:bottom w:val="nil"/>
              <w:right w:val="nil"/>
            </w:tcBorders>
            <w:vAlign w:val="bottom"/>
          </w:tcPr>
          <w:p w14:paraId="3722ADD5" w14:textId="77777777" w:rsidR="00773F7B" w:rsidRPr="00E8718C" w:rsidRDefault="00773F7B" w:rsidP="00773F7B">
            <w:pPr>
              <w:jc w:val="right"/>
              <w:rPr>
                <w:sz w:val="18"/>
                <w:szCs w:val="18"/>
              </w:rPr>
            </w:pPr>
            <w:r>
              <w:rPr>
                <w:sz w:val="18"/>
                <w:szCs w:val="18"/>
              </w:rPr>
              <w:t>9</w:t>
            </w:r>
          </w:p>
        </w:tc>
        <w:tc>
          <w:tcPr>
            <w:tcW w:w="1134" w:type="dxa"/>
            <w:tcBorders>
              <w:top w:val="nil"/>
              <w:left w:val="nil"/>
              <w:bottom w:val="nil"/>
              <w:right w:val="nil"/>
            </w:tcBorders>
            <w:vAlign w:val="bottom"/>
          </w:tcPr>
          <w:p w14:paraId="4873A423" w14:textId="77777777" w:rsidR="00773F7B" w:rsidRPr="00A31437" w:rsidRDefault="00773F7B" w:rsidP="00773F7B">
            <w:pPr>
              <w:pStyle w:val="T2"/>
              <w:jc w:val="right"/>
              <w:rPr>
                <w:b/>
              </w:rPr>
            </w:pPr>
          </w:p>
        </w:tc>
        <w:tc>
          <w:tcPr>
            <w:tcW w:w="1134" w:type="dxa"/>
            <w:tcBorders>
              <w:top w:val="nil"/>
              <w:left w:val="nil"/>
              <w:bottom w:val="nil"/>
              <w:right w:val="nil"/>
            </w:tcBorders>
            <w:vAlign w:val="bottom"/>
          </w:tcPr>
          <w:p w14:paraId="176CB1CD" w14:textId="77777777" w:rsidR="00773F7B" w:rsidRPr="00A31437" w:rsidRDefault="00773F7B" w:rsidP="00773F7B">
            <w:pPr>
              <w:pStyle w:val="T2"/>
              <w:rPr>
                <w:b/>
              </w:rPr>
            </w:pPr>
          </w:p>
        </w:tc>
        <w:tc>
          <w:tcPr>
            <w:tcW w:w="856" w:type="dxa"/>
            <w:tcBorders>
              <w:top w:val="nil"/>
              <w:left w:val="nil"/>
              <w:bottom w:val="nil"/>
              <w:right w:val="nil"/>
            </w:tcBorders>
            <w:vAlign w:val="bottom"/>
          </w:tcPr>
          <w:p w14:paraId="3FEDCC35" w14:textId="77777777" w:rsidR="00773F7B" w:rsidRPr="00481687" w:rsidRDefault="00773F7B" w:rsidP="00773F7B">
            <w:pPr>
              <w:pStyle w:val="T2"/>
              <w:jc w:val="right"/>
              <w:rPr>
                <w:b/>
                <w:bCs/>
              </w:rPr>
            </w:pPr>
            <w:r w:rsidRPr="00481687">
              <w:rPr>
                <w:b/>
                <w:bCs/>
              </w:rPr>
              <w:t>5.</w:t>
            </w:r>
            <w:r>
              <w:rPr>
                <w:b/>
                <w:bCs/>
              </w:rPr>
              <w:t>3</w:t>
            </w:r>
          </w:p>
        </w:tc>
        <w:tc>
          <w:tcPr>
            <w:tcW w:w="1134" w:type="dxa"/>
            <w:tcBorders>
              <w:top w:val="nil"/>
              <w:left w:val="nil"/>
              <w:bottom w:val="nil"/>
              <w:right w:val="nil"/>
            </w:tcBorders>
            <w:vAlign w:val="bottom"/>
          </w:tcPr>
          <w:p w14:paraId="20BFD2B7" w14:textId="77777777" w:rsidR="00773F7B" w:rsidRPr="00D2352A" w:rsidRDefault="00773F7B" w:rsidP="00773F7B">
            <w:pPr>
              <w:pStyle w:val="T2"/>
              <w:jc w:val="right"/>
            </w:pPr>
          </w:p>
        </w:tc>
        <w:tc>
          <w:tcPr>
            <w:tcW w:w="1134" w:type="dxa"/>
            <w:tcBorders>
              <w:top w:val="nil"/>
              <w:left w:val="nil"/>
              <w:bottom w:val="nil"/>
              <w:right w:val="nil"/>
            </w:tcBorders>
            <w:vAlign w:val="bottom"/>
          </w:tcPr>
          <w:p w14:paraId="7A037890" w14:textId="77777777" w:rsidR="00773F7B" w:rsidRPr="00D2352A" w:rsidRDefault="00773F7B" w:rsidP="00773F7B">
            <w:pPr>
              <w:pStyle w:val="T2"/>
              <w:jc w:val="right"/>
            </w:pPr>
          </w:p>
        </w:tc>
        <w:tc>
          <w:tcPr>
            <w:tcW w:w="859" w:type="dxa"/>
            <w:tcBorders>
              <w:top w:val="nil"/>
              <w:left w:val="nil"/>
              <w:bottom w:val="nil"/>
              <w:right w:val="nil"/>
            </w:tcBorders>
            <w:vAlign w:val="bottom"/>
          </w:tcPr>
          <w:p w14:paraId="72353474" w14:textId="77777777" w:rsidR="00773F7B" w:rsidRPr="00D2352A" w:rsidRDefault="00773F7B" w:rsidP="00773F7B">
            <w:pPr>
              <w:pStyle w:val="T2"/>
              <w:jc w:val="right"/>
            </w:pPr>
            <w:r w:rsidRPr="0096767F">
              <w:rPr>
                <w:bCs/>
              </w:rPr>
              <w:t>(0.1)</w:t>
            </w:r>
          </w:p>
        </w:tc>
      </w:tr>
      <w:tr w:rsidR="00773F7B" w14:paraId="3A9F12D3" w14:textId="77777777" w:rsidTr="00656003">
        <w:trPr>
          <w:jc w:val="center"/>
        </w:trPr>
        <w:tc>
          <w:tcPr>
            <w:tcW w:w="3805" w:type="dxa"/>
            <w:tcBorders>
              <w:top w:val="nil"/>
              <w:left w:val="nil"/>
              <w:bottom w:val="single" w:sz="4" w:space="0" w:color="auto"/>
              <w:right w:val="nil"/>
            </w:tcBorders>
            <w:vAlign w:val="bottom"/>
          </w:tcPr>
          <w:p w14:paraId="3718ACDF" w14:textId="77777777" w:rsidR="00773F7B" w:rsidRDefault="00773F7B" w:rsidP="00773F7B">
            <w:pPr>
              <w:pStyle w:val="T2"/>
              <w:jc w:val="left"/>
            </w:pPr>
            <w:r w:rsidRPr="00827814">
              <w:t>Diluted earnings per share</w:t>
            </w:r>
          </w:p>
        </w:tc>
        <w:tc>
          <w:tcPr>
            <w:tcW w:w="431" w:type="dxa"/>
            <w:tcBorders>
              <w:top w:val="nil"/>
              <w:left w:val="nil"/>
              <w:bottom w:val="single" w:sz="4" w:space="0" w:color="auto"/>
              <w:right w:val="nil"/>
            </w:tcBorders>
            <w:vAlign w:val="bottom"/>
          </w:tcPr>
          <w:p w14:paraId="48ACB982" w14:textId="77777777" w:rsidR="00773F7B" w:rsidRPr="00E8718C" w:rsidRDefault="00773F7B" w:rsidP="00773F7B">
            <w:pPr>
              <w:jc w:val="right"/>
              <w:rPr>
                <w:sz w:val="18"/>
                <w:szCs w:val="18"/>
              </w:rPr>
            </w:pPr>
            <w:r>
              <w:rPr>
                <w:sz w:val="18"/>
                <w:szCs w:val="18"/>
              </w:rPr>
              <w:t>9</w:t>
            </w:r>
          </w:p>
        </w:tc>
        <w:tc>
          <w:tcPr>
            <w:tcW w:w="1134" w:type="dxa"/>
            <w:tcBorders>
              <w:top w:val="nil"/>
              <w:left w:val="nil"/>
              <w:bottom w:val="single" w:sz="4" w:space="0" w:color="auto"/>
              <w:right w:val="nil"/>
            </w:tcBorders>
            <w:vAlign w:val="bottom"/>
          </w:tcPr>
          <w:p w14:paraId="2555898B" w14:textId="77777777" w:rsidR="00773F7B" w:rsidRPr="00A31437" w:rsidRDefault="00773F7B" w:rsidP="00773F7B">
            <w:pPr>
              <w:pStyle w:val="T2"/>
              <w:jc w:val="right"/>
              <w:rPr>
                <w:b/>
              </w:rPr>
            </w:pPr>
          </w:p>
        </w:tc>
        <w:tc>
          <w:tcPr>
            <w:tcW w:w="1134" w:type="dxa"/>
            <w:tcBorders>
              <w:top w:val="nil"/>
              <w:left w:val="nil"/>
              <w:bottom w:val="single" w:sz="4" w:space="0" w:color="auto"/>
              <w:right w:val="nil"/>
            </w:tcBorders>
            <w:vAlign w:val="bottom"/>
          </w:tcPr>
          <w:p w14:paraId="5D8A60C0" w14:textId="77777777" w:rsidR="00773F7B" w:rsidRPr="00A31437" w:rsidRDefault="00773F7B" w:rsidP="00773F7B">
            <w:pPr>
              <w:pStyle w:val="T2"/>
              <w:jc w:val="right"/>
              <w:rPr>
                <w:b/>
              </w:rPr>
            </w:pPr>
          </w:p>
        </w:tc>
        <w:tc>
          <w:tcPr>
            <w:tcW w:w="856" w:type="dxa"/>
            <w:tcBorders>
              <w:top w:val="nil"/>
              <w:left w:val="nil"/>
              <w:bottom w:val="single" w:sz="4" w:space="0" w:color="auto"/>
              <w:right w:val="nil"/>
            </w:tcBorders>
            <w:vAlign w:val="bottom"/>
          </w:tcPr>
          <w:p w14:paraId="20AE9BFD" w14:textId="77777777" w:rsidR="00773F7B" w:rsidRPr="00481687" w:rsidRDefault="00773F7B" w:rsidP="00773F7B">
            <w:pPr>
              <w:pStyle w:val="T2"/>
              <w:jc w:val="right"/>
              <w:rPr>
                <w:b/>
                <w:bCs/>
              </w:rPr>
            </w:pPr>
            <w:r w:rsidRPr="00481687">
              <w:rPr>
                <w:b/>
                <w:bCs/>
              </w:rPr>
              <w:t>5.2</w:t>
            </w:r>
          </w:p>
        </w:tc>
        <w:tc>
          <w:tcPr>
            <w:tcW w:w="1134" w:type="dxa"/>
            <w:tcBorders>
              <w:top w:val="nil"/>
              <w:left w:val="nil"/>
              <w:bottom w:val="single" w:sz="4" w:space="0" w:color="auto"/>
              <w:right w:val="nil"/>
            </w:tcBorders>
            <w:vAlign w:val="bottom"/>
          </w:tcPr>
          <w:p w14:paraId="65A30483" w14:textId="77777777" w:rsidR="00773F7B" w:rsidRPr="00D2352A" w:rsidRDefault="00773F7B" w:rsidP="00773F7B">
            <w:pPr>
              <w:pStyle w:val="T2"/>
              <w:jc w:val="right"/>
            </w:pPr>
          </w:p>
        </w:tc>
        <w:tc>
          <w:tcPr>
            <w:tcW w:w="1134" w:type="dxa"/>
            <w:tcBorders>
              <w:top w:val="nil"/>
              <w:left w:val="nil"/>
              <w:bottom w:val="single" w:sz="4" w:space="0" w:color="auto"/>
              <w:right w:val="nil"/>
            </w:tcBorders>
            <w:vAlign w:val="bottom"/>
          </w:tcPr>
          <w:p w14:paraId="39F0F9FF" w14:textId="77777777" w:rsidR="00773F7B" w:rsidRPr="00D2352A" w:rsidRDefault="00773F7B" w:rsidP="00773F7B">
            <w:pPr>
              <w:pStyle w:val="T2"/>
              <w:jc w:val="right"/>
            </w:pPr>
          </w:p>
        </w:tc>
        <w:tc>
          <w:tcPr>
            <w:tcW w:w="859" w:type="dxa"/>
            <w:tcBorders>
              <w:top w:val="nil"/>
              <w:left w:val="nil"/>
              <w:bottom w:val="single" w:sz="4" w:space="0" w:color="auto"/>
              <w:right w:val="nil"/>
            </w:tcBorders>
            <w:vAlign w:val="bottom"/>
          </w:tcPr>
          <w:p w14:paraId="6CB36E65" w14:textId="77777777" w:rsidR="00773F7B" w:rsidRDefault="00773F7B" w:rsidP="00773F7B">
            <w:pPr>
              <w:pStyle w:val="T2"/>
              <w:jc w:val="right"/>
            </w:pPr>
            <w:r w:rsidRPr="0096767F">
              <w:rPr>
                <w:bCs/>
              </w:rPr>
              <w:t>(0.1)</w:t>
            </w:r>
          </w:p>
        </w:tc>
      </w:tr>
      <w:tr w:rsidR="00773F7B" w14:paraId="1FC0D07D" w14:textId="77777777" w:rsidTr="00656003">
        <w:trPr>
          <w:jc w:val="center"/>
        </w:trPr>
        <w:tc>
          <w:tcPr>
            <w:tcW w:w="3805" w:type="dxa"/>
            <w:tcBorders>
              <w:top w:val="single" w:sz="4" w:space="0" w:color="auto"/>
              <w:left w:val="nil"/>
              <w:bottom w:val="nil"/>
              <w:right w:val="nil"/>
            </w:tcBorders>
            <w:vAlign w:val="bottom"/>
          </w:tcPr>
          <w:p w14:paraId="03A2057E" w14:textId="77777777" w:rsidR="00773F7B" w:rsidRPr="00827814" w:rsidRDefault="00773F7B" w:rsidP="00773F7B">
            <w:pPr>
              <w:pStyle w:val="T2"/>
              <w:jc w:val="left"/>
            </w:pPr>
          </w:p>
        </w:tc>
        <w:tc>
          <w:tcPr>
            <w:tcW w:w="431" w:type="dxa"/>
            <w:tcBorders>
              <w:top w:val="single" w:sz="4" w:space="0" w:color="auto"/>
              <w:left w:val="nil"/>
              <w:bottom w:val="nil"/>
              <w:right w:val="nil"/>
            </w:tcBorders>
            <w:vAlign w:val="bottom"/>
          </w:tcPr>
          <w:p w14:paraId="79B96845" w14:textId="77777777" w:rsidR="00773F7B" w:rsidRDefault="00773F7B" w:rsidP="00773F7B">
            <w:pPr>
              <w:jc w:val="right"/>
              <w:rPr>
                <w:sz w:val="18"/>
                <w:szCs w:val="18"/>
              </w:rPr>
            </w:pPr>
          </w:p>
        </w:tc>
        <w:tc>
          <w:tcPr>
            <w:tcW w:w="1134" w:type="dxa"/>
            <w:tcBorders>
              <w:top w:val="single" w:sz="4" w:space="0" w:color="auto"/>
              <w:left w:val="nil"/>
              <w:bottom w:val="nil"/>
              <w:right w:val="nil"/>
            </w:tcBorders>
            <w:vAlign w:val="bottom"/>
          </w:tcPr>
          <w:p w14:paraId="58E2136E" w14:textId="77777777" w:rsidR="00773F7B" w:rsidRPr="00A31437" w:rsidRDefault="00773F7B" w:rsidP="00773F7B">
            <w:pPr>
              <w:pStyle w:val="T2"/>
              <w:jc w:val="right"/>
              <w:rPr>
                <w:b/>
              </w:rPr>
            </w:pPr>
          </w:p>
        </w:tc>
        <w:tc>
          <w:tcPr>
            <w:tcW w:w="1134" w:type="dxa"/>
            <w:tcBorders>
              <w:top w:val="single" w:sz="4" w:space="0" w:color="auto"/>
              <w:left w:val="nil"/>
              <w:bottom w:val="nil"/>
              <w:right w:val="nil"/>
            </w:tcBorders>
            <w:vAlign w:val="bottom"/>
          </w:tcPr>
          <w:p w14:paraId="7410403E" w14:textId="77777777" w:rsidR="00773F7B" w:rsidRPr="00A31437" w:rsidRDefault="00773F7B" w:rsidP="00773F7B">
            <w:pPr>
              <w:pStyle w:val="T2"/>
              <w:jc w:val="right"/>
              <w:rPr>
                <w:b/>
              </w:rPr>
            </w:pPr>
          </w:p>
        </w:tc>
        <w:tc>
          <w:tcPr>
            <w:tcW w:w="856" w:type="dxa"/>
            <w:tcBorders>
              <w:top w:val="single" w:sz="4" w:space="0" w:color="auto"/>
              <w:left w:val="nil"/>
              <w:bottom w:val="nil"/>
              <w:right w:val="nil"/>
            </w:tcBorders>
            <w:vAlign w:val="bottom"/>
          </w:tcPr>
          <w:p w14:paraId="2E7D9032" w14:textId="77777777" w:rsidR="00773F7B" w:rsidRPr="00481687" w:rsidRDefault="00773F7B" w:rsidP="00773F7B">
            <w:pPr>
              <w:pStyle w:val="T2"/>
              <w:jc w:val="right"/>
              <w:rPr>
                <w:b/>
              </w:rPr>
            </w:pPr>
          </w:p>
        </w:tc>
        <w:tc>
          <w:tcPr>
            <w:tcW w:w="1134" w:type="dxa"/>
            <w:tcBorders>
              <w:top w:val="single" w:sz="4" w:space="0" w:color="auto"/>
              <w:left w:val="nil"/>
              <w:bottom w:val="nil"/>
              <w:right w:val="nil"/>
            </w:tcBorders>
            <w:vAlign w:val="bottom"/>
          </w:tcPr>
          <w:p w14:paraId="2211A9CE" w14:textId="77777777" w:rsidR="00773F7B" w:rsidRPr="00D2352A" w:rsidRDefault="00773F7B" w:rsidP="00773F7B">
            <w:pPr>
              <w:pStyle w:val="T2"/>
              <w:jc w:val="right"/>
            </w:pPr>
          </w:p>
        </w:tc>
        <w:tc>
          <w:tcPr>
            <w:tcW w:w="1134" w:type="dxa"/>
            <w:tcBorders>
              <w:top w:val="single" w:sz="4" w:space="0" w:color="auto"/>
              <w:left w:val="nil"/>
              <w:bottom w:val="nil"/>
              <w:right w:val="nil"/>
            </w:tcBorders>
            <w:vAlign w:val="bottom"/>
          </w:tcPr>
          <w:p w14:paraId="1AABFCEF" w14:textId="77777777" w:rsidR="00773F7B" w:rsidRPr="00D2352A" w:rsidRDefault="00773F7B" w:rsidP="00773F7B">
            <w:pPr>
              <w:pStyle w:val="T2"/>
              <w:jc w:val="right"/>
            </w:pPr>
          </w:p>
        </w:tc>
        <w:tc>
          <w:tcPr>
            <w:tcW w:w="859" w:type="dxa"/>
            <w:tcBorders>
              <w:top w:val="single" w:sz="4" w:space="0" w:color="auto"/>
              <w:left w:val="nil"/>
              <w:bottom w:val="nil"/>
              <w:right w:val="nil"/>
            </w:tcBorders>
            <w:vAlign w:val="bottom"/>
          </w:tcPr>
          <w:p w14:paraId="53132009" w14:textId="77777777" w:rsidR="00773F7B" w:rsidRPr="00D2352A" w:rsidRDefault="00773F7B" w:rsidP="00773F7B">
            <w:pPr>
              <w:pStyle w:val="T2"/>
              <w:jc w:val="right"/>
            </w:pPr>
          </w:p>
        </w:tc>
      </w:tr>
      <w:tr w:rsidR="003E307B" w14:paraId="1AE42094" w14:textId="77777777" w:rsidTr="00656003">
        <w:trPr>
          <w:jc w:val="center"/>
        </w:trPr>
        <w:tc>
          <w:tcPr>
            <w:tcW w:w="10487" w:type="dxa"/>
            <w:gridSpan w:val="8"/>
            <w:tcBorders>
              <w:top w:val="nil"/>
              <w:left w:val="nil"/>
              <w:bottom w:val="nil"/>
              <w:right w:val="nil"/>
            </w:tcBorders>
            <w:vAlign w:val="bottom"/>
          </w:tcPr>
          <w:p w14:paraId="10F4D034" w14:textId="4EF2F978" w:rsidR="003E307B" w:rsidRPr="00D2352A" w:rsidRDefault="003E307B" w:rsidP="005B3BEE">
            <w:pPr>
              <w:pStyle w:val="T2"/>
              <w:jc w:val="left"/>
            </w:pPr>
            <w:r w:rsidRPr="00A40E08">
              <w:rPr>
                <w:b/>
              </w:rPr>
              <w:t>Earnings per share (pence)</w:t>
            </w:r>
            <w:r>
              <w:rPr>
                <w:b/>
              </w:rPr>
              <w:t xml:space="preserve"> – total</w:t>
            </w:r>
          </w:p>
        </w:tc>
      </w:tr>
      <w:tr w:rsidR="00773F7B" w14:paraId="177A9061" w14:textId="77777777" w:rsidTr="00656003">
        <w:trPr>
          <w:jc w:val="center"/>
        </w:trPr>
        <w:tc>
          <w:tcPr>
            <w:tcW w:w="3805" w:type="dxa"/>
            <w:tcBorders>
              <w:top w:val="nil"/>
              <w:left w:val="nil"/>
              <w:bottom w:val="nil"/>
              <w:right w:val="nil"/>
            </w:tcBorders>
            <w:vAlign w:val="bottom"/>
          </w:tcPr>
          <w:p w14:paraId="3CC27E65" w14:textId="77777777" w:rsidR="00773F7B" w:rsidRPr="00827814" w:rsidRDefault="00773F7B" w:rsidP="00773F7B">
            <w:pPr>
              <w:pStyle w:val="T2"/>
              <w:jc w:val="left"/>
            </w:pPr>
            <w:r w:rsidRPr="00827814">
              <w:t>Basic earnings per share</w:t>
            </w:r>
          </w:p>
        </w:tc>
        <w:tc>
          <w:tcPr>
            <w:tcW w:w="431" w:type="dxa"/>
            <w:tcBorders>
              <w:top w:val="nil"/>
              <w:left w:val="nil"/>
              <w:bottom w:val="nil"/>
              <w:right w:val="nil"/>
            </w:tcBorders>
            <w:vAlign w:val="bottom"/>
          </w:tcPr>
          <w:p w14:paraId="0C77BE1D" w14:textId="77777777" w:rsidR="00773F7B" w:rsidRDefault="00773F7B" w:rsidP="00773F7B">
            <w:pPr>
              <w:jc w:val="right"/>
              <w:rPr>
                <w:sz w:val="18"/>
                <w:szCs w:val="18"/>
              </w:rPr>
            </w:pPr>
            <w:r>
              <w:rPr>
                <w:sz w:val="18"/>
                <w:szCs w:val="18"/>
              </w:rPr>
              <w:t>9</w:t>
            </w:r>
          </w:p>
        </w:tc>
        <w:tc>
          <w:tcPr>
            <w:tcW w:w="1134" w:type="dxa"/>
            <w:tcBorders>
              <w:top w:val="nil"/>
              <w:left w:val="nil"/>
              <w:bottom w:val="nil"/>
              <w:right w:val="nil"/>
            </w:tcBorders>
            <w:vAlign w:val="bottom"/>
          </w:tcPr>
          <w:p w14:paraId="68C514B5" w14:textId="77777777" w:rsidR="00773F7B" w:rsidRPr="00A31437" w:rsidRDefault="00773F7B" w:rsidP="00773F7B">
            <w:pPr>
              <w:pStyle w:val="T2"/>
              <w:jc w:val="right"/>
              <w:rPr>
                <w:b/>
              </w:rPr>
            </w:pPr>
          </w:p>
        </w:tc>
        <w:tc>
          <w:tcPr>
            <w:tcW w:w="1134" w:type="dxa"/>
            <w:tcBorders>
              <w:top w:val="nil"/>
              <w:left w:val="nil"/>
              <w:bottom w:val="nil"/>
              <w:right w:val="nil"/>
            </w:tcBorders>
            <w:vAlign w:val="bottom"/>
          </w:tcPr>
          <w:p w14:paraId="6BB84A1B" w14:textId="77777777" w:rsidR="00773F7B" w:rsidRPr="00A31437" w:rsidRDefault="00773F7B" w:rsidP="00773F7B">
            <w:pPr>
              <w:pStyle w:val="T2"/>
              <w:jc w:val="right"/>
              <w:rPr>
                <w:b/>
              </w:rPr>
            </w:pPr>
          </w:p>
        </w:tc>
        <w:tc>
          <w:tcPr>
            <w:tcW w:w="856" w:type="dxa"/>
            <w:tcBorders>
              <w:top w:val="nil"/>
              <w:left w:val="nil"/>
              <w:bottom w:val="nil"/>
              <w:right w:val="nil"/>
            </w:tcBorders>
            <w:vAlign w:val="bottom"/>
          </w:tcPr>
          <w:p w14:paraId="17FFCC4C" w14:textId="77777777" w:rsidR="00773F7B" w:rsidRPr="00481687" w:rsidRDefault="00773F7B" w:rsidP="00773F7B">
            <w:pPr>
              <w:pStyle w:val="T2"/>
              <w:jc w:val="right"/>
              <w:rPr>
                <w:b/>
              </w:rPr>
            </w:pPr>
            <w:r w:rsidRPr="00481687">
              <w:rPr>
                <w:b/>
              </w:rPr>
              <w:t>5.</w:t>
            </w:r>
            <w:r>
              <w:rPr>
                <w:b/>
              </w:rPr>
              <w:t>3</w:t>
            </w:r>
          </w:p>
        </w:tc>
        <w:tc>
          <w:tcPr>
            <w:tcW w:w="1134" w:type="dxa"/>
            <w:tcBorders>
              <w:top w:val="nil"/>
              <w:left w:val="nil"/>
              <w:bottom w:val="nil"/>
              <w:right w:val="nil"/>
            </w:tcBorders>
            <w:vAlign w:val="bottom"/>
          </w:tcPr>
          <w:p w14:paraId="4B4D3508" w14:textId="77777777" w:rsidR="00773F7B" w:rsidRPr="00D2352A" w:rsidRDefault="00773F7B" w:rsidP="00773F7B">
            <w:pPr>
              <w:pStyle w:val="T2"/>
              <w:jc w:val="right"/>
            </w:pPr>
          </w:p>
        </w:tc>
        <w:tc>
          <w:tcPr>
            <w:tcW w:w="1134" w:type="dxa"/>
            <w:tcBorders>
              <w:top w:val="nil"/>
              <w:left w:val="nil"/>
              <w:bottom w:val="nil"/>
              <w:right w:val="nil"/>
            </w:tcBorders>
            <w:vAlign w:val="bottom"/>
          </w:tcPr>
          <w:p w14:paraId="6BF8614D" w14:textId="77777777" w:rsidR="00773F7B" w:rsidRPr="00D2352A" w:rsidRDefault="00773F7B" w:rsidP="00773F7B">
            <w:pPr>
              <w:pStyle w:val="T2"/>
              <w:jc w:val="right"/>
            </w:pPr>
          </w:p>
        </w:tc>
        <w:tc>
          <w:tcPr>
            <w:tcW w:w="859" w:type="dxa"/>
            <w:tcBorders>
              <w:top w:val="nil"/>
              <w:left w:val="nil"/>
              <w:bottom w:val="nil"/>
              <w:right w:val="nil"/>
            </w:tcBorders>
            <w:vAlign w:val="bottom"/>
          </w:tcPr>
          <w:p w14:paraId="32B9A84E" w14:textId="77777777" w:rsidR="00773F7B" w:rsidRPr="00D2352A" w:rsidRDefault="00773F7B" w:rsidP="00773F7B">
            <w:pPr>
              <w:pStyle w:val="T2"/>
              <w:jc w:val="right"/>
            </w:pPr>
            <w:r w:rsidRPr="0096767F">
              <w:rPr>
                <w:bCs/>
              </w:rPr>
              <w:t>10.5</w:t>
            </w:r>
          </w:p>
        </w:tc>
      </w:tr>
      <w:tr w:rsidR="00773F7B" w14:paraId="7DD6413C" w14:textId="77777777" w:rsidTr="00656003">
        <w:trPr>
          <w:jc w:val="center"/>
        </w:trPr>
        <w:tc>
          <w:tcPr>
            <w:tcW w:w="3805" w:type="dxa"/>
            <w:tcBorders>
              <w:top w:val="nil"/>
              <w:left w:val="nil"/>
              <w:bottom w:val="single" w:sz="4" w:space="0" w:color="auto"/>
              <w:right w:val="nil"/>
            </w:tcBorders>
            <w:vAlign w:val="bottom"/>
          </w:tcPr>
          <w:p w14:paraId="54019D1F" w14:textId="77777777" w:rsidR="00773F7B" w:rsidRPr="00827814" w:rsidRDefault="00773F7B" w:rsidP="00773F7B">
            <w:pPr>
              <w:pStyle w:val="T2"/>
              <w:jc w:val="left"/>
            </w:pPr>
            <w:r w:rsidRPr="00827814">
              <w:t>Diluted earnings per share</w:t>
            </w:r>
          </w:p>
        </w:tc>
        <w:tc>
          <w:tcPr>
            <w:tcW w:w="431" w:type="dxa"/>
            <w:tcBorders>
              <w:top w:val="nil"/>
              <w:left w:val="nil"/>
              <w:bottom w:val="single" w:sz="4" w:space="0" w:color="auto"/>
              <w:right w:val="nil"/>
            </w:tcBorders>
            <w:vAlign w:val="bottom"/>
          </w:tcPr>
          <w:p w14:paraId="5CF59DD4" w14:textId="77777777" w:rsidR="00773F7B" w:rsidRDefault="00773F7B" w:rsidP="00773F7B">
            <w:pPr>
              <w:jc w:val="right"/>
              <w:rPr>
                <w:sz w:val="18"/>
                <w:szCs w:val="18"/>
              </w:rPr>
            </w:pPr>
            <w:r>
              <w:rPr>
                <w:sz w:val="18"/>
                <w:szCs w:val="18"/>
              </w:rPr>
              <w:t>9</w:t>
            </w:r>
          </w:p>
        </w:tc>
        <w:tc>
          <w:tcPr>
            <w:tcW w:w="1134" w:type="dxa"/>
            <w:tcBorders>
              <w:top w:val="nil"/>
              <w:left w:val="nil"/>
              <w:bottom w:val="single" w:sz="4" w:space="0" w:color="auto"/>
              <w:right w:val="nil"/>
            </w:tcBorders>
            <w:vAlign w:val="bottom"/>
          </w:tcPr>
          <w:p w14:paraId="55B4B99D" w14:textId="77777777" w:rsidR="00773F7B" w:rsidRPr="00A31437" w:rsidRDefault="00773F7B" w:rsidP="00773F7B">
            <w:pPr>
              <w:pStyle w:val="T2"/>
              <w:jc w:val="right"/>
              <w:rPr>
                <w:b/>
              </w:rPr>
            </w:pPr>
          </w:p>
        </w:tc>
        <w:tc>
          <w:tcPr>
            <w:tcW w:w="1134" w:type="dxa"/>
            <w:tcBorders>
              <w:top w:val="nil"/>
              <w:left w:val="nil"/>
              <w:bottom w:val="single" w:sz="4" w:space="0" w:color="auto"/>
              <w:right w:val="nil"/>
            </w:tcBorders>
            <w:vAlign w:val="bottom"/>
          </w:tcPr>
          <w:p w14:paraId="11418F95" w14:textId="77777777" w:rsidR="00773F7B" w:rsidRPr="00A31437" w:rsidRDefault="00773F7B" w:rsidP="00773F7B">
            <w:pPr>
              <w:pStyle w:val="T2"/>
              <w:jc w:val="right"/>
              <w:rPr>
                <w:b/>
              </w:rPr>
            </w:pPr>
          </w:p>
        </w:tc>
        <w:tc>
          <w:tcPr>
            <w:tcW w:w="856" w:type="dxa"/>
            <w:tcBorders>
              <w:top w:val="nil"/>
              <w:left w:val="nil"/>
              <w:bottom w:val="single" w:sz="4" w:space="0" w:color="auto"/>
              <w:right w:val="nil"/>
            </w:tcBorders>
            <w:vAlign w:val="bottom"/>
          </w:tcPr>
          <w:p w14:paraId="1B2E0EEA" w14:textId="77777777" w:rsidR="00773F7B" w:rsidRPr="00481687" w:rsidRDefault="00773F7B" w:rsidP="00773F7B">
            <w:pPr>
              <w:pStyle w:val="T2"/>
              <w:jc w:val="right"/>
              <w:rPr>
                <w:b/>
              </w:rPr>
            </w:pPr>
            <w:r w:rsidRPr="00481687">
              <w:rPr>
                <w:b/>
              </w:rPr>
              <w:t>5.2</w:t>
            </w:r>
          </w:p>
        </w:tc>
        <w:tc>
          <w:tcPr>
            <w:tcW w:w="1134" w:type="dxa"/>
            <w:tcBorders>
              <w:top w:val="nil"/>
              <w:left w:val="nil"/>
              <w:bottom w:val="single" w:sz="4" w:space="0" w:color="auto"/>
              <w:right w:val="nil"/>
            </w:tcBorders>
            <w:vAlign w:val="bottom"/>
          </w:tcPr>
          <w:p w14:paraId="50FEDAEF" w14:textId="77777777" w:rsidR="00773F7B" w:rsidRPr="00D2352A" w:rsidRDefault="00773F7B" w:rsidP="00773F7B">
            <w:pPr>
              <w:pStyle w:val="T2"/>
              <w:jc w:val="right"/>
            </w:pPr>
          </w:p>
        </w:tc>
        <w:tc>
          <w:tcPr>
            <w:tcW w:w="1134" w:type="dxa"/>
            <w:tcBorders>
              <w:top w:val="nil"/>
              <w:left w:val="nil"/>
              <w:bottom w:val="single" w:sz="4" w:space="0" w:color="auto"/>
              <w:right w:val="nil"/>
            </w:tcBorders>
            <w:vAlign w:val="bottom"/>
          </w:tcPr>
          <w:p w14:paraId="5C21D7F1" w14:textId="77777777" w:rsidR="00773F7B" w:rsidRPr="00D2352A" w:rsidRDefault="00773F7B" w:rsidP="00773F7B">
            <w:pPr>
              <w:pStyle w:val="T2"/>
              <w:jc w:val="right"/>
            </w:pPr>
          </w:p>
        </w:tc>
        <w:tc>
          <w:tcPr>
            <w:tcW w:w="859" w:type="dxa"/>
            <w:tcBorders>
              <w:top w:val="nil"/>
              <w:left w:val="nil"/>
              <w:bottom w:val="single" w:sz="4" w:space="0" w:color="auto"/>
              <w:right w:val="nil"/>
            </w:tcBorders>
            <w:vAlign w:val="bottom"/>
          </w:tcPr>
          <w:p w14:paraId="19661F94" w14:textId="77777777" w:rsidR="00773F7B" w:rsidRPr="00D2352A" w:rsidRDefault="00773F7B" w:rsidP="00773F7B">
            <w:pPr>
              <w:pStyle w:val="T2"/>
              <w:jc w:val="right"/>
            </w:pPr>
            <w:r w:rsidRPr="0096767F">
              <w:rPr>
                <w:bCs/>
              </w:rPr>
              <w:t>10.5</w:t>
            </w:r>
          </w:p>
        </w:tc>
      </w:tr>
    </w:tbl>
    <w:p w14:paraId="1F919E26" w14:textId="77777777" w:rsidR="00773F7B" w:rsidRDefault="00773F7B" w:rsidP="00773F7B">
      <w:pPr>
        <w:pStyle w:val="Heading1"/>
        <w:sectPr w:rsidR="00773F7B" w:rsidSect="00377178">
          <w:headerReference w:type="default" r:id="rId8"/>
          <w:pgSz w:w="11906" w:h="16838"/>
          <w:pgMar w:top="1440" w:right="1440" w:bottom="1440" w:left="1440" w:header="708" w:footer="708" w:gutter="0"/>
          <w:pgNumType w:start="10"/>
          <w:cols w:space="708"/>
          <w:docGrid w:linePitch="360"/>
        </w:sectPr>
      </w:pPr>
      <w:bookmarkStart w:id="2" w:name="_Hlk5966349"/>
    </w:p>
    <w:p w14:paraId="306CDB51" w14:textId="77777777" w:rsidR="00773F7B" w:rsidRPr="001B258F" w:rsidRDefault="00773F7B" w:rsidP="00773F7B">
      <w:pPr>
        <w:spacing w:after="0"/>
        <w:jc w:val="right"/>
      </w:pPr>
      <w:bookmarkStart w:id="3" w:name="_Hlk5966511"/>
      <w:bookmarkEnd w:id="2"/>
    </w:p>
    <w:tbl>
      <w:tblPr>
        <w:tblStyle w:val="TableGrid"/>
        <w:tblW w:w="104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7"/>
        <w:gridCol w:w="1701"/>
        <w:gridCol w:w="1701"/>
      </w:tblGrid>
      <w:tr w:rsidR="00773F7B" w14:paraId="07EDB6FD" w14:textId="77777777" w:rsidTr="005B3BEE">
        <w:trPr>
          <w:jc w:val="center"/>
        </w:trPr>
        <w:tc>
          <w:tcPr>
            <w:tcW w:w="7087" w:type="dxa"/>
          </w:tcPr>
          <w:p w14:paraId="5B267F27" w14:textId="77777777" w:rsidR="00773F7B" w:rsidRDefault="00773F7B" w:rsidP="00773F7B">
            <w:pPr>
              <w:pStyle w:val="T2"/>
            </w:pPr>
          </w:p>
        </w:tc>
        <w:tc>
          <w:tcPr>
            <w:tcW w:w="1701" w:type="dxa"/>
            <w:vAlign w:val="center"/>
          </w:tcPr>
          <w:p w14:paraId="6EE8D501" w14:textId="77777777" w:rsidR="00773F7B" w:rsidRDefault="00773F7B" w:rsidP="00773F7B">
            <w:pPr>
              <w:pStyle w:val="T2"/>
              <w:jc w:val="right"/>
              <w:rPr>
                <w:b/>
              </w:rPr>
            </w:pPr>
            <w:r w:rsidRPr="00E86C8F">
              <w:rPr>
                <w:b/>
              </w:rPr>
              <w:t xml:space="preserve">Half year ended </w:t>
            </w:r>
          </w:p>
          <w:p w14:paraId="75407F65" w14:textId="77777777" w:rsidR="00773F7B" w:rsidRPr="00E86C8F" w:rsidRDefault="00773F7B" w:rsidP="00773F7B">
            <w:pPr>
              <w:pStyle w:val="T2"/>
              <w:jc w:val="right"/>
              <w:rPr>
                <w:b/>
              </w:rPr>
            </w:pPr>
            <w:r>
              <w:rPr>
                <w:b/>
              </w:rPr>
              <w:t>27</w:t>
            </w:r>
            <w:r w:rsidRPr="00E86C8F">
              <w:rPr>
                <w:b/>
              </w:rPr>
              <w:t xml:space="preserve"> March 20</w:t>
            </w:r>
            <w:r>
              <w:rPr>
                <w:b/>
              </w:rPr>
              <w:t>20</w:t>
            </w:r>
          </w:p>
        </w:tc>
        <w:tc>
          <w:tcPr>
            <w:tcW w:w="1701" w:type="dxa"/>
            <w:vAlign w:val="center"/>
          </w:tcPr>
          <w:p w14:paraId="46644598" w14:textId="77777777" w:rsidR="00773F7B" w:rsidRPr="005D0EFF" w:rsidRDefault="00773F7B" w:rsidP="00773F7B">
            <w:pPr>
              <w:pStyle w:val="T2"/>
              <w:jc w:val="right"/>
              <w:rPr>
                <w:bCs/>
              </w:rPr>
            </w:pPr>
            <w:r w:rsidRPr="005D0EFF">
              <w:rPr>
                <w:bCs/>
              </w:rPr>
              <w:t xml:space="preserve">Half year ended </w:t>
            </w:r>
          </w:p>
          <w:p w14:paraId="0FCEB475" w14:textId="77777777" w:rsidR="00773F7B" w:rsidRPr="005D0EFF" w:rsidRDefault="00773F7B" w:rsidP="00773F7B">
            <w:pPr>
              <w:pStyle w:val="T2"/>
              <w:jc w:val="right"/>
              <w:rPr>
                <w:bCs/>
              </w:rPr>
            </w:pPr>
            <w:r w:rsidRPr="005D0EFF">
              <w:rPr>
                <w:bCs/>
              </w:rPr>
              <w:t>29 March 2019</w:t>
            </w:r>
          </w:p>
        </w:tc>
      </w:tr>
      <w:tr w:rsidR="00773F7B" w14:paraId="2C742DE7" w14:textId="77777777" w:rsidTr="005B3BEE">
        <w:trPr>
          <w:jc w:val="center"/>
        </w:trPr>
        <w:tc>
          <w:tcPr>
            <w:tcW w:w="7087" w:type="dxa"/>
          </w:tcPr>
          <w:p w14:paraId="4591AA27" w14:textId="77777777" w:rsidR="00773F7B" w:rsidRDefault="00773F7B" w:rsidP="00773F7B">
            <w:pPr>
              <w:pStyle w:val="T2"/>
            </w:pPr>
          </w:p>
        </w:tc>
        <w:tc>
          <w:tcPr>
            <w:tcW w:w="1701" w:type="dxa"/>
            <w:vAlign w:val="center"/>
          </w:tcPr>
          <w:p w14:paraId="00397463" w14:textId="77777777" w:rsidR="00773F7B" w:rsidRPr="00E86C8F" w:rsidRDefault="00773F7B" w:rsidP="00773F7B">
            <w:pPr>
              <w:pStyle w:val="T2"/>
              <w:jc w:val="right"/>
              <w:rPr>
                <w:b/>
                <w:sz w:val="16"/>
                <w:szCs w:val="16"/>
              </w:rPr>
            </w:pPr>
            <w:r w:rsidRPr="00E86C8F">
              <w:rPr>
                <w:b/>
                <w:sz w:val="16"/>
                <w:szCs w:val="16"/>
              </w:rPr>
              <w:t>(Unaudited)</w:t>
            </w:r>
          </w:p>
        </w:tc>
        <w:tc>
          <w:tcPr>
            <w:tcW w:w="1701" w:type="dxa"/>
            <w:vAlign w:val="center"/>
          </w:tcPr>
          <w:p w14:paraId="3732A1C1" w14:textId="77777777" w:rsidR="00773F7B" w:rsidRPr="00006931" w:rsidRDefault="00773F7B" w:rsidP="00773F7B">
            <w:pPr>
              <w:pStyle w:val="T2"/>
              <w:jc w:val="right"/>
              <w:rPr>
                <w:bCs/>
                <w:sz w:val="16"/>
                <w:szCs w:val="16"/>
              </w:rPr>
            </w:pPr>
            <w:r w:rsidRPr="005D0EFF">
              <w:rPr>
                <w:bCs/>
                <w:sz w:val="16"/>
                <w:szCs w:val="16"/>
              </w:rPr>
              <w:t>(Unaudited)</w:t>
            </w:r>
          </w:p>
        </w:tc>
      </w:tr>
      <w:tr w:rsidR="00773F7B" w14:paraId="1D5EF1C9" w14:textId="77777777" w:rsidTr="005B3BEE">
        <w:trPr>
          <w:jc w:val="center"/>
        </w:trPr>
        <w:tc>
          <w:tcPr>
            <w:tcW w:w="7087" w:type="dxa"/>
            <w:tcBorders>
              <w:bottom w:val="single" w:sz="2" w:space="0" w:color="auto"/>
            </w:tcBorders>
          </w:tcPr>
          <w:p w14:paraId="0011AF0B" w14:textId="77777777" w:rsidR="00773F7B" w:rsidRDefault="00773F7B" w:rsidP="00773F7B">
            <w:pPr>
              <w:pStyle w:val="T2"/>
            </w:pPr>
          </w:p>
        </w:tc>
        <w:tc>
          <w:tcPr>
            <w:tcW w:w="1701" w:type="dxa"/>
            <w:tcBorders>
              <w:bottom w:val="single" w:sz="2" w:space="0" w:color="auto"/>
            </w:tcBorders>
            <w:vAlign w:val="center"/>
          </w:tcPr>
          <w:p w14:paraId="4174EE58" w14:textId="77777777" w:rsidR="00773F7B" w:rsidRPr="00E86C8F" w:rsidRDefault="00773F7B" w:rsidP="00773F7B">
            <w:pPr>
              <w:pStyle w:val="T2"/>
              <w:jc w:val="right"/>
              <w:rPr>
                <w:b/>
              </w:rPr>
            </w:pPr>
            <w:r w:rsidRPr="00E86C8F">
              <w:rPr>
                <w:b/>
              </w:rPr>
              <w:t>£m</w:t>
            </w:r>
          </w:p>
        </w:tc>
        <w:tc>
          <w:tcPr>
            <w:tcW w:w="1701" w:type="dxa"/>
            <w:tcBorders>
              <w:bottom w:val="single" w:sz="2" w:space="0" w:color="auto"/>
            </w:tcBorders>
            <w:vAlign w:val="center"/>
          </w:tcPr>
          <w:p w14:paraId="3DE88C66" w14:textId="77777777" w:rsidR="00773F7B" w:rsidRDefault="00773F7B" w:rsidP="00773F7B">
            <w:pPr>
              <w:pStyle w:val="T2"/>
              <w:jc w:val="right"/>
            </w:pPr>
            <w:r>
              <w:t>£m</w:t>
            </w:r>
          </w:p>
        </w:tc>
      </w:tr>
      <w:tr w:rsidR="00773F7B" w14:paraId="383C5E62" w14:textId="77777777" w:rsidTr="005B3BEE">
        <w:trPr>
          <w:jc w:val="center"/>
        </w:trPr>
        <w:tc>
          <w:tcPr>
            <w:tcW w:w="7087" w:type="dxa"/>
            <w:tcBorders>
              <w:top w:val="single" w:sz="2" w:space="0" w:color="auto"/>
            </w:tcBorders>
          </w:tcPr>
          <w:p w14:paraId="5E6E5F7E" w14:textId="77777777" w:rsidR="00773F7B" w:rsidRDefault="00773F7B" w:rsidP="00773F7B">
            <w:pPr>
              <w:pStyle w:val="T2"/>
              <w:jc w:val="left"/>
              <w:rPr>
                <w:b/>
              </w:rPr>
            </w:pPr>
            <w:r w:rsidRPr="00E86C8F">
              <w:rPr>
                <w:b/>
              </w:rPr>
              <w:t>Items of income and expense taken directly to equity for continuing and discontinued operations</w:t>
            </w:r>
          </w:p>
          <w:p w14:paraId="4B525CCF" w14:textId="77777777" w:rsidR="00773F7B" w:rsidRPr="00E86C8F" w:rsidRDefault="00773F7B" w:rsidP="00773F7B">
            <w:pPr>
              <w:pStyle w:val="T2"/>
              <w:jc w:val="left"/>
              <w:rPr>
                <w:b/>
              </w:rPr>
            </w:pPr>
          </w:p>
        </w:tc>
        <w:tc>
          <w:tcPr>
            <w:tcW w:w="1701" w:type="dxa"/>
            <w:tcBorders>
              <w:top w:val="single" w:sz="2" w:space="0" w:color="auto"/>
            </w:tcBorders>
            <w:vAlign w:val="bottom"/>
          </w:tcPr>
          <w:p w14:paraId="31BF4A97" w14:textId="77777777" w:rsidR="00773F7B" w:rsidRPr="005D0EFF" w:rsidRDefault="00773F7B" w:rsidP="00773F7B">
            <w:pPr>
              <w:pStyle w:val="T2"/>
              <w:jc w:val="right"/>
              <w:rPr>
                <w:bCs/>
              </w:rPr>
            </w:pPr>
          </w:p>
        </w:tc>
        <w:tc>
          <w:tcPr>
            <w:tcW w:w="1701" w:type="dxa"/>
            <w:tcBorders>
              <w:top w:val="single" w:sz="2" w:space="0" w:color="auto"/>
            </w:tcBorders>
            <w:vAlign w:val="bottom"/>
          </w:tcPr>
          <w:p w14:paraId="129D5115" w14:textId="77777777" w:rsidR="00773F7B" w:rsidRDefault="00773F7B" w:rsidP="00773F7B">
            <w:pPr>
              <w:pStyle w:val="T2"/>
              <w:jc w:val="right"/>
            </w:pPr>
            <w:r w:rsidRPr="0096767F">
              <w:rPr>
                <w:bCs/>
              </w:rPr>
              <w:t> </w:t>
            </w:r>
          </w:p>
        </w:tc>
      </w:tr>
      <w:tr w:rsidR="00773F7B" w14:paraId="0631DB2B" w14:textId="77777777" w:rsidTr="005B3BEE">
        <w:trPr>
          <w:jc w:val="center"/>
        </w:trPr>
        <w:tc>
          <w:tcPr>
            <w:tcW w:w="7087" w:type="dxa"/>
          </w:tcPr>
          <w:p w14:paraId="7EFDA193" w14:textId="77777777" w:rsidR="00773F7B" w:rsidRPr="00E86C8F" w:rsidRDefault="00773F7B" w:rsidP="00773F7B">
            <w:pPr>
              <w:pStyle w:val="T2"/>
              <w:jc w:val="left"/>
              <w:rPr>
                <w:b/>
              </w:rPr>
            </w:pPr>
            <w:r w:rsidRPr="00E86C8F">
              <w:rPr>
                <w:b/>
              </w:rPr>
              <w:t>Items that will not be reclassified to profit or loss:</w:t>
            </w:r>
          </w:p>
        </w:tc>
        <w:tc>
          <w:tcPr>
            <w:tcW w:w="1701" w:type="dxa"/>
            <w:vAlign w:val="bottom"/>
          </w:tcPr>
          <w:p w14:paraId="632C8BA5" w14:textId="77777777" w:rsidR="00773F7B" w:rsidRPr="005D0EFF" w:rsidRDefault="00773F7B" w:rsidP="00773F7B">
            <w:pPr>
              <w:pStyle w:val="T2"/>
              <w:jc w:val="right"/>
              <w:rPr>
                <w:bCs/>
              </w:rPr>
            </w:pPr>
          </w:p>
        </w:tc>
        <w:tc>
          <w:tcPr>
            <w:tcW w:w="1701" w:type="dxa"/>
            <w:vAlign w:val="bottom"/>
          </w:tcPr>
          <w:p w14:paraId="3EF633E6" w14:textId="77777777" w:rsidR="00773F7B" w:rsidRDefault="00773F7B" w:rsidP="00773F7B">
            <w:pPr>
              <w:pStyle w:val="T2"/>
              <w:jc w:val="right"/>
            </w:pPr>
          </w:p>
        </w:tc>
      </w:tr>
      <w:tr w:rsidR="00773F7B" w14:paraId="6975BCCE" w14:textId="77777777" w:rsidTr="005B3BEE">
        <w:trPr>
          <w:jc w:val="center"/>
        </w:trPr>
        <w:tc>
          <w:tcPr>
            <w:tcW w:w="7087" w:type="dxa"/>
          </w:tcPr>
          <w:p w14:paraId="41B1C794" w14:textId="77777777" w:rsidR="00773F7B" w:rsidRPr="00765393" w:rsidRDefault="00773F7B" w:rsidP="00773F7B">
            <w:pPr>
              <w:pStyle w:val="T2"/>
              <w:jc w:val="left"/>
            </w:pPr>
            <w:r w:rsidRPr="00765393">
              <w:t xml:space="preserve">Actuarial </w:t>
            </w:r>
            <w:r>
              <w:t>gain/(loss)</w:t>
            </w:r>
            <w:r w:rsidRPr="00765393">
              <w:t xml:space="preserve"> on Group</w:t>
            </w:r>
            <w:r>
              <w:t xml:space="preserve"> legacy</w:t>
            </w:r>
            <w:r w:rsidRPr="00765393">
              <w:t xml:space="preserve"> defined benefit pension schemes</w:t>
            </w:r>
          </w:p>
        </w:tc>
        <w:tc>
          <w:tcPr>
            <w:tcW w:w="1701" w:type="dxa"/>
            <w:vAlign w:val="bottom"/>
          </w:tcPr>
          <w:p w14:paraId="5C425321" w14:textId="77777777" w:rsidR="00773F7B" w:rsidRPr="0010152A" w:rsidRDefault="00773F7B" w:rsidP="00773F7B">
            <w:pPr>
              <w:pStyle w:val="T2"/>
              <w:jc w:val="right"/>
              <w:rPr>
                <w:b/>
                <w:bCs/>
              </w:rPr>
            </w:pPr>
            <w:r>
              <w:rPr>
                <w:b/>
                <w:bCs/>
              </w:rPr>
              <w:t>32.0</w:t>
            </w:r>
          </w:p>
        </w:tc>
        <w:tc>
          <w:tcPr>
            <w:tcW w:w="1701" w:type="dxa"/>
            <w:vAlign w:val="bottom"/>
          </w:tcPr>
          <w:p w14:paraId="777BF512" w14:textId="77777777" w:rsidR="00773F7B" w:rsidRDefault="00773F7B" w:rsidP="00773F7B">
            <w:pPr>
              <w:pStyle w:val="T2"/>
              <w:jc w:val="right"/>
            </w:pPr>
            <w:r w:rsidRPr="0096767F">
              <w:rPr>
                <w:bCs/>
              </w:rPr>
              <w:t>(11.1)</w:t>
            </w:r>
          </w:p>
        </w:tc>
      </w:tr>
      <w:tr w:rsidR="00773F7B" w14:paraId="5D834A89" w14:textId="77777777" w:rsidTr="005B3BEE">
        <w:trPr>
          <w:jc w:val="center"/>
        </w:trPr>
        <w:tc>
          <w:tcPr>
            <w:tcW w:w="7087" w:type="dxa"/>
            <w:tcBorders>
              <w:bottom w:val="single" w:sz="2" w:space="0" w:color="auto"/>
            </w:tcBorders>
          </w:tcPr>
          <w:p w14:paraId="64D9220C" w14:textId="77777777" w:rsidR="00773F7B" w:rsidRPr="00765393" w:rsidRDefault="00773F7B" w:rsidP="00773F7B">
            <w:pPr>
              <w:pStyle w:val="T2"/>
              <w:jc w:val="left"/>
            </w:pPr>
            <w:r w:rsidRPr="00765393">
              <w:t xml:space="preserve">Deferred tax on Group </w:t>
            </w:r>
            <w:r>
              <w:t xml:space="preserve">legacy </w:t>
            </w:r>
            <w:r w:rsidRPr="00765393">
              <w:t>defined benefit pension schemes</w:t>
            </w:r>
          </w:p>
        </w:tc>
        <w:tc>
          <w:tcPr>
            <w:tcW w:w="1701" w:type="dxa"/>
            <w:tcBorders>
              <w:bottom w:val="single" w:sz="2" w:space="0" w:color="auto"/>
            </w:tcBorders>
            <w:vAlign w:val="bottom"/>
          </w:tcPr>
          <w:p w14:paraId="78FBFFD2" w14:textId="77777777" w:rsidR="00773F7B" w:rsidRPr="00BE7391" w:rsidRDefault="00773F7B" w:rsidP="00773F7B">
            <w:pPr>
              <w:pStyle w:val="T2"/>
              <w:jc w:val="right"/>
              <w:rPr>
                <w:b/>
                <w:bCs/>
                <w:highlight w:val="yellow"/>
              </w:rPr>
            </w:pPr>
            <w:r>
              <w:rPr>
                <w:b/>
                <w:bCs/>
              </w:rPr>
              <w:t>(2.7)</w:t>
            </w:r>
          </w:p>
        </w:tc>
        <w:tc>
          <w:tcPr>
            <w:tcW w:w="1701" w:type="dxa"/>
            <w:tcBorders>
              <w:bottom w:val="single" w:sz="2" w:space="0" w:color="auto"/>
            </w:tcBorders>
            <w:vAlign w:val="bottom"/>
          </w:tcPr>
          <w:p w14:paraId="769216D8" w14:textId="77777777" w:rsidR="00773F7B" w:rsidRPr="00BE7391" w:rsidRDefault="00773F7B" w:rsidP="00773F7B">
            <w:pPr>
              <w:pStyle w:val="T2"/>
              <w:jc w:val="right"/>
              <w:rPr>
                <w:highlight w:val="yellow"/>
              </w:rPr>
            </w:pPr>
            <w:r w:rsidRPr="00BE7391">
              <w:rPr>
                <w:bCs/>
              </w:rPr>
              <w:t>1.9</w:t>
            </w:r>
          </w:p>
        </w:tc>
      </w:tr>
      <w:tr w:rsidR="00773F7B" w14:paraId="1D9CE41A" w14:textId="77777777" w:rsidTr="005B3BEE">
        <w:trPr>
          <w:jc w:val="center"/>
        </w:trPr>
        <w:tc>
          <w:tcPr>
            <w:tcW w:w="7087" w:type="dxa"/>
            <w:tcBorders>
              <w:top w:val="single" w:sz="2" w:space="0" w:color="auto"/>
              <w:bottom w:val="single" w:sz="2" w:space="0" w:color="auto"/>
            </w:tcBorders>
          </w:tcPr>
          <w:p w14:paraId="10CF6388" w14:textId="77777777" w:rsidR="00773F7B" w:rsidRPr="00765393" w:rsidRDefault="00773F7B" w:rsidP="00773F7B">
            <w:pPr>
              <w:pStyle w:val="T2"/>
              <w:jc w:val="left"/>
            </w:pPr>
          </w:p>
        </w:tc>
        <w:tc>
          <w:tcPr>
            <w:tcW w:w="1701" w:type="dxa"/>
            <w:tcBorders>
              <w:top w:val="single" w:sz="2" w:space="0" w:color="auto"/>
              <w:bottom w:val="single" w:sz="2" w:space="0" w:color="auto"/>
            </w:tcBorders>
            <w:vAlign w:val="bottom"/>
          </w:tcPr>
          <w:p w14:paraId="7F2A123F" w14:textId="77777777" w:rsidR="00773F7B" w:rsidRPr="0010152A" w:rsidRDefault="00773F7B" w:rsidP="00773F7B">
            <w:pPr>
              <w:pStyle w:val="T2"/>
              <w:jc w:val="right"/>
              <w:rPr>
                <w:b/>
                <w:bCs/>
              </w:rPr>
            </w:pPr>
            <w:r>
              <w:rPr>
                <w:b/>
                <w:bCs/>
              </w:rPr>
              <w:t>29.3</w:t>
            </w:r>
          </w:p>
        </w:tc>
        <w:tc>
          <w:tcPr>
            <w:tcW w:w="1701" w:type="dxa"/>
            <w:tcBorders>
              <w:top w:val="single" w:sz="2" w:space="0" w:color="auto"/>
              <w:bottom w:val="single" w:sz="2" w:space="0" w:color="auto"/>
            </w:tcBorders>
            <w:vAlign w:val="bottom"/>
          </w:tcPr>
          <w:p w14:paraId="0C0B03C9" w14:textId="77777777" w:rsidR="00773F7B" w:rsidRDefault="00773F7B" w:rsidP="00773F7B">
            <w:pPr>
              <w:pStyle w:val="T2"/>
              <w:jc w:val="right"/>
            </w:pPr>
            <w:r w:rsidRPr="0096767F">
              <w:rPr>
                <w:bCs/>
              </w:rPr>
              <w:t>(9.2)</w:t>
            </w:r>
          </w:p>
        </w:tc>
      </w:tr>
      <w:tr w:rsidR="00773F7B" w14:paraId="698475D0" w14:textId="77777777" w:rsidTr="005B3BEE">
        <w:trPr>
          <w:jc w:val="center"/>
        </w:trPr>
        <w:tc>
          <w:tcPr>
            <w:tcW w:w="7087" w:type="dxa"/>
            <w:tcBorders>
              <w:top w:val="single" w:sz="2" w:space="0" w:color="auto"/>
            </w:tcBorders>
            <w:vAlign w:val="bottom"/>
          </w:tcPr>
          <w:p w14:paraId="26E7881F" w14:textId="77777777" w:rsidR="00773F7B" w:rsidRPr="00E86C8F" w:rsidRDefault="00773F7B" w:rsidP="00773F7B">
            <w:pPr>
              <w:pStyle w:val="T2"/>
              <w:jc w:val="left"/>
              <w:rPr>
                <w:b/>
              </w:rPr>
            </w:pPr>
            <w:r w:rsidRPr="00E86C8F">
              <w:rPr>
                <w:b/>
              </w:rPr>
              <w:t>Items that may subsequently be reclassified to profit or loss:</w:t>
            </w:r>
          </w:p>
        </w:tc>
        <w:tc>
          <w:tcPr>
            <w:tcW w:w="1701" w:type="dxa"/>
            <w:tcBorders>
              <w:top w:val="single" w:sz="2" w:space="0" w:color="auto"/>
            </w:tcBorders>
            <w:vAlign w:val="bottom"/>
          </w:tcPr>
          <w:p w14:paraId="1B5DDC77" w14:textId="77777777" w:rsidR="00773F7B" w:rsidRPr="005D0EFF" w:rsidRDefault="00773F7B" w:rsidP="00773F7B">
            <w:pPr>
              <w:pStyle w:val="T2"/>
              <w:jc w:val="right"/>
              <w:rPr>
                <w:bCs/>
              </w:rPr>
            </w:pPr>
          </w:p>
        </w:tc>
        <w:tc>
          <w:tcPr>
            <w:tcW w:w="1701" w:type="dxa"/>
            <w:tcBorders>
              <w:top w:val="single" w:sz="2" w:space="0" w:color="auto"/>
            </w:tcBorders>
            <w:vAlign w:val="bottom"/>
          </w:tcPr>
          <w:p w14:paraId="7ADF747A" w14:textId="77777777" w:rsidR="00773F7B" w:rsidRDefault="00773F7B" w:rsidP="00773F7B">
            <w:pPr>
              <w:pStyle w:val="T2"/>
              <w:jc w:val="right"/>
            </w:pPr>
          </w:p>
        </w:tc>
      </w:tr>
      <w:tr w:rsidR="00773F7B" w14:paraId="2A0F7422" w14:textId="77777777" w:rsidTr="005B3BEE">
        <w:trPr>
          <w:jc w:val="center"/>
        </w:trPr>
        <w:tc>
          <w:tcPr>
            <w:tcW w:w="7087" w:type="dxa"/>
            <w:vAlign w:val="bottom"/>
          </w:tcPr>
          <w:p w14:paraId="19A89265" w14:textId="77777777" w:rsidR="00773F7B" w:rsidRPr="00765393" w:rsidRDefault="00773F7B" w:rsidP="00773F7B">
            <w:pPr>
              <w:pStyle w:val="T2"/>
              <w:jc w:val="left"/>
            </w:pPr>
            <w:r w:rsidRPr="00765393">
              <w:t>Currency translation adjustment</w:t>
            </w:r>
          </w:p>
        </w:tc>
        <w:tc>
          <w:tcPr>
            <w:tcW w:w="1701" w:type="dxa"/>
            <w:vAlign w:val="bottom"/>
          </w:tcPr>
          <w:p w14:paraId="7304DA65" w14:textId="77777777" w:rsidR="00773F7B" w:rsidRPr="0010152A" w:rsidRDefault="00773F7B" w:rsidP="00773F7B">
            <w:pPr>
              <w:pStyle w:val="T2"/>
              <w:jc w:val="right"/>
              <w:rPr>
                <w:b/>
                <w:bCs/>
              </w:rPr>
            </w:pPr>
            <w:r>
              <w:rPr>
                <w:b/>
                <w:bCs/>
              </w:rPr>
              <w:t>1.0</w:t>
            </w:r>
          </w:p>
        </w:tc>
        <w:tc>
          <w:tcPr>
            <w:tcW w:w="1701" w:type="dxa"/>
            <w:vAlign w:val="bottom"/>
          </w:tcPr>
          <w:p w14:paraId="1C3B4D41" w14:textId="77777777" w:rsidR="00773F7B" w:rsidRDefault="00773F7B" w:rsidP="00773F7B">
            <w:pPr>
              <w:pStyle w:val="T2"/>
              <w:jc w:val="right"/>
            </w:pPr>
            <w:r w:rsidRPr="0096767F">
              <w:rPr>
                <w:bCs/>
              </w:rPr>
              <w:t>9.4</w:t>
            </w:r>
          </w:p>
        </w:tc>
      </w:tr>
      <w:tr w:rsidR="00773F7B" w14:paraId="1929E7EC" w14:textId="77777777" w:rsidTr="005B3BEE">
        <w:trPr>
          <w:jc w:val="center"/>
        </w:trPr>
        <w:tc>
          <w:tcPr>
            <w:tcW w:w="7087" w:type="dxa"/>
            <w:vAlign w:val="bottom"/>
          </w:tcPr>
          <w:p w14:paraId="2DE6F4B3" w14:textId="77777777" w:rsidR="00773F7B" w:rsidRPr="00765393" w:rsidRDefault="00773F7B" w:rsidP="00773F7B">
            <w:pPr>
              <w:pStyle w:val="T2"/>
              <w:jc w:val="left"/>
            </w:pPr>
            <w:r w:rsidRPr="00765393">
              <w:t xml:space="preserve">Translation reserve transferred to </w:t>
            </w:r>
            <w:r>
              <w:t>I</w:t>
            </w:r>
            <w:r w:rsidRPr="00765393">
              <w:t xml:space="preserve">ncome </w:t>
            </w:r>
            <w:r>
              <w:t>S</w:t>
            </w:r>
            <w:r w:rsidRPr="00765393">
              <w:t>tatement on discontinued operation</w:t>
            </w:r>
            <w:r>
              <w:t>s</w:t>
            </w:r>
          </w:p>
        </w:tc>
        <w:tc>
          <w:tcPr>
            <w:tcW w:w="1701" w:type="dxa"/>
            <w:vAlign w:val="bottom"/>
          </w:tcPr>
          <w:p w14:paraId="10464149" w14:textId="77777777" w:rsidR="00773F7B" w:rsidRPr="00B535FA" w:rsidRDefault="00773F7B" w:rsidP="00773F7B">
            <w:pPr>
              <w:pStyle w:val="T2"/>
              <w:jc w:val="right"/>
              <w:rPr>
                <w:b/>
                <w:bCs/>
              </w:rPr>
            </w:pPr>
            <w:r>
              <w:rPr>
                <w:b/>
                <w:bCs/>
              </w:rPr>
              <w:t>–</w:t>
            </w:r>
          </w:p>
        </w:tc>
        <w:tc>
          <w:tcPr>
            <w:tcW w:w="1701" w:type="dxa"/>
            <w:vAlign w:val="bottom"/>
          </w:tcPr>
          <w:p w14:paraId="72434138" w14:textId="77777777" w:rsidR="00773F7B" w:rsidRDefault="00773F7B" w:rsidP="00773F7B">
            <w:pPr>
              <w:pStyle w:val="T2"/>
              <w:jc w:val="right"/>
            </w:pPr>
            <w:r w:rsidRPr="0096767F">
              <w:rPr>
                <w:bCs/>
              </w:rPr>
              <w:t>(24.5)</w:t>
            </w:r>
          </w:p>
        </w:tc>
      </w:tr>
      <w:tr w:rsidR="00773F7B" w14:paraId="522B7E00" w14:textId="77777777" w:rsidTr="005B3BEE">
        <w:trPr>
          <w:jc w:val="center"/>
        </w:trPr>
        <w:tc>
          <w:tcPr>
            <w:tcW w:w="7087" w:type="dxa"/>
            <w:vAlign w:val="bottom"/>
          </w:tcPr>
          <w:p w14:paraId="77B315D5" w14:textId="77777777" w:rsidR="00773F7B" w:rsidRPr="00765393" w:rsidRDefault="00773F7B" w:rsidP="00773F7B">
            <w:pPr>
              <w:pStyle w:val="T2"/>
              <w:jc w:val="left"/>
            </w:pPr>
            <w:r w:rsidRPr="00765393">
              <w:t>Net investment hedge transferred to Income Statement for the period</w:t>
            </w:r>
          </w:p>
        </w:tc>
        <w:tc>
          <w:tcPr>
            <w:tcW w:w="1701" w:type="dxa"/>
            <w:vAlign w:val="bottom"/>
          </w:tcPr>
          <w:p w14:paraId="2C598910" w14:textId="77777777" w:rsidR="00773F7B" w:rsidRPr="00B535FA" w:rsidRDefault="00773F7B" w:rsidP="00773F7B">
            <w:pPr>
              <w:pStyle w:val="T2"/>
              <w:jc w:val="right"/>
              <w:rPr>
                <w:b/>
                <w:bCs/>
              </w:rPr>
            </w:pPr>
            <w:r>
              <w:rPr>
                <w:b/>
                <w:bCs/>
              </w:rPr>
              <w:t>–</w:t>
            </w:r>
          </w:p>
        </w:tc>
        <w:tc>
          <w:tcPr>
            <w:tcW w:w="1701" w:type="dxa"/>
            <w:vAlign w:val="bottom"/>
          </w:tcPr>
          <w:p w14:paraId="01EBE7E2" w14:textId="77777777" w:rsidR="00773F7B" w:rsidRDefault="00773F7B" w:rsidP="00773F7B">
            <w:pPr>
              <w:pStyle w:val="T2"/>
              <w:jc w:val="right"/>
            </w:pPr>
            <w:r w:rsidRPr="0096767F">
              <w:rPr>
                <w:bCs/>
              </w:rPr>
              <w:t>22.3</w:t>
            </w:r>
          </w:p>
        </w:tc>
      </w:tr>
      <w:tr w:rsidR="00773F7B" w14:paraId="2DD5881F" w14:textId="77777777" w:rsidTr="005B3BEE">
        <w:trPr>
          <w:jc w:val="center"/>
        </w:trPr>
        <w:tc>
          <w:tcPr>
            <w:tcW w:w="7087" w:type="dxa"/>
            <w:vAlign w:val="bottom"/>
          </w:tcPr>
          <w:p w14:paraId="698DA8FB" w14:textId="77777777" w:rsidR="00773F7B" w:rsidRPr="00765393" w:rsidRDefault="00773F7B" w:rsidP="00773F7B">
            <w:pPr>
              <w:pStyle w:val="T2"/>
              <w:jc w:val="left"/>
            </w:pPr>
            <w:r w:rsidRPr="00765393">
              <w:t>Cash flow hedges:</w:t>
            </w:r>
          </w:p>
        </w:tc>
        <w:tc>
          <w:tcPr>
            <w:tcW w:w="1701" w:type="dxa"/>
            <w:vAlign w:val="bottom"/>
          </w:tcPr>
          <w:p w14:paraId="7A989400" w14:textId="77777777" w:rsidR="00773F7B" w:rsidRPr="00B535FA" w:rsidRDefault="00773F7B" w:rsidP="00773F7B">
            <w:pPr>
              <w:pStyle w:val="T2"/>
              <w:jc w:val="right"/>
              <w:rPr>
                <w:b/>
                <w:bCs/>
              </w:rPr>
            </w:pPr>
          </w:p>
        </w:tc>
        <w:tc>
          <w:tcPr>
            <w:tcW w:w="1701" w:type="dxa"/>
            <w:vAlign w:val="bottom"/>
          </w:tcPr>
          <w:p w14:paraId="4A72B6A4" w14:textId="77777777" w:rsidR="00773F7B" w:rsidRDefault="00773F7B" w:rsidP="00773F7B">
            <w:pPr>
              <w:pStyle w:val="T2"/>
              <w:jc w:val="right"/>
            </w:pPr>
          </w:p>
        </w:tc>
      </w:tr>
      <w:tr w:rsidR="00773F7B" w14:paraId="7E0109AF" w14:textId="77777777" w:rsidTr="005B3BEE">
        <w:trPr>
          <w:jc w:val="center"/>
        </w:trPr>
        <w:tc>
          <w:tcPr>
            <w:tcW w:w="7087" w:type="dxa"/>
            <w:vAlign w:val="bottom"/>
          </w:tcPr>
          <w:p w14:paraId="73D3DF3B" w14:textId="77777777" w:rsidR="00773F7B" w:rsidRPr="00765393" w:rsidRDefault="00773F7B" w:rsidP="00773F7B">
            <w:pPr>
              <w:pStyle w:val="T2"/>
              <w:jc w:val="left"/>
            </w:pPr>
            <w:r>
              <w:t xml:space="preserve">     </w:t>
            </w:r>
            <w:r w:rsidRPr="00765393">
              <w:t>fair value movement taken to equity</w:t>
            </w:r>
          </w:p>
        </w:tc>
        <w:tc>
          <w:tcPr>
            <w:tcW w:w="1701" w:type="dxa"/>
            <w:vAlign w:val="bottom"/>
          </w:tcPr>
          <w:p w14:paraId="2227CFB3" w14:textId="51215EC8" w:rsidR="00773F7B" w:rsidRPr="00B535FA" w:rsidRDefault="00773F7B" w:rsidP="00773F7B">
            <w:pPr>
              <w:pStyle w:val="T2"/>
              <w:jc w:val="right"/>
              <w:rPr>
                <w:b/>
                <w:bCs/>
              </w:rPr>
            </w:pPr>
            <w:r w:rsidRPr="00B535FA">
              <w:rPr>
                <w:b/>
                <w:bCs/>
              </w:rPr>
              <w:t>2.</w:t>
            </w:r>
            <w:r w:rsidR="009A2F48">
              <w:rPr>
                <w:b/>
                <w:bCs/>
              </w:rPr>
              <w:t>4</w:t>
            </w:r>
          </w:p>
        </w:tc>
        <w:tc>
          <w:tcPr>
            <w:tcW w:w="1701" w:type="dxa"/>
            <w:vAlign w:val="bottom"/>
          </w:tcPr>
          <w:p w14:paraId="6C57C3D7" w14:textId="459D7B47" w:rsidR="00773F7B" w:rsidRDefault="00773F7B" w:rsidP="00656003">
            <w:pPr>
              <w:pStyle w:val="T2"/>
              <w:jc w:val="right"/>
            </w:pPr>
            <w:r w:rsidRPr="0096767F">
              <w:rPr>
                <w:bCs/>
              </w:rPr>
              <w:t>(2.2)</w:t>
            </w:r>
          </w:p>
        </w:tc>
      </w:tr>
      <w:tr w:rsidR="00773F7B" w14:paraId="62E1E868" w14:textId="77777777" w:rsidTr="005B3BEE">
        <w:trPr>
          <w:jc w:val="center"/>
        </w:trPr>
        <w:tc>
          <w:tcPr>
            <w:tcW w:w="7087" w:type="dxa"/>
            <w:tcBorders>
              <w:bottom w:val="single" w:sz="2" w:space="0" w:color="auto"/>
            </w:tcBorders>
            <w:vAlign w:val="bottom"/>
          </w:tcPr>
          <w:p w14:paraId="08DD8513" w14:textId="77777777" w:rsidR="00773F7B" w:rsidRPr="00765393" w:rsidRDefault="00773F7B" w:rsidP="00773F7B">
            <w:pPr>
              <w:pStyle w:val="T2"/>
              <w:jc w:val="left"/>
            </w:pPr>
            <w:r>
              <w:t xml:space="preserve">     </w:t>
            </w:r>
            <w:r w:rsidRPr="00765393">
              <w:t>transfer to Income Statement for the period</w:t>
            </w:r>
          </w:p>
        </w:tc>
        <w:tc>
          <w:tcPr>
            <w:tcW w:w="1701" w:type="dxa"/>
            <w:tcBorders>
              <w:bottom w:val="single" w:sz="2" w:space="0" w:color="auto"/>
            </w:tcBorders>
            <w:vAlign w:val="bottom"/>
          </w:tcPr>
          <w:p w14:paraId="3546DF2D" w14:textId="4CEE8C3F" w:rsidR="00773F7B" w:rsidRPr="00B535FA" w:rsidRDefault="00773F7B" w:rsidP="00773F7B">
            <w:pPr>
              <w:pStyle w:val="T2"/>
              <w:jc w:val="right"/>
              <w:rPr>
                <w:b/>
                <w:bCs/>
              </w:rPr>
            </w:pPr>
            <w:r w:rsidRPr="00B535FA">
              <w:rPr>
                <w:b/>
                <w:bCs/>
              </w:rPr>
              <w:t>0.1</w:t>
            </w:r>
          </w:p>
        </w:tc>
        <w:tc>
          <w:tcPr>
            <w:tcW w:w="1701" w:type="dxa"/>
            <w:tcBorders>
              <w:bottom w:val="single" w:sz="2" w:space="0" w:color="auto"/>
            </w:tcBorders>
            <w:vAlign w:val="bottom"/>
          </w:tcPr>
          <w:p w14:paraId="7AECA0CE" w14:textId="77777777" w:rsidR="00773F7B" w:rsidRDefault="00773F7B" w:rsidP="00773F7B">
            <w:pPr>
              <w:pStyle w:val="T2"/>
              <w:jc w:val="right"/>
            </w:pPr>
            <w:r w:rsidRPr="0096767F">
              <w:rPr>
                <w:bCs/>
              </w:rPr>
              <w:t>1.6</w:t>
            </w:r>
          </w:p>
        </w:tc>
      </w:tr>
      <w:tr w:rsidR="00773F7B" w14:paraId="5040CAA1" w14:textId="77777777" w:rsidTr="005B3BEE">
        <w:trPr>
          <w:jc w:val="center"/>
        </w:trPr>
        <w:tc>
          <w:tcPr>
            <w:tcW w:w="7087" w:type="dxa"/>
            <w:tcBorders>
              <w:top w:val="single" w:sz="2" w:space="0" w:color="auto"/>
              <w:bottom w:val="single" w:sz="2" w:space="0" w:color="auto"/>
            </w:tcBorders>
          </w:tcPr>
          <w:p w14:paraId="0F9DDB70" w14:textId="77777777" w:rsidR="00773F7B" w:rsidRPr="00765393" w:rsidRDefault="00773F7B" w:rsidP="00773F7B">
            <w:pPr>
              <w:pStyle w:val="T2"/>
              <w:jc w:val="left"/>
            </w:pPr>
          </w:p>
        </w:tc>
        <w:tc>
          <w:tcPr>
            <w:tcW w:w="1701" w:type="dxa"/>
            <w:tcBorders>
              <w:top w:val="single" w:sz="2" w:space="0" w:color="auto"/>
              <w:bottom w:val="single" w:sz="2" w:space="0" w:color="auto"/>
            </w:tcBorders>
            <w:vAlign w:val="bottom"/>
          </w:tcPr>
          <w:p w14:paraId="35F8229E" w14:textId="77777777" w:rsidR="00773F7B" w:rsidRPr="00B535FA" w:rsidRDefault="00773F7B" w:rsidP="00773F7B">
            <w:pPr>
              <w:pStyle w:val="T2"/>
              <w:jc w:val="right"/>
              <w:rPr>
                <w:b/>
                <w:bCs/>
              </w:rPr>
            </w:pPr>
            <w:r w:rsidRPr="00B535FA">
              <w:rPr>
                <w:b/>
                <w:bCs/>
              </w:rPr>
              <w:t>3.</w:t>
            </w:r>
            <w:r>
              <w:rPr>
                <w:b/>
                <w:bCs/>
              </w:rPr>
              <w:t>5</w:t>
            </w:r>
          </w:p>
        </w:tc>
        <w:tc>
          <w:tcPr>
            <w:tcW w:w="1701" w:type="dxa"/>
            <w:tcBorders>
              <w:top w:val="single" w:sz="2" w:space="0" w:color="auto"/>
              <w:bottom w:val="single" w:sz="2" w:space="0" w:color="auto"/>
            </w:tcBorders>
            <w:vAlign w:val="bottom"/>
          </w:tcPr>
          <w:p w14:paraId="0B54D374" w14:textId="77777777" w:rsidR="00773F7B" w:rsidRDefault="00773F7B" w:rsidP="00773F7B">
            <w:pPr>
              <w:pStyle w:val="T2"/>
              <w:jc w:val="right"/>
            </w:pPr>
            <w:r w:rsidRPr="0096767F">
              <w:rPr>
                <w:bCs/>
              </w:rPr>
              <w:t>6.6</w:t>
            </w:r>
          </w:p>
        </w:tc>
      </w:tr>
      <w:tr w:rsidR="00773F7B" w14:paraId="3B4F2FB2" w14:textId="77777777" w:rsidTr="005B3BEE">
        <w:trPr>
          <w:jc w:val="center"/>
        </w:trPr>
        <w:tc>
          <w:tcPr>
            <w:tcW w:w="7087" w:type="dxa"/>
            <w:tcBorders>
              <w:top w:val="single" w:sz="2" w:space="0" w:color="auto"/>
            </w:tcBorders>
          </w:tcPr>
          <w:p w14:paraId="60AA52E2" w14:textId="77777777" w:rsidR="00773F7B" w:rsidRPr="00765393" w:rsidRDefault="00773F7B" w:rsidP="00773F7B">
            <w:pPr>
              <w:pStyle w:val="T2"/>
              <w:jc w:val="left"/>
            </w:pPr>
            <w:r w:rsidRPr="00765393">
              <w:t>Net income</w:t>
            </w:r>
            <w:r>
              <w:t>/(expense)</w:t>
            </w:r>
            <w:r w:rsidRPr="00765393">
              <w:t xml:space="preserve"> recognised directly within equity</w:t>
            </w:r>
          </w:p>
        </w:tc>
        <w:tc>
          <w:tcPr>
            <w:tcW w:w="1701" w:type="dxa"/>
            <w:tcBorders>
              <w:top w:val="single" w:sz="2" w:space="0" w:color="auto"/>
            </w:tcBorders>
            <w:vAlign w:val="bottom"/>
          </w:tcPr>
          <w:p w14:paraId="013AA47D" w14:textId="77777777" w:rsidR="00773F7B" w:rsidRPr="00B535FA" w:rsidRDefault="00773F7B" w:rsidP="00773F7B">
            <w:pPr>
              <w:pStyle w:val="T2"/>
              <w:jc w:val="right"/>
              <w:rPr>
                <w:b/>
                <w:bCs/>
              </w:rPr>
            </w:pPr>
            <w:r w:rsidRPr="00B535FA">
              <w:rPr>
                <w:b/>
                <w:bCs/>
              </w:rPr>
              <w:t>3</w:t>
            </w:r>
            <w:r>
              <w:rPr>
                <w:b/>
                <w:bCs/>
              </w:rPr>
              <w:t>2.8</w:t>
            </w:r>
          </w:p>
        </w:tc>
        <w:tc>
          <w:tcPr>
            <w:tcW w:w="1701" w:type="dxa"/>
            <w:tcBorders>
              <w:top w:val="single" w:sz="2" w:space="0" w:color="auto"/>
            </w:tcBorders>
            <w:vAlign w:val="bottom"/>
          </w:tcPr>
          <w:p w14:paraId="41C4F09B" w14:textId="77777777" w:rsidR="00773F7B" w:rsidRDefault="00773F7B" w:rsidP="00773F7B">
            <w:pPr>
              <w:pStyle w:val="T2"/>
              <w:jc w:val="right"/>
            </w:pPr>
            <w:r w:rsidRPr="0096767F">
              <w:rPr>
                <w:bCs/>
              </w:rPr>
              <w:t>(2.6)</w:t>
            </w:r>
          </w:p>
        </w:tc>
      </w:tr>
      <w:tr w:rsidR="00773F7B" w14:paraId="7F4C7F01" w14:textId="77777777" w:rsidTr="005B3BEE">
        <w:trPr>
          <w:jc w:val="center"/>
        </w:trPr>
        <w:tc>
          <w:tcPr>
            <w:tcW w:w="7087" w:type="dxa"/>
            <w:tcBorders>
              <w:bottom w:val="single" w:sz="2" w:space="0" w:color="auto"/>
            </w:tcBorders>
          </w:tcPr>
          <w:p w14:paraId="67E5863F" w14:textId="77777777" w:rsidR="00773F7B" w:rsidRPr="00765393" w:rsidRDefault="00773F7B" w:rsidP="00773F7B">
            <w:pPr>
              <w:pStyle w:val="T2"/>
              <w:jc w:val="left"/>
            </w:pPr>
            <w:r w:rsidRPr="00765393">
              <w:t>Profit for the financial period</w:t>
            </w:r>
          </w:p>
        </w:tc>
        <w:tc>
          <w:tcPr>
            <w:tcW w:w="1701" w:type="dxa"/>
            <w:tcBorders>
              <w:bottom w:val="single" w:sz="2" w:space="0" w:color="auto"/>
            </w:tcBorders>
            <w:vAlign w:val="bottom"/>
          </w:tcPr>
          <w:p w14:paraId="6B5BFCC5" w14:textId="77777777" w:rsidR="00773F7B" w:rsidRPr="00B535FA" w:rsidRDefault="00773F7B" w:rsidP="00773F7B">
            <w:pPr>
              <w:pStyle w:val="T2"/>
              <w:jc w:val="right"/>
              <w:rPr>
                <w:b/>
                <w:bCs/>
              </w:rPr>
            </w:pPr>
            <w:r>
              <w:rPr>
                <w:b/>
                <w:bCs/>
              </w:rPr>
              <w:t>24.2</w:t>
            </w:r>
          </w:p>
        </w:tc>
        <w:tc>
          <w:tcPr>
            <w:tcW w:w="1701" w:type="dxa"/>
            <w:tcBorders>
              <w:bottom w:val="single" w:sz="2" w:space="0" w:color="auto"/>
            </w:tcBorders>
            <w:vAlign w:val="bottom"/>
          </w:tcPr>
          <w:p w14:paraId="42FD0242" w14:textId="77777777" w:rsidR="00773F7B" w:rsidRDefault="00773F7B" w:rsidP="00773F7B">
            <w:pPr>
              <w:pStyle w:val="T2"/>
              <w:jc w:val="right"/>
            </w:pPr>
            <w:r w:rsidRPr="0096767F">
              <w:rPr>
                <w:bCs/>
              </w:rPr>
              <w:t>66.4</w:t>
            </w:r>
          </w:p>
        </w:tc>
      </w:tr>
      <w:tr w:rsidR="00773F7B" w14:paraId="2574CE89" w14:textId="77777777" w:rsidTr="005B3BEE">
        <w:trPr>
          <w:jc w:val="center"/>
        </w:trPr>
        <w:tc>
          <w:tcPr>
            <w:tcW w:w="7087" w:type="dxa"/>
            <w:tcBorders>
              <w:top w:val="single" w:sz="2" w:space="0" w:color="auto"/>
              <w:bottom w:val="single" w:sz="8" w:space="0" w:color="auto"/>
            </w:tcBorders>
          </w:tcPr>
          <w:p w14:paraId="34B1522F" w14:textId="77777777" w:rsidR="00773F7B" w:rsidRPr="00704CCC" w:rsidRDefault="00773F7B" w:rsidP="00773F7B">
            <w:pPr>
              <w:pStyle w:val="T2"/>
              <w:jc w:val="left"/>
              <w:rPr>
                <w:b/>
              </w:rPr>
            </w:pPr>
            <w:r w:rsidRPr="00704CCC">
              <w:rPr>
                <w:b/>
              </w:rPr>
              <w:t xml:space="preserve">Total </w:t>
            </w:r>
            <w:r>
              <w:rPr>
                <w:b/>
              </w:rPr>
              <w:t>comprehensive</w:t>
            </w:r>
            <w:r w:rsidRPr="00704CCC">
              <w:rPr>
                <w:b/>
              </w:rPr>
              <w:t xml:space="preserve"> income for the financial period</w:t>
            </w:r>
          </w:p>
        </w:tc>
        <w:tc>
          <w:tcPr>
            <w:tcW w:w="1701" w:type="dxa"/>
            <w:tcBorders>
              <w:top w:val="single" w:sz="2" w:space="0" w:color="auto"/>
              <w:bottom w:val="single" w:sz="8" w:space="0" w:color="auto"/>
            </w:tcBorders>
            <w:vAlign w:val="bottom"/>
          </w:tcPr>
          <w:p w14:paraId="11AAA2A1" w14:textId="77777777" w:rsidR="00773F7B" w:rsidRPr="00B535FA" w:rsidRDefault="00773F7B" w:rsidP="00773F7B">
            <w:pPr>
              <w:pStyle w:val="T2"/>
              <w:jc w:val="right"/>
              <w:rPr>
                <w:b/>
                <w:bCs/>
              </w:rPr>
            </w:pPr>
            <w:r w:rsidRPr="00B535FA">
              <w:rPr>
                <w:b/>
                <w:bCs/>
              </w:rPr>
              <w:t>5</w:t>
            </w:r>
            <w:r>
              <w:rPr>
                <w:b/>
                <w:bCs/>
              </w:rPr>
              <w:t>7.0</w:t>
            </w:r>
          </w:p>
        </w:tc>
        <w:tc>
          <w:tcPr>
            <w:tcW w:w="1701" w:type="dxa"/>
            <w:tcBorders>
              <w:top w:val="single" w:sz="2" w:space="0" w:color="auto"/>
              <w:bottom w:val="single" w:sz="8" w:space="0" w:color="auto"/>
            </w:tcBorders>
            <w:vAlign w:val="bottom"/>
          </w:tcPr>
          <w:p w14:paraId="5A2DADE3" w14:textId="77777777" w:rsidR="00773F7B" w:rsidRDefault="00773F7B" w:rsidP="00773F7B">
            <w:pPr>
              <w:pStyle w:val="T2"/>
              <w:jc w:val="right"/>
            </w:pPr>
            <w:r w:rsidRPr="0096767F">
              <w:rPr>
                <w:bCs/>
              </w:rPr>
              <w:t>63.8</w:t>
            </w:r>
          </w:p>
        </w:tc>
      </w:tr>
      <w:tr w:rsidR="00773F7B" w14:paraId="11E323C5" w14:textId="77777777" w:rsidTr="005B3BEE">
        <w:trPr>
          <w:jc w:val="center"/>
        </w:trPr>
        <w:tc>
          <w:tcPr>
            <w:tcW w:w="7087" w:type="dxa"/>
            <w:tcBorders>
              <w:top w:val="single" w:sz="8" w:space="0" w:color="auto"/>
            </w:tcBorders>
          </w:tcPr>
          <w:p w14:paraId="0D2414EC" w14:textId="77777777" w:rsidR="00773F7B" w:rsidRPr="00765393" w:rsidRDefault="00773F7B" w:rsidP="00773F7B">
            <w:pPr>
              <w:pStyle w:val="T2"/>
              <w:jc w:val="left"/>
            </w:pPr>
          </w:p>
        </w:tc>
        <w:tc>
          <w:tcPr>
            <w:tcW w:w="1701" w:type="dxa"/>
            <w:tcBorders>
              <w:top w:val="single" w:sz="8" w:space="0" w:color="auto"/>
            </w:tcBorders>
            <w:vAlign w:val="bottom"/>
          </w:tcPr>
          <w:p w14:paraId="3C434939" w14:textId="77777777" w:rsidR="00773F7B" w:rsidRPr="005D0EFF" w:rsidRDefault="00773F7B" w:rsidP="00773F7B">
            <w:pPr>
              <w:pStyle w:val="T2"/>
              <w:jc w:val="right"/>
              <w:rPr>
                <w:bCs/>
              </w:rPr>
            </w:pPr>
          </w:p>
        </w:tc>
        <w:tc>
          <w:tcPr>
            <w:tcW w:w="1701" w:type="dxa"/>
            <w:tcBorders>
              <w:top w:val="single" w:sz="8" w:space="0" w:color="auto"/>
            </w:tcBorders>
            <w:vAlign w:val="bottom"/>
          </w:tcPr>
          <w:p w14:paraId="7C5CDEFA" w14:textId="77777777" w:rsidR="00773F7B" w:rsidRDefault="00773F7B" w:rsidP="00773F7B">
            <w:pPr>
              <w:pStyle w:val="T2"/>
              <w:jc w:val="right"/>
            </w:pPr>
          </w:p>
        </w:tc>
      </w:tr>
      <w:tr w:rsidR="00773F7B" w14:paraId="27047203" w14:textId="77777777" w:rsidTr="005B3BEE">
        <w:trPr>
          <w:jc w:val="center"/>
        </w:trPr>
        <w:tc>
          <w:tcPr>
            <w:tcW w:w="7087" w:type="dxa"/>
            <w:vAlign w:val="bottom"/>
          </w:tcPr>
          <w:p w14:paraId="51DFF549" w14:textId="77777777" w:rsidR="00773F7B" w:rsidRPr="00704CCC" w:rsidRDefault="00773F7B" w:rsidP="00773F7B">
            <w:pPr>
              <w:pStyle w:val="T2"/>
              <w:jc w:val="left"/>
              <w:rPr>
                <w:b/>
              </w:rPr>
            </w:pPr>
            <w:r w:rsidRPr="00704CCC">
              <w:rPr>
                <w:b/>
              </w:rPr>
              <w:t>Attributable to:</w:t>
            </w:r>
          </w:p>
        </w:tc>
        <w:tc>
          <w:tcPr>
            <w:tcW w:w="1701" w:type="dxa"/>
            <w:vAlign w:val="bottom"/>
          </w:tcPr>
          <w:p w14:paraId="17D1DE9E" w14:textId="77777777" w:rsidR="00773F7B" w:rsidRPr="005D0EFF" w:rsidRDefault="00773F7B" w:rsidP="00773F7B">
            <w:pPr>
              <w:pStyle w:val="T2"/>
              <w:jc w:val="right"/>
              <w:rPr>
                <w:bCs/>
              </w:rPr>
            </w:pPr>
          </w:p>
        </w:tc>
        <w:tc>
          <w:tcPr>
            <w:tcW w:w="1701" w:type="dxa"/>
            <w:vAlign w:val="bottom"/>
          </w:tcPr>
          <w:p w14:paraId="695618DB" w14:textId="77777777" w:rsidR="00773F7B" w:rsidRDefault="00773F7B" w:rsidP="00773F7B">
            <w:pPr>
              <w:pStyle w:val="T2"/>
              <w:jc w:val="right"/>
            </w:pPr>
          </w:p>
        </w:tc>
      </w:tr>
      <w:tr w:rsidR="00773F7B" w14:paraId="7B2B8BEC" w14:textId="77777777" w:rsidTr="005B3BEE">
        <w:trPr>
          <w:jc w:val="center"/>
        </w:trPr>
        <w:tc>
          <w:tcPr>
            <w:tcW w:w="7087" w:type="dxa"/>
            <w:vAlign w:val="bottom"/>
          </w:tcPr>
          <w:p w14:paraId="70969881" w14:textId="77777777" w:rsidR="00773F7B" w:rsidRPr="00765393" w:rsidRDefault="00773F7B" w:rsidP="00773F7B">
            <w:pPr>
              <w:pStyle w:val="T2"/>
              <w:jc w:val="left"/>
            </w:pPr>
            <w:r w:rsidRPr="00765393">
              <w:t>Equity</w:t>
            </w:r>
            <w:r>
              <w:t xml:space="preserve"> Shareholders</w:t>
            </w:r>
          </w:p>
        </w:tc>
        <w:tc>
          <w:tcPr>
            <w:tcW w:w="1701" w:type="dxa"/>
            <w:vAlign w:val="bottom"/>
          </w:tcPr>
          <w:p w14:paraId="5C658EA3" w14:textId="77777777" w:rsidR="00773F7B" w:rsidRPr="00B535FA" w:rsidRDefault="00773F7B" w:rsidP="00773F7B">
            <w:pPr>
              <w:pStyle w:val="T2"/>
              <w:jc w:val="right"/>
              <w:rPr>
                <w:b/>
                <w:bCs/>
              </w:rPr>
            </w:pPr>
            <w:r w:rsidRPr="00B535FA">
              <w:rPr>
                <w:b/>
                <w:bCs/>
              </w:rPr>
              <w:t>5</w:t>
            </w:r>
            <w:r>
              <w:rPr>
                <w:b/>
                <w:bCs/>
              </w:rPr>
              <w:t>6.1</w:t>
            </w:r>
          </w:p>
        </w:tc>
        <w:tc>
          <w:tcPr>
            <w:tcW w:w="1701" w:type="dxa"/>
            <w:vAlign w:val="bottom"/>
          </w:tcPr>
          <w:p w14:paraId="3F1DF422" w14:textId="77777777" w:rsidR="00773F7B" w:rsidRDefault="00773F7B" w:rsidP="00773F7B">
            <w:pPr>
              <w:pStyle w:val="T2"/>
              <w:jc w:val="right"/>
            </w:pPr>
            <w:r w:rsidRPr="0096767F">
              <w:rPr>
                <w:bCs/>
              </w:rPr>
              <w:t>62.7</w:t>
            </w:r>
          </w:p>
        </w:tc>
      </w:tr>
      <w:tr w:rsidR="00773F7B" w14:paraId="112ACC0B" w14:textId="77777777" w:rsidTr="005B3BEE">
        <w:trPr>
          <w:jc w:val="center"/>
        </w:trPr>
        <w:tc>
          <w:tcPr>
            <w:tcW w:w="7087" w:type="dxa"/>
            <w:tcBorders>
              <w:bottom w:val="single" w:sz="2" w:space="0" w:color="auto"/>
            </w:tcBorders>
            <w:vAlign w:val="bottom"/>
          </w:tcPr>
          <w:p w14:paraId="50A3D931" w14:textId="77777777" w:rsidR="00773F7B" w:rsidRPr="00765393" w:rsidRDefault="00773F7B" w:rsidP="00773F7B">
            <w:pPr>
              <w:pStyle w:val="T2"/>
              <w:jc w:val="left"/>
            </w:pPr>
            <w:r w:rsidRPr="00765393">
              <w:t>Non</w:t>
            </w:r>
            <w:r>
              <w:t>–</w:t>
            </w:r>
            <w:r w:rsidRPr="00765393">
              <w:t>controlling interests</w:t>
            </w:r>
          </w:p>
        </w:tc>
        <w:tc>
          <w:tcPr>
            <w:tcW w:w="1701" w:type="dxa"/>
            <w:tcBorders>
              <w:bottom w:val="single" w:sz="2" w:space="0" w:color="auto"/>
            </w:tcBorders>
            <w:vAlign w:val="bottom"/>
          </w:tcPr>
          <w:p w14:paraId="38CFFB67" w14:textId="77777777" w:rsidR="00773F7B" w:rsidRPr="00B535FA" w:rsidRDefault="00773F7B" w:rsidP="00773F7B">
            <w:pPr>
              <w:pStyle w:val="T2"/>
              <w:jc w:val="right"/>
              <w:rPr>
                <w:b/>
                <w:bCs/>
              </w:rPr>
            </w:pPr>
            <w:r>
              <w:rPr>
                <w:b/>
                <w:bCs/>
              </w:rPr>
              <w:t>0</w:t>
            </w:r>
            <w:r w:rsidRPr="00B535FA">
              <w:rPr>
                <w:b/>
                <w:bCs/>
              </w:rPr>
              <w:t>.9</w:t>
            </w:r>
          </w:p>
        </w:tc>
        <w:tc>
          <w:tcPr>
            <w:tcW w:w="1701" w:type="dxa"/>
            <w:tcBorders>
              <w:bottom w:val="single" w:sz="2" w:space="0" w:color="auto"/>
            </w:tcBorders>
            <w:vAlign w:val="bottom"/>
          </w:tcPr>
          <w:p w14:paraId="1DEC66A7" w14:textId="77777777" w:rsidR="00773F7B" w:rsidRDefault="00773F7B" w:rsidP="00773F7B">
            <w:pPr>
              <w:pStyle w:val="T2"/>
              <w:jc w:val="right"/>
            </w:pPr>
            <w:r w:rsidRPr="0096767F">
              <w:rPr>
                <w:bCs/>
              </w:rPr>
              <w:t>1.1</w:t>
            </w:r>
          </w:p>
        </w:tc>
      </w:tr>
      <w:tr w:rsidR="00773F7B" w14:paraId="42945718" w14:textId="77777777" w:rsidTr="005B3BEE">
        <w:trPr>
          <w:jc w:val="center"/>
        </w:trPr>
        <w:tc>
          <w:tcPr>
            <w:tcW w:w="7087" w:type="dxa"/>
            <w:tcBorders>
              <w:top w:val="single" w:sz="2" w:space="0" w:color="auto"/>
              <w:bottom w:val="single" w:sz="8" w:space="0" w:color="auto"/>
            </w:tcBorders>
            <w:vAlign w:val="bottom"/>
          </w:tcPr>
          <w:p w14:paraId="31E27E64" w14:textId="77777777" w:rsidR="00773F7B" w:rsidRPr="00704CCC" w:rsidRDefault="00773F7B" w:rsidP="00773F7B">
            <w:pPr>
              <w:pStyle w:val="T2"/>
              <w:jc w:val="left"/>
              <w:rPr>
                <w:b/>
              </w:rPr>
            </w:pPr>
            <w:r>
              <w:rPr>
                <w:b/>
              </w:rPr>
              <w:t>Total comprehensive</w:t>
            </w:r>
            <w:r w:rsidRPr="00704CCC">
              <w:rPr>
                <w:b/>
              </w:rPr>
              <w:t xml:space="preserve"> income for the financial period</w:t>
            </w:r>
          </w:p>
        </w:tc>
        <w:tc>
          <w:tcPr>
            <w:tcW w:w="1701" w:type="dxa"/>
            <w:tcBorders>
              <w:top w:val="single" w:sz="2" w:space="0" w:color="auto"/>
              <w:bottom w:val="single" w:sz="8" w:space="0" w:color="auto"/>
            </w:tcBorders>
            <w:vAlign w:val="bottom"/>
          </w:tcPr>
          <w:p w14:paraId="5917853D" w14:textId="77777777" w:rsidR="00773F7B" w:rsidRPr="00B535FA" w:rsidRDefault="00773F7B" w:rsidP="00773F7B">
            <w:pPr>
              <w:pStyle w:val="T2"/>
              <w:jc w:val="right"/>
              <w:rPr>
                <w:b/>
                <w:bCs/>
              </w:rPr>
            </w:pPr>
            <w:r w:rsidRPr="00B535FA">
              <w:rPr>
                <w:b/>
                <w:bCs/>
              </w:rPr>
              <w:t>5</w:t>
            </w:r>
            <w:r>
              <w:rPr>
                <w:b/>
                <w:bCs/>
              </w:rPr>
              <w:t>7.0</w:t>
            </w:r>
          </w:p>
        </w:tc>
        <w:tc>
          <w:tcPr>
            <w:tcW w:w="1701" w:type="dxa"/>
            <w:tcBorders>
              <w:top w:val="single" w:sz="2" w:space="0" w:color="auto"/>
              <w:bottom w:val="single" w:sz="8" w:space="0" w:color="auto"/>
            </w:tcBorders>
            <w:vAlign w:val="bottom"/>
          </w:tcPr>
          <w:p w14:paraId="765F56DD" w14:textId="77777777" w:rsidR="00773F7B" w:rsidRDefault="00773F7B" w:rsidP="00773F7B">
            <w:pPr>
              <w:pStyle w:val="T2"/>
              <w:jc w:val="right"/>
            </w:pPr>
            <w:r w:rsidRPr="0096767F">
              <w:rPr>
                <w:bCs/>
              </w:rPr>
              <w:t>63.8</w:t>
            </w:r>
          </w:p>
        </w:tc>
      </w:tr>
      <w:tr w:rsidR="00773F7B" w14:paraId="58D9D962" w14:textId="77777777" w:rsidTr="005B3BEE">
        <w:trPr>
          <w:jc w:val="center"/>
        </w:trPr>
        <w:tc>
          <w:tcPr>
            <w:tcW w:w="7087" w:type="dxa"/>
            <w:tcBorders>
              <w:top w:val="single" w:sz="8" w:space="0" w:color="auto"/>
            </w:tcBorders>
          </w:tcPr>
          <w:p w14:paraId="4FDE0278" w14:textId="77777777" w:rsidR="00773F7B" w:rsidRPr="00704CCC" w:rsidRDefault="00773F7B" w:rsidP="00773F7B">
            <w:pPr>
              <w:pStyle w:val="T2"/>
              <w:jc w:val="left"/>
              <w:rPr>
                <w:b/>
              </w:rPr>
            </w:pPr>
          </w:p>
        </w:tc>
        <w:tc>
          <w:tcPr>
            <w:tcW w:w="1701" w:type="dxa"/>
            <w:tcBorders>
              <w:top w:val="single" w:sz="8" w:space="0" w:color="auto"/>
            </w:tcBorders>
            <w:vAlign w:val="bottom"/>
          </w:tcPr>
          <w:p w14:paraId="13118BC4" w14:textId="77777777" w:rsidR="00773F7B" w:rsidRPr="005D0EFF" w:rsidRDefault="00773F7B" w:rsidP="00773F7B">
            <w:pPr>
              <w:pStyle w:val="T2"/>
              <w:jc w:val="right"/>
              <w:rPr>
                <w:bCs/>
              </w:rPr>
            </w:pPr>
          </w:p>
        </w:tc>
        <w:tc>
          <w:tcPr>
            <w:tcW w:w="1701" w:type="dxa"/>
            <w:tcBorders>
              <w:top w:val="single" w:sz="8" w:space="0" w:color="auto"/>
            </w:tcBorders>
            <w:vAlign w:val="bottom"/>
          </w:tcPr>
          <w:p w14:paraId="232B8D56" w14:textId="77777777" w:rsidR="00773F7B" w:rsidRDefault="00773F7B" w:rsidP="00773F7B">
            <w:pPr>
              <w:pStyle w:val="T2"/>
              <w:jc w:val="right"/>
            </w:pPr>
          </w:p>
        </w:tc>
      </w:tr>
      <w:tr w:rsidR="00773F7B" w14:paraId="36C67285" w14:textId="77777777" w:rsidTr="005B3BEE">
        <w:trPr>
          <w:jc w:val="center"/>
        </w:trPr>
        <w:tc>
          <w:tcPr>
            <w:tcW w:w="7087" w:type="dxa"/>
            <w:vAlign w:val="bottom"/>
          </w:tcPr>
          <w:p w14:paraId="387566D5" w14:textId="77777777" w:rsidR="00773F7B" w:rsidRPr="00704CCC" w:rsidRDefault="00773F7B" w:rsidP="00773F7B">
            <w:pPr>
              <w:pStyle w:val="T2"/>
              <w:jc w:val="left"/>
              <w:rPr>
                <w:b/>
              </w:rPr>
            </w:pPr>
            <w:r w:rsidRPr="00704CCC">
              <w:rPr>
                <w:b/>
              </w:rPr>
              <w:t>Attributable to:</w:t>
            </w:r>
          </w:p>
        </w:tc>
        <w:tc>
          <w:tcPr>
            <w:tcW w:w="1701" w:type="dxa"/>
            <w:vAlign w:val="bottom"/>
          </w:tcPr>
          <w:p w14:paraId="0AF6D83E" w14:textId="77777777" w:rsidR="00773F7B" w:rsidRPr="005D0EFF" w:rsidRDefault="00773F7B" w:rsidP="00773F7B">
            <w:pPr>
              <w:pStyle w:val="T2"/>
              <w:jc w:val="right"/>
              <w:rPr>
                <w:bCs/>
              </w:rPr>
            </w:pPr>
          </w:p>
        </w:tc>
        <w:tc>
          <w:tcPr>
            <w:tcW w:w="1701" w:type="dxa"/>
            <w:vAlign w:val="bottom"/>
          </w:tcPr>
          <w:p w14:paraId="3AD2745A" w14:textId="77777777" w:rsidR="00773F7B" w:rsidRDefault="00773F7B" w:rsidP="00773F7B">
            <w:pPr>
              <w:pStyle w:val="T2"/>
              <w:jc w:val="right"/>
            </w:pPr>
          </w:p>
        </w:tc>
      </w:tr>
      <w:tr w:rsidR="00773F7B" w14:paraId="5C1732CE" w14:textId="77777777" w:rsidTr="005B3BEE">
        <w:trPr>
          <w:jc w:val="center"/>
        </w:trPr>
        <w:tc>
          <w:tcPr>
            <w:tcW w:w="7087" w:type="dxa"/>
            <w:vAlign w:val="bottom"/>
          </w:tcPr>
          <w:p w14:paraId="76241947" w14:textId="77777777" w:rsidR="00773F7B" w:rsidRPr="00765393" w:rsidRDefault="00773F7B" w:rsidP="00773F7B">
            <w:pPr>
              <w:pStyle w:val="T2"/>
              <w:jc w:val="left"/>
            </w:pPr>
            <w:r w:rsidRPr="00765393">
              <w:t>Continuing operations</w:t>
            </w:r>
          </w:p>
        </w:tc>
        <w:tc>
          <w:tcPr>
            <w:tcW w:w="1701" w:type="dxa"/>
            <w:vAlign w:val="bottom"/>
          </w:tcPr>
          <w:p w14:paraId="61EAA523" w14:textId="77777777" w:rsidR="00773F7B" w:rsidRPr="00B535FA" w:rsidRDefault="00773F7B" w:rsidP="00773F7B">
            <w:pPr>
              <w:pStyle w:val="T2"/>
              <w:jc w:val="right"/>
              <w:rPr>
                <w:b/>
                <w:bCs/>
              </w:rPr>
            </w:pPr>
            <w:r>
              <w:rPr>
                <w:b/>
                <w:bCs/>
              </w:rPr>
              <w:t>57.0</w:t>
            </w:r>
          </w:p>
        </w:tc>
        <w:tc>
          <w:tcPr>
            <w:tcW w:w="1701" w:type="dxa"/>
            <w:vAlign w:val="bottom"/>
          </w:tcPr>
          <w:p w14:paraId="01CE22BC" w14:textId="77777777" w:rsidR="00773F7B" w:rsidRDefault="00773F7B" w:rsidP="00773F7B">
            <w:pPr>
              <w:pStyle w:val="T2"/>
              <w:jc w:val="right"/>
            </w:pPr>
            <w:r w:rsidRPr="0096767F">
              <w:rPr>
                <w:bCs/>
              </w:rPr>
              <w:t>6.4</w:t>
            </w:r>
          </w:p>
        </w:tc>
      </w:tr>
      <w:tr w:rsidR="00773F7B" w14:paraId="294BEDF7" w14:textId="77777777" w:rsidTr="005B3BEE">
        <w:trPr>
          <w:jc w:val="center"/>
        </w:trPr>
        <w:tc>
          <w:tcPr>
            <w:tcW w:w="7087" w:type="dxa"/>
            <w:tcBorders>
              <w:bottom w:val="single" w:sz="2" w:space="0" w:color="auto"/>
            </w:tcBorders>
            <w:vAlign w:val="bottom"/>
          </w:tcPr>
          <w:p w14:paraId="0104DEA3" w14:textId="77777777" w:rsidR="00773F7B" w:rsidRPr="00765393" w:rsidRDefault="00773F7B" w:rsidP="00773F7B">
            <w:pPr>
              <w:pStyle w:val="T2"/>
              <w:jc w:val="left"/>
            </w:pPr>
            <w:r w:rsidRPr="00765393">
              <w:t>Discontinued operations</w:t>
            </w:r>
          </w:p>
        </w:tc>
        <w:tc>
          <w:tcPr>
            <w:tcW w:w="1701" w:type="dxa"/>
            <w:tcBorders>
              <w:bottom w:val="single" w:sz="2" w:space="0" w:color="auto"/>
            </w:tcBorders>
            <w:vAlign w:val="bottom"/>
          </w:tcPr>
          <w:p w14:paraId="32DDB682" w14:textId="77777777" w:rsidR="00773F7B" w:rsidRPr="00B535FA" w:rsidRDefault="00773F7B" w:rsidP="00773F7B">
            <w:pPr>
              <w:pStyle w:val="T2"/>
              <w:jc w:val="right"/>
              <w:rPr>
                <w:b/>
                <w:bCs/>
              </w:rPr>
            </w:pPr>
            <w:r>
              <w:rPr>
                <w:b/>
                <w:bCs/>
              </w:rPr>
              <w:t>–</w:t>
            </w:r>
          </w:p>
        </w:tc>
        <w:tc>
          <w:tcPr>
            <w:tcW w:w="1701" w:type="dxa"/>
            <w:tcBorders>
              <w:bottom w:val="single" w:sz="2" w:space="0" w:color="auto"/>
            </w:tcBorders>
            <w:vAlign w:val="bottom"/>
          </w:tcPr>
          <w:p w14:paraId="7EAF61E8" w14:textId="77777777" w:rsidR="00773F7B" w:rsidRDefault="00773F7B" w:rsidP="00773F7B">
            <w:pPr>
              <w:pStyle w:val="T2"/>
              <w:jc w:val="right"/>
            </w:pPr>
            <w:r w:rsidRPr="0096767F">
              <w:rPr>
                <w:bCs/>
              </w:rPr>
              <w:t>57.4</w:t>
            </w:r>
          </w:p>
        </w:tc>
      </w:tr>
      <w:tr w:rsidR="00773F7B" w14:paraId="7FC1B99C" w14:textId="77777777" w:rsidTr="005B3BEE">
        <w:trPr>
          <w:jc w:val="center"/>
        </w:trPr>
        <w:tc>
          <w:tcPr>
            <w:tcW w:w="7087" w:type="dxa"/>
            <w:tcBorders>
              <w:top w:val="single" w:sz="2" w:space="0" w:color="auto"/>
              <w:bottom w:val="single" w:sz="8" w:space="0" w:color="auto"/>
            </w:tcBorders>
            <w:vAlign w:val="bottom"/>
          </w:tcPr>
          <w:p w14:paraId="60F4F585" w14:textId="77777777" w:rsidR="00773F7B" w:rsidRPr="00704CCC" w:rsidRDefault="00773F7B" w:rsidP="00773F7B">
            <w:pPr>
              <w:pStyle w:val="T2"/>
              <w:jc w:val="left"/>
              <w:rPr>
                <w:b/>
              </w:rPr>
            </w:pPr>
            <w:r>
              <w:rPr>
                <w:b/>
              </w:rPr>
              <w:t>Total comprehensive</w:t>
            </w:r>
            <w:r w:rsidRPr="00704CCC">
              <w:rPr>
                <w:b/>
              </w:rPr>
              <w:t xml:space="preserve"> income for the financial period</w:t>
            </w:r>
          </w:p>
        </w:tc>
        <w:tc>
          <w:tcPr>
            <w:tcW w:w="1701" w:type="dxa"/>
            <w:tcBorders>
              <w:top w:val="single" w:sz="2" w:space="0" w:color="auto"/>
              <w:bottom w:val="single" w:sz="8" w:space="0" w:color="auto"/>
            </w:tcBorders>
            <w:vAlign w:val="bottom"/>
          </w:tcPr>
          <w:p w14:paraId="307BD286" w14:textId="77777777" w:rsidR="00773F7B" w:rsidRPr="00B535FA" w:rsidRDefault="00773F7B" w:rsidP="00773F7B">
            <w:pPr>
              <w:pStyle w:val="T2"/>
              <w:jc w:val="right"/>
              <w:rPr>
                <w:b/>
                <w:bCs/>
              </w:rPr>
            </w:pPr>
            <w:r w:rsidRPr="00B535FA">
              <w:rPr>
                <w:b/>
                <w:bCs/>
              </w:rPr>
              <w:t>5</w:t>
            </w:r>
            <w:r>
              <w:rPr>
                <w:b/>
                <w:bCs/>
              </w:rPr>
              <w:t>7.0</w:t>
            </w:r>
          </w:p>
        </w:tc>
        <w:tc>
          <w:tcPr>
            <w:tcW w:w="1701" w:type="dxa"/>
            <w:tcBorders>
              <w:top w:val="single" w:sz="2" w:space="0" w:color="auto"/>
              <w:bottom w:val="single" w:sz="8" w:space="0" w:color="auto"/>
            </w:tcBorders>
            <w:vAlign w:val="bottom"/>
          </w:tcPr>
          <w:p w14:paraId="1948250A" w14:textId="77777777" w:rsidR="00773F7B" w:rsidRDefault="00773F7B" w:rsidP="00773F7B">
            <w:pPr>
              <w:pStyle w:val="T2"/>
              <w:jc w:val="right"/>
            </w:pPr>
            <w:r w:rsidRPr="0096767F">
              <w:rPr>
                <w:bCs/>
              </w:rPr>
              <w:t>63.8</w:t>
            </w:r>
          </w:p>
        </w:tc>
      </w:tr>
    </w:tbl>
    <w:p w14:paraId="45FA92BA" w14:textId="77777777" w:rsidR="00773F7B" w:rsidRDefault="00773F7B" w:rsidP="00773F7B">
      <w:pPr>
        <w:rPr>
          <w:b/>
          <w:color w:val="002060"/>
          <w:sz w:val="28"/>
          <w:szCs w:val="28"/>
        </w:rPr>
      </w:pPr>
    </w:p>
    <w:p w14:paraId="38DBC98E" w14:textId="77777777" w:rsidR="00773F7B" w:rsidRDefault="00773F7B" w:rsidP="00773F7B">
      <w:pPr>
        <w:pStyle w:val="Heading1"/>
        <w:sectPr w:rsidR="00773F7B">
          <w:headerReference w:type="default" r:id="rId9"/>
          <w:pgSz w:w="11906" w:h="16838"/>
          <w:pgMar w:top="1440" w:right="1440" w:bottom="1440" w:left="1440" w:header="708" w:footer="708" w:gutter="0"/>
          <w:cols w:space="708"/>
          <w:docGrid w:linePitch="360"/>
        </w:sectPr>
      </w:pPr>
    </w:p>
    <w:bookmarkEnd w:id="3"/>
    <w:tbl>
      <w:tblPr>
        <w:tblStyle w:val="TableGrid"/>
        <w:tblW w:w="104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4"/>
        <w:gridCol w:w="648"/>
        <w:gridCol w:w="1134"/>
        <w:gridCol w:w="1132"/>
      </w:tblGrid>
      <w:tr w:rsidR="00773F7B" w14:paraId="6640FA2A" w14:textId="77777777" w:rsidTr="005B3BEE">
        <w:trPr>
          <w:jc w:val="center"/>
        </w:trPr>
        <w:tc>
          <w:tcPr>
            <w:tcW w:w="7574" w:type="dxa"/>
          </w:tcPr>
          <w:p w14:paraId="62D01A36" w14:textId="77777777" w:rsidR="00773F7B" w:rsidRDefault="00773F7B" w:rsidP="00773F7B">
            <w:pPr>
              <w:pStyle w:val="T2"/>
            </w:pPr>
          </w:p>
        </w:tc>
        <w:tc>
          <w:tcPr>
            <w:tcW w:w="648" w:type="dxa"/>
          </w:tcPr>
          <w:p w14:paraId="648A6A59" w14:textId="77777777" w:rsidR="00773F7B" w:rsidRDefault="00773F7B" w:rsidP="00773F7B">
            <w:pPr>
              <w:pStyle w:val="T2"/>
              <w:jc w:val="right"/>
            </w:pPr>
          </w:p>
        </w:tc>
        <w:tc>
          <w:tcPr>
            <w:tcW w:w="1134" w:type="dxa"/>
          </w:tcPr>
          <w:p w14:paraId="2D1EC547" w14:textId="77777777" w:rsidR="00773F7B" w:rsidRPr="00A30CBB" w:rsidRDefault="00773F7B" w:rsidP="00773F7B">
            <w:pPr>
              <w:pStyle w:val="T2"/>
              <w:jc w:val="right"/>
              <w:rPr>
                <w:b/>
              </w:rPr>
            </w:pPr>
            <w:r w:rsidRPr="00A30CBB">
              <w:rPr>
                <w:b/>
              </w:rPr>
              <w:t xml:space="preserve">March </w:t>
            </w:r>
          </w:p>
          <w:p w14:paraId="108312AE" w14:textId="77777777" w:rsidR="00773F7B" w:rsidRPr="007F7736" w:rsidRDefault="00773F7B" w:rsidP="00773F7B">
            <w:pPr>
              <w:pStyle w:val="T2"/>
              <w:jc w:val="right"/>
              <w:rPr>
                <w:b/>
              </w:rPr>
            </w:pPr>
            <w:r>
              <w:rPr>
                <w:b/>
              </w:rPr>
              <w:t>2020</w:t>
            </w:r>
          </w:p>
        </w:tc>
        <w:tc>
          <w:tcPr>
            <w:tcW w:w="1132" w:type="dxa"/>
          </w:tcPr>
          <w:p w14:paraId="0F70678B" w14:textId="77777777" w:rsidR="00773F7B" w:rsidRDefault="00773F7B" w:rsidP="00773F7B">
            <w:pPr>
              <w:pStyle w:val="T2"/>
              <w:jc w:val="right"/>
            </w:pPr>
            <w:r>
              <w:t>September</w:t>
            </w:r>
            <w:r>
              <w:br/>
            </w:r>
            <w:r w:rsidRPr="00A30CBB">
              <w:t>20</w:t>
            </w:r>
            <w:r>
              <w:t>19</w:t>
            </w:r>
          </w:p>
        </w:tc>
      </w:tr>
      <w:tr w:rsidR="00773F7B" w14:paraId="3E82D88B" w14:textId="77777777" w:rsidTr="005B3BEE">
        <w:trPr>
          <w:jc w:val="center"/>
        </w:trPr>
        <w:tc>
          <w:tcPr>
            <w:tcW w:w="7574" w:type="dxa"/>
          </w:tcPr>
          <w:p w14:paraId="65C9FFB6" w14:textId="77777777" w:rsidR="00773F7B" w:rsidRDefault="00773F7B" w:rsidP="00773F7B">
            <w:pPr>
              <w:pStyle w:val="T2"/>
            </w:pPr>
          </w:p>
        </w:tc>
        <w:tc>
          <w:tcPr>
            <w:tcW w:w="648" w:type="dxa"/>
          </w:tcPr>
          <w:p w14:paraId="1163DCE2" w14:textId="77777777" w:rsidR="00773F7B" w:rsidRDefault="00773F7B" w:rsidP="00773F7B">
            <w:pPr>
              <w:pStyle w:val="T2"/>
              <w:jc w:val="right"/>
            </w:pPr>
          </w:p>
        </w:tc>
        <w:tc>
          <w:tcPr>
            <w:tcW w:w="1134" w:type="dxa"/>
          </w:tcPr>
          <w:p w14:paraId="3F1D95EE" w14:textId="77777777" w:rsidR="00773F7B" w:rsidRPr="007F7736" w:rsidRDefault="00773F7B" w:rsidP="00773F7B">
            <w:pPr>
              <w:pStyle w:val="T2"/>
              <w:jc w:val="right"/>
              <w:rPr>
                <w:b/>
              </w:rPr>
            </w:pPr>
            <w:r w:rsidRPr="00A30CBB">
              <w:rPr>
                <w:b/>
              </w:rPr>
              <w:t>(Unaudited)</w:t>
            </w:r>
          </w:p>
        </w:tc>
        <w:tc>
          <w:tcPr>
            <w:tcW w:w="1132" w:type="dxa"/>
          </w:tcPr>
          <w:p w14:paraId="6D0D9E67" w14:textId="77777777" w:rsidR="00773F7B" w:rsidRDefault="00773F7B" w:rsidP="00773F7B">
            <w:pPr>
              <w:pStyle w:val="T2"/>
              <w:jc w:val="right"/>
            </w:pPr>
            <w:r w:rsidRPr="00A30CBB">
              <w:t>(Audited</w:t>
            </w:r>
            <w:r>
              <w:t>)</w:t>
            </w:r>
          </w:p>
        </w:tc>
      </w:tr>
      <w:tr w:rsidR="00773F7B" w14:paraId="77445D4A" w14:textId="77777777" w:rsidTr="005B3BEE">
        <w:trPr>
          <w:jc w:val="center"/>
        </w:trPr>
        <w:tc>
          <w:tcPr>
            <w:tcW w:w="7574" w:type="dxa"/>
            <w:tcBorders>
              <w:bottom w:val="single" w:sz="2" w:space="0" w:color="auto"/>
            </w:tcBorders>
          </w:tcPr>
          <w:p w14:paraId="3CBA218A" w14:textId="77777777" w:rsidR="00773F7B" w:rsidRDefault="00773F7B" w:rsidP="00773F7B">
            <w:pPr>
              <w:pStyle w:val="T2"/>
            </w:pPr>
          </w:p>
        </w:tc>
        <w:tc>
          <w:tcPr>
            <w:tcW w:w="648" w:type="dxa"/>
            <w:tcBorders>
              <w:bottom w:val="single" w:sz="2" w:space="0" w:color="auto"/>
            </w:tcBorders>
          </w:tcPr>
          <w:p w14:paraId="4BA58B31" w14:textId="77777777" w:rsidR="00773F7B" w:rsidRDefault="00773F7B" w:rsidP="00773F7B">
            <w:pPr>
              <w:pStyle w:val="T2"/>
              <w:jc w:val="right"/>
            </w:pPr>
            <w:r>
              <w:t>Notes</w:t>
            </w:r>
          </w:p>
        </w:tc>
        <w:tc>
          <w:tcPr>
            <w:tcW w:w="1134" w:type="dxa"/>
            <w:tcBorders>
              <w:bottom w:val="single" w:sz="2" w:space="0" w:color="auto"/>
            </w:tcBorders>
          </w:tcPr>
          <w:p w14:paraId="28D9AB66" w14:textId="77777777" w:rsidR="00773F7B" w:rsidRPr="007F7736" w:rsidRDefault="00773F7B" w:rsidP="00773F7B">
            <w:pPr>
              <w:pStyle w:val="T2"/>
              <w:jc w:val="right"/>
              <w:rPr>
                <w:b/>
              </w:rPr>
            </w:pPr>
            <w:r w:rsidRPr="00A30CBB">
              <w:rPr>
                <w:b/>
              </w:rPr>
              <w:t>£m</w:t>
            </w:r>
          </w:p>
        </w:tc>
        <w:tc>
          <w:tcPr>
            <w:tcW w:w="1132" w:type="dxa"/>
            <w:tcBorders>
              <w:bottom w:val="single" w:sz="2" w:space="0" w:color="auto"/>
            </w:tcBorders>
          </w:tcPr>
          <w:p w14:paraId="41911E4E" w14:textId="77777777" w:rsidR="00773F7B" w:rsidRDefault="00773F7B" w:rsidP="00773F7B">
            <w:pPr>
              <w:pStyle w:val="T2"/>
              <w:jc w:val="right"/>
            </w:pPr>
            <w:r w:rsidRPr="00A30CBB">
              <w:t>£m</w:t>
            </w:r>
          </w:p>
        </w:tc>
      </w:tr>
      <w:tr w:rsidR="00773F7B" w14:paraId="779D9EB8" w14:textId="77777777" w:rsidTr="005B3BEE">
        <w:trPr>
          <w:jc w:val="center"/>
        </w:trPr>
        <w:tc>
          <w:tcPr>
            <w:tcW w:w="7574" w:type="dxa"/>
            <w:tcBorders>
              <w:top w:val="single" w:sz="2" w:space="0" w:color="auto"/>
            </w:tcBorders>
          </w:tcPr>
          <w:p w14:paraId="14BBE09D" w14:textId="77777777" w:rsidR="00773F7B" w:rsidRPr="00D515EB" w:rsidRDefault="00773F7B" w:rsidP="00773F7B">
            <w:pPr>
              <w:pStyle w:val="T2"/>
              <w:jc w:val="left"/>
              <w:rPr>
                <w:b/>
              </w:rPr>
            </w:pPr>
            <w:r w:rsidRPr="00D515EB">
              <w:rPr>
                <w:b/>
              </w:rPr>
              <w:t>ASSETS</w:t>
            </w:r>
          </w:p>
        </w:tc>
        <w:tc>
          <w:tcPr>
            <w:tcW w:w="648" w:type="dxa"/>
            <w:tcBorders>
              <w:top w:val="single" w:sz="2" w:space="0" w:color="auto"/>
            </w:tcBorders>
          </w:tcPr>
          <w:p w14:paraId="06A49CEA" w14:textId="77777777" w:rsidR="00773F7B" w:rsidRPr="004A4F57" w:rsidRDefault="00773F7B" w:rsidP="00773F7B">
            <w:pPr>
              <w:pStyle w:val="T2"/>
              <w:jc w:val="right"/>
            </w:pPr>
          </w:p>
        </w:tc>
        <w:tc>
          <w:tcPr>
            <w:tcW w:w="1134" w:type="dxa"/>
            <w:tcBorders>
              <w:top w:val="single" w:sz="2" w:space="0" w:color="auto"/>
            </w:tcBorders>
          </w:tcPr>
          <w:p w14:paraId="7424611F" w14:textId="77777777" w:rsidR="00773F7B" w:rsidRPr="005D0EFF" w:rsidRDefault="00773F7B" w:rsidP="00773F7B">
            <w:pPr>
              <w:pStyle w:val="T2"/>
              <w:jc w:val="right"/>
              <w:rPr>
                <w:bCs/>
              </w:rPr>
            </w:pPr>
          </w:p>
        </w:tc>
        <w:tc>
          <w:tcPr>
            <w:tcW w:w="1132" w:type="dxa"/>
            <w:tcBorders>
              <w:top w:val="single" w:sz="2" w:space="0" w:color="auto"/>
            </w:tcBorders>
          </w:tcPr>
          <w:p w14:paraId="32AED13B" w14:textId="77777777" w:rsidR="00773F7B" w:rsidRPr="00A30CBB" w:rsidRDefault="00773F7B" w:rsidP="00773F7B">
            <w:pPr>
              <w:pStyle w:val="T2"/>
              <w:jc w:val="right"/>
            </w:pPr>
          </w:p>
        </w:tc>
      </w:tr>
      <w:tr w:rsidR="00773F7B" w14:paraId="54C2DF23" w14:textId="77777777" w:rsidTr="005B3BEE">
        <w:trPr>
          <w:jc w:val="center"/>
        </w:trPr>
        <w:tc>
          <w:tcPr>
            <w:tcW w:w="7574" w:type="dxa"/>
          </w:tcPr>
          <w:p w14:paraId="74DEF453" w14:textId="77777777" w:rsidR="00773F7B" w:rsidRPr="00D515EB" w:rsidRDefault="00773F7B" w:rsidP="00773F7B">
            <w:pPr>
              <w:pStyle w:val="T2"/>
              <w:jc w:val="left"/>
              <w:rPr>
                <w:b/>
              </w:rPr>
            </w:pPr>
            <w:r w:rsidRPr="00D515EB">
              <w:rPr>
                <w:b/>
              </w:rPr>
              <w:t>Non</w:t>
            </w:r>
            <w:r>
              <w:rPr>
                <w:b/>
              </w:rPr>
              <w:t>–</w:t>
            </w:r>
            <w:r w:rsidRPr="00D515EB">
              <w:rPr>
                <w:b/>
              </w:rPr>
              <w:t>current assets</w:t>
            </w:r>
          </w:p>
        </w:tc>
        <w:tc>
          <w:tcPr>
            <w:tcW w:w="648" w:type="dxa"/>
          </w:tcPr>
          <w:p w14:paraId="284FFB2E" w14:textId="77777777" w:rsidR="00773F7B" w:rsidRPr="004A4F57" w:rsidRDefault="00773F7B" w:rsidP="00773F7B">
            <w:pPr>
              <w:pStyle w:val="T2"/>
              <w:jc w:val="right"/>
            </w:pPr>
          </w:p>
        </w:tc>
        <w:tc>
          <w:tcPr>
            <w:tcW w:w="1134" w:type="dxa"/>
          </w:tcPr>
          <w:p w14:paraId="1F63E443" w14:textId="77777777" w:rsidR="00773F7B" w:rsidRPr="005D0EFF" w:rsidRDefault="00773F7B" w:rsidP="00773F7B">
            <w:pPr>
              <w:pStyle w:val="T2"/>
              <w:jc w:val="right"/>
              <w:rPr>
                <w:bCs/>
              </w:rPr>
            </w:pPr>
          </w:p>
        </w:tc>
        <w:tc>
          <w:tcPr>
            <w:tcW w:w="1132" w:type="dxa"/>
          </w:tcPr>
          <w:p w14:paraId="56389BEE" w14:textId="77777777" w:rsidR="00773F7B" w:rsidRPr="00A30CBB" w:rsidRDefault="00773F7B" w:rsidP="00773F7B">
            <w:pPr>
              <w:pStyle w:val="T2"/>
              <w:jc w:val="right"/>
            </w:pPr>
          </w:p>
        </w:tc>
      </w:tr>
      <w:tr w:rsidR="00773F7B" w14:paraId="435F2A40" w14:textId="77777777" w:rsidTr="005B3BEE">
        <w:trPr>
          <w:jc w:val="center"/>
        </w:trPr>
        <w:tc>
          <w:tcPr>
            <w:tcW w:w="7574" w:type="dxa"/>
          </w:tcPr>
          <w:p w14:paraId="52F72E36" w14:textId="77777777" w:rsidR="00773F7B" w:rsidRPr="00765393" w:rsidRDefault="00773F7B" w:rsidP="00773F7B">
            <w:pPr>
              <w:pStyle w:val="T2"/>
              <w:jc w:val="left"/>
            </w:pPr>
            <w:r w:rsidRPr="00765393">
              <w:t>Goodwill and intangible assets</w:t>
            </w:r>
          </w:p>
        </w:tc>
        <w:tc>
          <w:tcPr>
            <w:tcW w:w="648" w:type="dxa"/>
          </w:tcPr>
          <w:p w14:paraId="6FB4A80E" w14:textId="77777777" w:rsidR="00773F7B" w:rsidRPr="00A31437" w:rsidRDefault="00773F7B" w:rsidP="00773F7B">
            <w:pPr>
              <w:pStyle w:val="T2"/>
              <w:jc w:val="right"/>
            </w:pPr>
            <w:r>
              <w:t>10</w:t>
            </w:r>
          </w:p>
        </w:tc>
        <w:tc>
          <w:tcPr>
            <w:tcW w:w="1134" w:type="dxa"/>
          </w:tcPr>
          <w:p w14:paraId="00A00425" w14:textId="77777777" w:rsidR="00773F7B" w:rsidRPr="00B535FA" w:rsidRDefault="00773F7B" w:rsidP="00773F7B">
            <w:pPr>
              <w:pStyle w:val="T2"/>
              <w:jc w:val="right"/>
              <w:rPr>
                <w:b/>
                <w:bCs/>
              </w:rPr>
            </w:pPr>
            <w:r w:rsidRPr="00B535FA">
              <w:rPr>
                <w:b/>
                <w:bCs/>
              </w:rPr>
              <w:t>480.</w:t>
            </w:r>
            <w:r w:rsidR="00A71427">
              <w:rPr>
                <w:b/>
                <w:bCs/>
              </w:rPr>
              <w:t>9</w:t>
            </w:r>
          </w:p>
        </w:tc>
        <w:tc>
          <w:tcPr>
            <w:tcW w:w="1132" w:type="dxa"/>
          </w:tcPr>
          <w:p w14:paraId="15CBB804" w14:textId="77777777" w:rsidR="00773F7B" w:rsidRPr="00A30CBB" w:rsidRDefault="00773F7B" w:rsidP="00773F7B">
            <w:pPr>
              <w:pStyle w:val="T2"/>
              <w:jc w:val="right"/>
            </w:pPr>
            <w:r w:rsidRPr="0096767F">
              <w:rPr>
                <w:bCs/>
              </w:rPr>
              <w:t>4</w:t>
            </w:r>
            <w:r>
              <w:rPr>
                <w:bCs/>
              </w:rPr>
              <w:t>83.3</w:t>
            </w:r>
          </w:p>
        </w:tc>
      </w:tr>
      <w:tr w:rsidR="00773F7B" w14:paraId="72C7C6F0" w14:textId="77777777" w:rsidTr="005B3BEE">
        <w:trPr>
          <w:jc w:val="center"/>
        </w:trPr>
        <w:tc>
          <w:tcPr>
            <w:tcW w:w="7574" w:type="dxa"/>
          </w:tcPr>
          <w:p w14:paraId="34E4B274" w14:textId="77777777" w:rsidR="00773F7B" w:rsidRPr="00765393" w:rsidRDefault="00773F7B" w:rsidP="00773F7B">
            <w:pPr>
              <w:pStyle w:val="T2"/>
              <w:jc w:val="left"/>
            </w:pPr>
            <w:r w:rsidRPr="00765393">
              <w:t>Property, plant and equipment</w:t>
            </w:r>
          </w:p>
        </w:tc>
        <w:tc>
          <w:tcPr>
            <w:tcW w:w="648" w:type="dxa"/>
          </w:tcPr>
          <w:p w14:paraId="449EDC2A" w14:textId="77777777" w:rsidR="00773F7B" w:rsidRPr="00A31437" w:rsidRDefault="00773F7B" w:rsidP="00773F7B">
            <w:pPr>
              <w:pStyle w:val="T2"/>
              <w:jc w:val="right"/>
            </w:pPr>
            <w:r>
              <w:t>10</w:t>
            </w:r>
          </w:p>
        </w:tc>
        <w:tc>
          <w:tcPr>
            <w:tcW w:w="1134" w:type="dxa"/>
          </w:tcPr>
          <w:p w14:paraId="1D7110CD" w14:textId="77777777" w:rsidR="00773F7B" w:rsidRPr="00B535FA" w:rsidRDefault="00773F7B" w:rsidP="00773F7B">
            <w:pPr>
              <w:pStyle w:val="T2"/>
              <w:jc w:val="right"/>
              <w:rPr>
                <w:b/>
                <w:bCs/>
              </w:rPr>
            </w:pPr>
            <w:r w:rsidRPr="00B535FA">
              <w:rPr>
                <w:b/>
                <w:bCs/>
              </w:rPr>
              <w:t>333.</w:t>
            </w:r>
            <w:r>
              <w:rPr>
                <w:b/>
                <w:bCs/>
              </w:rPr>
              <w:t>3</w:t>
            </w:r>
          </w:p>
        </w:tc>
        <w:tc>
          <w:tcPr>
            <w:tcW w:w="1132" w:type="dxa"/>
          </w:tcPr>
          <w:p w14:paraId="159E3E46" w14:textId="77777777" w:rsidR="00773F7B" w:rsidRPr="00A30CBB" w:rsidRDefault="00773F7B" w:rsidP="00773F7B">
            <w:pPr>
              <w:pStyle w:val="T2"/>
              <w:jc w:val="right"/>
            </w:pPr>
            <w:r w:rsidRPr="0096767F">
              <w:rPr>
                <w:bCs/>
              </w:rPr>
              <w:t>3</w:t>
            </w:r>
            <w:r>
              <w:rPr>
                <w:bCs/>
              </w:rPr>
              <w:t>32.5</w:t>
            </w:r>
          </w:p>
        </w:tc>
      </w:tr>
      <w:tr w:rsidR="00773F7B" w14:paraId="780501CD" w14:textId="77777777" w:rsidTr="005B3BEE">
        <w:trPr>
          <w:jc w:val="center"/>
        </w:trPr>
        <w:tc>
          <w:tcPr>
            <w:tcW w:w="7574" w:type="dxa"/>
          </w:tcPr>
          <w:p w14:paraId="7527D846" w14:textId="77777777" w:rsidR="00773F7B" w:rsidRPr="00765393" w:rsidRDefault="00773F7B" w:rsidP="00773F7B">
            <w:pPr>
              <w:pStyle w:val="T2"/>
              <w:jc w:val="left"/>
            </w:pPr>
            <w:r>
              <w:t>Right-of-use leased assets</w:t>
            </w:r>
          </w:p>
        </w:tc>
        <w:tc>
          <w:tcPr>
            <w:tcW w:w="648" w:type="dxa"/>
          </w:tcPr>
          <w:p w14:paraId="14A0F5A3" w14:textId="77777777" w:rsidR="00773F7B" w:rsidRDefault="00773F7B" w:rsidP="00773F7B">
            <w:pPr>
              <w:pStyle w:val="T2"/>
              <w:jc w:val="right"/>
            </w:pPr>
            <w:r>
              <w:t>11</w:t>
            </w:r>
          </w:p>
        </w:tc>
        <w:tc>
          <w:tcPr>
            <w:tcW w:w="1134" w:type="dxa"/>
          </w:tcPr>
          <w:p w14:paraId="7DFC1998" w14:textId="77777777" w:rsidR="00773F7B" w:rsidRPr="00B535FA" w:rsidRDefault="00773F7B" w:rsidP="00773F7B">
            <w:pPr>
              <w:pStyle w:val="T2"/>
              <w:jc w:val="right"/>
              <w:rPr>
                <w:b/>
                <w:bCs/>
              </w:rPr>
            </w:pPr>
            <w:r>
              <w:rPr>
                <w:b/>
                <w:bCs/>
              </w:rPr>
              <w:t>57.0</w:t>
            </w:r>
          </w:p>
        </w:tc>
        <w:tc>
          <w:tcPr>
            <w:tcW w:w="1132" w:type="dxa"/>
          </w:tcPr>
          <w:p w14:paraId="4B6EE2F1" w14:textId="77777777" w:rsidR="00773F7B" w:rsidRPr="0096767F" w:rsidRDefault="00773F7B" w:rsidP="00773F7B">
            <w:pPr>
              <w:pStyle w:val="T2"/>
              <w:jc w:val="right"/>
              <w:rPr>
                <w:bCs/>
              </w:rPr>
            </w:pPr>
            <w:r>
              <w:rPr>
                <w:bCs/>
              </w:rPr>
              <w:t>–</w:t>
            </w:r>
          </w:p>
        </w:tc>
      </w:tr>
      <w:tr w:rsidR="00773F7B" w14:paraId="0A932C7E" w14:textId="77777777" w:rsidTr="005B3BEE">
        <w:trPr>
          <w:jc w:val="center"/>
        </w:trPr>
        <w:tc>
          <w:tcPr>
            <w:tcW w:w="7574" w:type="dxa"/>
          </w:tcPr>
          <w:p w14:paraId="732315E6" w14:textId="77777777" w:rsidR="00773F7B" w:rsidRPr="00765393" w:rsidRDefault="00773F7B" w:rsidP="00773F7B">
            <w:pPr>
              <w:pStyle w:val="T2"/>
              <w:jc w:val="left"/>
            </w:pPr>
            <w:r w:rsidRPr="00765393">
              <w:t>Investment property</w:t>
            </w:r>
          </w:p>
        </w:tc>
        <w:tc>
          <w:tcPr>
            <w:tcW w:w="648" w:type="dxa"/>
          </w:tcPr>
          <w:p w14:paraId="240BFF49" w14:textId="77777777" w:rsidR="00773F7B" w:rsidRPr="00A31437" w:rsidRDefault="00773F7B" w:rsidP="00773F7B">
            <w:pPr>
              <w:pStyle w:val="T2"/>
              <w:jc w:val="right"/>
            </w:pPr>
            <w:r>
              <w:t>10</w:t>
            </w:r>
          </w:p>
        </w:tc>
        <w:tc>
          <w:tcPr>
            <w:tcW w:w="1134" w:type="dxa"/>
          </w:tcPr>
          <w:p w14:paraId="7B4D4831" w14:textId="77777777" w:rsidR="00773F7B" w:rsidRPr="00B535FA" w:rsidRDefault="00773F7B" w:rsidP="00773F7B">
            <w:pPr>
              <w:pStyle w:val="T2"/>
              <w:jc w:val="right"/>
              <w:rPr>
                <w:b/>
                <w:bCs/>
              </w:rPr>
            </w:pPr>
            <w:r>
              <w:rPr>
                <w:b/>
                <w:bCs/>
              </w:rPr>
              <w:t>5.8</w:t>
            </w:r>
          </w:p>
        </w:tc>
        <w:tc>
          <w:tcPr>
            <w:tcW w:w="1132" w:type="dxa"/>
          </w:tcPr>
          <w:p w14:paraId="5ED7743D" w14:textId="77777777" w:rsidR="00773F7B" w:rsidRPr="00A30CBB" w:rsidRDefault="00773F7B" w:rsidP="00773F7B">
            <w:pPr>
              <w:pStyle w:val="T2"/>
              <w:jc w:val="right"/>
            </w:pPr>
            <w:r>
              <w:rPr>
                <w:bCs/>
              </w:rPr>
              <w:t>5.8</w:t>
            </w:r>
          </w:p>
        </w:tc>
      </w:tr>
      <w:tr w:rsidR="00773F7B" w14:paraId="687705E7" w14:textId="77777777" w:rsidTr="005B3BEE">
        <w:trPr>
          <w:jc w:val="center"/>
        </w:trPr>
        <w:tc>
          <w:tcPr>
            <w:tcW w:w="7574" w:type="dxa"/>
          </w:tcPr>
          <w:p w14:paraId="4B1E9991" w14:textId="77777777" w:rsidR="00773F7B" w:rsidRPr="00765393" w:rsidRDefault="00773F7B" w:rsidP="00773F7B">
            <w:pPr>
              <w:pStyle w:val="T2"/>
              <w:jc w:val="left"/>
            </w:pPr>
            <w:r w:rsidRPr="00765393">
              <w:t>Investments in associates</w:t>
            </w:r>
          </w:p>
        </w:tc>
        <w:tc>
          <w:tcPr>
            <w:tcW w:w="648" w:type="dxa"/>
          </w:tcPr>
          <w:p w14:paraId="6FF62790" w14:textId="77777777" w:rsidR="00773F7B" w:rsidRPr="00A31437" w:rsidRDefault="00773F7B" w:rsidP="00773F7B">
            <w:pPr>
              <w:pStyle w:val="T2"/>
              <w:jc w:val="right"/>
            </w:pPr>
          </w:p>
        </w:tc>
        <w:tc>
          <w:tcPr>
            <w:tcW w:w="1134" w:type="dxa"/>
          </w:tcPr>
          <w:p w14:paraId="5158C1FD" w14:textId="77777777" w:rsidR="00773F7B" w:rsidRPr="00B535FA" w:rsidRDefault="00773F7B" w:rsidP="00773F7B">
            <w:pPr>
              <w:pStyle w:val="T2"/>
              <w:jc w:val="right"/>
              <w:rPr>
                <w:b/>
                <w:bCs/>
              </w:rPr>
            </w:pPr>
            <w:r>
              <w:rPr>
                <w:b/>
                <w:bCs/>
              </w:rPr>
              <w:t>1.3</w:t>
            </w:r>
          </w:p>
        </w:tc>
        <w:tc>
          <w:tcPr>
            <w:tcW w:w="1132" w:type="dxa"/>
          </w:tcPr>
          <w:p w14:paraId="5516D85B" w14:textId="77777777" w:rsidR="00773F7B" w:rsidRPr="00A30CBB" w:rsidRDefault="00773F7B" w:rsidP="00773F7B">
            <w:pPr>
              <w:pStyle w:val="T2"/>
              <w:jc w:val="right"/>
            </w:pPr>
            <w:r w:rsidRPr="0096767F">
              <w:rPr>
                <w:bCs/>
              </w:rPr>
              <w:t>1.</w:t>
            </w:r>
            <w:r>
              <w:rPr>
                <w:bCs/>
              </w:rPr>
              <w:t>2</w:t>
            </w:r>
          </w:p>
        </w:tc>
      </w:tr>
      <w:tr w:rsidR="00773F7B" w14:paraId="7C56E9B1" w14:textId="77777777" w:rsidTr="005B3BEE">
        <w:trPr>
          <w:jc w:val="center"/>
        </w:trPr>
        <w:tc>
          <w:tcPr>
            <w:tcW w:w="7574" w:type="dxa"/>
          </w:tcPr>
          <w:p w14:paraId="392A6FDF" w14:textId="77777777" w:rsidR="00773F7B" w:rsidRPr="00765393" w:rsidRDefault="00773F7B" w:rsidP="00773F7B">
            <w:pPr>
              <w:pStyle w:val="T2"/>
              <w:jc w:val="left"/>
            </w:pPr>
            <w:r w:rsidRPr="00765393">
              <w:t>Retirement benefit assets</w:t>
            </w:r>
          </w:p>
        </w:tc>
        <w:tc>
          <w:tcPr>
            <w:tcW w:w="648" w:type="dxa"/>
          </w:tcPr>
          <w:p w14:paraId="2C1288A4" w14:textId="77777777" w:rsidR="00773F7B" w:rsidRPr="00A31437" w:rsidRDefault="00773F7B" w:rsidP="00773F7B">
            <w:pPr>
              <w:pStyle w:val="T2"/>
              <w:jc w:val="right"/>
            </w:pPr>
            <w:r>
              <w:t>14</w:t>
            </w:r>
          </w:p>
        </w:tc>
        <w:tc>
          <w:tcPr>
            <w:tcW w:w="1134" w:type="dxa"/>
          </w:tcPr>
          <w:p w14:paraId="5E10D21E" w14:textId="77777777" w:rsidR="00773F7B" w:rsidRPr="00B535FA" w:rsidRDefault="00773F7B" w:rsidP="00773F7B">
            <w:pPr>
              <w:pStyle w:val="T2"/>
              <w:jc w:val="right"/>
              <w:rPr>
                <w:b/>
                <w:bCs/>
              </w:rPr>
            </w:pPr>
            <w:r>
              <w:rPr>
                <w:b/>
                <w:bCs/>
              </w:rPr>
              <w:t>49.3</w:t>
            </w:r>
          </w:p>
        </w:tc>
        <w:tc>
          <w:tcPr>
            <w:tcW w:w="1132" w:type="dxa"/>
          </w:tcPr>
          <w:p w14:paraId="4659C13C" w14:textId="77777777" w:rsidR="00773F7B" w:rsidRPr="00A30CBB" w:rsidRDefault="00773F7B" w:rsidP="00773F7B">
            <w:pPr>
              <w:pStyle w:val="T2"/>
              <w:jc w:val="right"/>
            </w:pPr>
            <w:r>
              <w:rPr>
                <w:bCs/>
              </w:rPr>
              <w:t>36.4</w:t>
            </w:r>
          </w:p>
        </w:tc>
      </w:tr>
      <w:tr w:rsidR="00773F7B" w14:paraId="3501BB4F" w14:textId="77777777" w:rsidTr="005B3BEE">
        <w:trPr>
          <w:jc w:val="center"/>
        </w:trPr>
        <w:tc>
          <w:tcPr>
            <w:tcW w:w="7574" w:type="dxa"/>
          </w:tcPr>
          <w:p w14:paraId="2D5035C5" w14:textId="77777777" w:rsidR="00773F7B" w:rsidRPr="00765393" w:rsidRDefault="00773F7B" w:rsidP="00773F7B">
            <w:pPr>
              <w:pStyle w:val="T2"/>
              <w:jc w:val="left"/>
            </w:pPr>
            <w:r>
              <w:t>Derivative financial instruments</w:t>
            </w:r>
          </w:p>
        </w:tc>
        <w:tc>
          <w:tcPr>
            <w:tcW w:w="648" w:type="dxa"/>
          </w:tcPr>
          <w:p w14:paraId="792B93D0" w14:textId="77777777" w:rsidR="00773F7B" w:rsidRPr="00A31437" w:rsidRDefault="00773F7B" w:rsidP="00773F7B">
            <w:pPr>
              <w:pStyle w:val="T2"/>
              <w:jc w:val="right"/>
            </w:pPr>
            <w:r>
              <w:t>12</w:t>
            </w:r>
          </w:p>
        </w:tc>
        <w:tc>
          <w:tcPr>
            <w:tcW w:w="1134" w:type="dxa"/>
          </w:tcPr>
          <w:p w14:paraId="17D29D2F" w14:textId="77777777" w:rsidR="00773F7B" w:rsidRPr="00B535FA" w:rsidRDefault="00773F7B" w:rsidP="00773F7B">
            <w:pPr>
              <w:pStyle w:val="T2"/>
              <w:jc w:val="right"/>
              <w:rPr>
                <w:b/>
                <w:bCs/>
              </w:rPr>
            </w:pPr>
            <w:r>
              <w:rPr>
                <w:b/>
                <w:bCs/>
              </w:rPr>
              <w:t>6.5</w:t>
            </w:r>
          </w:p>
        </w:tc>
        <w:tc>
          <w:tcPr>
            <w:tcW w:w="1132" w:type="dxa"/>
          </w:tcPr>
          <w:p w14:paraId="05E4C90D" w14:textId="77777777" w:rsidR="00773F7B" w:rsidRPr="00A30CBB" w:rsidRDefault="00773F7B" w:rsidP="00773F7B">
            <w:pPr>
              <w:pStyle w:val="T2"/>
              <w:jc w:val="right"/>
            </w:pPr>
            <w:r>
              <w:rPr>
                <w:bCs/>
              </w:rPr>
              <w:t>5.5</w:t>
            </w:r>
          </w:p>
        </w:tc>
      </w:tr>
      <w:tr w:rsidR="00773F7B" w14:paraId="472D1841" w14:textId="77777777" w:rsidTr="005B3BEE">
        <w:trPr>
          <w:jc w:val="center"/>
        </w:trPr>
        <w:tc>
          <w:tcPr>
            <w:tcW w:w="7574" w:type="dxa"/>
            <w:tcBorders>
              <w:bottom w:val="single" w:sz="2" w:space="0" w:color="auto"/>
            </w:tcBorders>
          </w:tcPr>
          <w:p w14:paraId="1E7B9966" w14:textId="77777777" w:rsidR="00773F7B" w:rsidRPr="00765393" w:rsidRDefault="00773F7B" w:rsidP="00773F7B">
            <w:pPr>
              <w:pStyle w:val="T2"/>
              <w:jc w:val="left"/>
            </w:pPr>
            <w:r w:rsidRPr="00765393">
              <w:t>Deferred tax assets</w:t>
            </w:r>
          </w:p>
        </w:tc>
        <w:tc>
          <w:tcPr>
            <w:tcW w:w="648" w:type="dxa"/>
            <w:tcBorders>
              <w:bottom w:val="single" w:sz="2" w:space="0" w:color="auto"/>
            </w:tcBorders>
          </w:tcPr>
          <w:p w14:paraId="06B88D6A" w14:textId="77777777" w:rsidR="00773F7B" w:rsidRPr="00A31437" w:rsidRDefault="00773F7B" w:rsidP="00773F7B">
            <w:pPr>
              <w:pStyle w:val="T2"/>
              <w:jc w:val="right"/>
            </w:pPr>
          </w:p>
        </w:tc>
        <w:tc>
          <w:tcPr>
            <w:tcW w:w="1134" w:type="dxa"/>
            <w:tcBorders>
              <w:bottom w:val="single" w:sz="2" w:space="0" w:color="auto"/>
            </w:tcBorders>
          </w:tcPr>
          <w:p w14:paraId="7115C730" w14:textId="77777777" w:rsidR="00773F7B" w:rsidRPr="00B535FA" w:rsidRDefault="00773F7B" w:rsidP="00773F7B">
            <w:pPr>
              <w:pStyle w:val="T2"/>
              <w:jc w:val="right"/>
              <w:rPr>
                <w:b/>
                <w:bCs/>
              </w:rPr>
            </w:pPr>
            <w:r>
              <w:rPr>
                <w:b/>
                <w:bCs/>
              </w:rPr>
              <w:t>32.5</w:t>
            </w:r>
          </w:p>
        </w:tc>
        <w:tc>
          <w:tcPr>
            <w:tcW w:w="1132" w:type="dxa"/>
            <w:tcBorders>
              <w:bottom w:val="single" w:sz="2" w:space="0" w:color="auto"/>
            </w:tcBorders>
          </w:tcPr>
          <w:p w14:paraId="6B8778AB" w14:textId="77777777" w:rsidR="00773F7B" w:rsidRPr="00A30CBB" w:rsidRDefault="00773F7B" w:rsidP="00773F7B">
            <w:pPr>
              <w:pStyle w:val="T2"/>
              <w:jc w:val="right"/>
            </w:pPr>
            <w:r>
              <w:rPr>
                <w:bCs/>
              </w:rPr>
              <w:t>37.1</w:t>
            </w:r>
          </w:p>
        </w:tc>
      </w:tr>
      <w:tr w:rsidR="00773F7B" w14:paraId="4EA90942" w14:textId="77777777" w:rsidTr="005B3BEE">
        <w:trPr>
          <w:jc w:val="center"/>
        </w:trPr>
        <w:tc>
          <w:tcPr>
            <w:tcW w:w="7574" w:type="dxa"/>
            <w:tcBorders>
              <w:top w:val="single" w:sz="2" w:space="0" w:color="auto"/>
              <w:bottom w:val="single" w:sz="2" w:space="0" w:color="auto"/>
            </w:tcBorders>
          </w:tcPr>
          <w:p w14:paraId="28085141" w14:textId="77777777" w:rsidR="00773F7B" w:rsidRPr="00D515EB" w:rsidRDefault="00773F7B" w:rsidP="00773F7B">
            <w:pPr>
              <w:pStyle w:val="T2"/>
              <w:jc w:val="left"/>
              <w:rPr>
                <w:b/>
              </w:rPr>
            </w:pPr>
            <w:r w:rsidRPr="00D515EB">
              <w:rPr>
                <w:b/>
              </w:rPr>
              <w:t>Total non</w:t>
            </w:r>
            <w:r>
              <w:rPr>
                <w:b/>
              </w:rPr>
              <w:t>–</w:t>
            </w:r>
            <w:r w:rsidRPr="00D515EB">
              <w:rPr>
                <w:b/>
              </w:rPr>
              <w:t>current assets</w:t>
            </w:r>
          </w:p>
        </w:tc>
        <w:tc>
          <w:tcPr>
            <w:tcW w:w="648" w:type="dxa"/>
            <w:tcBorders>
              <w:top w:val="single" w:sz="2" w:space="0" w:color="auto"/>
              <w:bottom w:val="single" w:sz="2" w:space="0" w:color="auto"/>
            </w:tcBorders>
          </w:tcPr>
          <w:p w14:paraId="6221E3B5" w14:textId="77777777" w:rsidR="00773F7B" w:rsidRPr="00A31437" w:rsidRDefault="00773F7B" w:rsidP="00773F7B">
            <w:pPr>
              <w:pStyle w:val="T2"/>
              <w:jc w:val="right"/>
            </w:pPr>
          </w:p>
        </w:tc>
        <w:tc>
          <w:tcPr>
            <w:tcW w:w="1134" w:type="dxa"/>
            <w:tcBorders>
              <w:top w:val="single" w:sz="2" w:space="0" w:color="auto"/>
              <w:bottom w:val="single" w:sz="2" w:space="0" w:color="auto"/>
            </w:tcBorders>
          </w:tcPr>
          <w:p w14:paraId="49298054" w14:textId="77777777" w:rsidR="00773F7B" w:rsidRPr="00B535FA" w:rsidRDefault="00773F7B" w:rsidP="00773F7B">
            <w:pPr>
              <w:pStyle w:val="T2"/>
              <w:jc w:val="right"/>
              <w:rPr>
                <w:b/>
                <w:bCs/>
              </w:rPr>
            </w:pPr>
            <w:r>
              <w:rPr>
                <w:b/>
                <w:bCs/>
              </w:rPr>
              <w:t>966.</w:t>
            </w:r>
            <w:r w:rsidR="00A71427">
              <w:rPr>
                <w:b/>
                <w:bCs/>
              </w:rPr>
              <w:t>6</w:t>
            </w:r>
          </w:p>
        </w:tc>
        <w:tc>
          <w:tcPr>
            <w:tcW w:w="1132" w:type="dxa"/>
            <w:tcBorders>
              <w:top w:val="single" w:sz="2" w:space="0" w:color="auto"/>
              <w:bottom w:val="single" w:sz="2" w:space="0" w:color="auto"/>
            </w:tcBorders>
          </w:tcPr>
          <w:p w14:paraId="582CEDBB" w14:textId="77777777" w:rsidR="00773F7B" w:rsidRPr="00A30CBB" w:rsidRDefault="00773F7B" w:rsidP="00773F7B">
            <w:pPr>
              <w:pStyle w:val="T2"/>
              <w:jc w:val="right"/>
            </w:pPr>
            <w:r>
              <w:rPr>
                <w:bCs/>
              </w:rPr>
              <w:t>901.8</w:t>
            </w:r>
          </w:p>
        </w:tc>
      </w:tr>
      <w:tr w:rsidR="00773F7B" w14:paraId="5AF12BBA" w14:textId="77777777" w:rsidTr="005B3BEE">
        <w:trPr>
          <w:jc w:val="center"/>
        </w:trPr>
        <w:tc>
          <w:tcPr>
            <w:tcW w:w="7574" w:type="dxa"/>
            <w:tcBorders>
              <w:top w:val="single" w:sz="2" w:space="0" w:color="auto"/>
            </w:tcBorders>
          </w:tcPr>
          <w:p w14:paraId="45D4F926" w14:textId="77777777" w:rsidR="00773F7B" w:rsidRPr="00765393" w:rsidRDefault="00773F7B" w:rsidP="00773F7B">
            <w:pPr>
              <w:pStyle w:val="T2"/>
              <w:jc w:val="left"/>
            </w:pPr>
          </w:p>
        </w:tc>
        <w:tc>
          <w:tcPr>
            <w:tcW w:w="648" w:type="dxa"/>
            <w:tcBorders>
              <w:top w:val="single" w:sz="2" w:space="0" w:color="auto"/>
            </w:tcBorders>
          </w:tcPr>
          <w:p w14:paraId="16670E49" w14:textId="77777777" w:rsidR="00773F7B" w:rsidRPr="00A31437" w:rsidRDefault="00773F7B" w:rsidP="00773F7B">
            <w:pPr>
              <w:pStyle w:val="T2"/>
              <w:jc w:val="right"/>
            </w:pPr>
          </w:p>
        </w:tc>
        <w:tc>
          <w:tcPr>
            <w:tcW w:w="1134" w:type="dxa"/>
            <w:tcBorders>
              <w:top w:val="single" w:sz="2" w:space="0" w:color="auto"/>
            </w:tcBorders>
          </w:tcPr>
          <w:p w14:paraId="0A9BB414" w14:textId="77777777" w:rsidR="00773F7B" w:rsidRPr="00B535FA" w:rsidRDefault="00773F7B" w:rsidP="00773F7B">
            <w:pPr>
              <w:pStyle w:val="T2"/>
              <w:jc w:val="right"/>
              <w:rPr>
                <w:b/>
                <w:bCs/>
              </w:rPr>
            </w:pPr>
          </w:p>
        </w:tc>
        <w:tc>
          <w:tcPr>
            <w:tcW w:w="1132" w:type="dxa"/>
            <w:tcBorders>
              <w:top w:val="single" w:sz="2" w:space="0" w:color="auto"/>
            </w:tcBorders>
          </w:tcPr>
          <w:p w14:paraId="12582787" w14:textId="77777777" w:rsidR="00773F7B" w:rsidRDefault="00773F7B" w:rsidP="00773F7B">
            <w:pPr>
              <w:pStyle w:val="T2"/>
              <w:jc w:val="right"/>
            </w:pPr>
          </w:p>
        </w:tc>
      </w:tr>
      <w:tr w:rsidR="00773F7B" w14:paraId="73C5C365" w14:textId="77777777" w:rsidTr="005B3BEE">
        <w:trPr>
          <w:jc w:val="center"/>
        </w:trPr>
        <w:tc>
          <w:tcPr>
            <w:tcW w:w="7574" w:type="dxa"/>
          </w:tcPr>
          <w:p w14:paraId="7127558F" w14:textId="77777777" w:rsidR="00773F7B" w:rsidRPr="00D515EB" w:rsidRDefault="00773F7B" w:rsidP="00773F7B">
            <w:pPr>
              <w:pStyle w:val="T2"/>
              <w:jc w:val="left"/>
              <w:rPr>
                <w:b/>
              </w:rPr>
            </w:pPr>
            <w:r w:rsidRPr="00D515EB">
              <w:rPr>
                <w:b/>
              </w:rPr>
              <w:t>Current assets</w:t>
            </w:r>
          </w:p>
        </w:tc>
        <w:tc>
          <w:tcPr>
            <w:tcW w:w="648" w:type="dxa"/>
          </w:tcPr>
          <w:p w14:paraId="0D0A4ABC" w14:textId="77777777" w:rsidR="00773F7B" w:rsidRPr="00A31437" w:rsidRDefault="00773F7B" w:rsidP="00773F7B">
            <w:pPr>
              <w:pStyle w:val="T2"/>
              <w:jc w:val="right"/>
            </w:pPr>
          </w:p>
        </w:tc>
        <w:tc>
          <w:tcPr>
            <w:tcW w:w="1134" w:type="dxa"/>
          </w:tcPr>
          <w:p w14:paraId="5EE1C478" w14:textId="77777777" w:rsidR="00773F7B" w:rsidRPr="00B535FA" w:rsidRDefault="00773F7B" w:rsidP="00773F7B">
            <w:pPr>
              <w:pStyle w:val="T2"/>
              <w:jc w:val="right"/>
              <w:rPr>
                <w:b/>
                <w:bCs/>
              </w:rPr>
            </w:pPr>
          </w:p>
        </w:tc>
        <w:tc>
          <w:tcPr>
            <w:tcW w:w="1132" w:type="dxa"/>
          </w:tcPr>
          <w:p w14:paraId="163B15F3" w14:textId="77777777" w:rsidR="00773F7B" w:rsidRPr="002C5AD6" w:rsidRDefault="00773F7B" w:rsidP="00773F7B">
            <w:pPr>
              <w:pStyle w:val="T2"/>
              <w:jc w:val="right"/>
            </w:pPr>
          </w:p>
        </w:tc>
      </w:tr>
      <w:tr w:rsidR="00773F7B" w14:paraId="74757DE0" w14:textId="77777777" w:rsidTr="005B3BEE">
        <w:trPr>
          <w:jc w:val="center"/>
        </w:trPr>
        <w:tc>
          <w:tcPr>
            <w:tcW w:w="7574" w:type="dxa"/>
          </w:tcPr>
          <w:p w14:paraId="04E5FBC5" w14:textId="77777777" w:rsidR="00773F7B" w:rsidRPr="00765393" w:rsidRDefault="00773F7B" w:rsidP="00773F7B">
            <w:pPr>
              <w:pStyle w:val="T2"/>
              <w:jc w:val="left"/>
            </w:pPr>
            <w:r w:rsidRPr="00765393">
              <w:t>Inventories</w:t>
            </w:r>
          </w:p>
        </w:tc>
        <w:tc>
          <w:tcPr>
            <w:tcW w:w="648" w:type="dxa"/>
          </w:tcPr>
          <w:p w14:paraId="05F874A2" w14:textId="77777777" w:rsidR="00773F7B" w:rsidRPr="00A31437" w:rsidRDefault="00773F7B" w:rsidP="00773F7B">
            <w:pPr>
              <w:pStyle w:val="T2"/>
              <w:jc w:val="right"/>
            </w:pPr>
          </w:p>
        </w:tc>
        <w:tc>
          <w:tcPr>
            <w:tcW w:w="1134" w:type="dxa"/>
          </w:tcPr>
          <w:p w14:paraId="279F29F1" w14:textId="77777777" w:rsidR="00773F7B" w:rsidRPr="00B535FA" w:rsidRDefault="00773F7B" w:rsidP="00773F7B">
            <w:pPr>
              <w:pStyle w:val="T2"/>
              <w:jc w:val="right"/>
              <w:rPr>
                <w:b/>
                <w:bCs/>
              </w:rPr>
            </w:pPr>
            <w:r>
              <w:rPr>
                <w:b/>
                <w:bCs/>
              </w:rPr>
              <w:t>48.0</w:t>
            </w:r>
          </w:p>
        </w:tc>
        <w:tc>
          <w:tcPr>
            <w:tcW w:w="1132" w:type="dxa"/>
          </w:tcPr>
          <w:p w14:paraId="2018DA25" w14:textId="77777777" w:rsidR="00773F7B" w:rsidRPr="002C5AD6" w:rsidRDefault="00773F7B" w:rsidP="00773F7B">
            <w:pPr>
              <w:pStyle w:val="T2"/>
              <w:jc w:val="right"/>
            </w:pPr>
            <w:r>
              <w:rPr>
                <w:bCs/>
              </w:rPr>
              <w:t>45.9</w:t>
            </w:r>
          </w:p>
        </w:tc>
      </w:tr>
      <w:tr w:rsidR="00773F7B" w14:paraId="48239994" w14:textId="77777777" w:rsidTr="005B3BEE">
        <w:trPr>
          <w:jc w:val="center"/>
        </w:trPr>
        <w:tc>
          <w:tcPr>
            <w:tcW w:w="7574" w:type="dxa"/>
          </w:tcPr>
          <w:p w14:paraId="5A6B02AB" w14:textId="77777777" w:rsidR="00773F7B" w:rsidRPr="00765393" w:rsidRDefault="00773F7B" w:rsidP="00773F7B">
            <w:pPr>
              <w:pStyle w:val="T2"/>
              <w:jc w:val="left"/>
            </w:pPr>
            <w:r w:rsidRPr="00765393">
              <w:t>Trade and other receivables</w:t>
            </w:r>
          </w:p>
        </w:tc>
        <w:tc>
          <w:tcPr>
            <w:tcW w:w="648" w:type="dxa"/>
          </w:tcPr>
          <w:p w14:paraId="5652438B" w14:textId="77777777" w:rsidR="00773F7B" w:rsidRPr="00A31437" w:rsidRDefault="00773F7B" w:rsidP="00773F7B">
            <w:pPr>
              <w:pStyle w:val="T2"/>
              <w:jc w:val="right"/>
            </w:pPr>
          </w:p>
        </w:tc>
        <w:tc>
          <w:tcPr>
            <w:tcW w:w="1134" w:type="dxa"/>
          </w:tcPr>
          <w:p w14:paraId="2CF61B24" w14:textId="77777777" w:rsidR="00773F7B" w:rsidRPr="00B535FA" w:rsidRDefault="00773F7B" w:rsidP="00773F7B">
            <w:pPr>
              <w:pStyle w:val="T2"/>
              <w:jc w:val="right"/>
              <w:rPr>
                <w:b/>
                <w:bCs/>
              </w:rPr>
            </w:pPr>
            <w:r>
              <w:rPr>
                <w:b/>
                <w:bCs/>
              </w:rPr>
              <w:t>171.3</w:t>
            </w:r>
          </w:p>
        </w:tc>
        <w:tc>
          <w:tcPr>
            <w:tcW w:w="1132" w:type="dxa"/>
          </w:tcPr>
          <w:p w14:paraId="787C0047" w14:textId="77777777" w:rsidR="00773F7B" w:rsidRPr="002C5AD6" w:rsidRDefault="00773F7B" w:rsidP="00773F7B">
            <w:pPr>
              <w:pStyle w:val="T2"/>
              <w:jc w:val="right"/>
            </w:pPr>
            <w:r>
              <w:rPr>
                <w:bCs/>
              </w:rPr>
              <w:t>173.8</w:t>
            </w:r>
          </w:p>
        </w:tc>
      </w:tr>
      <w:tr w:rsidR="00773F7B" w14:paraId="3995B816" w14:textId="77777777" w:rsidTr="005B3BEE">
        <w:trPr>
          <w:jc w:val="center"/>
        </w:trPr>
        <w:tc>
          <w:tcPr>
            <w:tcW w:w="7574" w:type="dxa"/>
          </w:tcPr>
          <w:p w14:paraId="18C7B14A" w14:textId="77777777" w:rsidR="00773F7B" w:rsidRPr="00765393" w:rsidRDefault="00773F7B" w:rsidP="00773F7B">
            <w:pPr>
              <w:pStyle w:val="T2"/>
              <w:jc w:val="left"/>
            </w:pPr>
            <w:r>
              <w:t>Current tax receivable</w:t>
            </w:r>
          </w:p>
        </w:tc>
        <w:tc>
          <w:tcPr>
            <w:tcW w:w="648" w:type="dxa"/>
          </w:tcPr>
          <w:p w14:paraId="3FE91449" w14:textId="77777777" w:rsidR="00773F7B" w:rsidRPr="00A31437" w:rsidRDefault="00773F7B" w:rsidP="00773F7B">
            <w:pPr>
              <w:pStyle w:val="T2"/>
              <w:jc w:val="right"/>
            </w:pPr>
          </w:p>
        </w:tc>
        <w:tc>
          <w:tcPr>
            <w:tcW w:w="1134" w:type="dxa"/>
          </w:tcPr>
          <w:p w14:paraId="6BBC1B65" w14:textId="77777777" w:rsidR="00773F7B" w:rsidRDefault="00773F7B" w:rsidP="00773F7B">
            <w:pPr>
              <w:pStyle w:val="T2"/>
              <w:jc w:val="right"/>
              <w:rPr>
                <w:b/>
                <w:bCs/>
              </w:rPr>
            </w:pPr>
            <w:r>
              <w:rPr>
                <w:b/>
                <w:bCs/>
              </w:rPr>
              <w:t>0.5</w:t>
            </w:r>
          </w:p>
        </w:tc>
        <w:tc>
          <w:tcPr>
            <w:tcW w:w="1132" w:type="dxa"/>
          </w:tcPr>
          <w:p w14:paraId="2A73DA98" w14:textId="77777777" w:rsidR="00773F7B" w:rsidRDefault="00773F7B" w:rsidP="00773F7B">
            <w:pPr>
              <w:pStyle w:val="T2"/>
              <w:jc w:val="right"/>
              <w:rPr>
                <w:bCs/>
              </w:rPr>
            </w:pPr>
            <w:r>
              <w:rPr>
                <w:bCs/>
              </w:rPr>
              <w:t>0.7</w:t>
            </w:r>
          </w:p>
        </w:tc>
      </w:tr>
      <w:tr w:rsidR="00773F7B" w14:paraId="27734793" w14:textId="77777777" w:rsidTr="005B3BEE">
        <w:trPr>
          <w:jc w:val="center"/>
        </w:trPr>
        <w:tc>
          <w:tcPr>
            <w:tcW w:w="7574" w:type="dxa"/>
          </w:tcPr>
          <w:p w14:paraId="3FC3E6AE" w14:textId="77777777" w:rsidR="00773F7B" w:rsidRPr="00765393" w:rsidRDefault="00773F7B" w:rsidP="00773F7B">
            <w:pPr>
              <w:pStyle w:val="T2"/>
              <w:jc w:val="left"/>
            </w:pPr>
            <w:r w:rsidRPr="00765393">
              <w:t>Cash and cash equivalents</w:t>
            </w:r>
          </w:p>
        </w:tc>
        <w:tc>
          <w:tcPr>
            <w:tcW w:w="648" w:type="dxa"/>
          </w:tcPr>
          <w:p w14:paraId="59756E03" w14:textId="77777777" w:rsidR="00773F7B" w:rsidRPr="00A31437" w:rsidRDefault="00773F7B" w:rsidP="00773F7B">
            <w:pPr>
              <w:pStyle w:val="T2"/>
              <w:jc w:val="right"/>
            </w:pPr>
          </w:p>
        </w:tc>
        <w:tc>
          <w:tcPr>
            <w:tcW w:w="1134" w:type="dxa"/>
          </w:tcPr>
          <w:p w14:paraId="090A49E7" w14:textId="77777777" w:rsidR="00773F7B" w:rsidRPr="00B535FA" w:rsidRDefault="00773F7B" w:rsidP="00773F7B">
            <w:pPr>
              <w:pStyle w:val="T2"/>
              <w:jc w:val="right"/>
              <w:rPr>
                <w:b/>
                <w:bCs/>
              </w:rPr>
            </w:pPr>
            <w:r>
              <w:rPr>
                <w:b/>
                <w:bCs/>
              </w:rPr>
              <w:t>34.5</w:t>
            </w:r>
          </w:p>
        </w:tc>
        <w:tc>
          <w:tcPr>
            <w:tcW w:w="1132" w:type="dxa"/>
          </w:tcPr>
          <w:p w14:paraId="6AC1CA1A" w14:textId="77777777" w:rsidR="00773F7B" w:rsidRPr="002C5AD6" w:rsidRDefault="00773F7B" w:rsidP="00773F7B">
            <w:pPr>
              <w:pStyle w:val="T2"/>
              <w:jc w:val="right"/>
            </w:pPr>
            <w:r>
              <w:rPr>
                <w:bCs/>
              </w:rPr>
              <w:t>41.6</w:t>
            </w:r>
          </w:p>
        </w:tc>
      </w:tr>
      <w:tr w:rsidR="00773F7B" w14:paraId="1C20EEEE" w14:textId="77777777" w:rsidTr="005B3BEE">
        <w:trPr>
          <w:jc w:val="center"/>
        </w:trPr>
        <w:tc>
          <w:tcPr>
            <w:tcW w:w="7574" w:type="dxa"/>
            <w:tcBorders>
              <w:top w:val="single" w:sz="2" w:space="0" w:color="auto"/>
              <w:bottom w:val="single" w:sz="2" w:space="0" w:color="auto"/>
            </w:tcBorders>
          </w:tcPr>
          <w:p w14:paraId="0C8D9D1C" w14:textId="77777777" w:rsidR="00773F7B" w:rsidRPr="00D515EB" w:rsidRDefault="00773F7B" w:rsidP="00773F7B">
            <w:pPr>
              <w:pStyle w:val="T2"/>
              <w:jc w:val="left"/>
              <w:rPr>
                <w:b/>
              </w:rPr>
            </w:pPr>
            <w:r w:rsidRPr="00D515EB">
              <w:rPr>
                <w:b/>
              </w:rPr>
              <w:t>Total current assets</w:t>
            </w:r>
          </w:p>
        </w:tc>
        <w:tc>
          <w:tcPr>
            <w:tcW w:w="648" w:type="dxa"/>
            <w:tcBorders>
              <w:top w:val="single" w:sz="2" w:space="0" w:color="auto"/>
              <w:bottom w:val="single" w:sz="2" w:space="0" w:color="auto"/>
            </w:tcBorders>
          </w:tcPr>
          <w:p w14:paraId="2FD0F252" w14:textId="77777777" w:rsidR="00773F7B" w:rsidRPr="00A31437" w:rsidRDefault="00773F7B" w:rsidP="00773F7B">
            <w:pPr>
              <w:pStyle w:val="T2"/>
              <w:jc w:val="right"/>
            </w:pPr>
          </w:p>
        </w:tc>
        <w:tc>
          <w:tcPr>
            <w:tcW w:w="1134" w:type="dxa"/>
            <w:tcBorders>
              <w:top w:val="single" w:sz="2" w:space="0" w:color="auto"/>
              <w:bottom w:val="single" w:sz="2" w:space="0" w:color="auto"/>
            </w:tcBorders>
          </w:tcPr>
          <w:p w14:paraId="7DED01A3" w14:textId="77777777" w:rsidR="00773F7B" w:rsidRPr="00B535FA" w:rsidRDefault="00773F7B" w:rsidP="00773F7B">
            <w:pPr>
              <w:pStyle w:val="T2"/>
              <w:jc w:val="right"/>
              <w:rPr>
                <w:b/>
                <w:bCs/>
              </w:rPr>
            </w:pPr>
            <w:r>
              <w:rPr>
                <w:b/>
                <w:bCs/>
              </w:rPr>
              <w:t>254.3</w:t>
            </w:r>
          </w:p>
        </w:tc>
        <w:tc>
          <w:tcPr>
            <w:tcW w:w="1132" w:type="dxa"/>
            <w:tcBorders>
              <w:top w:val="single" w:sz="2" w:space="0" w:color="auto"/>
              <w:bottom w:val="single" w:sz="2" w:space="0" w:color="auto"/>
            </w:tcBorders>
          </w:tcPr>
          <w:p w14:paraId="0864BFDB" w14:textId="77777777" w:rsidR="00773F7B" w:rsidRPr="002C5AD6" w:rsidRDefault="00773F7B" w:rsidP="00773F7B">
            <w:pPr>
              <w:pStyle w:val="T2"/>
              <w:jc w:val="right"/>
            </w:pPr>
            <w:r>
              <w:rPr>
                <w:bCs/>
              </w:rPr>
              <w:t>262.0</w:t>
            </w:r>
          </w:p>
        </w:tc>
      </w:tr>
      <w:tr w:rsidR="00773F7B" w14:paraId="16176CCF" w14:textId="77777777" w:rsidTr="005B3BEE">
        <w:trPr>
          <w:jc w:val="center"/>
        </w:trPr>
        <w:tc>
          <w:tcPr>
            <w:tcW w:w="7574" w:type="dxa"/>
            <w:tcBorders>
              <w:top w:val="single" w:sz="2" w:space="0" w:color="auto"/>
              <w:bottom w:val="single" w:sz="8" w:space="0" w:color="auto"/>
            </w:tcBorders>
          </w:tcPr>
          <w:p w14:paraId="367AE70B" w14:textId="77777777" w:rsidR="00773F7B" w:rsidRPr="00D515EB" w:rsidRDefault="00773F7B" w:rsidP="00773F7B">
            <w:pPr>
              <w:pStyle w:val="T2"/>
              <w:jc w:val="left"/>
              <w:rPr>
                <w:b/>
              </w:rPr>
            </w:pPr>
            <w:r w:rsidRPr="00D515EB">
              <w:rPr>
                <w:b/>
              </w:rPr>
              <w:t>Total assets</w:t>
            </w:r>
          </w:p>
        </w:tc>
        <w:tc>
          <w:tcPr>
            <w:tcW w:w="648" w:type="dxa"/>
            <w:tcBorders>
              <w:top w:val="single" w:sz="2" w:space="0" w:color="auto"/>
              <w:bottom w:val="single" w:sz="8" w:space="0" w:color="auto"/>
            </w:tcBorders>
          </w:tcPr>
          <w:p w14:paraId="23FE6EE2" w14:textId="77777777" w:rsidR="00773F7B" w:rsidRPr="00A31437" w:rsidRDefault="00773F7B" w:rsidP="00773F7B">
            <w:pPr>
              <w:pStyle w:val="T2"/>
              <w:jc w:val="right"/>
            </w:pPr>
          </w:p>
        </w:tc>
        <w:tc>
          <w:tcPr>
            <w:tcW w:w="1134" w:type="dxa"/>
            <w:tcBorders>
              <w:top w:val="single" w:sz="2" w:space="0" w:color="auto"/>
              <w:bottom w:val="single" w:sz="8" w:space="0" w:color="auto"/>
            </w:tcBorders>
          </w:tcPr>
          <w:p w14:paraId="72F09E6D" w14:textId="77777777" w:rsidR="00773F7B" w:rsidRPr="00B535FA" w:rsidRDefault="00773F7B" w:rsidP="00773F7B">
            <w:pPr>
              <w:pStyle w:val="T2"/>
              <w:jc w:val="right"/>
              <w:rPr>
                <w:b/>
                <w:bCs/>
              </w:rPr>
            </w:pPr>
            <w:r>
              <w:rPr>
                <w:b/>
                <w:bCs/>
              </w:rPr>
              <w:t>1,220.</w:t>
            </w:r>
            <w:r w:rsidR="00A71427">
              <w:rPr>
                <w:b/>
                <w:bCs/>
              </w:rPr>
              <w:t>9</w:t>
            </w:r>
          </w:p>
        </w:tc>
        <w:tc>
          <w:tcPr>
            <w:tcW w:w="1132" w:type="dxa"/>
            <w:tcBorders>
              <w:top w:val="single" w:sz="2" w:space="0" w:color="auto"/>
              <w:bottom w:val="single" w:sz="8" w:space="0" w:color="auto"/>
            </w:tcBorders>
          </w:tcPr>
          <w:p w14:paraId="13FAC2FF" w14:textId="77777777" w:rsidR="00773F7B" w:rsidRDefault="00773F7B" w:rsidP="00773F7B">
            <w:pPr>
              <w:pStyle w:val="T2"/>
              <w:jc w:val="right"/>
            </w:pPr>
            <w:r>
              <w:rPr>
                <w:bCs/>
              </w:rPr>
              <w:t>1,163.8</w:t>
            </w:r>
          </w:p>
        </w:tc>
      </w:tr>
      <w:tr w:rsidR="00773F7B" w14:paraId="35954100" w14:textId="77777777" w:rsidTr="005B3BEE">
        <w:trPr>
          <w:jc w:val="center"/>
        </w:trPr>
        <w:tc>
          <w:tcPr>
            <w:tcW w:w="7574" w:type="dxa"/>
            <w:tcBorders>
              <w:top w:val="single" w:sz="8" w:space="0" w:color="auto"/>
            </w:tcBorders>
          </w:tcPr>
          <w:p w14:paraId="1BB5EF35" w14:textId="77777777" w:rsidR="00773F7B" w:rsidRDefault="00773F7B" w:rsidP="00773F7B">
            <w:pPr>
              <w:pStyle w:val="T2"/>
              <w:jc w:val="left"/>
            </w:pPr>
          </w:p>
        </w:tc>
        <w:tc>
          <w:tcPr>
            <w:tcW w:w="648" w:type="dxa"/>
            <w:tcBorders>
              <w:top w:val="single" w:sz="8" w:space="0" w:color="auto"/>
            </w:tcBorders>
          </w:tcPr>
          <w:p w14:paraId="2DA68BF6" w14:textId="77777777" w:rsidR="00773F7B" w:rsidRPr="00A31437" w:rsidRDefault="00773F7B" w:rsidP="00773F7B">
            <w:pPr>
              <w:pStyle w:val="T2"/>
              <w:jc w:val="right"/>
            </w:pPr>
          </w:p>
        </w:tc>
        <w:tc>
          <w:tcPr>
            <w:tcW w:w="1134" w:type="dxa"/>
            <w:tcBorders>
              <w:top w:val="single" w:sz="8" w:space="0" w:color="auto"/>
            </w:tcBorders>
          </w:tcPr>
          <w:p w14:paraId="69542FAF" w14:textId="77777777" w:rsidR="00773F7B" w:rsidRPr="00B535FA" w:rsidRDefault="00773F7B" w:rsidP="00773F7B">
            <w:pPr>
              <w:pStyle w:val="T2"/>
              <w:jc w:val="right"/>
              <w:rPr>
                <w:b/>
                <w:bCs/>
              </w:rPr>
            </w:pPr>
          </w:p>
        </w:tc>
        <w:tc>
          <w:tcPr>
            <w:tcW w:w="1132" w:type="dxa"/>
            <w:tcBorders>
              <w:top w:val="single" w:sz="8" w:space="0" w:color="auto"/>
            </w:tcBorders>
          </w:tcPr>
          <w:p w14:paraId="5DB64C2D" w14:textId="77777777" w:rsidR="00773F7B" w:rsidRDefault="00773F7B" w:rsidP="00773F7B">
            <w:pPr>
              <w:pStyle w:val="T2"/>
              <w:jc w:val="right"/>
            </w:pPr>
          </w:p>
        </w:tc>
      </w:tr>
      <w:tr w:rsidR="00773F7B" w14:paraId="0FBF3672" w14:textId="77777777" w:rsidTr="005B3BEE">
        <w:trPr>
          <w:jc w:val="center"/>
        </w:trPr>
        <w:tc>
          <w:tcPr>
            <w:tcW w:w="7574" w:type="dxa"/>
          </w:tcPr>
          <w:p w14:paraId="39EB70FF" w14:textId="77777777" w:rsidR="00773F7B" w:rsidRPr="00D515EB" w:rsidRDefault="00773F7B" w:rsidP="00773F7B">
            <w:pPr>
              <w:pStyle w:val="T2"/>
              <w:jc w:val="left"/>
              <w:rPr>
                <w:b/>
              </w:rPr>
            </w:pPr>
            <w:r w:rsidRPr="00D515EB">
              <w:rPr>
                <w:b/>
              </w:rPr>
              <w:t>EQUITY</w:t>
            </w:r>
          </w:p>
        </w:tc>
        <w:tc>
          <w:tcPr>
            <w:tcW w:w="648" w:type="dxa"/>
          </w:tcPr>
          <w:p w14:paraId="185AB1DE" w14:textId="77777777" w:rsidR="00773F7B" w:rsidRPr="00A31437" w:rsidRDefault="00773F7B" w:rsidP="00773F7B">
            <w:pPr>
              <w:pStyle w:val="T2"/>
              <w:jc w:val="right"/>
            </w:pPr>
          </w:p>
        </w:tc>
        <w:tc>
          <w:tcPr>
            <w:tcW w:w="1134" w:type="dxa"/>
          </w:tcPr>
          <w:p w14:paraId="6A665335" w14:textId="77777777" w:rsidR="00773F7B" w:rsidRPr="00B535FA" w:rsidRDefault="00773F7B" w:rsidP="00773F7B">
            <w:pPr>
              <w:pStyle w:val="T2"/>
              <w:jc w:val="right"/>
              <w:rPr>
                <w:b/>
                <w:bCs/>
              </w:rPr>
            </w:pPr>
          </w:p>
        </w:tc>
        <w:tc>
          <w:tcPr>
            <w:tcW w:w="1132" w:type="dxa"/>
          </w:tcPr>
          <w:p w14:paraId="729315FB" w14:textId="77777777" w:rsidR="00773F7B" w:rsidRDefault="00773F7B" w:rsidP="00773F7B">
            <w:pPr>
              <w:pStyle w:val="T2"/>
              <w:jc w:val="right"/>
            </w:pPr>
          </w:p>
        </w:tc>
      </w:tr>
      <w:tr w:rsidR="00773F7B" w14:paraId="79CC8DF1" w14:textId="77777777" w:rsidTr="005B3BEE">
        <w:trPr>
          <w:jc w:val="center"/>
        </w:trPr>
        <w:tc>
          <w:tcPr>
            <w:tcW w:w="7574" w:type="dxa"/>
          </w:tcPr>
          <w:p w14:paraId="35987B6C" w14:textId="77777777" w:rsidR="00773F7B" w:rsidRPr="00D515EB" w:rsidRDefault="00773F7B" w:rsidP="00773F7B">
            <w:pPr>
              <w:pStyle w:val="T2"/>
              <w:jc w:val="left"/>
              <w:rPr>
                <w:b/>
              </w:rPr>
            </w:pPr>
            <w:r w:rsidRPr="00D515EB">
              <w:rPr>
                <w:b/>
              </w:rPr>
              <w:t>Capital and reserves attributable to equity holders of the Company</w:t>
            </w:r>
          </w:p>
        </w:tc>
        <w:tc>
          <w:tcPr>
            <w:tcW w:w="648" w:type="dxa"/>
          </w:tcPr>
          <w:p w14:paraId="35C3A711" w14:textId="77777777" w:rsidR="00773F7B" w:rsidRPr="00A31437" w:rsidRDefault="00773F7B" w:rsidP="00773F7B">
            <w:pPr>
              <w:pStyle w:val="T2"/>
              <w:jc w:val="right"/>
            </w:pPr>
          </w:p>
        </w:tc>
        <w:tc>
          <w:tcPr>
            <w:tcW w:w="1134" w:type="dxa"/>
          </w:tcPr>
          <w:p w14:paraId="2DECFFEF" w14:textId="77777777" w:rsidR="00773F7B" w:rsidRPr="00B535FA" w:rsidRDefault="00773F7B" w:rsidP="00773F7B">
            <w:pPr>
              <w:pStyle w:val="T2"/>
              <w:jc w:val="right"/>
              <w:rPr>
                <w:b/>
                <w:bCs/>
              </w:rPr>
            </w:pPr>
          </w:p>
        </w:tc>
        <w:tc>
          <w:tcPr>
            <w:tcW w:w="1132" w:type="dxa"/>
          </w:tcPr>
          <w:p w14:paraId="7823359C" w14:textId="77777777" w:rsidR="00773F7B" w:rsidRDefault="00773F7B" w:rsidP="00773F7B">
            <w:pPr>
              <w:pStyle w:val="T2"/>
              <w:jc w:val="right"/>
            </w:pPr>
          </w:p>
        </w:tc>
      </w:tr>
      <w:tr w:rsidR="00773F7B" w14:paraId="1C99F3D8" w14:textId="77777777" w:rsidTr="005B3BEE">
        <w:trPr>
          <w:jc w:val="center"/>
        </w:trPr>
        <w:tc>
          <w:tcPr>
            <w:tcW w:w="7574" w:type="dxa"/>
          </w:tcPr>
          <w:p w14:paraId="376E4286" w14:textId="77777777" w:rsidR="00773F7B" w:rsidRPr="006D3169" w:rsidRDefault="00773F7B" w:rsidP="00773F7B">
            <w:pPr>
              <w:pStyle w:val="T2"/>
              <w:jc w:val="left"/>
            </w:pPr>
            <w:r w:rsidRPr="006D3169">
              <w:t>Share capital</w:t>
            </w:r>
          </w:p>
        </w:tc>
        <w:tc>
          <w:tcPr>
            <w:tcW w:w="648" w:type="dxa"/>
          </w:tcPr>
          <w:p w14:paraId="1BFADEC8" w14:textId="77777777" w:rsidR="00773F7B" w:rsidRPr="00A31437" w:rsidRDefault="00773F7B" w:rsidP="00773F7B">
            <w:pPr>
              <w:pStyle w:val="T2"/>
              <w:jc w:val="right"/>
            </w:pPr>
          </w:p>
        </w:tc>
        <w:tc>
          <w:tcPr>
            <w:tcW w:w="1134" w:type="dxa"/>
          </w:tcPr>
          <w:p w14:paraId="024158CE" w14:textId="77777777" w:rsidR="00773F7B" w:rsidRPr="00B535FA" w:rsidRDefault="00773F7B" w:rsidP="00773F7B">
            <w:pPr>
              <w:pStyle w:val="T2"/>
              <w:jc w:val="right"/>
              <w:rPr>
                <w:b/>
                <w:bCs/>
              </w:rPr>
            </w:pPr>
            <w:r>
              <w:rPr>
                <w:b/>
                <w:bCs/>
              </w:rPr>
              <w:t>4.5</w:t>
            </w:r>
          </w:p>
        </w:tc>
        <w:tc>
          <w:tcPr>
            <w:tcW w:w="1132" w:type="dxa"/>
          </w:tcPr>
          <w:p w14:paraId="1FF88884" w14:textId="77777777" w:rsidR="00773F7B" w:rsidRPr="009D01DA" w:rsidRDefault="00773F7B" w:rsidP="00773F7B">
            <w:pPr>
              <w:pStyle w:val="T2"/>
              <w:jc w:val="right"/>
            </w:pPr>
            <w:r w:rsidRPr="0096767F">
              <w:rPr>
                <w:bCs/>
              </w:rPr>
              <w:t>4.5</w:t>
            </w:r>
          </w:p>
        </w:tc>
      </w:tr>
      <w:tr w:rsidR="00773F7B" w14:paraId="3FF9CCA2" w14:textId="77777777" w:rsidTr="005B3BEE">
        <w:trPr>
          <w:jc w:val="center"/>
        </w:trPr>
        <w:tc>
          <w:tcPr>
            <w:tcW w:w="7574" w:type="dxa"/>
          </w:tcPr>
          <w:p w14:paraId="592C5F50" w14:textId="77777777" w:rsidR="00773F7B" w:rsidRPr="006D3169" w:rsidRDefault="00773F7B" w:rsidP="00773F7B">
            <w:pPr>
              <w:pStyle w:val="T2"/>
              <w:jc w:val="left"/>
            </w:pPr>
            <w:r w:rsidRPr="006D3169">
              <w:t xml:space="preserve">Share premium </w:t>
            </w:r>
          </w:p>
        </w:tc>
        <w:tc>
          <w:tcPr>
            <w:tcW w:w="648" w:type="dxa"/>
          </w:tcPr>
          <w:p w14:paraId="16516299" w14:textId="77777777" w:rsidR="00773F7B" w:rsidRPr="00A31437" w:rsidRDefault="00773F7B" w:rsidP="00773F7B">
            <w:pPr>
              <w:pStyle w:val="T2"/>
              <w:jc w:val="right"/>
            </w:pPr>
          </w:p>
        </w:tc>
        <w:tc>
          <w:tcPr>
            <w:tcW w:w="1134" w:type="dxa"/>
          </w:tcPr>
          <w:p w14:paraId="4B403596" w14:textId="77777777" w:rsidR="00773F7B" w:rsidRPr="00B535FA" w:rsidRDefault="00773F7B" w:rsidP="00773F7B">
            <w:pPr>
              <w:pStyle w:val="T2"/>
              <w:jc w:val="right"/>
              <w:rPr>
                <w:b/>
                <w:bCs/>
              </w:rPr>
            </w:pPr>
            <w:r>
              <w:rPr>
                <w:b/>
                <w:bCs/>
              </w:rPr>
              <w:t>0.4</w:t>
            </w:r>
          </w:p>
        </w:tc>
        <w:tc>
          <w:tcPr>
            <w:tcW w:w="1132" w:type="dxa"/>
          </w:tcPr>
          <w:p w14:paraId="7954A98F" w14:textId="77777777" w:rsidR="00773F7B" w:rsidRPr="009D01DA" w:rsidRDefault="00773F7B" w:rsidP="00773F7B">
            <w:pPr>
              <w:pStyle w:val="T2"/>
              <w:jc w:val="right"/>
            </w:pPr>
            <w:r>
              <w:rPr>
                <w:bCs/>
              </w:rPr>
              <w:t>0.1</w:t>
            </w:r>
          </w:p>
        </w:tc>
      </w:tr>
      <w:tr w:rsidR="00773F7B" w14:paraId="3C032B08" w14:textId="77777777" w:rsidTr="005B3BEE">
        <w:trPr>
          <w:jc w:val="center"/>
        </w:trPr>
        <w:tc>
          <w:tcPr>
            <w:tcW w:w="7574" w:type="dxa"/>
            <w:tcBorders>
              <w:bottom w:val="single" w:sz="2" w:space="0" w:color="auto"/>
            </w:tcBorders>
          </w:tcPr>
          <w:p w14:paraId="6D2C3C17" w14:textId="77777777" w:rsidR="00773F7B" w:rsidRPr="006D3169" w:rsidRDefault="00773F7B" w:rsidP="00773F7B">
            <w:pPr>
              <w:pStyle w:val="T2"/>
              <w:jc w:val="left"/>
            </w:pPr>
            <w:r w:rsidRPr="006D3169">
              <w:t>Reserves</w:t>
            </w:r>
          </w:p>
        </w:tc>
        <w:tc>
          <w:tcPr>
            <w:tcW w:w="648" w:type="dxa"/>
            <w:tcBorders>
              <w:bottom w:val="single" w:sz="2" w:space="0" w:color="auto"/>
            </w:tcBorders>
          </w:tcPr>
          <w:p w14:paraId="550A2502" w14:textId="77777777" w:rsidR="00773F7B" w:rsidRPr="00A31437" w:rsidRDefault="00773F7B" w:rsidP="00773F7B">
            <w:pPr>
              <w:pStyle w:val="T2"/>
              <w:jc w:val="right"/>
            </w:pPr>
          </w:p>
        </w:tc>
        <w:tc>
          <w:tcPr>
            <w:tcW w:w="1134" w:type="dxa"/>
            <w:tcBorders>
              <w:bottom w:val="single" w:sz="2" w:space="0" w:color="auto"/>
            </w:tcBorders>
          </w:tcPr>
          <w:p w14:paraId="013A91E0" w14:textId="77777777" w:rsidR="00773F7B" w:rsidRPr="00B535FA" w:rsidRDefault="00773F7B" w:rsidP="00773F7B">
            <w:pPr>
              <w:pStyle w:val="T2"/>
              <w:jc w:val="right"/>
              <w:rPr>
                <w:b/>
                <w:bCs/>
              </w:rPr>
            </w:pPr>
            <w:r>
              <w:rPr>
                <w:b/>
                <w:bCs/>
              </w:rPr>
              <w:t>331.7</w:t>
            </w:r>
          </w:p>
        </w:tc>
        <w:tc>
          <w:tcPr>
            <w:tcW w:w="1132" w:type="dxa"/>
            <w:tcBorders>
              <w:bottom w:val="single" w:sz="2" w:space="0" w:color="auto"/>
            </w:tcBorders>
          </w:tcPr>
          <w:p w14:paraId="3EFAF12D" w14:textId="77777777" w:rsidR="00773F7B" w:rsidRPr="009D01DA" w:rsidRDefault="00773F7B" w:rsidP="00773F7B">
            <w:pPr>
              <w:pStyle w:val="T2"/>
              <w:jc w:val="right"/>
            </w:pPr>
            <w:r w:rsidRPr="0096767F">
              <w:rPr>
                <w:bCs/>
              </w:rPr>
              <w:t>2</w:t>
            </w:r>
            <w:r>
              <w:rPr>
                <w:bCs/>
              </w:rPr>
              <w:t>94.8</w:t>
            </w:r>
          </w:p>
        </w:tc>
      </w:tr>
      <w:tr w:rsidR="00773F7B" w14:paraId="377DBC9A" w14:textId="77777777" w:rsidTr="005B3BEE">
        <w:trPr>
          <w:jc w:val="center"/>
        </w:trPr>
        <w:tc>
          <w:tcPr>
            <w:tcW w:w="7574" w:type="dxa"/>
            <w:tcBorders>
              <w:top w:val="single" w:sz="2" w:space="0" w:color="auto"/>
            </w:tcBorders>
          </w:tcPr>
          <w:p w14:paraId="6096B57C" w14:textId="77777777" w:rsidR="00773F7B" w:rsidRPr="006D3169" w:rsidRDefault="00773F7B" w:rsidP="00773F7B">
            <w:pPr>
              <w:pStyle w:val="T2"/>
              <w:jc w:val="left"/>
            </w:pPr>
          </w:p>
        </w:tc>
        <w:tc>
          <w:tcPr>
            <w:tcW w:w="648" w:type="dxa"/>
            <w:tcBorders>
              <w:top w:val="single" w:sz="2" w:space="0" w:color="auto"/>
            </w:tcBorders>
          </w:tcPr>
          <w:p w14:paraId="10BD3F40" w14:textId="77777777" w:rsidR="00773F7B" w:rsidRPr="00A31437" w:rsidRDefault="00773F7B" w:rsidP="00773F7B">
            <w:pPr>
              <w:pStyle w:val="T2"/>
              <w:jc w:val="right"/>
            </w:pPr>
          </w:p>
        </w:tc>
        <w:tc>
          <w:tcPr>
            <w:tcW w:w="1134" w:type="dxa"/>
            <w:tcBorders>
              <w:top w:val="single" w:sz="2" w:space="0" w:color="auto"/>
            </w:tcBorders>
          </w:tcPr>
          <w:p w14:paraId="47302EA0" w14:textId="77777777" w:rsidR="00773F7B" w:rsidRPr="00B535FA" w:rsidRDefault="00773F7B" w:rsidP="00773F7B">
            <w:pPr>
              <w:pStyle w:val="T2"/>
              <w:jc w:val="right"/>
              <w:rPr>
                <w:b/>
                <w:bCs/>
              </w:rPr>
            </w:pPr>
            <w:r>
              <w:rPr>
                <w:b/>
                <w:bCs/>
              </w:rPr>
              <w:t>336.6</w:t>
            </w:r>
          </w:p>
        </w:tc>
        <w:tc>
          <w:tcPr>
            <w:tcW w:w="1132" w:type="dxa"/>
            <w:tcBorders>
              <w:top w:val="single" w:sz="2" w:space="0" w:color="auto"/>
            </w:tcBorders>
          </w:tcPr>
          <w:p w14:paraId="1E7988B1" w14:textId="77777777" w:rsidR="00773F7B" w:rsidRPr="009D01DA" w:rsidRDefault="00773F7B" w:rsidP="00773F7B">
            <w:pPr>
              <w:pStyle w:val="T2"/>
              <w:jc w:val="right"/>
            </w:pPr>
            <w:r w:rsidRPr="0096767F">
              <w:rPr>
                <w:bCs/>
              </w:rPr>
              <w:t>2</w:t>
            </w:r>
            <w:r>
              <w:rPr>
                <w:bCs/>
              </w:rPr>
              <w:t>99.4</w:t>
            </w:r>
          </w:p>
        </w:tc>
      </w:tr>
      <w:tr w:rsidR="00773F7B" w14:paraId="2905B881" w14:textId="77777777" w:rsidTr="005B3BEE">
        <w:trPr>
          <w:jc w:val="center"/>
        </w:trPr>
        <w:tc>
          <w:tcPr>
            <w:tcW w:w="7574" w:type="dxa"/>
            <w:tcBorders>
              <w:bottom w:val="single" w:sz="2" w:space="0" w:color="auto"/>
            </w:tcBorders>
          </w:tcPr>
          <w:p w14:paraId="6DB932AA" w14:textId="77777777" w:rsidR="00773F7B" w:rsidRPr="006D3169" w:rsidRDefault="00773F7B" w:rsidP="00773F7B">
            <w:pPr>
              <w:pStyle w:val="T2"/>
              <w:jc w:val="left"/>
            </w:pPr>
            <w:r w:rsidRPr="006D3169">
              <w:t>Non</w:t>
            </w:r>
            <w:r>
              <w:t>–</w:t>
            </w:r>
            <w:r w:rsidRPr="006D3169">
              <w:t>controlling interests</w:t>
            </w:r>
          </w:p>
        </w:tc>
        <w:tc>
          <w:tcPr>
            <w:tcW w:w="648" w:type="dxa"/>
            <w:tcBorders>
              <w:bottom w:val="single" w:sz="2" w:space="0" w:color="auto"/>
            </w:tcBorders>
          </w:tcPr>
          <w:p w14:paraId="74D991F9" w14:textId="77777777" w:rsidR="00773F7B" w:rsidRPr="00A31437" w:rsidRDefault="00773F7B" w:rsidP="00773F7B">
            <w:pPr>
              <w:pStyle w:val="T2"/>
              <w:jc w:val="right"/>
            </w:pPr>
          </w:p>
        </w:tc>
        <w:tc>
          <w:tcPr>
            <w:tcW w:w="1134" w:type="dxa"/>
            <w:tcBorders>
              <w:bottom w:val="single" w:sz="2" w:space="0" w:color="auto"/>
            </w:tcBorders>
          </w:tcPr>
          <w:p w14:paraId="59C20527" w14:textId="77777777" w:rsidR="00773F7B" w:rsidRPr="00B535FA" w:rsidRDefault="00773F7B" w:rsidP="00773F7B">
            <w:pPr>
              <w:pStyle w:val="T2"/>
              <w:jc w:val="right"/>
              <w:rPr>
                <w:b/>
                <w:bCs/>
              </w:rPr>
            </w:pPr>
            <w:r>
              <w:rPr>
                <w:b/>
                <w:bCs/>
              </w:rPr>
              <w:t>4.9</w:t>
            </w:r>
          </w:p>
        </w:tc>
        <w:tc>
          <w:tcPr>
            <w:tcW w:w="1132" w:type="dxa"/>
            <w:tcBorders>
              <w:bottom w:val="single" w:sz="2" w:space="0" w:color="auto"/>
            </w:tcBorders>
          </w:tcPr>
          <w:p w14:paraId="034C8136" w14:textId="77777777" w:rsidR="00773F7B" w:rsidRPr="009D01DA" w:rsidRDefault="00773F7B" w:rsidP="00773F7B">
            <w:pPr>
              <w:pStyle w:val="T2"/>
              <w:jc w:val="right"/>
            </w:pPr>
            <w:r>
              <w:rPr>
                <w:bCs/>
              </w:rPr>
              <w:t>6.4</w:t>
            </w:r>
          </w:p>
        </w:tc>
      </w:tr>
      <w:tr w:rsidR="00773F7B" w14:paraId="3B5F5DBA" w14:textId="77777777" w:rsidTr="005B3BEE">
        <w:trPr>
          <w:jc w:val="center"/>
        </w:trPr>
        <w:tc>
          <w:tcPr>
            <w:tcW w:w="7574" w:type="dxa"/>
            <w:tcBorders>
              <w:top w:val="single" w:sz="2" w:space="0" w:color="auto"/>
              <w:bottom w:val="single" w:sz="2" w:space="0" w:color="auto"/>
            </w:tcBorders>
          </w:tcPr>
          <w:p w14:paraId="5B83F612" w14:textId="77777777" w:rsidR="00773F7B" w:rsidRPr="00D515EB" w:rsidRDefault="00773F7B" w:rsidP="00773F7B">
            <w:pPr>
              <w:pStyle w:val="T2"/>
              <w:jc w:val="left"/>
              <w:rPr>
                <w:b/>
              </w:rPr>
            </w:pPr>
            <w:r w:rsidRPr="00D515EB">
              <w:rPr>
                <w:b/>
              </w:rPr>
              <w:t>Total equity</w:t>
            </w:r>
          </w:p>
        </w:tc>
        <w:tc>
          <w:tcPr>
            <w:tcW w:w="648" w:type="dxa"/>
            <w:tcBorders>
              <w:top w:val="single" w:sz="2" w:space="0" w:color="auto"/>
              <w:bottom w:val="single" w:sz="2" w:space="0" w:color="auto"/>
            </w:tcBorders>
          </w:tcPr>
          <w:p w14:paraId="7083ECC6" w14:textId="77777777" w:rsidR="00773F7B" w:rsidRPr="00A31437" w:rsidRDefault="00773F7B" w:rsidP="00773F7B">
            <w:pPr>
              <w:pStyle w:val="T2"/>
              <w:jc w:val="right"/>
            </w:pPr>
          </w:p>
        </w:tc>
        <w:tc>
          <w:tcPr>
            <w:tcW w:w="1134" w:type="dxa"/>
            <w:tcBorders>
              <w:top w:val="single" w:sz="2" w:space="0" w:color="auto"/>
              <w:bottom w:val="single" w:sz="2" w:space="0" w:color="auto"/>
            </w:tcBorders>
          </w:tcPr>
          <w:p w14:paraId="101F58C6" w14:textId="77777777" w:rsidR="00773F7B" w:rsidRPr="00B535FA" w:rsidRDefault="00773F7B" w:rsidP="00773F7B">
            <w:pPr>
              <w:pStyle w:val="T2"/>
              <w:jc w:val="right"/>
              <w:rPr>
                <w:b/>
                <w:bCs/>
              </w:rPr>
            </w:pPr>
            <w:r>
              <w:rPr>
                <w:b/>
                <w:bCs/>
              </w:rPr>
              <w:t>341.5</w:t>
            </w:r>
          </w:p>
        </w:tc>
        <w:tc>
          <w:tcPr>
            <w:tcW w:w="1132" w:type="dxa"/>
            <w:tcBorders>
              <w:top w:val="single" w:sz="2" w:space="0" w:color="auto"/>
              <w:bottom w:val="single" w:sz="2" w:space="0" w:color="auto"/>
            </w:tcBorders>
          </w:tcPr>
          <w:p w14:paraId="1D9D6CB0" w14:textId="77777777" w:rsidR="00773F7B" w:rsidRDefault="00773F7B" w:rsidP="00773F7B">
            <w:pPr>
              <w:pStyle w:val="T2"/>
              <w:jc w:val="right"/>
            </w:pPr>
            <w:r>
              <w:rPr>
                <w:bCs/>
              </w:rPr>
              <w:t>305.8</w:t>
            </w:r>
          </w:p>
        </w:tc>
      </w:tr>
      <w:tr w:rsidR="00773F7B" w14:paraId="3B423D45" w14:textId="77777777" w:rsidTr="005B3BEE">
        <w:trPr>
          <w:jc w:val="center"/>
        </w:trPr>
        <w:tc>
          <w:tcPr>
            <w:tcW w:w="7574" w:type="dxa"/>
            <w:tcBorders>
              <w:top w:val="single" w:sz="2" w:space="0" w:color="auto"/>
            </w:tcBorders>
          </w:tcPr>
          <w:p w14:paraId="549B6E7A" w14:textId="77777777" w:rsidR="00773F7B" w:rsidRPr="006D3169" w:rsidRDefault="00773F7B" w:rsidP="00773F7B">
            <w:pPr>
              <w:pStyle w:val="T2"/>
              <w:jc w:val="left"/>
            </w:pPr>
          </w:p>
        </w:tc>
        <w:tc>
          <w:tcPr>
            <w:tcW w:w="648" w:type="dxa"/>
            <w:tcBorders>
              <w:top w:val="single" w:sz="2" w:space="0" w:color="auto"/>
            </w:tcBorders>
          </w:tcPr>
          <w:p w14:paraId="69EA2A37" w14:textId="77777777" w:rsidR="00773F7B" w:rsidRPr="00A31437" w:rsidRDefault="00773F7B" w:rsidP="00773F7B">
            <w:pPr>
              <w:pStyle w:val="T2"/>
              <w:jc w:val="right"/>
            </w:pPr>
          </w:p>
        </w:tc>
        <w:tc>
          <w:tcPr>
            <w:tcW w:w="1134" w:type="dxa"/>
            <w:tcBorders>
              <w:top w:val="single" w:sz="2" w:space="0" w:color="auto"/>
            </w:tcBorders>
          </w:tcPr>
          <w:p w14:paraId="57626F66" w14:textId="77777777" w:rsidR="00773F7B" w:rsidRPr="00B535FA" w:rsidRDefault="00773F7B" w:rsidP="00773F7B">
            <w:pPr>
              <w:pStyle w:val="T2"/>
              <w:jc w:val="right"/>
              <w:rPr>
                <w:b/>
                <w:bCs/>
              </w:rPr>
            </w:pPr>
          </w:p>
        </w:tc>
        <w:tc>
          <w:tcPr>
            <w:tcW w:w="1132" w:type="dxa"/>
            <w:tcBorders>
              <w:top w:val="single" w:sz="2" w:space="0" w:color="auto"/>
            </w:tcBorders>
          </w:tcPr>
          <w:p w14:paraId="765879B6" w14:textId="77777777" w:rsidR="00773F7B" w:rsidRDefault="00773F7B" w:rsidP="00773F7B">
            <w:pPr>
              <w:pStyle w:val="T2"/>
              <w:jc w:val="right"/>
            </w:pPr>
          </w:p>
        </w:tc>
      </w:tr>
      <w:tr w:rsidR="00773F7B" w14:paraId="61FCBADA" w14:textId="77777777" w:rsidTr="005B3BEE">
        <w:trPr>
          <w:jc w:val="center"/>
        </w:trPr>
        <w:tc>
          <w:tcPr>
            <w:tcW w:w="7574" w:type="dxa"/>
          </w:tcPr>
          <w:p w14:paraId="7735472C" w14:textId="77777777" w:rsidR="00773F7B" w:rsidRPr="00D515EB" w:rsidRDefault="00773F7B" w:rsidP="00773F7B">
            <w:pPr>
              <w:pStyle w:val="T2"/>
              <w:jc w:val="left"/>
              <w:rPr>
                <w:b/>
              </w:rPr>
            </w:pPr>
            <w:r w:rsidRPr="00D515EB">
              <w:rPr>
                <w:b/>
              </w:rPr>
              <w:t>LIABILITIES</w:t>
            </w:r>
          </w:p>
        </w:tc>
        <w:tc>
          <w:tcPr>
            <w:tcW w:w="648" w:type="dxa"/>
          </w:tcPr>
          <w:p w14:paraId="51F84B49" w14:textId="77777777" w:rsidR="00773F7B" w:rsidRPr="00A31437" w:rsidRDefault="00773F7B" w:rsidP="00773F7B">
            <w:pPr>
              <w:pStyle w:val="T2"/>
              <w:jc w:val="right"/>
            </w:pPr>
          </w:p>
        </w:tc>
        <w:tc>
          <w:tcPr>
            <w:tcW w:w="1134" w:type="dxa"/>
          </w:tcPr>
          <w:p w14:paraId="3D6D035D" w14:textId="77777777" w:rsidR="00773F7B" w:rsidRPr="00B535FA" w:rsidRDefault="00773F7B" w:rsidP="00773F7B">
            <w:pPr>
              <w:pStyle w:val="T2"/>
              <w:jc w:val="right"/>
              <w:rPr>
                <w:b/>
                <w:bCs/>
              </w:rPr>
            </w:pPr>
          </w:p>
        </w:tc>
        <w:tc>
          <w:tcPr>
            <w:tcW w:w="1132" w:type="dxa"/>
          </w:tcPr>
          <w:p w14:paraId="1A26EA71" w14:textId="77777777" w:rsidR="00773F7B" w:rsidRDefault="00773F7B" w:rsidP="00773F7B">
            <w:pPr>
              <w:pStyle w:val="T2"/>
              <w:jc w:val="right"/>
            </w:pPr>
          </w:p>
        </w:tc>
      </w:tr>
      <w:tr w:rsidR="00773F7B" w14:paraId="7EDF4C1A" w14:textId="77777777" w:rsidTr="005B3BEE">
        <w:trPr>
          <w:jc w:val="center"/>
        </w:trPr>
        <w:tc>
          <w:tcPr>
            <w:tcW w:w="7574" w:type="dxa"/>
          </w:tcPr>
          <w:p w14:paraId="37993A2D" w14:textId="77777777" w:rsidR="00773F7B" w:rsidRPr="00D515EB" w:rsidRDefault="00773F7B" w:rsidP="00773F7B">
            <w:pPr>
              <w:pStyle w:val="T2"/>
              <w:jc w:val="left"/>
              <w:rPr>
                <w:b/>
              </w:rPr>
            </w:pPr>
            <w:r w:rsidRPr="00D515EB">
              <w:rPr>
                <w:b/>
              </w:rPr>
              <w:t>Non</w:t>
            </w:r>
            <w:r>
              <w:rPr>
                <w:b/>
              </w:rPr>
              <w:t>–</w:t>
            </w:r>
            <w:r w:rsidRPr="00D515EB">
              <w:rPr>
                <w:b/>
              </w:rPr>
              <w:t>current liabilities</w:t>
            </w:r>
          </w:p>
        </w:tc>
        <w:tc>
          <w:tcPr>
            <w:tcW w:w="648" w:type="dxa"/>
          </w:tcPr>
          <w:p w14:paraId="0C59A94B" w14:textId="77777777" w:rsidR="00773F7B" w:rsidRPr="00A31437" w:rsidRDefault="00773F7B" w:rsidP="00773F7B">
            <w:pPr>
              <w:pStyle w:val="T2"/>
              <w:jc w:val="right"/>
            </w:pPr>
          </w:p>
        </w:tc>
        <w:tc>
          <w:tcPr>
            <w:tcW w:w="1134" w:type="dxa"/>
          </w:tcPr>
          <w:p w14:paraId="66C046A9" w14:textId="77777777" w:rsidR="00773F7B" w:rsidRPr="00B535FA" w:rsidRDefault="00773F7B" w:rsidP="00773F7B">
            <w:pPr>
              <w:pStyle w:val="T2"/>
              <w:jc w:val="right"/>
              <w:rPr>
                <w:b/>
                <w:bCs/>
              </w:rPr>
            </w:pPr>
          </w:p>
        </w:tc>
        <w:tc>
          <w:tcPr>
            <w:tcW w:w="1132" w:type="dxa"/>
          </w:tcPr>
          <w:p w14:paraId="7963A5DF" w14:textId="77777777" w:rsidR="00773F7B" w:rsidRDefault="00773F7B" w:rsidP="00773F7B">
            <w:pPr>
              <w:pStyle w:val="T2"/>
              <w:jc w:val="right"/>
            </w:pPr>
          </w:p>
        </w:tc>
      </w:tr>
      <w:tr w:rsidR="00773F7B" w14:paraId="33A8D73E" w14:textId="77777777" w:rsidTr="005B3BEE">
        <w:trPr>
          <w:jc w:val="center"/>
        </w:trPr>
        <w:tc>
          <w:tcPr>
            <w:tcW w:w="7574" w:type="dxa"/>
          </w:tcPr>
          <w:p w14:paraId="57777775" w14:textId="77777777" w:rsidR="00773F7B" w:rsidRPr="006D3169" w:rsidRDefault="00773F7B" w:rsidP="00773F7B">
            <w:pPr>
              <w:pStyle w:val="T2"/>
              <w:jc w:val="left"/>
            </w:pPr>
            <w:r w:rsidRPr="006D3169">
              <w:t>Borrowings</w:t>
            </w:r>
          </w:p>
        </w:tc>
        <w:tc>
          <w:tcPr>
            <w:tcW w:w="648" w:type="dxa"/>
          </w:tcPr>
          <w:p w14:paraId="1D2EA0A4" w14:textId="77777777" w:rsidR="00773F7B" w:rsidRPr="00A31437" w:rsidRDefault="00773F7B" w:rsidP="00773F7B">
            <w:pPr>
              <w:pStyle w:val="T2"/>
              <w:jc w:val="right"/>
            </w:pPr>
            <w:r w:rsidRPr="00A31437">
              <w:t>1</w:t>
            </w:r>
            <w:r>
              <w:t>2</w:t>
            </w:r>
          </w:p>
        </w:tc>
        <w:tc>
          <w:tcPr>
            <w:tcW w:w="1134" w:type="dxa"/>
          </w:tcPr>
          <w:p w14:paraId="20D584F4" w14:textId="77777777" w:rsidR="00773F7B" w:rsidRPr="00B535FA" w:rsidRDefault="00773F7B" w:rsidP="00773F7B">
            <w:pPr>
              <w:pStyle w:val="T2"/>
              <w:jc w:val="right"/>
              <w:rPr>
                <w:b/>
                <w:bCs/>
              </w:rPr>
            </w:pPr>
            <w:r>
              <w:rPr>
                <w:b/>
                <w:bCs/>
              </w:rPr>
              <w:t>345.6</w:t>
            </w:r>
          </w:p>
        </w:tc>
        <w:tc>
          <w:tcPr>
            <w:tcW w:w="1132" w:type="dxa"/>
          </w:tcPr>
          <w:p w14:paraId="3A5A4228" w14:textId="77777777" w:rsidR="00773F7B" w:rsidRPr="006F478A" w:rsidRDefault="00773F7B" w:rsidP="00773F7B">
            <w:pPr>
              <w:pStyle w:val="T2"/>
              <w:jc w:val="right"/>
            </w:pPr>
            <w:r>
              <w:rPr>
                <w:bCs/>
              </w:rPr>
              <w:t>330.1</w:t>
            </w:r>
          </w:p>
        </w:tc>
      </w:tr>
      <w:tr w:rsidR="00773F7B" w14:paraId="053A4BCF" w14:textId="77777777" w:rsidTr="005B3BEE">
        <w:trPr>
          <w:jc w:val="center"/>
        </w:trPr>
        <w:tc>
          <w:tcPr>
            <w:tcW w:w="7574" w:type="dxa"/>
          </w:tcPr>
          <w:p w14:paraId="6F562FC6" w14:textId="77777777" w:rsidR="00773F7B" w:rsidRPr="006D3169" w:rsidRDefault="00773F7B" w:rsidP="00773F7B">
            <w:pPr>
              <w:pStyle w:val="T2"/>
              <w:jc w:val="left"/>
            </w:pPr>
            <w:r w:rsidRPr="006D3169">
              <w:t>Derivative financial instruments</w:t>
            </w:r>
          </w:p>
        </w:tc>
        <w:tc>
          <w:tcPr>
            <w:tcW w:w="648" w:type="dxa"/>
          </w:tcPr>
          <w:p w14:paraId="5873BF5B" w14:textId="77777777" w:rsidR="00773F7B" w:rsidRPr="00A31437" w:rsidRDefault="00773F7B" w:rsidP="00773F7B">
            <w:pPr>
              <w:pStyle w:val="T2"/>
              <w:jc w:val="right"/>
            </w:pPr>
            <w:r w:rsidRPr="00A31437">
              <w:t>1</w:t>
            </w:r>
            <w:r>
              <w:t>2</w:t>
            </w:r>
          </w:p>
        </w:tc>
        <w:tc>
          <w:tcPr>
            <w:tcW w:w="1134" w:type="dxa"/>
          </w:tcPr>
          <w:p w14:paraId="6B80ECC8" w14:textId="77777777" w:rsidR="00773F7B" w:rsidRPr="00B535FA" w:rsidRDefault="00773F7B" w:rsidP="00773F7B">
            <w:pPr>
              <w:pStyle w:val="T2"/>
              <w:jc w:val="right"/>
              <w:rPr>
                <w:b/>
                <w:bCs/>
              </w:rPr>
            </w:pPr>
            <w:r>
              <w:rPr>
                <w:b/>
                <w:bCs/>
              </w:rPr>
              <w:t>2.8</w:t>
            </w:r>
          </w:p>
        </w:tc>
        <w:tc>
          <w:tcPr>
            <w:tcW w:w="1132" w:type="dxa"/>
          </w:tcPr>
          <w:p w14:paraId="4C08B5FB" w14:textId="77777777" w:rsidR="00773F7B" w:rsidRPr="006F478A" w:rsidRDefault="00773F7B" w:rsidP="00773F7B">
            <w:pPr>
              <w:pStyle w:val="T2"/>
              <w:jc w:val="right"/>
            </w:pPr>
            <w:r>
              <w:rPr>
                <w:bCs/>
              </w:rPr>
              <w:t>3.3</w:t>
            </w:r>
          </w:p>
        </w:tc>
      </w:tr>
      <w:tr w:rsidR="00773F7B" w14:paraId="38EF39DC" w14:textId="77777777" w:rsidTr="005B3BEE">
        <w:trPr>
          <w:jc w:val="center"/>
        </w:trPr>
        <w:tc>
          <w:tcPr>
            <w:tcW w:w="7574" w:type="dxa"/>
          </w:tcPr>
          <w:p w14:paraId="287AEDB6" w14:textId="77777777" w:rsidR="00773F7B" w:rsidRPr="006D3169" w:rsidRDefault="00773F7B" w:rsidP="00773F7B">
            <w:pPr>
              <w:pStyle w:val="T2"/>
              <w:jc w:val="left"/>
            </w:pPr>
            <w:r>
              <w:t>Lease liabilities</w:t>
            </w:r>
          </w:p>
        </w:tc>
        <w:tc>
          <w:tcPr>
            <w:tcW w:w="648" w:type="dxa"/>
          </w:tcPr>
          <w:p w14:paraId="0EFE2AB9" w14:textId="77777777" w:rsidR="00773F7B" w:rsidRPr="00A31437" w:rsidRDefault="00773F7B" w:rsidP="00773F7B">
            <w:pPr>
              <w:pStyle w:val="T2"/>
              <w:jc w:val="right"/>
            </w:pPr>
            <w:r>
              <w:t>11</w:t>
            </w:r>
          </w:p>
        </w:tc>
        <w:tc>
          <w:tcPr>
            <w:tcW w:w="1134" w:type="dxa"/>
          </w:tcPr>
          <w:p w14:paraId="47B9B93F" w14:textId="77777777" w:rsidR="00773F7B" w:rsidRPr="00B535FA" w:rsidRDefault="00773F7B" w:rsidP="00773F7B">
            <w:pPr>
              <w:pStyle w:val="T2"/>
              <w:jc w:val="right"/>
              <w:rPr>
                <w:b/>
                <w:bCs/>
              </w:rPr>
            </w:pPr>
            <w:r>
              <w:rPr>
                <w:b/>
                <w:bCs/>
              </w:rPr>
              <w:t>49.0</w:t>
            </w:r>
          </w:p>
        </w:tc>
        <w:tc>
          <w:tcPr>
            <w:tcW w:w="1132" w:type="dxa"/>
          </w:tcPr>
          <w:p w14:paraId="3B048F03" w14:textId="77777777" w:rsidR="00773F7B" w:rsidRPr="0096767F" w:rsidRDefault="00773F7B" w:rsidP="00773F7B">
            <w:pPr>
              <w:pStyle w:val="T2"/>
              <w:jc w:val="right"/>
              <w:rPr>
                <w:bCs/>
              </w:rPr>
            </w:pPr>
            <w:r w:rsidRPr="0096767F">
              <w:rPr>
                <w:bCs/>
              </w:rPr>
              <w:t>–</w:t>
            </w:r>
          </w:p>
        </w:tc>
      </w:tr>
      <w:tr w:rsidR="00773F7B" w14:paraId="3F35C0EB" w14:textId="77777777" w:rsidTr="005B3BEE">
        <w:trPr>
          <w:jc w:val="center"/>
        </w:trPr>
        <w:tc>
          <w:tcPr>
            <w:tcW w:w="7574" w:type="dxa"/>
          </w:tcPr>
          <w:p w14:paraId="4C8B899C" w14:textId="77777777" w:rsidR="00773F7B" w:rsidRPr="006D3169" w:rsidRDefault="00773F7B" w:rsidP="00773F7B">
            <w:pPr>
              <w:pStyle w:val="T2"/>
              <w:jc w:val="left"/>
            </w:pPr>
            <w:r w:rsidRPr="006D3169">
              <w:t>Retirement benefit obligations</w:t>
            </w:r>
          </w:p>
        </w:tc>
        <w:tc>
          <w:tcPr>
            <w:tcW w:w="648" w:type="dxa"/>
          </w:tcPr>
          <w:p w14:paraId="202AF399" w14:textId="77777777" w:rsidR="00773F7B" w:rsidRPr="00A31437" w:rsidRDefault="00773F7B" w:rsidP="00773F7B">
            <w:pPr>
              <w:pStyle w:val="T2"/>
              <w:jc w:val="right"/>
            </w:pPr>
            <w:r>
              <w:t>14</w:t>
            </w:r>
          </w:p>
        </w:tc>
        <w:tc>
          <w:tcPr>
            <w:tcW w:w="1134" w:type="dxa"/>
          </w:tcPr>
          <w:p w14:paraId="2AD00AD3" w14:textId="77777777" w:rsidR="00773F7B" w:rsidRPr="00B535FA" w:rsidRDefault="00773F7B" w:rsidP="00773F7B">
            <w:pPr>
              <w:pStyle w:val="T2"/>
              <w:jc w:val="right"/>
              <w:rPr>
                <w:b/>
                <w:bCs/>
              </w:rPr>
            </w:pPr>
            <w:r>
              <w:rPr>
                <w:b/>
                <w:bCs/>
              </w:rPr>
              <w:t>101.6</w:t>
            </w:r>
          </w:p>
        </w:tc>
        <w:tc>
          <w:tcPr>
            <w:tcW w:w="1132" w:type="dxa"/>
          </w:tcPr>
          <w:p w14:paraId="0A3C1D1E" w14:textId="77777777" w:rsidR="00773F7B" w:rsidRPr="006F478A" w:rsidRDefault="00773F7B" w:rsidP="00773F7B">
            <w:pPr>
              <w:pStyle w:val="T2"/>
              <w:jc w:val="right"/>
            </w:pPr>
            <w:r w:rsidRPr="0096767F">
              <w:rPr>
                <w:bCs/>
              </w:rPr>
              <w:t>1</w:t>
            </w:r>
            <w:r>
              <w:rPr>
                <w:bCs/>
              </w:rPr>
              <w:t>28.4</w:t>
            </w:r>
          </w:p>
        </w:tc>
      </w:tr>
      <w:tr w:rsidR="00773F7B" w14:paraId="00844409" w14:textId="77777777" w:rsidTr="005B3BEE">
        <w:trPr>
          <w:jc w:val="center"/>
        </w:trPr>
        <w:tc>
          <w:tcPr>
            <w:tcW w:w="7574" w:type="dxa"/>
          </w:tcPr>
          <w:p w14:paraId="0C36D9FB" w14:textId="77777777" w:rsidR="00773F7B" w:rsidRPr="006D3169" w:rsidRDefault="00773F7B" w:rsidP="00773F7B">
            <w:pPr>
              <w:pStyle w:val="T2"/>
              <w:jc w:val="left"/>
            </w:pPr>
            <w:r w:rsidRPr="006D3169">
              <w:t>Other payables</w:t>
            </w:r>
          </w:p>
        </w:tc>
        <w:tc>
          <w:tcPr>
            <w:tcW w:w="648" w:type="dxa"/>
          </w:tcPr>
          <w:p w14:paraId="2F552729" w14:textId="77777777" w:rsidR="00773F7B" w:rsidRPr="00A31437" w:rsidRDefault="00773F7B" w:rsidP="00773F7B">
            <w:pPr>
              <w:pStyle w:val="T2"/>
              <w:jc w:val="right"/>
            </w:pPr>
          </w:p>
        </w:tc>
        <w:tc>
          <w:tcPr>
            <w:tcW w:w="1134" w:type="dxa"/>
          </w:tcPr>
          <w:p w14:paraId="70CC137A" w14:textId="77777777" w:rsidR="00773F7B" w:rsidRPr="00B535FA" w:rsidRDefault="00773F7B" w:rsidP="00773F7B">
            <w:pPr>
              <w:pStyle w:val="T2"/>
              <w:jc w:val="right"/>
              <w:rPr>
                <w:b/>
                <w:bCs/>
              </w:rPr>
            </w:pPr>
            <w:r>
              <w:rPr>
                <w:b/>
                <w:bCs/>
              </w:rPr>
              <w:t>3.7</w:t>
            </w:r>
          </w:p>
        </w:tc>
        <w:tc>
          <w:tcPr>
            <w:tcW w:w="1132" w:type="dxa"/>
          </w:tcPr>
          <w:p w14:paraId="60142960" w14:textId="77777777" w:rsidR="00773F7B" w:rsidRPr="006F478A" w:rsidRDefault="00773F7B" w:rsidP="00773F7B">
            <w:pPr>
              <w:pStyle w:val="T2"/>
              <w:jc w:val="right"/>
            </w:pPr>
            <w:r w:rsidRPr="0096767F">
              <w:rPr>
                <w:bCs/>
              </w:rPr>
              <w:t>3.7</w:t>
            </w:r>
          </w:p>
        </w:tc>
      </w:tr>
      <w:tr w:rsidR="00773F7B" w14:paraId="0D695FA1" w14:textId="77777777" w:rsidTr="005B3BEE">
        <w:trPr>
          <w:jc w:val="center"/>
        </w:trPr>
        <w:tc>
          <w:tcPr>
            <w:tcW w:w="7574" w:type="dxa"/>
          </w:tcPr>
          <w:p w14:paraId="6D32BFEB" w14:textId="77777777" w:rsidR="00773F7B" w:rsidRPr="006D3169" w:rsidRDefault="00773F7B" w:rsidP="00773F7B">
            <w:pPr>
              <w:pStyle w:val="T2"/>
              <w:jc w:val="left"/>
            </w:pPr>
            <w:r>
              <w:t xml:space="preserve">Provisions </w:t>
            </w:r>
          </w:p>
        </w:tc>
        <w:tc>
          <w:tcPr>
            <w:tcW w:w="648" w:type="dxa"/>
          </w:tcPr>
          <w:p w14:paraId="4EF9927B" w14:textId="77777777" w:rsidR="00773F7B" w:rsidRPr="00A31437" w:rsidRDefault="00773F7B" w:rsidP="00773F7B">
            <w:pPr>
              <w:pStyle w:val="T2"/>
              <w:jc w:val="right"/>
            </w:pPr>
            <w:r>
              <w:t>13</w:t>
            </w:r>
          </w:p>
        </w:tc>
        <w:tc>
          <w:tcPr>
            <w:tcW w:w="1134" w:type="dxa"/>
          </w:tcPr>
          <w:p w14:paraId="577564A7" w14:textId="77777777" w:rsidR="00773F7B" w:rsidRPr="00B535FA" w:rsidRDefault="00773F7B" w:rsidP="00773F7B">
            <w:pPr>
              <w:pStyle w:val="T2"/>
              <w:jc w:val="right"/>
              <w:rPr>
                <w:b/>
                <w:bCs/>
              </w:rPr>
            </w:pPr>
            <w:r>
              <w:rPr>
                <w:b/>
                <w:bCs/>
              </w:rPr>
              <w:t>5.1</w:t>
            </w:r>
          </w:p>
        </w:tc>
        <w:tc>
          <w:tcPr>
            <w:tcW w:w="1132" w:type="dxa"/>
          </w:tcPr>
          <w:p w14:paraId="4DA3510E" w14:textId="77777777" w:rsidR="00773F7B" w:rsidRPr="006F478A" w:rsidRDefault="00773F7B" w:rsidP="00773F7B">
            <w:pPr>
              <w:pStyle w:val="T2"/>
              <w:jc w:val="right"/>
            </w:pPr>
            <w:r>
              <w:rPr>
                <w:bCs/>
              </w:rPr>
              <w:t>6.7</w:t>
            </w:r>
          </w:p>
        </w:tc>
      </w:tr>
      <w:tr w:rsidR="00773F7B" w14:paraId="68D8C3C9" w14:textId="77777777" w:rsidTr="005B3BEE">
        <w:trPr>
          <w:jc w:val="center"/>
        </w:trPr>
        <w:tc>
          <w:tcPr>
            <w:tcW w:w="7574" w:type="dxa"/>
            <w:tcBorders>
              <w:bottom w:val="single" w:sz="2" w:space="0" w:color="auto"/>
            </w:tcBorders>
          </w:tcPr>
          <w:p w14:paraId="1E86594A" w14:textId="77777777" w:rsidR="00773F7B" w:rsidRPr="006D3169" w:rsidRDefault="00773F7B" w:rsidP="00773F7B">
            <w:pPr>
              <w:pStyle w:val="T2"/>
              <w:jc w:val="left"/>
            </w:pPr>
            <w:r w:rsidRPr="006D3169">
              <w:t>Deferred tax liabilities</w:t>
            </w:r>
          </w:p>
        </w:tc>
        <w:tc>
          <w:tcPr>
            <w:tcW w:w="648" w:type="dxa"/>
            <w:tcBorders>
              <w:bottom w:val="single" w:sz="2" w:space="0" w:color="auto"/>
            </w:tcBorders>
          </w:tcPr>
          <w:p w14:paraId="231C2F65" w14:textId="77777777" w:rsidR="00773F7B" w:rsidRPr="00A31437" w:rsidRDefault="00773F7B" w:rsidP="00773F7B">
            <w:pPr>
              <w:pStyle w:val="T2"/>
              <w:jc w:val="right"/>
            </w:pPr>
          </w:p>
        </w:tc>
        <w:tc>
          <w:tcPr>
            <w:tcW w:w="1134" w:type="dxa"/>
            <w:tcBorders>
              <w:bottom w:val="single" w:sz="2" w:space="0" w:color="auto"/>
            </w:tcBorders>
          </w:tcPr>
          <w:p w14:paraId="0B53026C" w14:textId="77777777" w:rsidR="00773F7B" w:rsidRPr="00B535FA" w:rsidRDefault="00503244" w:rsidP="00773F7B">
            <w:pPr>
              <w:pStyle w:val="T2"/>
              <w:jc w:val="right"/>
              <w:rPr>
                <w:b/>
                <w:bCs/>
              </w:rPr>
            </w:pPr>
            <w:r>
              <w:rPr>
                <w:b/>
                <w:bCs/>
              </w:rPr>
              <w:t>6.4</w:t>
            </w:r>
          </w:p>
        </w:tc>
        <w:tc>
          <w:tcPr>
            <w:tcW w:w="1132" w:type="dxa"/>
            <w:tcBorders>
              <w:bottom w:val="single" w:sz="2" w:space="0" w:color="auto"/>
            </w:tcBorders>
          </w:tcPr>
          <w:p w14:paraId="0A909CB7" w14:textId="77777777" w:rsidR="00773F7B" w:rsidRPr="006F478A" w:rsidRDefault="00773F7B" w:rsidP="00773F7B">
            <w:pPr>
              <w:pStyle w:val="T2"/>
              <w:jc w:val="right"/>
            </w:pPr>
            <w:r>
              <w:rPr>
                <w:bCs/>
              </w:rPr>
              <w:t>6.9</w:t>
            </w:r>
          </w:p>
        </w:tc>
      </w:tr>
      <w:tr w:rsidR="00773F7B" w14:paraId="25D4362C" w14:textId="77777777" w:rsidTr="005B3BEE">
        <w:trPr>
          <w:jc w:val="center"/>
        </w:trPr>
        <w:tc>
          <w:tcPr>
            <w:tcW w:w="7574" w:type="dxa"/>
            <w:tcBorders>
              <w:top w:val="single" w:sz="2" w:space="0" w:color="auto"/>
              <w:bottom w:val="single" w:sz="2" w:space="0" w:color="auto"/>
            </w:tcBorders>
          </w:tcPr>
          <w:p w14:paraId="5EDBF5C5" w14:textId="77777777" w:rsidR="00773F7B" w:rsidRPr="00D515EB" w:rsidRDefault="00773F7B" w:rsidP="00773F7B">
            <w:pPr>
              <w:pStyle w:val="T2"/>
              <w:jc w:val="left"/>
              <w:rPr>
                <w:b/>
              </w:rPr>
            </w:pPr>
            <w:r w:rsidRPr="00D515EB">
              <w:rPr>
                <w:b/>
              </w:rPr>
              <w:t>Total non</w:t>
            </w:r>
            <w:r>
              <w:rPr>
                <w:b/>
              </w:rPr>
              <w:t>–</w:t>
            </w:r>
            <w:r w:rsidRPr="00D515EB">
              <w:rPr>
                <w:b/>
              </w:rPr>
              <w:t>current liabilities</w:t>
            </w:r>
          </w:p>
        </w:tc>
        <w:tc>
          <w:tcPr>
            <w:tcW w:w="648" w:type="dxa"/>
            <w:tcBorders>
              <w:top w:val="single" w:sz="2" w:space="0" w:color="auto"/>
              <w:bottom w:val="single" w:sz="2" w:space="0" w:color="auto"/>
            </w:tcBorders>
          </w:tcPr>
          <w:p w14:paraId="37707B28" w14:textId="77777777" w:rsidR="00773F7B" w:rsidRPr="00A31437" w:rsidRDefault="00773F7B" w:rsidP="00773F7B">
            <w:pPr>
              <w:pStyle w:val="T2"/>
              <w:jc w:val="right"/>
            </w:pPr>
          </w:p>
        </w:tc>
        <w:tc>
          <w:tcPr>
            <w:tcW w:w="1134" w:type="dxa"/>
            <w:tcBorders>
              <w:top w:val="single" w:sz="2" w:space="0" w:color="auto"/>
              <w:bottom w:val="single" w:sz="2" w:space="0" w:color="auto"/>
            </w:tcBorders>
          </w:tcPr>
          <w:p w14:paraId="71317948" w14:textId="77777777" w:rsidR="00773F7B" w:rsidRPr="00B535FA" w:rsidRDefault="00773F7B" w:rsidP="00773F7B">
            <w:pPr>
              <w:pStyle w:val="T2"/>
              <w:jc w:val="right"/>
              <w:rPr>
                <w:b/>
                <w:bCs/>
              </w:rPr>
            </w:pPr>
            <w:r>
              <w:rPr>
                <w:b/>
                <w:bCs/>
              </w:rPr>
              <w:t>51</w:t>
            </w:r>
            <w:r w:rsidR="00503244">
              <w:rPr>
                <w:b/>
                <w:bCs/>
              </w:rPr>
              <w:t>4.2</w:t>
            </w:r>
          </w:p>
        </w:tc>
        <w:tc>
          <w:tcPr>
            <w:tcW w:w="1132" w:type="dxa"/>
            <w:tcBorders>
              <w:top w:val="single" w:sz="2" w:space="0" w:color="auto"/>
              <w:bottom w:val="single" w:sz="2" w:space="0" w:color="auto"/>
            </w:tcBorders>
          </w:tcPr>
          <w:p w14:paraId="1206B180" w14:textId="77777777" w:rsidR="00773F7B" w:rsidRDefault="00773F7B" w:rsidP="00773F7B">
            <w:pPr>
              <w:pStyle w:val="T2"/>
              <w:jc w:val="right"/>
            </w:pPr>
            <w:r w:rsidRPr="0096767F">
              <w:rPr>
                <w:bCs/>
              </w:rPr>
              <w:t>4</w:t>
            </w:r>
            <w:r>
              <w:rPr>
                <w:bCs/>
              </w:rPr>
              <w:t>79.1</w:t>
            </w:r>
          </w:p>
        </w:tc>
      </w:tr>
      <w:tr w:rsidR="00773F7B" w14:paraId="43902178" w14:textId="77777777" w:rsidTr="005B3BEE">
        <w:trPr>
          <w:jc w:val="center"/>
        </w:trPr>
        <w:tc>
          <w:tcPr>
            <w:tcW w:w="7574" w:type="dxa"/>
            <w:tcBorders>
              <w:top w:val="single" w:sz="2" w:space="0" w:color="auto"/>
            </w:tcBorders>
          </w:tcPr>
          <w:p w14:paraId="592EF213" w14:textId="77777777" w:rsidR="00773F7B" w:rsidRPr="006D3169" w:rsidRDefault="00773F7B" w:rsidP="00773F7B">
            <w:pPr>
              <w:pStyle w:val="T2"/>
              <w:jc w:val="left"/>
            </w:pPr>
          </w:p>
        </w:tc>
        <w:tc>
          <w:tcPr>
            <w:tcW w:w="648" w:type="dxa"/>
            <w:tcBorders>
              <w:top w:val="single" w:sz="2" w:space="0" w:color="auto"/>
            </w:tcBorders>
          </w:tcPr>
          <w:p w14:paraId="7909B6AA" w14:textId="77777777" w:rsidR="00773F7B" w:rsidRPr="00A31437" w:rsidRDefault="00773F7B" w:rsidP="00773F7B">
            <w:pPr>
              <w:pStyle w:val="T2"/>
              <w:jc w:val="right"/>
            </w:pPr>
          </w:p>
        </w:tc>
        <w:tc>
          <w:tcPr>
            <w:tcW w:w="1134" w:type="dxa"/>
            <w:tcBorders>
              <w:top w:val="single" w:sz="2" w:space="0" w:color="auto"/>
            </w:tcBorders>
          </w:tcPr>
          <w:p w14:paraId="04B189F4" w14:textId="77777777" w:rsidR="00773F7B" w:rsidRPr="00B535FA" w:rsidRDefault="00773F7B" w:rsidP="00773F7B">
            <w:pPr>
              <w:pStyle w:val="T2"/>
              <w:jc w:val="right"/>
              <w:rPr>
                <w:b/>
                <w:bCs/>
              </w:rPr>
            </w:pPr>
          </w:p>
        </w:tc>
        <w:tc>
          <w:tcPr>
            <w:tcW w:w="1132" w:type="dxa"/>
            <w:tcBorders>
              <w:top w:val="single" w:sz="2" w:space="0" w:color="auto"/>
            </w:tcBorders>
          </w:tcPr>
          <w:p w14:paraId="2A06023A" w14:textId="77777777" w:rsidR="00773F7B" w:rsidRDefault="00773F7B" w:rsidP="00773F7B">
            <w:pPr>
              <w:pStyle w:val="T2"/>
              <w:jc w:val="right"/>
            </w:pPr>
          </w:p>
        </w:tc>
      </w:tr>
      <w:tr w:rsidR="00773F7B" w14:paraId="16F33E1E" w14:textId="77777777" w:rsidTr="005B3BEE">
        <w:trPr>
          <w:jc w:val="center"/>
        </w:trPr>
        <w:tc>
          <w:tcPr>
            <w:tcW w:w="7574" w:type="dxa"/>
          </w:tcPr>
          <w:p w14:paraId="0B60CD7E" w14:textId="77777777" w:rsidR="00773F7B" w:rsidRPr="00D515EB" w:rsidRDefault="00773F7B" w:rsidP="00773F7B">
            <w:pPr>
              <w:pStyle w:val="T2"/>
              <w:jc w:val="left"/>
              <w:rPr>
                <w:b/>
              </w:rPr>
            </w:pPr>
            <w:r w:rsidRPr="00D515EB">
              <w:rPr>
                <w:b/>
              </w:rPr>
              <w:t>Current liabilities</w:t>
            </w:r>
          </w:p>
        </w:tc>
        <w:tc>
          <w:tcPr>
            <w:tcW w:w="648" w:type="dxa"/>
            <w:vAlign w:val="bottom"/>
          </w:tcPr>
          <w:p w14:paraId="1BB80689" w14:textId="77777777" w:rsidR="00773F7B" w:rsidRPr="00A31437" w:rsidRDefault="00773F7B" w:rsidP="00773F7B">
            <w:pPr>
              <w:pStyle w:val="T2"/>
              <w:jc w:val="right"/>
            </w:pPr>
          </w:p>
        </w:tc>
        <w:tc>
          <w:tcPr>
            <w:tcW w:w="1134" w:type="dxa"/>
          </w:tcPr>
          <w:p w14:paraId="7DDF6C3D" w14:textId="77777777" w:rsidR="00773F7B" w:rsidRPr="00B535FA" w:rsidRDefault="00773F7B" w:rsidP="00773F7B">
            <w:pPr>
              <w:pStyle w:val="T2"/>
              <w:jc w:val="right"/>
              <w:rPr>
                <w:b/>
                <w:bCs/>
              </w:rPr>
            </w:pPr>
          </w:p>
        </w:tc>
        <w:tc>
          <w:tcPr>
            <w:tcW w:w="1132" w:type="dxa"/>
          </w:tcPr>
          <w:p w14:paraId="7F486262" w14:textId="77777777" w:rsidR="00773F7B" w:rsidRDefault="00773F7B" w:rsidP="00773F7B">
            <w:pPr>
              <w:pStyle w:val="T2"/>
            </w:pPr>
          </w:p>
        </w:tc>
      </w:tr>
      <w:tr w:rsidR="00773F7B" w14:paraId="271EA2AF" w14:textId="77777777" w:rsidTr="005B3BEE">
        <w:trPr>
          <w:jc w:val="center"/>
        </w:trPr>
        <w:tc>
          <w:tcPr>
            <w:tcW w:w="7574" w:type="dxa"/>
          </w:tcPr>
          <w:p w14:paraId="0CA2C9C3" w14:textId="53DD0EA3" w:rsidR="00773F7B" w:rsidRPr="006D3169" w:rsidRDefault="003F0D86" w:rsidP="00773F7B">
            <w:pPr>
              <w:pStyle w:val="T2"/>
              <w:jc w:val="left"/>
            </w:pPr>
            <w:r>
              <w:t>De</w:t>
            </w:r>
            <w:r w:rsidR="00773F7B" w:rsidRPr="006D3169">
              <w:t>rivative financial instruments</w:t>
            </w:r>
          </w:p>
        </w:tc>
        <w:tc>
          <w:tcPr>
            <w:tcW w:w="648" w:type="dxa"/>
            <w:vAlign w:val="bottom"/>
          </w:tcPr>
          <w:p w14:paraId="5C22EE8B" w14:textId="77777777" w:rsidR="00773F7B" w:rsidRPr="00A31437" w:rsidRDefault="00773F7B" w:rsidP="00773F7B">
            <w:pPr>
              <w:pStyle w:val="T2"/>
              <w:jc w:val="right"/>
              <w:rPr>
                <w:rFonts w:cs="Calibri"/>
              </w:rPr>
            </w:pPr>
            <w:r>
              <w:rPr>
                <w:rFonts w:cs="Calibri"/>
              </w:rPr>
              <w:t>12</w:t>
            </w:r>
          </w:p>
        </w:tc>
        <w:tc>
          <w:tcPr>
            <w:tcW w:w="1134" w:type="dxa"/>
          </w:tcPr>
          <w:p w14:paraId="432626E2" w14:textId="77777777" w:rsidR="00773F7B" w:rsidRPr="00B535FA" w:rsidRDefault="00773F7B" w:rsidP="00773F7B">
            <w:pPr>
              <w:pStyle w:val="T2"/>
              <w:jc w:val="right"/>
              <w:rPr>
                <w:b/>
                <w:bCs/>
              </w:rPr>
            </w:pPr>
            <w:r>
              <w:rPr>
                <w:b/>
                <w:bCs/>
              </w:rPr>
              <w:t>0.2</w:t>
            </w:r>
          </w:p>
        </w:tc>
        <w:tc>
          <w:tcPr>
            <w:tcW w:w="1132" w:type="dxa"/>
          </w:tcPr>
          <w:p w14:paraId="29AE8485" w14:textId="77777777" w:rsidR="00773F7B" w:rsidRPr="00DC32FB" w:rsidRDefault="00773F7B" w:rsidP="00773F7B">
            <w:pPr>
              <w:pStyle w:val="T2"/>
              <w:jc w:val="right"/>
            </w:pPr>
            <w:r w:rsidRPr="0096767F">
              <w:rPr>
                <w:bCs/>
              </w:rPr>
              <w:t>0.</w:t>
            </w:r>
            <w:r>
              <w:rPr>
                <w:bCs/>
              </w:rPr>
              <w:t>3</w:t>
            </w:r>
          </w:p>
        </w:tc>
      </w:tr>
      <w:tr w:rsidR="00773F7B" w14:paraId="0A5CA9DA" w14:textId="77777777" w:rsidTr="005B3BEE">
        <w:trPr>
          <w:jc w:val="center"/>
        </w:trPr>
        <w:tc>
          <w:tcPr>
            <w:tcW w:w="7574" w:type="dxa"/>
          </w:tcPr>
          <w:p w14:paraId="5D53C82C" w14:textId="77777777" w:rsidR="00773F7B" w:rsidRPr="006D3169" w:rsidRDefault="00773F7B" w:rsidP="00773F7B">
            <w:pPr>
              <w:pStyle w:val="T2"/>
              <w:jc w:val="left"/>
            </w:pPr>
            <w:r>
              <w:t>Lease liabilities</w:t>
            </w:r>
          </w:p>
        </w:tc>
        <w:tc>
          <w:tcPr>
            <w:tcW w:w="648" w:type="dxa"/>
            <w:vAlign w:val="bottom"/>
          </w:tcPr>
          <w:p w14:paraId="72332D74" w14:textId="77777777" w:rsidR="00773F7B" w:rsidRPr="00A31437" w:rsidRDefault="00773F7B" w:rsidP="00773F7B">
            <w:pPr>
              <w:pStyle w:val="T2"/>
              <w:jc w:val="right"/>
              <w:rPr>
                <w:rFonts w:cs="Calibri"/>
              </w:rPr>
            </w:pPr>
            <w:r>
              <w:rPr>
                <w:rFonts w:cs="Calibri"/>
              </w:rPr>
              <w:t>11</w:t>
            </w:r>
          </w:p>
        </w:tc>
        <w:tc>
          <w:tcPr>
            <w:tcW w:w="1134" w:type="dxa"/>
          </w:tcPr>
          <w:p w14:paraId="3063A371" w14:textId="77777777" w:rsidR="00773F7B" w:rsidRPr="00B535FA" w:rsidRDefault="00773F7B" w:rsidP="00773F7B">
            <w:pPr>
              <w:pStyle w:val="T2"/>
              <w:jc w:val="right"/>
              <w:rPr>
                <w:b/>
                <w:bCs/>
              </w:rPr>
            </w:pPr>
            <w:r>
              <w:rPr>
                <w:b/>
                <w:bCs/>
              </w:rPr>
              <w:t>14.3</w:t>
            </w:r>
          </w:p>
        </w:tc>
        <w:tc>
          <w:tcPr>
            <w:tcW w:w="1132" w:type="dxa"/>
          </w:tcPr>
          <w:p w14:paraId="7981F9E4" w14:textId="77777777" w:rsidR="00773F7B" w:rsidRPr="0096767F" w:rsidRDefault="00773F7B" w:rsidP="00773F7B">
            <w:pPr>
              <w:pStyle w:val="T2"/>
              <w:jc w:val="right"/>
              <w:rPr>
                <w:bCs/>
              </w:rPr>
            </w:pPr>
            <w:r w:rsidRPr="0096767F">
              <w:rPr>
                <w:bCs/>
              </w:rPr>
              <w:t>–</w:t>
            </w:r>
          </w:p>
        </w:tc>
      </w:tr>
      <w:tr w:rsidR="00773F7B" w14:paraId="61A7E7E4" w14:textId="77777777" w:rsidTr="005B3BEE">
        <w:trPr>
          <w:jc w:val="center"/>
        </w:trPr>
        <w:tc>
          <w:tcPr>
            <w:tcW w:w="7574" w:type="dxa"/>
          </w:tcPr>
          <w:p w14:paraId="1FECB3CA" w14:textId="77777777" w:rsidR="00773F7B" w:rsidRPr="006D3169" w:rsidRDefault="00773F7B" w:rsidP="00773F7B">
            <w:pPr>
              <w:pStyle w:val="T2"/>
              <w:jc w:val="left"/>
            </w:pPr>
            <w:r w:rsidRPr="006D3169">
              <w:t>Trade and other payables</w:t>
            </w:r>
          </w:p>
        </w:tc>
        <w:tc>
          <w:tcPr>
            <w:tcW w:w="648" w:type="dxa"/>
            <w:vAlign w:val="bottom"/>
          </w:tcPr>
          <w:p w14:paraId="56BA0A92" w14:textId="77777777" w:rsidR="00773F7B" w:rsidRPr="00A31437" w:rsidRDefault="00773F7B" w:rsidP="00773F7B">
            <w:pPr>
              <w:pStyle w:val="T2"/>
              <w:jc w:val="right"/>
              <w:rPr>
                <w:rFonts w:cs="Calibri"/>
              </w:rPr>
            </w:pPr>
          </w:p>
        </w:tc>
        <w:tc>
          <w:tcPr>
            <w:tcW w:w="1134" w:type="dxa"/>
          </w:tcPr>
          <w:p w14:paraId="3A347A1A" w14:textId="77777777" w:rsidR="00773F7B" w:rsidRPr="00B535FA" w:rsidRDefault="00773F7B" w:rsidP="00773F7B">
            <w:pPr>
              <w:pStyle w:val="T2"/>
              <w:jc w:val="right"/>
              <w:rPr>
                <w:b/>
                <w:bCs/>
              </w:rPr>
            </w:pPr>
            <w:r>
              <w:rPr>
                <w:b/>
                <w:bCs/>
              </w:rPr>
              <w:t>335.</w:t>
            </w:r>
            <w:r w:rsidR="00503244">
              <w:rPr>
                <w:b/>
                <w:bCs/>
              </w:rPr>
              <w:t>5</w:t>
            </w:r>
          </w:p>
        </w:tc>
        <w:tc>
          <w:tcPr>
            <w:tcW w:w="1132" w:type="dxa"/>
          </w:tcPr>
          <w:p w14:paraId="0A3D02FA" w14:textId="77777777" w:rsidR="00773F7B" w:rsidRPr="00DC32FB" w:rsidRDefault="00773F7B" w:rsidP="00773F7B">
            <w:pPr>
              <w:pStyle w:val="T2"/>
              <w:jc w:val="right"/>
            </w:pPr>
            <w:r w:rsidRPr="0096767F">
              <w:rPr>
                <w:bCs/>
              </w:rPr>
              <w:t>3</w:t>
            </w:r>
            <w:r>
              <w:rPr>
                <w:bCs/>
              </w:rPr>
              <w:t>58.4</w:t>
            </w:r>
          </w:p>
        </w:tc>
      </w:tr>
      <w:tr w:rsidR="00773F7B" w14:paraId="1E0156F6" w14:textId="77777777" w:rsidTr="005B3BEE">
        <w:trPr>
          <w:jc w:val="center"/>
        </w:trPr>
        <w:tc>
          <w:tcPr>
            <w:tcW w:w="7574" w:type="dxa"/>
          </w:tcPr>
          <w:p w14:paraId="01780314" w14:textId="77777777" w:rsidR="00773F7B" w:rsidRPr="006D3169" w:rsidRDefault="00773F7B" w:rsidP="00773F7B">
            <w:pPr>
              <w:pStyle w:val="T2"/>
              <w:jc w:val="left"/>
            </w:pPr>
            <w:r>
              <w:t xml:space="preserve">Provisions </w:t>
            </w:r>
          </w:p>
        </w:tc>
        <w:tc>
          <w:tcPr>
            <w:tcW w:w="648" w:type="dxa"/>
            <w:vAlign w:val="center"/>
          </w:tcPr>
          <w:p w14:paraId="741AC34B" w14:textId="77777777" w:rsidR="00773F7B" w:rsidRPr="00A31437" w:rsidRDefault="00773F7B" w:rsidP="00773F7B">
            <w:pPr>
              <w:pStyle w:val="T2"/>
              <w:jc w:val="right"/>
              <w:rPr>
                <w:rFonts w:cs="Calibri"/>
              </w:rPr>
            </w:pPr>
            <w:r>
              <w:rPr>
                <w:rFonts w:cs="Calibri"/>
              </w:rPr>
              <w:t>13</w:t>
            </w:r>
          </w:p>
        </w:tc>
        <w:tc>
          <w:tcPr>
            <w:tcW w:w="1134" w:type="dxa"/>
          </w:tcPr>
          <w:p w14:paraId="41C31AD2" w14:textId="77777777" w:rsidR="00773F7B" w:rsidRPr="00B535FA" w:rsidRDefault="00773F7B" w:rsidP="00773F7B">
            <w:pPr>
              <w:pStyle w:val="T2"/>
              <w:jc w:val="right"/>
              <w:rPr>
                <w:b/>
                <w:bCs/>
              </w:rPr>
            </w:pPr>
            <w:r>
              <w:rPr>
                <w:b/>
                <w:bCs/>
              </w:rPr>
              <w:t>3.</w:t>
            </w:r>
            <w:r w:rsidR="00034F1E">
              <w:rPr>
                <w:b/>
                <w:bCs/>
              </w:rPr>
              <w:t>7</w:t>
            </w:r>
          </w:p>
        </w:tc>
        <w:tc>
          <w:tcPr>
            <w:tcW w:w="1132" w:type="dxa"/>
          </w:tcPr>
          <w:p w14:paraId="74E8B1FE" w14:textId="77777777" w:rsidR="00773F7B" w:rsidRPr="00DC32FB" w:rsidRDefault="00773F7B" w:rsidP="00773F7B">
            <w:pPr>
              <w:pStyle w:val="T2"/>
              <w:jc w:val="right"/>
            </w:pPr>
            <w:r>
              <w:rPr>
                <w:bCs/>
              </w:rPr>
              <w:t>5.5</w:t>
            </w:r>
          </w:p>
        </w:tc>
      </w:tr>
      <w:tr w:rsidR="00773F7B" w14:paraId="0D705A18" w14:textId="77777777" w:rsidTr="005B3BEE">
        <w:trPr>
          <w:jc w:val="center"/>
        </w:trPr>
        <w:tc>
          <w:tcPr>
            <w:tcW w:w="7574" w:type="dxa"/>
          </w:tcPr>
          <w:p w14:paraId="3471CE3F" w14:textId="77777777" w:rsidR="00773F7B" w:rsidRPr="006D3169" w:rsidRDefault="00773F7B" w:rsidP="00773F7B">
            <w:pPr>
              <w:pStyle w:val="T2"/>
              <w:jc w:val="left"/>
            </w:pPr>
            <w:r w:rsidRPr="006D3169">
              <w:t>Current tax payable</w:t>
            </w:r>
          </w:p>
        </w:tc>
        <w:tc>
          <w:tcPr>
            <w:tcW w:w="648" w:type="dxa"/>
            <w:vAlign w:val="bottom"/>
          </w:tcPr>
          <w:p w14:paraId="0D02072E" w14:textId="77777777" w:rsidR="00773F7B" w:rsidRPr="00A31437" w:rsidRDefault="00773F7B" w:rsidP="00773F7B">
            <w:pPr>
              <w:pStyle w:val="T2"/>
              <w:jc w:val="right"/>
              <w:rPr>
                <w:rFonts w:cs="Calibri"/>
              </w:rPr>
            </w:pPr>
          </w:p>
        </w:tc>
        <w:tc>
          <w:tcPr>
            <w:tcW w:w="1134" w:type="dxa"/>
          </w:tcPr>
          <w:p w14:paraId="21DA1D58" w14:textId="77777777" w:rsidR="00773F7B" w:rsidRPr="00B535FA" w:rsidRDefault="00773F7B" w:rsidP="00773F7B">
            <w:pPr>
              <w:pStyle w:val="T2"/>
              <w:jc w:val="right"/>
              <w:rPr>
                <w:b/>
                <w:bCs/>
              </w:rPr>
            </w:pPr>
            <w:r>
              <w:rPr>
                <w:b/>
                <w:bCs/>
              </w:rPr>
              <w:t>11.5</w:t>
            </w:r>
          </w:p>
        </w:tc>
        <w:tc>
          <w:tcPr>
            <w:tcW w:w="1132" w:type="dxa"/>
          </w:tcPr>
          <w:p w14:paraId="47A48432" w14:textId="77777777" w:rsidR="00773F7B" w:rsidRPr="00DC32FB" w:rsidRDefault="00773F7B" w:rsidP="00773F7B">
            <w:pPr>
              <w:pStyle w:val="T2"/>
              <w:jc w:val="right"/>
            </w:pPr>
            <w:r w:rsidRPr="0096767F">
              <w:rPr>
                <w:bCs/>
              </w:rPr>
              <w:t>1</w:t>
            </w:r>
            <w:r>
              <w:rPr>
                <w:bCs/>
              </w:rPr>
              <w:t>4.7</w:t>
            </w:r>
          </w:p>
        </w:tc>
      </w:tr>
      <w:tr w:rsidR="00773F7B" w14:paraId="5AEA3BF4" w14:textId="77777777" w:rsidTr="005B3BEE">
        <w:trPr>
          <w:jc w:val="center"/>
        </w:trPr>
        <w:tc>
          <w:tcPr>
            <w:tcW w:w="7574" w:type="dxa"/>
            <w:tcBorders>
              <w:top w:val="single" w:sz="2" w:space="0" w:color="auto"/>
              <w:bottom w:val="single" w:sz="2" w:space="0" w:color="auto"/>
            </w:tcBorders>
          </w:tcPr>
          <w:p w14:paraId="2A3CFBB9" w14:textId="77777777" w:rsidR="00773F7B" w:rsidRPr="00D515EB" w:rsidRDefault="00773F7B" w:rsidP="00773F7B">
            <w:pPr>
              <w:pStyle w:val="T2"/>
              <w:jc w:val="left"/>
              <w:rPr>
                <w:b/>
              </w:rPr>
            </w:pPr>
            <w:r w:rsidRPr="00D515EB">
              <w:rPr>
                <w:b/>
              </w:rPr>
              <w:t>Total current liabilities</w:t>
            </w:r>
          </w:p>
        </w:tc>
        <w:tc>
          <w:tcPr>
            <w:tcW w:w="648" w:type="dxa"/>
            <w:tcBorders>
              <w:top w:val="single" w:sz="2" w:space="0" w:color="auto"/>
              <w:bottom w:val="single" w:sz="2" w:space="0" w:color="auto"/>
            </w:tcBorders>
            <w:vAlign w:val="bottom"/>
          </w:tcPr>
          <w:p w14:paraId="0091BA1C" w14:textId="77777777" w:rsidR="00773F7B" w:rsidRPr="00A31437" w:rsidRDefault="00773F7B" w:rsidP="00773F7B">
            <w:pPr>
              <w:pStyle w:val="T2"/>
              <w:jc w:val="right"/>
              <w:rPr>
                <w:rFonts w:cs="Calibri"/>
              </w:rPr>
            </w:pPr>
            <w:r w:rsidRPr="00A31437">
              <w:rPr>
                <w:rFonts w:cs="Calibri"/>
              </w:rPr>
              <w:t> </w:t>
            </w:r>
          </w:p>
        </w:tc>
        <w:tc>
          <w:tcPr>
            <w:tcW w:w="1134" w:type="dxa"/>
            <w:tcBorders>
              <w:top w:val="single" w:sz="2" w:space="0" w:color="auto"/>
              <w:bottom w:val="single" w:sz="2" w:space="0" w:color="auto"/>
            </w:tcBorders>
          </w:tcPr>
          <w:p w14:paraId="719D65BD" w14:textId="77777777" w:rsidR="00773F7B" w:rsidRPr="00B535FA" w:rsidRDefault="00773F7B" w:rsidP="00773F7B">
            <w:pPr>
              <w:pStyle w:val="T2"/>
              <w:jc w:val="right"/>
              <w:rPr>
                <w:b/>
                <w:bCs/>
              </w:rPr>
            </w:pPr>
            <w:r>
              <w:rPr>
                <w:b/>
                <w:bCs/>
              </w:rPr>
              <w:t>365.</w:t>
            </w:r>
            <w:r w:rsidR="00503244">
              <w:rPr>
                <w:b/>
                <w:bCs/>
              </w:rPr>
              <w:t>2</w:t>
            </w:r>
          </w:p>
        </w:tc>
        <w:tc>
          <w:tcPr>
            <w:tcW w:w="1132" w:type="dxa"/>
            <w:tcBorders>
              <w:top w:val="single" w:sz="2" w:space="0" w:color="auto"/>
              <w:bottom w:val="single" w:sz="2" w:space="0" w:color="auto"/>
            </w:tcBorders>
          </w:tcPr>
          <w:p w14:paraId="3E54EBE3" w14:textId="77777777" w:rsidR="00773F7B" w:rsidRPr="00DC32FB" w:rsidRDefault="00773F7B" w:rsidP="00773F7B">
            <w:pPr>
              <w:pStyle w:val="T2"/>
              <w:jc w:val="right"/>
            </w:pPr>
            <w:r w:rsidRPr="0096767F">
              <w:rPr>
                <w:bCs/>
              </w:rPr>
              <w:t>3</w:t>
            </w:r>
            <w:r>
              <w:rPr>
                <w:bCs/>
              </w:rPr>
              <w:t>78.9</w:t>
            </w:r>
          </w:p>
        </w:tc>
      </w:tr>
      <w:tr w:rsidR="00773F7B" w14:paraId="6F0F49E6" w14:textId="77777777" w:rsidTr="005B3BEE">
        <w:trPr>
          <w:jc w:val="center"/>
        </w:trPr>
        <w:tc>
          <w:tcPr>
            <w:tcW w:w="7574" w:type="dxa"/>
            <w:tcBorders>
              <w:top w:val="single" w:sz="2" w:space="0" w:color="auto"/>
              <w:bottom w:val="single" w:sz="2" w:space="0" w:color="auto"/>
            </w:tcBorders>
          </w:tcPr>
          <w:p w14:paraId="670AED55" w14:textId="77777777" w:rsidR="00773F7B" w:rsidRPr="00D515EB" w:rsidRDefault="00773F7B" w:rsidP="00773F7B">
            <w:pPr>
              <w:pStyle w:val="T2"/>
              <w:jc w:val="left"/>
              <w:rPr>
                <w:b/>
              </w:rPr>
            </w:pPr>
            <w:r w:rsidRPr="00D515EB">
              <w:rPr>
                <w:b/>
              </w:rPr>
              <w:t>Total liabilities</w:t>
            </w:r>
          </w:p>
        </w:tc>
        <w:tc>
          <w:tcPr>
            <w:tcW w:w="648" w:type="dxa"/>
            <w:tcBorders>
              <w:top w:val="single" w:sz="2" w:space="0" w:color="auto"/>
              <w:bottom w:val="single" w:sz="2" w:space="0" w:color="auto"/>
            </w:tcBorders>
            <w:vAlign w:val="center"/>
          </w:tcPr>
          <w:p w14:paraId="293FD316" w14:textId="77777777" w:rsidR="00773F7B" w:rsidRDefault="00773F7B" w:rsidP="00773F7B">
            <w:pPr>
              <w:pStyle w:val="T2"/>
              <w:jc w:val="right"/>
              <w:rPr>
                <w:rFonts w:ascii="Calibri" w:hAnsi="Calibri" w:cs="Calibri"/>
                <w:sz w:val="20"/>
                <w:szCs w:val="20"/>
              </w:rPr>
            </w:pPr>
            <w:r>
              <w:rPr>
                <w:rFonts w:ascii="Calibri" w:hAnsi="Calibri" w:cs="Calibri"/>
                <w:sz w:val="20"/>
                <w:szCs w:val="20"/>
              </w:rPr>
              <w:t> </w:t>
            </w:r>
          </w:p>
        </w:tc>
        <w:tc>
          <w:tcPr>
            <w:tcW w:w="1134" w:type="dxa"/>
            <w:tcBorders>
              <w:top w:val="single" w:sz="2" w:space="0" w:color="auto"/>
              <w:bottom w:val="single" w:sz="2" w:space="0" w:color="auto"/>
            </w:tcBorders>
          </w:tcPr>
          <w:p w14:paraId="1091BA7A" w14:textId="77777777" w:rsidR="00773F7B" w:rsidRPr="00B535FA" w:rsidRDefault="00773F7B" w:rsidP="00773F7B">
            <w:pPr>
              <w:pStyle w:val="T2"/>
              <w:jc w:val="right"/>
              <w:rPr>
                <w:b/>
                <w:bCs/>
              </w:rPr>
            </w:pPr>
            <w:r>
              <w:rPr>
                <w:b/>
                <w:bCs/>
              </w:rPr>
              <w:t>879.</w:t>
            </w:r>
            <w:r w:rsidR="00A71427">
              <w:rPr>
                <w:b/>
                <w:bCs/>
              </w:rPr>
              <w:t>4</w:t>
            </w:r>
          </w:p>
        </w:tc>
        <w:tc>
          <w:tcPr>
            <w:tcW w:w="1132" w:type="dxa"/>
            <w:tcBorders>
              <w:top w:val="single" w:sz="2" w:space="0" w:color="auto"/>
              <w:bottom w:val="single" w:sz="2" w:space="0" w:color="auto"/>
            </w:tcBorders>
          </w:tcPr>
          <w:p w14:paraId="41AB98BC" w14:textId="77777777" w:rsidR="00773F7B" w:rsidRPr="00DC32FB" w:rsidRDefault="00773F7B" w:rsidP="00773F7B">
            <w:pPr>
              <w:pStyle w:val="T2"/>
              <w:jc w:val="right"/>
            </w:pPr>
            <w:r>
              <w:rPr>
                <w:bCs/>
              </w:rPr>
              <w:t>858.0</w:t>
            </w:r>
          </w:p>
        </w:tc>
      </w:tr>
      <w:tr w:rsidR="00773F7B" w14:paraId="68ED47A9" w14:textId="77777777" w:rsidTr="005B3BEE">
        <w:trPr>
          <w:jc w:val="center"/>
        </w:trPr>
        <w:tc>
          <w:tcPr>
            <w:tcW w:w="7574" w:type="dxa"/>
            <w:tcBorders>
              <w:top w:val="single" w:sz="2" w:space="0" w:color="auto"/>
              <w:bottom w:val="single" w:sz="8" w:space="0" w:color="auto"/>
            </w:tcBorders>
          </w:tcPr>
          <w:p w14:paraId="3892E215" w14:textId="77777777" w:rsidR="00773F7B" w:rsidRPr="00D515EB" w:rsidRDefault="00773F7B" w:rsidP="00773F7B">
            <w:pPr>
              <w:pStyle w:val="T2"/>
              <w:jc w:val="left"/>
              <w:rPr>
                <w:b/>
              </w:rPr>
            </w:pPr>
            <w:r w:rsidRPr="00D515EB">
              <w:rPr>
                <w:b/>
              </w:rPr>
              <w:t>Total equity and liabilities</w:t>
            </w:r>
          </w:p>
        </w:tc>
        <w:tc>
          <w:tcPr>
            <w:tcW w:w="648" w:type="dxa"/>
            <w:tcBorders>
              <w:top w:val="single" w:sz="2" w:space="0" w:color="auto"/>
              <w:bottom w:val="single" w:sz="8" w:space="0" w:color="auto"/>
            </w:tcBorders>
            <w:vAlign w:val="center"/>
          </w:tcPr>
          <w:p w14:paraId="75F81E43" w14:textId="77777777" w:rsidR="00773F7B" w:rsidRDefault="00773F7B" w:rsidP="00773F7B">
            <w:pPr>
              <w:jc w:val="right"/>
              <w:rPr>
                <w:rFonts w:ascii="Calibri" w:hAnsi="Calibri" w:cs="Calibri"/>
                <w:b/>
                <w:bCs/>
                <w:sz w:val="20"/>
                <w:szCs w:val="20"/>
              </w:rPr>
            </w:pPr>
            <w:r>
              <w:rPr>
                <w:rFonts w:ascii="Calibri" w:hAnsi="Calibri" w:cs="Calibri"/>
                <w:b/>
                <w:bCs/>
                <w:sz w:val="20"/>
                <w:szCs w:val="20"/>
              </w:rPr>
              <w:t> </w:t>
            </w:r>
          </w:p>
        </w:tc>
        <w:tc>
          <w:tcPr>
            <w:tcW w:w="1134" w:type="dxa"/>
            <w:tcBorders>
              <w:top w:val="single" w:sz="2" w:space="0" w:color="auto"/>
              <w:bottom w:val="single" w:sz="8" w:space="0" w:color="auto"/>
            </w:tcBorders>
          </w:tcPr>
          <w:p w14:paraId="4AADD9FD" w14:textId="77777777" w:rsidR="00773F7B" w:rsidRPr="00B535FA" w:rsidRDefault="00773F7B" w:rsidP="00773F7B">
            <w:pPr>
              <w:pStyle w:val="T2"/>
              <w:jc w:val="right"/>
              <w:rPr>
                <w:b/>
                <w:bCs/>
              </w:rPr>
            </w:pPr>
            <w:r>
              <w:rPr>
                <w:b/>
                <w:bCs/>
              </w:rPr>
              <w:t>1,220.</w:t>
            </w:r>
            <w:r w:rsidR="00A71427">
              <w:rPr>
                <w:b/>
                <w:bCs/>
              </w:rPr>
              <w:t>9</w:t>
            </w:r>
          </w:p>
        </w:tc>
        <w:tc>
          <w:tcPr>
            <w:tcW w:w="1132" w:type="dxa"/>
            <w:tcBorders>
              <w:top w:val="single" w:sz="2" w:space="0" w:color="auto"/>
              <w:bottom w:val="single" w:sz="8" w:space="0" w:color="auto"/>
            </w:tcBorders>
          </w:tcPr>
          <w:p w14:paraId="0A909D40" w14:textId="77777777" w:rsidR="00773F7B" w:rsidRDefault="00773F7B" w:rsidP="00773F7B">
            <w:pPr>
              <w:pStyle w:val="T2"/>
              <w:jc w:val="right"/>
            </w:pPr>
            <w:r w:rsidRPr="0096767F">
              <w:rPr>
                <w:bCs/>
              </w:rPr>
              <w:t>1,</w:t>
            </w:r>
            <w:r>
              <w:rPr>
                <w:bCs/>
              </w:rPr>
              <w:t>163.8</w:t>
            </w:r>
          </w:p>
        </w:tc>
      </w:tr>
      <w:tr w:rsidR="00773F7B" w14:paraId="64AAFC69" w14:textId="77777777" w:rsidTr="005B3BEE">
        <w:trPr>
          <w:jc w:val="center"/>
        </w:trPr>
        <w:tc>
          <w:tcPr>
            <w:tcW w:w="7574" w:type="dxa"/>
            <w:tcBorders>
              <w:top w:val="single" w:sz="8" w:space="0" w:color="auto"/>
            </w:tcBorders>
          </w:tcPr>
          <w:p w14:paraId="71E30D10" w14:textId="77777777" w:rsidR="00773F7B" w:rsidRDefault="00773F7B" w:rsidP="00773F7B">
            <w:pPr>
              <w:pStyle w:val="T2"/>
            </w:pPr>
          </w:p>
        </w:tc>
        <w:tc>
          <w:tcPr>
            <w:tcW w:w="648" w:type="dxa"/>
            <w:tcBorders>
              <w:top w:val="single" w:sz="8" w:space="0" w:color="auto"/>
            </w:tcBorders>
          </w:tcPr>
          <w:p w14:paraId="2E790384" w14:textId="77777777" w:rsidR="00773F7B" w:rsidRDefault="00773F7B" w:rsidP="00773F7B">
            <w:pPr>
              <w:pStyle w:val="T2"/>
            </w:pPr>
          </w:p>
        </w:tc>
        <w:tc>
          <w:tcPr>
            <w:tcW w:w="1134" w:type="dxa"/>
            <w:tcBorders>
              <w:top w:val="single" w:sz="8" w:space="0" w:color="auto"/>
            </w:tcBorders>
          </w:tcPr>
          <w:p w14:paraId="7388BD96" w14:textId="77777777" w:rsidR="00773F7B" w:rsidRPr="00B535FA" w:rsidRDefault="00773F7B" w:rsidP="00773F7B">
            <w:pPr>
              <w:pStyle w:val="T2"/>
              <w:rPr>
                <w:b/>
              </w:rPr>
            </w:pPr>
          </w:p>
        </w:tc>
        <w:tc>
          <w:tcPr>
            <w:tcW w:w="1132" w:type="dxa"/>
            <w:tcBorders>
              <w:top w:val="single" w:sz="8" w:space="0" w:color="auto"/>
            </w:tcBorders>
          </w:tcPr>
          <w:p w14:paraId="5FDE0D24" w14:textId="77777777" w:rsidR="00773F7B" w:rsidRDefault="00773F7B" w:rsidP="00773F7B">
            <w:pPr>
              <w:pStyle w:val="T2"/>
            </w:pPr>
          </w:p>
        </w:tc>
      </w:tr>
    </w:tbl>
    <w:p w14:paraId="0EA23C49" w14:textId="77777777" w:rsidR="00773F7B" w:rsidRDefault="00773F7B" w:rsidP="00773F7B">
      <w:pPr>
        <w:rPr>
          <w:b/>
          <w:color w:val="002060"/>
          <w:sz w:val="28"/>
          <w:szCs w:val="28"/>
        </w:rPr>
      </w:pPr>
    </w:p>
    <w:p w14:paraId="00EF84D4" w14:textId="77777777" w:rsidR="00773F7B" w:rsidRDefault="00773F7B" w:rsidP="00773F7B">
      <w:pPr>
        <w:pStyle w:val="Heading1"/>
        <w:sectPr w:rsidR="00773F7B">
          <w:headerReference w:type="default" r:id="rId10"/>
          <w:pgSz w:w="11906" w:h="16838"/>
          <w:pgMar w:top="1440" w:right="1440" w:bottom="1440" w:left="1440" w:header="708" w:footer="708" w:gutter="0"/>
          <w:cols w:space="708"/>
          <w:docGrid w:linePitch="360"/>
        </w:sect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0"/>
        <w:gridCol w:w="648"/>
        <w:gridCol w:w="1701"/>
        <w:gridCol w:w="1701"/>
      </w:tblGrid>
      <w:tr w:rsidR="00773F7B" w14:paraId="2E0C3D24" w14:textId="77777777" w:rsidTr="005B3BEE">
        <w:trPr>
          <w:jc w:val="center"/>
        </w:trPr>
        <w:tc>
          <w:tcPr>
            <w:tcW w:w="6440" w:type="dxa"/>
          </w:tcPr>
          <w:p w14:paraId="7FC7775A" w14:textId="77777777" w:rsidR="00773F7B" w:rsidRDefault="00773F7B" w:rsidP="00773F7B">
            <w:pPr>
              <w:pStyle w:val="T2"/>
            </w:pPr>
          </w:p>
        </w:tc>
        <w:tc>
          <w:tcPr>
            <w:tcW w:w="648" w:type="dxa"/>
          </w:tcPr>
          <w:p w14:paraId="223ABCB2" w14:textId="77777777" w:rsidR="00773F7B" w:rsidRPr="002E6AF4" w:rsidRDefault="00773F7B" w:rsidP="00773F7B">
            <w:pPr>
              <w:pStyle w:val="T2"/>
              <w:jc w:val="right"/>
              <w:rPr>
                <w:b/>
              </w:rPr>
            </w:pPr>
          </w:p>
        </w:tc>
        <w:tc>
          <w:tcPr>
            <w:tcW w:w="1701" w:type="dxa"/>
          </w:tcPr>
          <w:p w14:paraId="4265C790" w14:textId="77777777" w:rsidR="00773F7B" w:rsidRDefault="00773F7B" w:rsidP="00773F7B">
            <w:pPr>
              <w:pStyle w:val="T2"/>
              <w:jc w:val="right"/>
              <w:rPr>
                <w:b/>
              </w:rPr>
            </w:pPr>
            <w:r w:rsidRPr="002E6AF4">
              <w:rPr>
                <w:b/>
              </w:rPr>
              <w:t xml:space="preserve">Half year ended </w:t>
            </w:r>
          </w:p>
          <w:p w14:paraId="55A5C36A" w14:textId="77777777" w:rsidR="00773F7B" w:rsidRPr="00A70E4B" w:rsidRDefault="00773F7B" w:rsidP="00773F7B">
            <w:pPr>
              <w:pStyle w:val="T2"/>
              <w:jc w:val="right"/>
              <w:rPr>
                <w:b/>
              </w:rPr>
            </w:pPr>
            <w:r>
              <w:rPr>
                <w:b/>
              </w:rPr>
              <w:t>27</w:t>
            </w:r>
            <w:r w:rsidRPr="002E6AF4">
              <w:rPr>
                <w:b/>
              </w:rPr>
              <w:t xml:space="preserve"> March 20</w:t>
            </w:r>
            <w:r>
              <w:rPr>
                <w:b/>
              </w:rPr>
              <w:t>20</w:t>
            </w:r>
          </w:p>
        </w:tc>
        <w:tc>
          <w:tcPr>
            <w:tcW w:w="1701" w:type="dxa"/>
          </w:tcPr>
          <w:p w14:paraId="5346AD1F" w14:textId="77777777" w:rsidR="00773F7B" w:rsidRDefault="00773F7B" w:rsidP="005B3BEE">
            <w:pPr>
              <w:pStyle w:val="T2"/>
              <w:jc w:val="right"/>
            </w:pPr>
            <w:r w:rsidRPr="002E6AF4">
              <w:t xml:space="preserve">Half year ended </w:t>
            </w:r>
          </w:p>
          <w:p w14:paraId="596C6284" w14:textId="77777777" w:rsidR="00773F7B" w:rsidRDefault="00773F7B" w:rsidP="00773F7B">
            <w:pPr>
              <w:pStyle w:val="T2"/>
              <w:jc w:val="right"/>
            </w:pPr>
            <w:r>
              <w:t>29</w:t>
            </w:r>
            <w:r w:rsidRPr="002E6AF4">
              <w:t xml:space="preserve"> March 20</w:t>
            </w:r>
            <w:r>
              <w:t>19</w:t>
            </w:r>
          </w:p>
        </w:tc>
      </w:tr>
      <w:tr w:rsidR="00773F7B" w14:paraId="40C31841" w14:textId="77777777" w:rsidTr="005B3BEE">
        <w:trPr>
          <w:jc w:val="center"/>
        </w:trPr>
        <w:tc>
          <w:tcPr>
            <w:tcW w:w="6440" w:type="dxa"/>
          </w:tcPr>
          <w:p w14:paraId="26926A18" w14:textId="77777777" w:rsidR="00773F7B" w:rsidRDefault="00773F7B" w:rsidP="00773F7B">
            <w:pPr>
              <w:pStyle w:val="T2"/>
            </w:pPr>
          </w:p>
        </w:tc>
        <w:tc>
          <w:tcPr>
            <w:tcW w:w="648" w:type="dxa"/>
          </w:tcPr>
          <w:p w14:paraId="59FCD04B" w14:textId="77777777" w:rsidR="00773F7B" w:rsidRPr="000606CD" w:rsidRDefault="00773F7B" w:rsidP="00773F7B">
            <w:pPr>
              <w:pStyle w:val="T2"/>
              <w:jc w:val="right"/>
            </w:pPr>
            <w:r w:rsidRPr="000606CD">
              <w:t>Notes</w:t>
            </w:r>
          </w:p>
        </w:tc>
        <w:tc>
          <w:tcPr>
            <w:tcW w:w="1701" w:type="dxa"/>
          </w:tcPr>
          <w:p w14:paraId="52CFA237" w14:textId="77777777" w:rsidR="00773F7B" w:rsidRPr="00A70E4B" w:rsidRDefault="00773F7B" w:rsidP="00773F7B">
            <w:pPr>
              <w:pStyle w:val="T2"/>
              <w:jc w:val="right"/>
              <w:rPr>
                <w:b/>
              </w:rPr>
            </w:pPr>
            <w:r w:rsidRPr="002E6AF4">
              <w:rPr>
                <w:b/>
              </w:rPr>
              <w:t>(Unaudited)</w:t>
            </w:r>
          </w:p>
        </w:tc>
        <w:tc>
          <w:tcPr>
            <w:tcW w:w="1701" w:type="dxa"/>
          </w:tcPr>
          <w:p w14:paraId="028EF113" w14:textId="77777777" w:rsidR="00773F7B" w:rsidRDefault="00773F7B" w:rsidP="00773F7B">
            <w:pPr>
              <w:pStyle w:val="T2"/>
              <w:jc w:val="right"/>
            </w:pPr>
            <w:r w:rsidRPr="002E6AF4">
              <w:t>(Unaudited)</w:t>
            </w:r>
          </w:p>
        </w:tc>
      </w:tr>
      <w:tr w:rsidR="00773F7B" w14:paraId="3011F276" w14:textId="77777777" w:rsidTr="005B3BEE">
        <w:trPr>
          <w:jc w:val="center"/>
        </w:trPr>
        <w:tc>
          <w:tcPr>
            <w:tcW w:w="6440" w:type="dxa"/>
            <w:tcBorders>
              <w:bottom w:val="single" w:sz="2" w:space="0" w:color="auto"/>
            </w:tcBorders>
          </w:tcPr>
          <w:p w14:paraId="178651DB" w14:textId="77777777" w:rsidR="00773F7B" w:rsidRDefault="00773F7B" w:rsidP="00773F7B">
            <w:pPr>
              <w:pStyle w:val="T2"/>
            </w:pPr>
          </w:p>
        </w:tc>
        <w:tc>
          <w:tcPr>
            <w:tcW w:w="648" w:type="dxa"/>
            <w:tcBorders>
              <w:bottom w:val="single" w:sz="2" w:space="0" w:color="auto"/>
            </w:tcBorders>
          </w:tcPr>
          <w:p w14:paraId="16FEF9AE" w14:textId="77777777" w:rsidR="00773F7B" w:rsidRPr="002E6AF4" w:rsidRDefault="00773F7B" w:rsidP="00773F7B">
            <w:pPr>
              <w:pStyle w:val="T2"/>
              <w:jc w:val="right"/>
              <w:rPr>
                <w:b/>
              </w:rPr>
            </w:pPr>
          </w:p>
        </w:tc>
        <w:tc>
          <w:tcPr>
            <w:tcW w:w="1701" w:type="dxa"/>
            <w:tcBorders>
              <w:bottom w:val="single" w:sz="2" w:space="0" w:color="auto"/>
            </w:tcBorders>
          </w:tcPr>
          <w:p w14:paraId="4EBD47C0" w14:textId="77777777" w:rsidR="00773F7B" w:rsidRPr="00A70E4B" w:rsidRDefault="00773F7B" w:rsidP="00773F7B">
            <w:pPr>
              <w:pStyle w:val="T2"/>
              <w:jc w:val="right"/>
              <w:rPr>
                <w:b/>
              </w:rPr>
            </w:pPr>
            <w:r w:rsidRPr="002E6AF4">
              <w:rPr>
                <w:b/>
              </w:rPr>
              <w:t>£m</w:t>
            </w:r>
          </w:p>
        </w:tc>
        <w:tc>
          <w:tcPr>
            <w:tcW w:w="1701" w:type="dxa"/>
            <w:tcBorders>
              <w:bottom w:val="single" w:sz="2" w:space="0" w:color="auto"/>
            </w:tcBorders>
          </w:tcPr>
          <w:p w14:paraId="4E766BCA" w14:textId="77777777" w:rsidR="00773F7B" w:rsidRDefault="00773F7B" w:rsidP="00773F7B">
            <w:pPr>
              <w:pStyle w:val="T2"/>
              <w:jc w:val="right"/>
            </w:pPr>
            <w:r w:rsidRPr="002E6AF4">
              <w:t>£m</w:t>
            </w:r>
          </w:p>
        </w:tc>
      </w:tr>
      <w:tr w:rsidR="00773F7B" w14:paraId="71BD2376" w14:textId="77777777" w:rsidTr="005B3BEE">
        <w:trPr>
          <w:jc w:val="center"/>
        </w:trPr>
        <w:tc>
          <w:tcPr>
            <w:tcW w:w="6440" w:type="dxa"/>
            <w:tcBorders>
              <w:top w:val="single" w:sz="2" w:space="0" w:color="auto"/>
            </w:tcBorders>
          </w:tcPr>
          <w:p w14:paraId="3B8F56AF" w14:textId="77777777" w:rsidR="00773F7B" w:rsidRPr="0094516A" w:rsidRDefault="00773F7B" w:rsidP="00773F7B">
            <w:pPr>
              <w:pStyle w:val="T2"/>
              <w:jc w:val="left"/>
            </w:pPr>
            <w:r w:rsidRPr="0094516A">
              <w:t>Profit before taxation</w:t>
            </w:r>
          </w:p>
        </w:tc>
        <w:tc>
          <w:tcPr>
            <w:tcW w:w="648" w:type="dxa"/>
            <w:tcBorders>
              <w:top w:val="single" w:sz="2" w:space="0" w:color="auto"/>
            </w:tcBorders>
          </w:tcPr>
          <w:p w14:paraId="04FD4BCC" w14:textId="77777777" w:rsidR="00773F7B" w:rsidRDefault="00773F7B" w:rsidP="00773F7B">
            <w:pPr>
              <w:pStyle w:val="T2"/>
              <w:jc w:val="right"/>
              <w:rPr>
                <w:b/>
              </w:rPr>
            </w:pPr>
          </w:p>
        </w:tc>
        <w:tc>
          <w:tcPr>
            <w:tcW w:w="1701" w:type="dxa"/>
            <w:tcBorders>
              <w:top w:val="single" w:sz="2" w:space="0" w:color="auto"/>
            </w:tcBorders>
          </w:tcPr>
          <w:p w14:paraId="04518AE2" w14:textId="77777777" w:rsidR="00773F7B" w:rsidRPr="001917D0" w:rsidRDefault="00773F7B" w:rsidP="00773F7B">
            <w:pPr>
              <w:pStyle w:val="T2"/>
              <w:jc w:val="right"/>
              <w:rPr>
                <w:b/>
                <w:bCs/>
              </w:rPr>
            </w:pPr>
            <w:r>
              <w:rPr>
                <w:b/>
                <w:bCs/>
              </w:rPr>
              <w:t>27.3</w:t>
            </w:r>
          </w:p>
        </w:tc>
        <w:tc>
          <w:tcPr>
            <w:tcW w:w="1701" w:type="dxa"/>
            <w:tcBorders>
              <w:top w:val="single" w:sz="2" w:space="0" w:color="auto"/>
            </w:tcBorders>
          </w:tcPr>
          <w:p w14:paraId="4749B54D" w14:textId="77777777" w:rsidR="00773F7B" w:rsidRPr="003C1ACC" w:rsidRDefault="00773F7B" w:rsidP="00773F7B">
            <w:pPr>
              <w:pStyle w:val="T2"/>
              <w:jc w:val="right"/>
            </w:pPr>
            <w:r w:rsidRPr="0096767F">
              <w:rPr>
                <w:bCs/>
              </w:rPr>
              <w:t>5.7</w:t>
            </w:r>
          </w:p>
        </w:tc>
      </w:tr>
      <w:tr w:rsidR="00773F7B" w14:paraId="50BAF5AA" w14:textId="77777777" w:rsidTr="005B3BEE">
        <w:trPr>
          <w:jc w:val="center"/>
        </w:trPr>
        <w:tc>
          <w:tcPr>
            <w:tcW w:w="6440" w:type="dxa"/>
          </w:tcPr>
          <w:p w14:paraId="00065391" w14:textId="77777777" w:rsidR="00773F7B" w:rsidRPr="0094516A" w:rsidRDefault="00773F7B" w:rsidP="00773F7B">
            <w:pPr>
              <w:pStyle w:val="T2"/>
              <w:jc w:val="left"/>
            </w:pPr>
            <w:r w:rsidRPr="0094516A">
              <w:t xml:space="preserve">Finance income </w:t>
            </w:r>
          </w:p>
        </w:tc>
        <w:tc>
          <w:tcPr>
            <w:tcW w:w="648" w:type="dxa"/>
          </w:tcPr>
          <w:p w14:paraId="0DC09228" w14:textId="77777777" w:rsidR="00773F7B" w:rsidRDefault="00773F7B" w:rsidP="00773F7B">
            <w:pPr>
              <w:pStyle w:val="T2"/>
              <w:jc w:val="right"/>
              <w:rPr>
                <w:b/>
              </w:rPr>
            </w:pPr>
          </w:p>
        </w:tc>
        <w:tc>
          <w:tcPr>
            <w:tcW w:w="1701" w:type="dxa"/>
          </w:tcPr>
          <w:p w14:paraId="2FB3D004" w14:textId="77777777" w:rsidR="00773F7B" w:rsidRPr="001917D0" w:rsidRDefault="00773F7B" w:rsidP="00773F7B">
            <w:pPr>
              <w:pStyle w:val="T2"/>
              <w:jc w:val="right"/>
              <w:rPr>
                <w:b/>
                <w:bCs/>
              </w:rPr>
            </w:pPr>
            <w:r>
              <w:rPr>
                <w:b/>
                <w:bCs/>
              </w:rPr>
              <w:t>(0.1</w:t>
            </w:r>
            <w:r w:rsidRPr="001917D0">
              <w:rPr>
                <w:b/>
                <w:bCs/>
              </w:rPr>
              <w:t>)</w:t>
            </w:r>
          </w:p>
        </w:tc>
        <w:tc>
          <w:tcPr>
            <w:tcW w:w="1701" w:type="dxa"/>
          </w:tcPr>
          <w:p w14:paraId="203FF587" w14:textId="77777777" w:rsidR="00773F7B" w:rsidRPr="003C1ACC" w:rsidRDefault="00773F7B" w:rsidP="00773F7B">
            <w:pPr>
              <w:pStyle w:val="T2"/>
              <w:jc w:val="right"/>
            </w:pPr>
            <w:r w:rsidRPr="0096767F">
              <w:rPr>
                <w:bCs/>
              </w:rPr>
              <w:t>(0.7)</w:t>
            </w:r>
          </w:p>
        </w:tc>
      </w:tr>
      <w:tr w:rsidR="00773F7B" w14:paraId="2478CD77" w14:textId="77777777" w:rsidTr="005B3BEE">
        <w:trPr>
          <w:jc w:val="center"/>
        </w:trPr>
        <w:tc>
          <w:tcPr>
            <w:tcW w:w="6440" w:type="dxa"/>
          </w:tcPr>
          <w:p w14:paraId="2F6F4863" w14:textId="77777777" w:rsidR="00773F7B" w:rsidRPr="0094516A" w:rsidRDefault="00773F7B" w:rsidP="00773F7B">
            <w:pPr>
              <w:pStyle w:val="T2"/>
              <w:jc w:val="left"/>
            </w:pPr>
            <w:r w:rsidRPr="0094516A">
              <w:t xml:space="preserve">Finance costs </w:t>
            </w:r>
          </w:p>
        </w:tc>
        <w:tc>
          <w:tcPr>
            <w:tcW w:w="648" w:type="dxa"/>
          </w:tcPr>
          <w:p w14:paraId="5B38B855" w14:textId="77777777" w:rsidR="00773F7B" w:rsidRDefault="00773F7B" w:rsidP="00773F7B">
            <w:pPr>
              <w:pStyle w:val="T2"/>
              <w:jc w:val="right"/>
              <w:rPr>
                <w:b/>
              </w:rPr>
            </w:pPr>
          </w:p>
        </w:tc>
        <w:tc>
          <w:tcPr>
            <w:tcW w:w="1701" w:type="dxa"/>
          </w:tcPr>
          <w:p w14:paraId="2A0481D4" w14:textId="77777777" w:rsidR="00773F7B" w:rsidRPr="001917D0" w:rsidRDefault="00773F7B" w:rsidP="00773F7B">
            <w:pPr>
              <w:pStyle w:val="T2"/>
              <w:jc w:val="right"/>
              <w:rPr>
                <w:b/>
                <w:bCs/>
              </w:rPr>
            </w:pPr>
            <w:r>
              <w:rPr>
                <w:b/>
                <w:bCs/>
              </w:rPr>
              <w:t>8.8</w:t>
            </w:r>
          </w:p>
        </w:tc>
        <w:tc>
          <w:tcPr>
            <w:tcW w:w="1701" w:type="dxa"/>
          </w:tcPr>
          <w:p w14:paraId="09F5598B" w14:textId="77777777" w:rsidR="00773F7B" w:rsidRPr="003C1ACC" w:rsidRDefault="00773F7B" w:rsidP="00773F7B">
            <w:pPr>
              <w:pStyle w:val="T2"/>
              <w:jc w:val="right"/>
            </w:pPr>
            <w:r w:rsidRPr="0096767F">
              <w:rPr>
                <w:bCs/>
              </w:rPr>
              <w:t>11.5</w:t>
            </w:r>
          </w:p>
        </w:tc>
      </w:tr>
      <w:tr w:rsidR="00773F7B" w14:paraId="431549E4" w14:textId="77777777" w:rsidTr="005B3BEE">
        <w:trPr>
          <w:jc w:val="center"/>
        </w:trPr>
        <w:tc>
          <w:tcPr>
            <w:tcW w:w="6440" w:type="dxa"/>
          </w:tcPr>
          <w:p w14:paraId="496F08E6" w14:textId="77777777" w:rsidR="00773F7B" w:rsidRPr="0094516A" w:rsidRDefault="00773F7B" w:rsidP="00773F7B">
            <w:pPr>
              <w:pStyle w:val="T2"/>
              <w:jc w:val="left"/>
            </w:pPr>
            <w:r w:rsidRPr="0094516A">
              <w:t>Share of profit of associates after tax</w:t>
            </w:r>
          </w:p>
        </w:tc>
        <w:tc>
          <w:tcPr>
            <w:tcW w:w="648" w:type="dxa"/>
          </w:tcPr>
          <w:p w14:paraId="43B54203" w14:textId="77777777" w:rsidR="00773F7B" w:rsidRDefault="00773F7B" w:rsidP="00773F7B">
            <w:pPr>
              <w:pStyle w:val="T2"/>
              <w:jc w:val="right"/>
              <w:rPr>
                <w:b/>
              </w:rPr>
            </w:pPr>
          </w:p>
        </w:tc>
        <w:tc>
          <w:tcPr>
            <w:tcW w:w="1701" w:type="dxa"/>
          </w:tcPr>
          <w:p w14:paraId="1BB23A7E" w14:textId="77777777" w:rsidR="00773F7B" w:rsidRPr="001917D0" w:rsidRDefault="00773F7B" w:rsidP="00773F7B">
            <w:pPr>
              <w:pStyle w:val="T2"/>
              <w:jc w:val="right"/>
              <w:rPr>
                <w:b/>
                <w:bCs/>
              </w:rPr>
            </w:pPr>
            <w:r w:rsidRPr="001917D0">
              <w:rPr>
                <w:b/>
                <w:bCs/>
              </w:rPr>
              <w:t>(0.4)</w:t>
            </w:r>
          </w:p>
        </w:tc>
        <w:tc>
          <w:tcPr>
            <w:tcW w:w="1701" w:type="dxa"/>
          </w:tcPr>
          <w:p w14:paraId="1F7ABF9A" w14:textId="77777777" w:rsidR="00773F7B" w:rsidRPr="003C1ACC" w:rsidRDefault="00773F7B" w:rsidP="00773F7B">
            <w:pPr>
              <w:pStyle w:val="T2"/>
              <w:jc w:val="right"/>
            </w:pPr>
            <w:r w:rsidRPr="0096767F">
              <w:rPr>
                <w:bCs/>
              </w:rPr>
              <w:t>(0.6)</w:t>
            </w:r>
          </w:p>
        </w:tc>
      </w:tr>
      <w:tr w:rsidR="00773F7B" w14:paraId="0C494FB3" w14:textId="77777777" w:rsidTr="005B3BEE">
        <w:trPr>
          <w:jc w:val="center"/>
        </w:trPr>
        <w:tc>
          <w:tcPr>
            <w:tcW w:w="6440" w:type="dxa"/>
            <w:tcBorders>
              <w:bottom w:val="single" w:sz="2" w:space="0" w:color="auto"/>
            </w:tcBorders>
          </w:tcPr>
          <w:p w14:paraId="22C08C97" w14:textId="77777777" w:rsidR="00773F7B" w:rsidRPr="0094516A" w:rsidRDefault="00773F7B" w:rsidP="00773F7B">
            <w:pPr>
              <w:pStyle w:val="T2"/>
              <w:jc w:val="left"/>
            </w:pPr>
            <w:r w:rsidRPr="0094516A">
              <w:t>Exceptional items</w:t>
            </w:r>
          </w:p>
        </w:tc>
        <w:tc>
          <w:tcPr>
            <w:tcW w:w="648" w:type="dxa"/>
            <w:tcBorders>
              <w:bottom w:val="single" w:sz="2" w:space="0" w:color="auto"/>
            </w:tcBorders>
          </w:tcPr>
          <w:p w14:paraId="4FDE51C0" w14:textId="77777777" w:rsidR="00773F7B" w:rsidRDefault="00773F7B" w:rsidP="00773F7B">
            <w:pPr>
              <w:pStyle w:val="T2"/>
              <w:jc w:val="right"/>
              <w:rPr>
                <w:b/>
              </w:rPr>
            </w:pPr>
          </w:p>
        </w:tc>
        <w:tc>
          <w:tcPr>
            <w:tcW w:w="1701" w:type="dxa"/>
            <w:tcBorders>
              <w:bottom w:val="single" w:sz="2" w:space="0" w:color="auto"/>
            </w:tcBorders>
          </w:tcPr>
          <w:p w14:paraId="1EF304E0" w14:textId="77777777" w:rsidR="00773F7B" w:rsidRPr="001917D0" w:rsidRDefault="00773F7B" w:rsidP="00773F7B">
            <w:pPr>
              <w:pStyle w:val="T2"/>
              <w:jc w:val="right"/>
              <w:rPr>
                <w:b/>
                <w:bCs/>
              </w:rPr>
            </w:pPr>
            <w:r>
              <w:rPr>
                <w:b/>
                <w:bCs/>
              </w:rPr>
              <w:t>–</w:t>
            </w:r>
          </w:p>
        </w:tc>
        <w:tc>
          <w:tcPr>
            <w:tcW w:w="1701" w:type="dxa"/>
            <w:tcBorders>
              <w:bottom w:val="single" w:sz="2" w:space="0" w:color="auto"/>
            </w:tcBorders>
          </w:tcPr>
          <w:p w14:paraId="6C0EBBD8" w14:textId="77777777" w:rsidR="00773F7B" w:rsidRPr="003C1ACC" w:rsidRDefault="00773F7B" w:rsidP="00773F7B">
            <w:pPr>
              <w:pStyle w:val="T2"/>
              <w:jc w:val="right"/>
            </w:pPr>
            <w:r w:rsidRPr="0096767F">
              <w:rPr>
                <w:bCs/>
              </w:rPr>
              <w:t>28.4</w:t>
            </w:r>
          </w:p>
        </w:tc>
      </w:tr>
      <w:tr w:rsidR="00773F7B" w14:paraId="15C2BE3C" w14:textId="77777777" w:rsidTr="005B3BEE">
        <w:trPr>
          <w:jc w:val="center"/>
        </w:trPr>
        <w:tc>
          <w:tcPr>
            <w:tcW w:w="6440" w:type="dxa"/>
            <w:tcBorders>
              <w:top w:val="single" w:sz="2" w:space="0" w:color="auto"/>
            </w:tcBorders>
          </w:tcPr>
          <w:p w14:paraId="73832DD0" w14:textId="77777777" w:rsidR="00773F7B" w:rsidRPr="00B13DAE" w:rsidRDefault="00773F7B" w:rsidP="00773F7B">
            <w:pPr>
              <w:pStyle w:val="T2"/>
              <w:jc w:val="left"/>
              <w:rPr>
                <w:b/>
              </w:rPr>
            </w:pPr>
            <w:r w:rsidRPr="00B13DAE">
              <w:rPr>
                <w:b/>
              </w:rPr>
              <w:t xml:space="preserve">Continuing Operating </w:t>
            </w:r>
            <w:r>
              <w:rPr>
                <w:b/>
              </w:rPr>
              <w:t>P</w:t>
            </w:r>
            <w:r w:rsidRPr="00B13DAE">
              <w:rPr>
                <w:b/>
              </w:rPr>
              <w:t>rofit (pre</w:t>
            </w:r>
            <w:r>
              <w:rPr>
                <w:b/>
              </w:rPr>
              <w:t>–</w:t>
            </w:r>
            <w:r w:rsidRPr="00B13DAE">
              <w:rPr>
                <w:b/>
              </w:rPr>
              <w:t>exceptional)</w:t>
            </w:r>
          </w:p>
        </w:tc>
        <w:tc>
          <w:tcPr>
            <w:tcW w:w="648" w:type="dxa"/>
            <w:tcBorders>
              <w:top w:val="single" w:sz="2" w:space="0" w:color="auto"/>
            </w:tcBorders>
          </w:tcPr>
          <w:p w14:paraId="0A816FB7" w14:textId="77777777" w:rsidR="00773F7B" w:rsidRDefault="00773F7B" w:rsidP="00773F7B">
            <w:pPr>
              <w:pStyle w:val="T2"/>
              <w:jc w:val="right"/>
              <w:rPr>
                <w:b/>
              </w:rPr>
            </w:pPr>
          </w:p>
        </w:tc>
        <w:tc>
          <w:tcPr>
            <w:tcW w:w="1701" w:type="dxa"/>
            <w:tcBorders>
              <w:top w:val="single" w:sz="2" w:space="0" w:color="auto"/>
            </w:tcBorders>
          </w:tcPr>
          <w:p w14:paraId="22A7695E" w14:textId="77777777" w:rsidR="00773F7B" w:rsidRPr="001917D0" w:rsidRDefault="00773F7B" w:rsidP="00773F7B">
            <w:pPr>
              <w:pStyle w:val="T2"/>
              <w:jc w:val="right"/>
              <w:rPr>
                <w:b/>
                <w:bCs/>
              </w:rPr>
            </w:pPr>
            <w:r>
              <w:rPr>
                <w:b/>
                <w:bCs/>
              </w:rPr>
              <w:t>35.6</w:t>
            </w:r>
          </w:p>
        </w:tc>
        <w:tc>
          <w:tcPr>
            <w:tcW w:w="1701" w:type="dxa"/>
            <w:tcBorders>
              <w:top w:val="single" w:sz="2" w:space="0" w:color="auto"/>
            </w:tcBorders>
          </w:tcPr>
          <w:p w14:paraId="0B82033C" w14:textId="77777777" w:rsidR="00773F7B" w:rsidRPr="003C1ACC" w:rsidRDefault="00773F7B" w:rsidP="00773F7B">
            <w:pPr>
              <w:pStyle w:val="T2"/>
              <w:jc w:val="right"/>
            </w:pPr>
            <w:r w:rsidRPr="0096767F">
              <w:rPr>
                <w:bCs/>
              </w:rPr>
              <w:t>44.3</w:t>
            </w:r>
          </w:p>
        </w:tc>
      </w:tr>
      <w:tr w:rsidR="00773F7B" w14:paraId="7C162A3C" w14:textId="77777777" w:rsidTr="005B3BEE">
        <w:trPr>
          <w:jc w:val="center"/>
        </w:trPr>
        <w:tc>
          <w:tcPr>
            <w:tcW w:w="6440" w:type="dxa"/>
            <w:tcBorders>
              <w:bottom w:val="single" w:sz="2" w:space="0" w:color="auto"/>
            </w:tcBorders>
          </w:tcPr>
          <w:p w14:paraId="6B08C86E" w14:textId="77777777" w:rsidR="00773F7B" w:rsidRPr="0094516A" w:rsidRDefault="00773F7B" w:rsidP="00773F7B">
            <w:pPr>
              <w:pStyle w:val="T2"/>
              <w:jc w:val="left"/>
            </w:pPr>
            <w:r w:rsidRPr="0094516A">
              <w:t xml:space="preserve">Discontinued Operating </w:t>
            </w:r>
            <w:r>
              <w:t>P</w:t>
            </w:r>
            <w:r w:rsidRPr="0094516A">
              <w:t>rofit (pre</w:t>
            </w:r>
            <w:r>
              <w:t>–</w:t>
            </w:r>
            <w:r w:rsidRPr="0094516A">
              <w:t>exceptional)</w:t>
            </w:r>
          </w:p>
        </w:tc>
        <w:tc>
          <w:tcPr>
            <w:tcW w:w="648" w:type="dxa"/>
            <w:tcBorders>
              <w:bottom w:val="single" w:sz="2" w:space="0" w:color="auto"/>
            </w:tcBorders>
          </w:tcPr>
          <w:p w14:paraId="4AFE0C7C" w14:textId="77777777" w:rsidR="00773F7B" w:rsidRPr="00E02FFC" w:rsidRDefault="00773F7B" w:rsidP="00773F7B">
            <w:pPr>
              <w:pStyle w:val="T2"/>
              <w:jc w:val="right"/>
            </w:pPr>
            <w:r>
              <w:t>15</w:t>
            </w:r>
          </w:p>
        </w:tc>
        <w:tc>
          <w:tcPr>
            <w:tcW w:w="1701" w:type="dxa"/>
            <w:tcBorders>
              <w:bottom w:val="single" w:sz="2" w:space="0" w:color="auto"/>
            </w:tcBorders>
          </w:tcPr>
          <w:p w14:paraId="0F31D9E0" w14:textId="77777777" w:rsidR="00773F7B" w:rsidRPr="001917D0" w:rsidRDefault="00773F7B" w:rsidP="00773F7B">
            <w:pPr>
              <w:pStyle w:val="T2"/>
              <w:jc w:val="right"/>
              <w:rPr>
                <w:b/>
                <w:bCs/>
              </w:rPr>
            </w:pPr>
            <w:r>
              <w:rPr>
                <w:b/>
                <w:bCs/>
              </w:rPr>
              <w:t>–</w:t>
            </w:r>
          </w:p>
        </w:tc>
        <w:tc>
          <w:tcPr>
            <w:tcW w:w="1701" w:type="dxa"/>
            <w:tcBorders>
              <w:bottom w:val="single" w:sz="2" w:space="0" w:color="auto"/>
            </w:tcBorders>
          </w:tcPr>
          <w:p w14:paraId="06801E46" w14:textId="77777777" w:rsidR="00773F7B" w:rsidRPr="003C1ACC" w:rsidRDefault="00773F7B" w:rsidP="00773F7B">
            <w:pPr>
              <w:pStyle w:val="T2"/>
              <w:jc w:val="right"/>
            </w:pPr>
            <w:r w:rsidRPr="0096767F">
              <w:rPr>
                <w:bCs/>
              </w:rPr>
              <w:t>9.1</w:t>
            </w:r>
          </w:p>
        </w:tc>
      </w:tr>
      <w:tr w:rsidR="00773F7B" w14:paraId="55A7618A" w14:textId="77777777" w:rsidTr="005B3BEE">
        <w:trPr>
          <w:jc w:val="center"/>
        </w:trPr>
        <w:tc>
          <w:tcPr>
            <w:tcW w:w="6440" w:type="dxa"/>
            <w:tcBorders>
              <w:top w:val="single" w:sz="2" w:space="0" w:color="auto"/>
            </w:tcBorders>
          </w:tcPr>
          <w:p w14:paraId="795F3295" w14:textId="77777777" w:rsidR="00773F7B" w:rsidRPr="00B13DAE" w:rsidRDefault="00773F7B" w:rsidP="00773F7B">
            <w:pPr>
              <w:pStyle w:val="T2"/>
              <w:jc w:val="left"/>
              <w:rPr>
                <w:b/>
              </w:rPr>
            </w:pPr>
            <w:r w:rsidRPr="00B13DAE">
              <w:rPr>
                <w:b/>
              </w:rPr>
              <w:t>Operating Profit (pre</w:t>
            </w:r>
            <w:r>
              <w:rPr>
                <w:b/>
              </w:rPr>
              <w:t>–</w:t>
            </w:r>
            <w:r w:rsidRPr="00B13DAE">
              <w:rPr>
                <w:b/>
              </w:rPr>
              <w:t>exceptional)</w:t>
            </w:r>
          </w:p>
        </w:tc>
        <w:tc>
          <w:tcPr>
            <w:tcW w:w="648" w:type="dxa"/>
            <w:tcBorders>
              <w:top w:val="single" w:sz="2" w:space="0" w:color="auto"/>
            </w:tcBorders>
          </w:tcPr>
          <w:p w14:paraId="542488D2" w14:textId="77777777" w:rsidR="00773F7B" w:rsidRPr="00E02FFC" w:rsidRDefault="00773F7B" w:rsidP="00773F7B">
            <w:pPr>
              <w:pStyle w:val="T2"/>
              <w:jc w:val="right"/>
            </w:pPr>
          </w:p>
        </w:tc>
        <w:tc>
          <w:tcPr>
            <w:tcW w:w="1701" w:type="dxa"/>
            <w:tcBorders>
              <w:top w:val="single" w:sz="2" w:space="0" w:color="auto"/>
            </w:tcBorders>
          </w:tcPr>
          <w:p w14:paraId="18A1C286" w14:textId="77777777" w:rsidR="00773F7B" w:rsidRPr="001917D0" w:rsidRDefault="00773F7B" w:rsidP="00773F7B">
            <w:pPr>
              <w:pStyle w:val="T2"/>
              <w:jc w:val="right"/>
              <w:rPr>
                <w:b/>
                <w:bCs/>
              </w:rPr>
            </w:pPr>
            <w:r>
              <w:rPr>
                <w:b/>
                <w:bCs/>
              </w:rPr>
              <w:t>35.6</w:t>
            </w:r>
          </w:p>
        </w:tc>
        <w:tc>
          <w:tcPr>
            <w:tcW w:w="1701" w:type="dxa"/>
            <w:tcBorders>
              <w:top w:val="single" w:sz="2" w:space="0" w:color="auto"/>
            </w:tcBorders>
          </w:tcPr>
          <w:p w14:paraId="10B0472E" w14:textId="77777777" w:rsidR="00773F7B" w:rsidRPr="003C1ACC" w:rsidRDefault="00773F7B" w:rsidP="00773F7B">
            <w:pPr>
              <w:pStyle w:val="T2"/>
              <w:jc w:val="right"/>
            </w:pPr>
            <w:r w:rsidRPr="0096767F">
              <w:rPr>
                <w:bCs/>
              </w:rPr>
              <w:t>53.4</w:t>
            </w:r>
          </w:p>
        </w:tc>
      </w:tr>
      <w:tr w:rsidR="00773F7B" w14:paraId="78004893" w14:textId="77777777" w:rsidTr="005B3BEE">
        <w:trPr>
          <w:jc w:val="center"/>
        </w:trPr>
        <w:tc>
          <w:tcPr>
            <w:tcW w:w="6440" w:type="dxa"/>
          </w:tcPr>
          <w:p w14:paraId="1155BCF5" w14:textId="77777777" w:rsidR="00773F7B" w:rsidRPr="0094516A" w:rsidRDefault="00773F7B" w:rsidP="00773F7B">
            <w:pPr>
              <w:pStyle w:val="T2"/>
              <w:jc w:val="left"/>
            </w:pPr>
            <w:r w:rsidRPr="0094516A">
              <w:t>Depreciation</w:t>
            </w:r>
          </w:p>
        </w:tc>
        <w:tc>
          <w:tcPr>
            <w:tcW w:w="648" w:type="dxa"/>
          </w:tcPr>
          <w:p w14:paraId="213EC3F8" w14:textId="77777777" w:rsidR="00773F7B" w:rsidRPr="00E02FFC" w:rsidRDefault="00773F7B" w:rsidP="00773F7B">
            <w:pPr>
              <w:pStyle w:val="T2"/>
              <w:jc w:val="right"/>
            </w:pPr>
          </w:p>
        </w:tc>
        <w:tc>
          <w:tcPr>
            <w:tcW w:w="1701" w:type="dxa"/>
          </w:tcPr>
          <w:p w14:paraId="7FF0C713" w14:textId="77777777" w:rsidR="00773F7B" w:rsidRPr="001917D0" w:rsidRDefault="00773F7B" w:rsidP="00773F7B">
            <w:pPr>
              <w:pStyle w:val="T2"/>
              <w:jc w:val="right"/>
              <w:rPr>
                <w:b/>
                <w:bCs/>
              </w:rPr>
            </w:pPr>
            <w:r w:rsidRPr="001917D0">
              <w:rPr>
                <w:b/>
                <w:bCs/>
              </w:rPr>
              <w:t>22.9</w:t>
            </w:r>
          </w:p>
        </w:tc>
        <w:tc>
          <w:tcPr>
            <w:tcW w:w="1701" w:type="dxa"/>
          </w:tcPr>
          <w:p w14:paraId="531216C4" w14:textId="77777777" w:rsidR="00773F7B" w:rsidRPr="003C1ACC" w:rsidRDefault="00773F7B" w:rsidP="00773F7B">
            <w:pPr>
              <w:pStyle w:val="T2"/>
              <w:jc w:val="right"/>
            </w:pPr>
            <w:r w:rsidRPr="0096767F">
              <w:rPr>
                <w:bCs/>
              </w:rPr>
              <w:t>16.0</w:t>
            </w:r>
          </w:p>
        </w:tc>
      </w:tr>
      <w:tr w:rsidR="00773F7B" w14:paraId="7FEE264B" w14:textId="77777777" w:rsidTr="005B3BEE">
        <w:trPr>
          <w:jc w:val="center"/>
        </w:trPr>
        <w:tc>
          <w:tcPr>
            <w:tcW w:w="6440" w:type="dxa"/>
          </w:tcPr>
          <w:p w14:paraId="3DED1468" w14:textId="77777777" w:rsidR="00773F7B" w:rsidRPr="0094516A" w:rsidRDefault="00773F7B" w:rsidP="00773F7B">
            <w:pPr>
              <w:pStyle w:val="T2"/>
              <w:jc w:val="left"/>
            </w:pPr>
            <w:r w:rsidRPr="0094516A">
              <w:t>Amortisation of intangible assets</w:t>
            </w:r>
          </w:p>
        </w:tc>
        <w:tc>
          <w:tcPr>
            <w:tcW w:w="648" w:type="dxa"/>
          </w:tcPr>
          <w:p w14:paraId="4B34ADED" w14:textId="77777777" w:rsidR="00773F7B" w:rsidRPr="00E02FFC" w:rsidRDefault="00773F7B" w:rsidP="00773F7B">
            <w:pPr>
              <w:pStyle w:val="T2"/>
              <w:jc w:val="right"/>
            </w:pPr>
          </w:p>
        </w:tc>
        <w:tc>
          <w:tcPr>
            <w:tcW w:w="1701" w:type="dxa"/>
          </w:tcPr>
          <w:p w14:paraId="3F013643" w14:textId="77777777" w:rsidR="00773F7B" w:rsidRPr="001917D0" w:rsidRDefault="00773F7B" w:rsidP="00773F7B">
            <w:pPr>
              <w:pStyle w:val="T2"/>
              <w:jc w:val="right"/>
              <w:rPr>
                <w:b/>
                <w:bCs/>
              </w:rPr>
            </w:pPr>
            <w:r w:rsidRPr="001917D0">
              <w:rPr>
                <w:b/>
                <w:bCs/>
              </w:rPr>
              <w:t>5.3</w:t>
            </w:r>
          </w:p>
        </w:tc>
        <w:tc>
          <w:tcPr>
            <w:tcW w:w="1701" w:type="dxa"/>
          </w:tcPr>
          <w:p w14:paraId="2C8B8806" w14:textId="77777777" w:rsidR="00773F7B" w:rsidRPr="003C1ACC" w:rsidRDefault="00773F7B" w:rsidP="00773F7B">
            <w:pPr>
              <w:pStyle w:val="T2"/>
              <w:jc w:val="right"/>
            </w:pPr>
            <w:r w:rsidRPr="0096767F">
              <w:rPr>
                <w:bCs/>
              </w:rPr>
              <w:t>2.2</w:t>
            </w:r>
          </w:p>
        </w:tc>
      </w:tr>
      <w:tr w:rsidR="00773F7B" w14:paraId="1B0364E2" w14:textId="77777777" w:rsidTr="005B3BEE">
        <w:trPr>
          <w:jc w:val="center"/>
        </w:trPr>
        <w:tc>
          <w:tcPr>
            <w:tcW w:w="6440" w:type="dxa"/>
          </w:tcPr>
          <w:p w14:paraId="6E3FFC76" w14:textId="77777777" w:rsidR="00773F7B" w:rsidRPr="0094516A" w:rsidRDefault="00773F7B" w:rsidP="00773F7B">
            <w:pPr>
              <w:pStyle w:val="T2"/>
              <w:jc w:val="left"/>
            </w:pPr>
            <w:r w:rsidRPr="0094516A">
              <w:t>Employee share</w:t>
            </w:r>
            <w:r>
              <w:t>–</w:t>
            </w:r>
            <w:r w:rsidRPr="0094516A">
              <w:t>based payment expense</w:t>
            </w:r>
          </w:p>
        </w:tc>
        <w:tc>
          <w:tcPr>
            <w:tcW w:w="648" w:type="dxa"/>
          </w:tcPr>
          <w:p w14:paraId="27C52664" w14:textId="77777777" w:rsidR="00773F7B" w:rsidRPr="00E02FFC" w:rsidRDefault="00773F7B" w:rsidP="00773F7B">
            <w:pPr>
              <w:pStyle w:val="T2"/>
              <w:jc w:val="right"/>
            </w:pPr>
          </w:p>
        </w:tc>
        <w:tc>
          <w:tcPr>
            <w:tcW w:w="1701" w:type="dxa"/>
          </w:tcPr>
          <w:p w14:paraId="515E96FB" w14:textId="77777777" w:rsidR="00773F7B" w:rsidRPr="001917D0" w:rsidRDefault="00773F7B" w:rsidP="00773F7B">
            <w:pPr>
              <w:pStyle w:val="T2"/>
              <w:jc w:val="right"/>
              <w:rPr>
                <w:b/>
                <w:bCs/>
              </w:rPr>
            </w:pPr>
            <w:r w:rsidRPr="001917D0">
              <w:rPr>
                <w:b/>
                <w:bCs/>
              </w:rPr>
              <w:t>0.9</w:t>
            </w:r>
          </w:p>
        </w:tc>
        <w:tc>
          <w:tcPr>
            <w:tcW w:w="1701" w:type="dxa"/>
          </w:tcPr>
          <w:p w14:paraId="34D2EE0E" w14:textId="77777777" w:rsidR="00773F7B" w:rsidRPr="003C1ACC" w:rsidRDefault="00773F7B" w:rsidP="00773F7B">
            <w:pPr>
              <w:pStyle w:val="T2"/>
              <w:jc w:val="right"/>
            </w:pPr>
            <w:r w:rsidRPr="0096767F">
              <w:rPr>
                <w:bCs/>
              </w:rPr>
              <w:t>1.5</w:t>
            </w:r>
          </w:p>
        </w:tc>
      </w:tr>
      <w:tr w:rsidR="00773F7B" w14:paraId="075C7183" w14:textId="77777777" w:rsidTr="005B3BEE">
        <w:trPr>
          <w:jc w:val="center"/>
        </w:trPr>
        <w:tc>
          <w:tcPr>
            <w:tcW w:w="6440" w:type="dxa"/>
          </w:tcPr>
          <w:p w14:paraId="6C41E4C0" w14:textId="77777777" w:rsidR="00773F7B" w:rsidRPr="0094516A" w:rsidRDefault="00773F7B" w:rsidP="00773F7B">
            <w:pPr>
              <w:pStyle w:val="T2"/>
              <w:jc w:val="left"/>
            </w:pPr>
            <w:r w:rsidRPr="0094516A">
              <w:t>Contributions to</w:t>
            </w:r>
            <w:r>
              <w:t xml:space="preserve"> Group</w:t>
            </w:r>
            <w:r w:rsidRPr="0094516A">
              <w:t xml:space="preserve"> </w:t>
            </w:r>
            <w:r>
              <w:t xml:space="preserve">legacy </w:t>
            </w:r>
            <w:r w:rsidRPr="0094516A">
              <w:t>defined benefit pension scheme</w:t>
            </w:r>
            <w:r>
              <w:t>s</w:t>
            </w:r>
          </w:p>
        </w:tc>
        <w:tc>
          <w:tcPr>
            <w:tcW w:w="648" w:type="dxa"/>
          </w:tcPr>
          <w:p w14:paraId="36F191DC" w14:textId="77777777" w:rsidR="00773F7B" w:rsidRPr="00E02FFC" w:rsidRDefault="00773F7B" w:rsidP="00773F7B">
            <w:pPr>
              <w:pStyle w:val="T2"/>
              <w:jc w:val="right"/>
            </w:pPr>
          </w:p>
        </w:tc>
        <w:tc>
          <w:tcPr>
            <w:tcW w:w="1701" w:type="dxa"/>
          </w:tcPr>
          <w:p w14:paraId="6C75855A" w14:textId="77777777" w:rsidR="00773F7B" w:rsidRPr="001917D0" w:rsidRDefault="00773F7B" w:rsidP="00773F7B">
            <w:pPr>
              <w:pStyle w:val="T2"/>
              <w:jc w:val="right"/>
              <w:rPr>
                <w:b/>
                <w:bCs/>
              </w:rPr>
            </w:pPr>
            <w:r w:rsidRPr="001917D0">
              <w:rPr>
                <w:b/>
                <w:bCs/>
              </w:rPr>
              <w:t>(</w:t>
            </w:r>
            <w:r>
              <w:rPr>
                <w:b/>
                <w:bCs/>
              </w:rPr>
              <w:t>7.8</w:t>
            </w:r>
            <w:r w:rsidRPr="001917D0">
              <w:rPr>
                <w:b/>
                <w:bCs/>
              </w:rPr>
              <w:t>)</w:t>
            </w:r>
          </w:p>
        </w:tc>
        <w:tc>
          <w:tcPr>
            <w:tcW w:w="1701" w:type="dxa"/>
          </w:tcPr>
          <w:p w14:paraId="7389C521" w14:textId="77777777" w:rsidR="00773F7B" w:rsidRPr="003C1ACC" w:rsidRDefault="00773F7B" w:rsidP="00773F7B">
            <w:pPr>
              <w:pStyle w:val="T2"/>
              <w:jc w:val="right"/>
            </w:pPr>
            <w:r w:rsidRPr="0096767F">
              <w:rPr>
                <w:bCs/>
              </w:rPr>
              <w:t>(8.0)</w:t>
            </w:r>
          </w:p>
        </w:tc>
      </w:tr>
      <w:tr w:rsidR="00773F7B" w14:paraId="04BBCAF8" w14:textId="77777777" w:rsidTr="005B3BEE">
        <w:trPr>
          <w:jc w:val="center"/>
        </w:trPr>
        <w:tc>
          <w:tcPr>
            <w:tcW w:w="6440" w:type="dxa"/>
          </w:tcPr>
          <w:p w14:paraId="007B5F13" w14:textId="77777777" w:rsidR="00773F7B" w:rsidRPr="0094516A" w:rsidRDefault="00773F7B" w:rsidP="00773F7B">
            <w:pPr>
              <w:pStyle w:val="T2"/>
              <w:jc w:val="left"/>
            </w:pPr>
            <w:r w:rsidRPr="0094516A">
              <w:t>Working capital movement</w:t>
            </w:r>
          </w:p>
        </w:tc>
        <w:tc>
          <w:tcPr>
            <w:tcW w:w="648" w:type="dxa"/>
          </w:tcPr>
          <w:p w14:paraId="17FAFD06" w14:textId="77777777" w:rsidR="00773F7B" w:rsidRPr="00E02FFC" w:rsidRDefault="00773F7B" w:rsidP="00773F7B">
            <w:pPr>
              <w:pStyle w:val="T2"/>
              <w:jc w:val="right"/>
            </w:pPr>
          </w:p>
        </w:tc>
        <w:tc>
          <w:tcPr>
            <w:tcW w:w="1701" w:type="dxa"/>
          </w:tcPr>
          <w:p w14:paraId="12C98D99" w14:textId="77777777" w:rsidR="00773F7B" w:rsidRPr="001917D0" w:rsidRDefault="00773F7B" w:rsidP="00773F7B">
            <w:pPr>
              <w:pStyle w:val="T2"/>
              <w:jc w:val="right"/>
              <w:rPr>
                <w:b/>
                <w:bCs/>
              </w:rPr>
            </w:pPr>
            <w:r>
              <w:rPr>
                <w:b/>
                <w:bCs/>
              </w:rPr>
              <w:t>(21.8</w:t>
            </w:r>
            <w:r w:rsidRPr="001917D0">
              <w:rPr>
                <w:b/>
                <w:bCs/>
              </w:rPr>
              <w:t>)</w:t>
            </w:r>
          </w:p>
        </w:tc>
        <w:tc>
          <w:tcPr>
            <w:tcW w:w="1701" w:type="dxa"/>
          </w:tcPr>
          <w:p w14:paraId="5949F152" w14:textId="77777777" w:rsidR="00773F7B" w:rsidRPr="003C1ACC" w:rsidRDefault="00773F7B" w:rsidP="00773F7B">
            <w:pPr>
              <w:pStyle w:val="T2"/>
              <w:jc w:val="right"/>
            </w:pPr>
            <w:r w:rsidRPr="0096767F">
              <w:rPr>
                <w:bCs/>
              </w:rPr>
              <w:t>(51.2)</w:t>
            </w:r>
          </w:p>
        </w:tc>
      </w:tr>
      <w:tr w:rsidR="00773F7B" w14:paraId="6F01BF18" w14:textId="77777777" w:rsidTr="005B3BEE">
        <w:trPr>
          <w:jc w:val="center"/>
        </w:trPr>
        <w:tc>
          <w:tcPr>
            <w:tcW w:w="6440" w:type="dxa"/>
            <w:tcBorders>
              <w:bottom w:val="single" w:sz="2" w:space="0" w:color="auto"/>
            </w:tcBorders>
          </w:tcPr>
          <w:p w14:paraId="336644BE" w14:textId="77777777" w:rsidR="00773F7B" w:rsidRPr="0094516A" w:rsidRDefault="00773F7B" w:rsidP="00773F7B">
            <w:pPr>
              <w:pStyle w:val="T2"/>
              <w:jc w:val="left"/>
            </w:pPr>
            <w:r w:rsidRPr="0094516A">
              <w:t>Other movements</w:t>
            </w:r>
          </w:p>
        </w:tc>
        <w:tc>
          <w:tcPr>
            <w:tcW w:w="648" w:type="dxa"/>
            <w:tcBorders>
              <w:bottom w:val="single" w:sz="2" w:space="0" w:color="auto"/>
            </w:tcBorders>
          </w:tcPr>
          <w:p w14:paraId="7567ECC9" w14:textId="77777777" w:rsidR="00773F7B" w:rsidRPr="00E02FFC" w:rsidRDefault="00773F7B" w:rsidP="00773F7B">
            <w:pPr>
              <w:pStyle w:val="T2"/>
              <w:jc w:val="right"/>
            </w:pPr>
          </w:p>
        </w:tc>
        <w:tc>
          <w:tcPr>
            <w:tcW w:w="1701" w:type="dxa"/>
            <w:tcBorders>
              <w:bottom w:val="single" w:sz="2" w:space="0" w:color="auto"/>
            </w:tcBorders>
          </w:tcPr>
          <w:p w14:paraId="2EF3CAF7" w14:textId="77777777" w:rsidR="00773F7B" w:rsidRPr="001917D0" w:rsidRDefault="00773F7B" w:rsidP="00773F7B">
            <w:pPr>
              <w:pStyle w:val="T2"/>
              <w:jc w:val="right"/>
              <w:rPr>
                <w:b/>
                <w:bCs/>
              </w:rPr>
            </w:pPr>
            <w:r>
              <w:rPr>
                <w:b/>
                <w:bCs/>
              </w:rPr>
              <w:t>–</w:t>
            </w:r>
          </w:p>
        </w:tc>
        <w:tc>
          <w:tcPr>
            <w:tcW w:w="1701" w:type="dxa"/>
            <w:tcBorders>
              <w:bottom w:val="single" w:sz="2" w:space="0" w:color="auto"/>
            </w:tcBorders>
          </w:tcPr>
          <w:p w14:paraId="59BE2797" w14:textId="77777777" w:rsidR="00773F7B" w:rsidRPr="003C1ACC" w:rsidRDefault="00773F7B" w:rsidP="00773F7B">
            <w:pPr>
              <w:pStyle w:val="T2"/>
              <w:jc w:val="right"/>
            </w:pPr>
            <w:r w:rsidRPr="0096767F">
              <w:rPr>
                <w:bCs/>
              </w:rPr>
              <w:t>(0.3)</w:t>
            </w:r>
          </w:p>
        </w:tc>
      </w:tr>
      <w:tr w:rsidR="00773F7B" w14:paraId="0B43FC49" w14:textId="77777777" w:rsidTr="005B3BEE">
        <w:trPr>
          <w:jc w:val="center"/>
        </w:trPr>
        <w:tc>
          <w:tcPr>
            <w:tcW w:w="6440" w:type="dxa"/>
            <w:tcBorders>
              <w:top w:val="single" w:sz="2" w:space="0" w:color="auto"/>
            </w:tcBorders>
          </w:tcPr>
          <w:p w14:paraId="310CE37F" w14:textId="77777777" w:rsidR="00773F7B" w:rsidRPr="00B13DAE" w:rsidRDefault="00773F7B" w:rsidP="00773F7B">
            <w:pPr>
              <w:pStyle w:val="T2"/>
              <w:jc w:val="left"/>
              <w:rPr>
                <w:b/>
              </w:rPr>
            </w:pPr>
            <w:r w:rsidRPr="00B13DAE">
              <w:rPr>
                <w:b/>
              </w:rPr>
              <w:t>Net cash inflow from operating activities before exceptional items</w:t>
            </w:r>
          </w:p>
        </w:tc>
        <w:tc>
          <w:tcPr>
            <w:tcW w:w="648" w:type="dxa"/>
            <w:tcBorders>
              <w:top w:val="single" w:sz="2" w:space="0" w:color="auto"/>
            </w:tcBorders>
          </w:tcPr>
          <w:p w14:paraId="568048A4" w14:textId="77777777" w:rsidR="00773F7B" w:rsidRPr="00E02FFC" w:rsidRDefault="00773F7B" w:rsidP="00773F7B">
            <w:pPr>
              <w:pStyle w:val="T2"/>
              <w:jc w:val="right"/>
            </w:pPr>
          </w:p>
        </w:tc>
        <w:tc>
          <w:tcPr>
            <w:tcW w:w="1701" w:type="dxa"/>
            <w:tcBorders>
              <w:top w:val="single" w:sz="2" w:space="0" w:color="auto"/>
            </w:tcBorders>
          </w:tcPr>
          <w:p w14:paraId="126F9CB0" w14:textId="77777777" w:rsidR="00773F7B" w:rsidRPr="001917D0" w:rsidRDefault="00773F7B" w:rsidP="00773F7B">
            <w:pPr>
              <w:pStyle w:val="T2"/>
              <w:jc w:val="right"/>
              <w:rPr>
                <w:b/>
                <w:bCs/>
              </w:rPr>
            </w:pPr>
            <w:r>
              <w:rPr>
                <w:b/>
                <w:bCs/>
              </w:rPr>
              <w:t>35.1</w:t>
            </w:r>
          </w:p>
        </w:tc>
        <w:tc>
          <w:tcPr>
            <w:tcW w:w="1701" w:type="dxa"/>
            <w:tcBorders>
              <w:top w:val="single" w:sz="2" w:space="0" w:color="auto"/>
            </w:tcBorders>
          </w:tcPr>
          <w:p w14:paraId="5EDACEFF" w14:textId="77777777" w:rsidR="00773F7B" w:rsidRPr="003C1ACC" w:rsidRDefault="00773F7B" w:rsidP="00773F7B">
            <w:pPr>
              <w:pStyle w:val="T2"/>
              <w:jc w:val="right"/>
            </w:pPr>
            <w:r w:rsidRPr="0096767F">
              <w:rPr>
                <w:bCs/>
              </w:rPr>
              <w:t>13.6</w:t>
            </w:r>
          </w:p>
        </w:tc>
      </w:tr>
      <w:tr w:rsidR="00773F7B" w14:paraId="15A4081B" w14:textId="77777777" w:rsidTr="005B3BEE">
        <w:trPr>
          <w:jc w:val="center"/>
        </w:trPr>
        <w:tc>
          <w:tcPr>
            <w:tcW w:w="6440" w:type="dxa"/>
          </w:tcPr>
          <w:p w14:paraId="4A32225C" w14:textId="77777777" w:rsidR="00773F7B" w:rsidRPr="0094516A" w:rsidRDefault="00773F7B" w:rsidP="00773F7B">
            <w:pPr>
              <w:pStyle w:val="T2"/>
              <w:jc w:val="left"/>
            </w:pPr>
            <w:r w:rsidRPr="0094516A">
              <w:t>Cash outflow related to exceptional items</w:t>
            </w:r>
          </w:p>
        </w:tc>
        <w:tc>
          <w:tcPr>
            <w:tcW w:w="648" w:type="dxa"/>
          </w:tcPr>
          <w:p w14:paraId="005CF2DA" w14:textId="77777777" w:rsidR="00773F7B" w:rsidRPr="00E02FFC" w:rsidRDefault="00773F7B" w:rsidP="00773F7B">
            <w:pPr>
              <w:pStyle w:val="T2"/>
              <w:jc w:val="right"/>
            </w:pPr>
          </w:p>
        </w:tc>
        <w:tc>
          <w:tcPr>
            <w:tcW w:w="1701" w:type="dxa"/>
          </w:tcPr>
          <w:p w14:paraId="08DD36FE" w14:textId="77777777" w:rsidR="00773F7B" w:rsidRPr="001917D0" w:rsidRDefault="00773F7B" w:rsidP="00773F7B">
            <w:pPr>
              <w:pStyle w:val="T2"/>
              <w:jc w:val="right"/>
              <w:rPr>
                <w:b/>
                <w:bCs/>
              </w:rPr>
            </w:pPr>
            <w:r w:rsidRPr="001917D0">
              <w:rPr>
                <w:b/>
                <w:bCs/>
              </w:rPr>
              <w:t>(2.6)</w:t>
            </w:r>
          </w:p>
        </w:tc>
        <w:tc>
          <w:tcPr>
            <w:tcW w:w="1701" w:type="dxa"/>
          </w:tcPr>
          <w:p w14:paraId="29935EAE" w14:textId="77777777" w:rsidR="00773F7B" w:rsidRPr="003C1ACC" w:rsidRDefault="00773F7B" w:rsidP="00773F7B">
            <w:pPr>
              <w:pStyle w:val="T2"/>
              <w:jc w:val="right"/>
            </w:pPr>
            <w:r w:rsidRPr="0096767F">
              <w:rPr>
                <w:bCs/>
              </w:rPr>
              <w:t>(7.7)</w:t>
            </w:r>
          </w:p>
        </w:tc>
      </w:tr>
      <w:tr w:rsidR="00773F7B" w14:paraId="5A6CD90D" w14:textId="77777777" w:rsidTr="005B3BEE">
        <w:trPr>
          <w:jc w:val="center"/>
        </w:trPr>
        <w:tc>
          <w:tcPr>
            <w:tcW w:w="6440" w:type="dxa"/>
          </w:tcPr>
          <w:p w14:paraId="50D7A24D" w14:textId="77777777" w:rsidR="00773F7B" w:rsidRPr="00383BB0" w:rsidRDefault="00773F7B" w:rsidP="00773F7B">
            <w:pPr>
              <w:pStyle w:val="T2"/>
              <w:jc w:val="left"/>
            </w:pPr>
            <w:r w:rsidRPr="00383BB0">
              <w:t xml:space="preserve">Interest paid </w:t>
            </w:r>
            <w:r w:rsidR="004C3417">
              <w:t>(including lease liability interest)</w:t>
            </w:r>
          </w:p>
        </w:tc>
        <w:tc>
          <w:tcPr>
            <w:tcW w:w="648" w:type="dxa"/>
          </w:tcPr>
          <w:p w14:paraId="7B7A45CA" w14:textId="77777777" w:rsidR="00773F7B" w:rsidRPr="00E02FFC" w:rsidRDefault="00773F7B" w:rsidP="00773F7B">
            <w:pPr>
              <w:pStyle w:val="T2"/>
              <w:jc w:val="right"/>
            </w:pPr>
          </w:p>
        </w:tc>
        <w:tc>
          <w:tcPr>
            <w:tcW w:w="1701" w:type="dxa"/>
          </w:tcPr>
          <w:p w14:paraId="1CD4486D" w14:textId="77777777" w:rsidR="00773F7B" w:rsidRPr="001917D0" w:rsidRDefault="00773F7B" w:rsidP="00773F7B">
            <w:pPr>
              <w:pStyle w:val="T2"/>
              <w:jc w:val="right"/>
              <w:rPr>
                <w:b/>
                <w:bCs/>
              </w:rPr>
            </w:pPr>
            <w:r w:rsidRPr="001917D0">
              <w:rPr>
                <w:b/>
                <w:bCs/>
              </w:rPr>
              <w:t>(7.</w:t>
            </w:r>
            <w:r w:rsidR="00B10F27">
              <w:rPr>
                <w:b/>
                <w:bCs/>
              </w:rPr>
              <w:t>5</w:t>
            </w:r>
            <w:r w:rsidRPr="001917D0">
              <w:rPr>
                <w:b/>
                <w:bCs/>
              </w:rPr>
              <w:t>)</w:t>
            </w:r>
          </w:p>
        </w:tc>
        <w:tc>
          <w:tcPr>
            <w:tcW w:w="1701" w:type="dxa"/>
          </w:tcPr>
          <w:p w14:paraId="16EB42C2" w14:textId="77777777" w:rsidR="00773F7B" w:rsidRPr="003C1ACC" w:rsidRDefault="00773F7B" w:rsidP="00773F7B">
            <w:pPr>
              <w:pStyle w:val="T2"/>
              <w:jc w:val="right"/>
            </w:pPr>
            <w:r w:rsidRPr="0096767F">
              <w:rPr>
                <w:bCs/>
              </w:rPr>
              <w:t>(9.2)</w:t>
            </w:r>
          </w:p>
        </w:tc>
      </w:tr>
      <w:tr w:rsidR="00773F7B" w14:paraId="1AAA678E" w14:textId="77777777" w:rsidTr="005B3BEE">
        <w:trPr>
          <w:jc w:val="center"/>
        </w:trPr>
        <w:tc>
          <w:tcPr>
            <w:tcW w:w="6440" w:type="dxa"/>
            <w:tcBorders>
              <w:bottom w:val="single" w:sz="2" w:space="0" w:color="auto"/>
            </w:tcBorders>
          </w:tcPr>
          <w:p w14:paraId="1CCFB9FE" w14:textId="77777777" w:rsidR="00773F7B" w:rsidRPr="0094516A" w:rsidRDefault="00773F7B" w:rsidP="00773F7B">
            <w:pPr>
              <w:pStyle w:val="T2"/>
              <w:jc w:val="left"/>
            </w:pPr>
            <w:r w:rsidRPr="0094516A">
              <w:t xml:space="preserve">Tax </w:t>
            </w:r>
            <w:r>
              <w:t>paid</w:t>
            </w:r>
          </w:p>
        </w:tc>
        <w:tc>
          <w:tcPr>
            <w:tcW w:w="648" w:type="dxa"/>
            <w:tcBorders>
              <w:bottom w:val="single" w:sz="2" w:space="0" w:color="auto"/>
            </w:tcBorders>
          </w:tcPr>
          <w:p w14:paraId="681EF8D2" w14:textId="77777777" w:rsidR="00773F7B" w:rsidRPr="00E02FFC" w:rsidRDefault="00773F7B" w:rsidP="00773F7B">
            <w:pPr>
              <w:pStyle w:val="T2"/>
              <w:jc w:val="right"/>
            </w:pPr>
          </w:p>
        </w:tc>
        <w:tc>
          <w:tcPr>
            <w:tcW w:w="1701" w:type="dxa"/>
            <w:tcBorders>
              <w:bottom w:val="single" w:sz="2" w:space="0" w:color="auto"/>
            </w:tcBorders>
          </w:tcPr>
          <w:p w14:paraId="073C8F4C" w14:textId="77777777" w:rsidR="00773F7B" w:rsidRPr="001917D0" w:rsidRDefault="00773F7B" w:rsidP="00773F7B">
            <w:pPr>
              <w:pStyle w:val="T2"/>
              <w:jc w:val="right"/>
              <w:rPr>
                <w:b/>
                <w:bCs/>
              </w:rPr>
            </w:pPr>
            <w:r>
              <w:rPr>
                <w:b/>
                <w:bCs/>
              </w:rPr>
              <w:t>(4.2</w:t>
            </w:r>
            <w:r w:rsidRPr="001917D0">
              <w:rPr>
                <w:b/>
                <w:bCs/>
              </w:rPr>
              <w:t>)</w:t>
            </w:r>
          </w:p>
        </w:tc>
        <w:tc>
          <w:tcPr>
            <w:tcW w:w="1701" w:type="dxa"/>
            <w:tcBorders>
              <w:bottom w:val="single" w:sz="2" w:space="0" w:color="auto"/>
            </w:tcBorders>
          </w:tcPr>
          <w:p w14:paraId="39520584" w14:textId="77777777" w:rsidR="00773F7B" w:rsidRPr="003C1ACC" w:rsidRDefault="00773F7B" w:rsidP="00773F7B">
            <w:pPr>
              <w:pStyle w:val="T2"/>
              <w:jc w:val="right"/>
            </w:pPr>
            <w:r w:rsidRPr="0096767F">
              <w:rPr>
                <w:bCs/>
              </w:rPr>
              <w:t>(1.6)</w:t>
            </w:r>
          </w:p>
        </w:tc>
      </w:tr>
      <w:tr w:rsidR="00773F7B" w14:paraId="5E841AF8" w14:textId="77777777" w:rsidTr="005B3BEE">
        <w:trPr>
          <w:jc w:val="center"/>
        </w:trPr>
        <w:tc>
          <w:tcPr>
            <w:tcW w:w="6440" w:type="dxa"/>
            <w:tcBorders>
              <w:top w:val="single" w:sz="2" w:space="0" w:color="auto"/>
              <w:bottom w:val="single" w:sz="2" w:space="0" w:color="auto"/>
            </w:tcBorders>
          </w:tcPr>
          <w:p w14:paraId="16537AD2" w14:textId="77777777" w:rsidR="00773F7B" w:rsidRPr="00B13DAE" w:rsidRDefault="00773F7B" w:rsidP="00773F7B">
            <w:pPr>
              <w:pStyle w:val="T2"/>
              <w:jc w:val="left"/>
              <w:rPr>
                <w:b/>
              </w:rPr>
            </w:pPr>
            <w:r w:rsidRPr="00B13DAE">
              <w:rPr>
                <w:b/>
              </w:rPr>
              <w:t>Net cash</w:t>
            </w:r>
            <w:r>
              <w:rPr>
                <w:b/>
              </w:rPr>
              <w:t xml:space="preserve"> </w:t>
            </w:r>
            <w:r w:rsidRPr="00B13DAE">
              <w:rPr>
                <w:b/>
              </w:rPr>
              <w:t>inflow</w:t>
            </w:r>
            <w:r>
              <w:rPr>
                <w:b/>
              </w:rPr>
              <w:t>/(outflow)</w:t>
            </w:r>
            <w:r w:rsidRPr="00B13DAE">
              <w:rPr>
                <w:b/>
              </w:rPr>
              <w:t xml:space="preserve"> from operating activities</w:t>
            </w:r>
          </w:p>
        </w:tc>
        <w:tc>
          <w:tcPr>
            <w:tcW w:w="648" w:type="dxa"/>
            <w:tcBorders>
              <w:top w:val="single" w:sz="2" w:space="0" w:color="auto"/>
              <w:bottom w:val="single" w:sz="2" w:space="0" w:color="auto"/>
            </w:tcBorders>
          </w:tcPr>
          <w:p w14:paraId="1B9B81AA" w14:textId="77777777" w:rsidR="00773F7B" w:rsidRPr="00E02FFC" w:rsidRDefault="00773F7B" w:rsidP="00773F7B">
            <w:pPr>
              <w:pStyle w:val="T2"/>
              <w:jc w:val="right"/>
            </w:pPr>
          </w:p>
        </w:tc>
        <w:tc>
          <w:tcPr>
            <w:tcW w:w="1701" w:type="dxa"/>
            <w:tcBorders>
              <w:top w:val="single" w:sz="2" w:space="0" w:color="auto"/>
              <w:bottom w:val="single" w:sz="2" w:space="0" w:color="auto"/>
            </w:tcBorders>
          </w:tcPr>
          <w:p w14:paraId="37CA1327" w14:textId="77777777" w:rsidR="00773F7B" w:rsidRPr="001917D0" w:rsidRDefault="00773F7B" w:rsidP="00773F7B">
            <w:pPr>
              <w:pStyle w:val="T2"/>
              <w:jc w:val="right"/>
              <w:rPr>
                <w:b/>
                <w:bCs/>
              </w:rPr>
            </w:pPr>
            <w:r>
              <w:rPr>
                <w:b/>
                <w:bCs/>
              </w:rPr>
              <w:t>2</w:t>
            </w:r>
            <w:r w:rsidR="00B10F27">
              <w:rPr>
                <w:b/>
                <w:bCs/>
              </w:rPr>
              <w:t>0.8</w:t>
            </w:r>
          </w:p>
        </w:tc>
        <w:tc>
          <w:tcPr>
            <w:tcW w:w="1701" w:type="dxa"/>
            <w:tcBorders>
              <w:top w:val="single" w:sz="2" w:space="0" w:color="auto"/>
              <w:bottom w:val="single" w:sz="2" w:space="0" w:color="auto"/>
            </w:tcBorders>
          </w:tcPr>
          <w:p w14:paraId="5E4D8214" w14:textId="77777777" w:rsidR="00773F7B" w:rsidRPr="003C1ACC" w:rsidRDefault="00773F7B" w:rsidP="00773F7B">
            <w:pPr>
              <w:pStyle w:val="T2"/>
              <w:jc w:val="right"/>
            </w:pPr>
            <w:r w:rsidRPr="0096767F">
              <w:rPr>
                <w:bCs/>
              </w:rPr>
              <w:t>(4.9)</w:t>
            </w:r>
          </w:p>
        </w:tc>
      </w:tr>
      <w:tr w:rsidR="00773F7B" w14:paraId="64F4EA2D" w14:textId="77777777" w:rsidTr="005B3BEE">
        <w:trPr>
          <w:jc w:val="center"/>
        </w:trPr>
        <w:tc>
          <w:tcPr>
            <w:tcW w:w="6440" w:type="dxa"/>
            <w:tcBorders>
              <w:top w:val="single" w:sz="2" w:space="0" w:color="auto"/>
            </w:tcBorders>
          </w:tcPr>
          <w:p w14:paraId="0D0B96E8" w14:textId="77777777" w:rsidR="00773F7B" w:rsidRPr="0094516A" w:rsidRDefault="00773F7B" w:rsidP="00773F7B">
            <w:pPr>
              <w:pStyle w:val="T2"/>
              <w:jc w:val="left"/>
            </w:pPr>
          </w:p>
        </w:tc>
        <w:tc>
          <w:tcPr>
            <w:tcW w:w="648" w:type="dxa"/>
            <w:tcBorders>
              <w:top w:val="single" w:sz="2" w:space="0" w:color="auto"/>
            </w:tcBorders>
          </w:tcPr>
          <w:p w14:paraId="10A8EA99" w14:textId="77777777" w:rsidR="00773F7B" w:rsidRPr="00E02FFC" w:rsidRDefault="00773F7B" w:rsidP="00773F7B">
            <w:pPr>
              <w:pStyle w:val="T2"/>
              <w:jc w:val="right"/>
            </w:pPr>
          </w:p>
        </w:tc>
        <w:tc>
          <w:tcPr>
            <w:tcW w:w="1701" w:type="dxa"/>
            <w:tcBorders>
              <w:top w:val="single" w:sz="2" w:space="0" w:color="auto"/>
            </w:tcBorders>
          </w:tcPr>
          <w:p w14:paraId="3B3C986B" w14:textId="77777777" w:rsidR="00773F7B" w:rsidRPr="001917D0" w:rsidRDefault="00773F7B" w:rsidP="00773F7B">
            <w:pPr>
              <w:pStyle w:val="T2"/>
              <w:jc w:val="right"/>
              <w:rPr>
                <w:b/>
                <w:bCs/>
              </w:rPr>
            </w:pPr>
          </w:p>
        </w:tc>
        <w:tc>
          <w:tcPr>
            <w:tcW w:w="1701" w:type="dxa"/>
            <w:tcBorders>
              <w:top w:val="single" w:sz="2" w:space="0" w:color="auto"/>
            </w:tcBorders>
          </w:tcPr>
          <w:p w14:paraId="1EB01A7D" w14:textId="77777777" w:rsidR="00773F7B" w:rsidRPr="003C1ACC" w:rsidRDefault="00773F7B" w:rsidP="00773F7B">
            <w:pPr>
              <w:pStyle w:val="T2"/>
              <w:jc w:val="right"/>
            </w:pPr>
          </w:p>
        </w:tc>
      </w:tr>
      <w:tr w:rsidR="00773F7B" w14:paraId="3809438E" w14:textId="77777777" w:rsidTr="005B3BEE">
        <w:trPr>
          <w:jc w:val="center"/>
        </w:trPr>
        <w:tc>
          <w:tcPr>
            <w:tcW w:w="6440" w:type="dxa"/>
          </w:tcPr>
          <w:p w14:paraId="22C8A61A" w14:textId="77777777" w:rsidR="00773F7B" w:rsidRPr="00B13DAE" w:rsidRDefault="00773F7B" w:rsidP="00773F7B">
            <w:pPr>
              <w:pStyle w:val="T2"/>
              <w:jc w:val="left"/>
              <w:rPr>
                <w:b/>
              </w:rPr>
            </w:pPr>
            <w:r w:rsidRPr="00B13DAE">
              <w:rPr>
                <w:b/>
              </w:rPr>
              <w:t>Cash flow from investing activities</w:t>
            </w:r>
          </w:p>
        </w:tc>
        <w:tc>
          <w:tcPr>
            <w:tcW w:w="648" w:type="dxa"/>
          </w:tcPr>
          <w:p w14:paraId="0699008D" w14:textId="77777777" w:rsidR="00773F7B" w:rsidRPr="00E02FFC" w:rsidRDefault="00773F7B" w:rsidP="00773F7B">
            <w:pPr>
              <w:pStyle w:val="T2"/>
              <w:jc w:val="right"/>
            </w:pPr>
          </w:p>
        </w:tc>
        <w:tc>
          <w:tcPr>
            <w:tcW w:w="1701" w:type="dxa"/>
          </w:tcPr>
          <w:p w14:paraId="36B6D12D" w14:textId="77777777" w:rsidR="00773F7B" w:rsidRPr="001917D0" w:rsidRDefault="00773F7B" w:rsidP="00773F7B">
            <w:pPr>
              <w:pStyle w:val="T2"/>
              <w:jc w:val="right"/>
              <w:rPr>
                <w:b/>
                <w:bCs/>
              </w:rPr>
            </w:pPr>
          </w:p>
        </w:tc>
        <w:tc>
          <w:tcPr>
            <w:tcW w:w="1701" w:type="dxa"/>
          </w:tcPr>
          <w:p w14:paraId="1E838EC8" w14:textId="77777777" w:rsidR="00773F7B" w:rsidRPr="003C1ACC" w:rsidRDefault="00773F7B" w:rsidP="00773F7B">
            <w:pPr>
              <w:pStyle w:val="T2"/>
              <w:jc w:val="right"/>
            </w:pPr>
          </w:p>
        </w:tc>
      </w:tr>
      <w:tr w:rsidR="00773F7B" w14:paraId="7F321DB4" w14:textId="77777777" w:rsidTr="005B3BEE">
        <w:trPr>
          <w:jc w:val="center"/>
        </w:trPr>
        <w:tc>
          <w:tcPr>
            <w:tcW w:w="6440" w:type="dxa"/>
          </w:tcPr>
          <w:p w14:paraId="56718191" w14:textId="77777777" w:rsidR="00773F7B" w:rsidRPr="0094516A" w:rsidRDefault="00773F7B" w:rsidP="00773F7B">
            <w:pPr>
              <w:pStyle w:val="T2"/>
              <w:jc w:val="left"/>
            </w:pPr>
            <w:r w:rsidRPr="0094516A">
              <w:t>Dividends received from associates</w:t>
            </w:r>
          </w:p>
        </w:tc>
        <w:tc>
          <w:tcPr>
            <w:tcW w:w="648" w:type="dxa"/>
          </w:tcPr>
          <w:p w14:paraId="5B846F7E" w14:textId="77777777" w:rsidR="00773F7B" w:rsidRPr="00E02FFC" w:rsidRDefault="00773F7B" w:rsidP="00773F7B">
            <w:pPr>
              <w:pStyle w:val="T2"/>
              <w:jc w:val="right"/>
            </w:pPr>
          </w:p>
        </w:tc>
        <w:tc>
          <w:tcPr>
            <w:tcW w:w="1701" w:type="dxa"/>
          </w:tcPr>
          <w:p w14:paraId="02B60A1F" w14:textId="77777777" w:rsidR="00773F7B" w:rsidRPr="001917D0" w:rsidRDefault="00773F7B" w:rsidP="00773F7B">
            <w:pPr>
              <w:pStyle w:val="T2"/>
              <w:jc w:val="right"/>
              <w:rPr>
                <w:b/>
                <w:bCs/>
              </w:rPr>
            </w:pPr>
            <w:r w:rsidRPr="001917D0">
              <w:rPr>
                <w:b/>
                <w:bCs/>
              </w:rPr>
              <w:t>0.3</w:t>
            </w:r>
          </w:p>
        </w:tc>
        <w:tc>
          <w:tcPr>
            <w:tcW w:w="1701" w:type="dxa"/>
          </w:tcPr>
          <w:p w14:paraId="1CAEF678" w14:textId="77777777" w:rsidR="00773F7B" w:rsidRPr="003C1ACC" w:rsidRDefault="00773F7B" w:rsidP="00773F7B">
            <w:pPr>
              <w:pStyle w:val="T2"/>
              <w:jc w:val="right"/>
            </w:pPr>
            <w:r w:rsidRPr="0096767F">
              <w:rPr>
                <w:bCs/>
              </w:rPr>
              <w:t>0.5</w:t>
            </w:r>
          </w:p>
        </w:tc>
      </w:tr>
      <w:tr w:rsidR="00773F7B" w14:paraId="1363E263" w14:textId="77777777" w:rsidTr="005B3BEE">
        <w:trPr>
          <w:jc w:val="center"/>
        </w:trPr>
        <w:tc>
          <w:tcPr>
            <w:tcW w:w="6440" w:type="dxa"/>
          </w:tcPr>
          <w:p w14:paraId="40AA7781" w14:textId="77777777" w:rsidR="00773F7B" w:rsidRPr="0094516A" w:rsidRDefault="00773F7B" w:rsidP="00773F7B">
            <w:pPr>
              <w:pStyle w:val="T2"/>
              <w:jc w:val="left"/>
            </w:pPr>
            <w:r w:rsidRPr="0094516A">
              <w:t>Purchase of property, plant and equipment</w:t>
            </w:r>
          </w:p>
        </w:tc>
        <w:tc>
          <w:tcPr>
            <w:tcW w:w="648" w:type="dxa"/>
          </w:tcPr>
          <w:p w14:paraId="66B7661B" w14:textId="77777777" w:rsidR="00773F7B" w:rsidRPr="00E02FFC" w:rsidRDefault="00773F7B" w:rsidP="00773F7B">
            <w:pPr>
              <w:pStyle w:val="T2"/>
              <w:jc w:val="right"/>
            </w:pPr>
          </w:p>
        </w:tc>
        <w:tc>
          <w:tcPr>
            <w:tcW w:w="1701" w:type="dxa"/>
          </w:tcPr>
          <w:p w14:paraId="24D4F646" w14:textId="77777777" w:rsidR="00773F7B" w:rsidRPr="001917D0" w:rsidRDefault="00773F7B" w:rsidP="00773F7B">
            <w:pPr>
              <w:pStyle w:val="T2"/>
              <w:jc w:val="right"/>
              <w:rPr>
                <w:b/>
                <w:bCs/>
              </w:rPr>
            </w:pPr>
            <w:r>
              <w:rPr>
                <w:b/>
                <w:bCs/>
              </w:rPr>
              <w:t>(19.3</w:t>
            </w:r>
            <w:r w:rsidRPr="001917D0">
              <w:rPr>
                <w:b/>
                <w:bCs/>
              </w:rPr>
              <w:t>)</w:t>
            </w:r>
          </w:p>
        </w:tc>
        <w:tc>
          <w:tcPr>
            <w:tcW w:w="1701" w:type="dxa"/>
          </w:tcPr>
          <w:p w14:paraId="18F89474" w14:textId="77777777" w:rsidR="00773F7B" w:rsidRPr="003C1ACC" w:rsidRDefault="00773F7B" w:rsidP="00773F7B">
            <w:pPr>
              <w:pStyle w:val="T2"/>
              <w:jc w:val="right"/>
            </w:pPr>
            <w:r w:rsidRPr="0096767F">
              <w:rPr>
                <w:bCs/>
              </w:rPr>
              <w:t>(18.3)</w:t>
            </w:r>
          </w:p>
        </w:tc>
      </w:tr>
      <w:tr w:rsidR="00773F7B" w14:paraId="1F49DC1E" w14:textId="77777777" w:rsidTr="005B3BEE">
        <w:trPr>
          <w:jc w:val="center"/>
        </w:trPr>
        <w:tc>
          <w:tcPr>
            <w:tcW w:w="6440" w:type="dxa"/>
          </w:tcPr>
          <w:p w14:paraId="79F0A4F0" w14:textId="77777777" w:rsidR="00773F7B" w:rsidRPr="0094516A" w:rsidRDefault="00773F7B" w:rsidP="00773F7B">
            <w:pPr>
              <w:pStyle w:val="T2"/>
              <w:jc w:val="left"/>
            </w:pPr>
            <w:r w:rsidRPr="0094516A">
              <w:t>Purchase of intangible assets</w:t>
            </w:r>
          </w:p>
        </w:tc>
        <w:tc>
          <w:tcPr>
            <w:tcW w:w="648" w:type="dxa"/>
          </w:tcPr>
          <w:p w14:paraId="1FF47523" w14:textId="77777777" w:rsidR="00773F7B" w:rsidRPr="00E02FFC" w:rsidRDefault="00773F7B" w:rsidP="00773F7B">
            <w:pPr>
              <w:pStyle w:val="T2"/>
              <w:jc w:val="right"/>
            </w:pPr>
          </w:p>
        </w:tc>
        <w:tc>
          <w:tcPr>
            <w:tcW w:w="1701" w:type="dxa"/>
          </w:tcPr>
          <w:p w14:paraId="003E9390" w14:textId="77777777" w:rsidR="00773F7B" w:rsidRPr="001917D0" w:rsidRDefault="00773F7B" w:rsidP="00773F7B">
            <w:pPr>
              <w:pStyle w:val="T2"/>
              <w:jc w:val="right"/>
              <w:rPr>
                <w:b/>
                <w:bCs/>
              </w:rPr>
            </w:pPr>
            <w:r w:rsidRPr="001917D0">
              <w:rPr>
                <w:b/>
                <w:bCs/>
              </w:rPr>
              <w:t>(1.8)</w:t>
            </w:r>
          </w:p>
        </w:tc>
        <w:tc>
          <w:tcPr>
            <w:tcW w:w="1701" w:type="dxa"/>
          </w:tcPr>
          <w:p w14:paraId="7BAFB89A" w14:textId="77777777" w:rsidR="00773F7B" w:rsidRPr="003C1ACC" w:rsidRDefault="00773F7B" w:rsidP="00773F7B">
            <w:pPr>
              <w:pStyle w:val="T2"/>
              <w:jc w:val="right"/>
            </w:pPr>
            <w:r w:rsidRPr="0096767F">
              <w:rPr>
                <w:bCs/>
              </w:rPr>
              <w:t>(0.6)</w:t>
            </w:r>
          </w:p>
        </w:tc>
      </w:tr>
      <w:tr w:rsidR="00773F7B" w14:paraId="3FD1EC93" w14:textId="77777777" w:rsidTr="005B3BEE">
        <w:trPr>
          <w:jc w:val="center"/>
        </w:trPr>
        <w:tc>
          <w:tcPr>
            <w:tcW w:w="6440" w:type="dxa"/>
            <w:tcBorders>
              <w:bottom w:val="single" w:sz="2" w:space="0" w:color="auto"/>
            </w:tcBorders>
          </w:tcPr>
          <w:p w14:paraId="6F8E299C" w14:textId="77777777" w:rsidR="00773F7B" w:rsidRPr="0094516A" w:rsidRDefault="00773F7B" w:rsidP="00773F7B">
            <w:pPr>
              <w:pStyle w:val="T2"/>
              <w:jc w:val="left"/>
            </w:pPr>
            <w:r w:rsidRPr="0094516A">
              <w:t xml:space="preserve">Disposal of undertakings </w:t>
            </w:r>
          </w:p>
        </w:tc>
        <w:tc>
          <w:tcPr>
            <w:tcW w:w="648" w:type="dxa"/>
            <w:tcBorders>
              <w:bottom w:val="single" w:sz="2" w:space="0" w:color="auto"/>
            </w:tcBorders>
          </w:tcPr>
          <w:p w14:paraId="3BDF4726" w14:textId="77777777" w:rsidR="00773F7B" w:rsidRPr="00E02FFC" w:rsidRDefault="00773F7B" w:rsidP="00773F7B">
            <w:pPr>
              <w:pStyle w:val="T2"/>
              <w:jc w:val="right"/>
            </w:pPr>
            <w:r>
              <w:t>15</w:t>
            </w:r>
          </w:p>
        </w:tc>
        <w:tc>
          <w:tcPr>
            <w:tcW w:w="1701" w:type="dxa"/>
            <w:tcBorders>
              <w:bottom w:val="single" w:sz="2" w:space="0" w:color="auto"/>
            </w:tcBorders>
          </w:tcPr>
          <w:p w14:paraId="7FB951D8" w14:textId="77777777" w:rsidR="00773F7B" w:rsidRPr="001917D0" w:rsidRDefault="00773F7B" w:rsidP="00773F7B">
            <w:pPr>
              <w:pStyle w:val="T2"/>
              <w:jc w:val="right"/>
              <w:rPr>
                <w:b/>
                <w:bCs/>
              </w:rPr>
            </w:pPr>
            <w:r>
              <w:rPr>
                <w:b/>
                <w:bCs/>
              </w:rPr>
              <w:t>–</w:t>
            </w:r>
          </w:p>
        </w:tc>
        <w:tc>
          <w:tcPr>
            <w:tcW w:w="1701" w:type="dxa"/>
            <w:tcBorders>
              <w:bottom w:val="single" w:sz="2" w:space="0" w:color="auto"/>
            </w:tcBorders>
          </w:tcPr>
          <w:p w14:paraId="0385D1E5" w14:textId="77777777" w:rsidR="00773F7B" w:rsidRPr="003C1ACC" w:rsidRDefault="00773F7B" w:rsidP="00773F7B">
            <w:pPr>
              <w:pStyle w:val="T2"/>
              <w:jc w:val="right"/>
            </w:pPr>
            <w:r w:rsidRPr="0096767F">
              <w:rPr>
                <w:bCs/>
              </w:rPr>
              <w:t>811.4</w:t>
            </w:r>
          </w:p>
        </w:tc>
      </w:tr>
      <w:tr w:rsidR="00773F7B" w14:paraId="0088E892" w14:textId="77777777" w:rsidTr="005B3BEE">
        <w:trPr>
          <w:jc w:val="center"/>
        </w:trPr>
        <w:tc>
          <w:tcPr>
            <w:tcW w:w="6440" w:type="dxa"/>
            <w:tcBorders>
              <w:top w:val="single" w:sz="2" w:space="0" w:color="auto"/>
              <w:bottom w:val="single" w:sz="2" w:space="0" w:color="auto"/>
            </w:tcBorders>
          </w:tcPr>
          <w:p w14:paraId="736D8796" w14:textId="77777777" w:rsidR="00773F7B" w:rsidRPr="00B13DAE" w:rsidRDefault="00773F7B" w:rsidP="00773F7B">
            <w:pPr>
              <w:pStyle w:val="T2"/>
              <w:jc w:val="left"/>
              <w:rPr>
                <w:b/>
              </w:rPr>
            </w:pPr>
            <w:r w:rsidRPr="00B13DAE">
              <w:rPr>
                <w:b/>
              </w:rPr>
              <w:t xml:space="preserve">Net cash </w:t>
            </w:r>
            <w:r>
              <w:rPr>
                <w:b/>
              </w:rPr>
              <w:t>(</w:t>
            </w:r>
            <w:r w:rsidRPr="00B13DAE">
              <w:rPr>
                <w:b/>
              </w:rPr>
              <w:t>outflow</w:t>
            </w:r>
            <w:r>
              <w:rPr>
                <w:b/>
              </w:rPr>
              <w:t>)/inflow</w:t>
            </w:r>
            <w:r w:rsidRPr="00B13DAE">
              <w:rPr>
                <w:b/>
              </w:rPr>
              <w:t xml:space="preserve"> from investing activities</w:t>
            </w:r>
          </w:p>
        </w:tc>
        <w:tc>
          <w:tcPr>
            <w:tcW w:w="648" w:type="dxa"/>
            <w:tcBorders>
              <w:top w:val="single" w:sz="2" w:space="0" w:color="auto"/>
              <w:bottom w:val="single" w:sz="2" w:space="0" w:color="auto"/>
            </w:tcBorders>
          </w:tcPr>
          <w:p w14:paraId="4BF76A92" w14:textId="77777777" w:rsidR="00773F7B" w:rsidRPr="00E02FFC" w:rsidRDefault="00773F7B" w:rsidP="00773F7B">
            <w:pPr>
              <w:pStyle w:val="T2"/>
              <w:jc w:val="right"/>
            </w:pPr>
          </w:p>
        </w:tc>
        <w:tc>
          <w:tcPr>
            <w:tcW w:w="1701" w:type="dxa"/>
            <w:tcBorders>
              <w:top w:val="single" w:sz="2" w:space="0" w:color="auto"/>
              <w:bottom w:val="single" w:sz="2" w:space="0" w:color="auto"/>
            </w:tcBorders>
          </w:tcPr>
          <w:p w14:paraId="6DC03E39" w14:textId="77777777" w:rsidR="00773F7B" w:rsidRPr="001917D0" w:rsidRDefault="00773F7B" w:rsidP="00773F7B">
            <w:pPr>
              <w:pStyle w:val="T2"/>
              <w:jc w:val="right"/>
              <w:rPr>
                <w:b/>
                <w:bCs/>
              </w:rPr>
            </w:pPr>
            <w:r>
              <w:rPr>
                <w:b/>
                <w:bCs/>
              </w:rPr>
              <w:t>(20.8</w:t>
            </w:r>
            <w:r w:rsidRPr="001917D0">
              <w:rPr>
                <w:b/>
                <w:bCs/>
              </w:rPr>
              <w:t>)</w:t>
            </w:r>
          </w:p>
        </w:tc>
        <w:tc>
          <w:tcPr>
            <w:tcW w:w="1701" w:type="dxa"/>
            <w:tcBorders>
              <w:top w:val="single" w:sz="2" w:space="0" w:color="auto"/>
              <w:bottom w:val="single" w:sz="2" w:space="0" w:color="auto"/>
            </w:tcBorders>
          </w:tcPr>
          <w:p w14:paraId="03201316" w14:textId="77777777" w:rsidR="00773F7B" w:rsidRPr="003C1ACC" w:rsidRDefault="00773F7B" w:rsidP="00773F7B">
            <w:pPr>
              <w:pStyle w:val="T2"/>
              <w:jc w:val="right"/>
            </w:pPr>
            <w:r w:rsidRPr="0096767F">
              <w:rPr>
                <w:bCs/>
              </w:rPr>
              <w:t>793.0</w:t>
            </w:r>
          </w:p>
        </w:tc>
      </w:tr>
      <w:tr w:rsidR="00773F7B" w14:paraId="46827AAE" w14:textId="77777777" w:rsidTr="005B3BEE">
        <w:trPr>
          <w:jc w:val="center"/>
        </w:trPr>
        <w:tc>
          <w:tcPr>
            <w:tcW w:w="6440" w:type="dxa"/>
            <w:tcBorders>
              <w:top w:val="single" w:sz="2" w:space="0" w:color="auto"/>
            </w:tcBorders>
          </w:tcPr>
          <w:p w14:paraId="1F4ED7A6" w14:textId="77777777" w:rsidR="00773F7B" w:rsidRPr="0094516A" w:rsidRDefault="00773F7B" w:rsidP="00773F7B">
            <w:pPr>
              <w:pStyle w:val="T2"/>
              <w:jc w:val="left"/>
            </w:pPr>
          </w:p>
        </w:tc>
        <w:tc>
          <w:tcPr>
            <w:tcW w:w="648" w:type="dxa"/>
            <w:tcBorders>
              <w:top w:val="single" w:sz="2" w:space="0" w:color="auto"/>
            </w:tcBorders>
          </w:tcPr>
          <w:p w14:paraId="2EB3C508" w14:textId="77777777" w:rsidR="00773F7B" w:rsidRPr="00E02FFC" w:rsidRDefault="00773F7B" w:rsidP="00773F7B">
            <w:pPr>
              <w:pStyle w:val="T2"/>
              <w:jc w:val="right"/>
            </w:pPr>
          </w:p>
        </w:tc>
        <w:tc>
          <w:tcPr>
            <w:tcW w:w="1701" w:type="dxa"/>
            <w:tcBorders>
              <w:top w:val="single" w:sz="2" w:space="0" w:color="auto"/>
            </w:tcBorders>
          </w:tcPr>
          <w:p w14:paraId="419A8069" w14:textId="77777777" w:rsidR="00773F7B" w:rsidRPr="001917D0" w:rsidRDefault="00773F7B" w:rsidP="00773F7B">
            <w:pPr>
              <w:pStyle w:val="T2"/>
              <w:jc w:val="right"/>
              <w:rPr>
                <w:b/>
                <w:bCs/>
              </w:rPr>
            </w:pPr>
          </w:p>
        </w:tc>
        <w:tc>
          <w:tcPr>
            <w:tcW w:w="1701" w:type="dxa"/>
            <w:tcBorders>
              <w:top w:val="single" w:sz="2" w:space="0" w:color="auto"/>
            </w:tcBorders>
          </w:tcPr>
          <w:p w14:paraId="5F3D1CB0" w14:textId="77777777" w:rsidR="00773F7B" w:rsidRPr="003C1ACC" w:rsidRDefault="00773F7B" w:rsidP="00773F7B">
            <w:pPr>
              <w:pStyle w:val="T2"/>
              <w:jc w:val="right"/>
            </w:pPr>
          </w:p>
        </w:tc>
      </w:tr>
      <w:tr w:rsidR="00773F7B" w14:paraId="028A1D02" w14:textId="77777777" w:rsidTr="005B3BEE">
        <w:trPr>
          <w:jc w:val="center"/>
        </w:trPr>
        <w:tc>
          <w:tcPr>
            <w:tcW w:w="6440" w:type="dxa"/>
          </w:tcPr>
          <w:p w14:paraId="16A950E3" w14:textId="77777777" w:rsidR="00773F7B" w:rsidRPr="00B13DAE" w:rsidRDefault="00773F7B" w:rsidP="00773F7B">
            <w:pPr>
              <w:pStyle w:val="T2"/>
              <w:jc w:val="left"/>
              <w:rPr>
                <w:b/>
              </w:rPr>
            </w:pPr>
            <w:r w:rsidRPr="00B13DAE">
              <w:rPr>
                <w:b/>
              </w:rPr>
              <w:t>Cash flow from financing activities</w:t>
            </w:r>
          </w:p>
        </w:tc>
        <w:tc>
          <w:tcPr>
            <w:tcW w:w="648" w:type="dxa"/>
          </w:tcPr>
          <w:p w14:paraId="7890C89D" w14:textId="77777777" w:rsidR="00773F7B" w:rsidRPr="00E02FFC" w:rsidRDefault="00773F7B" w:rsidP="00773F7B">
            <w:pPr>
              <w:pStyle w:val="T2"/>
              <w:jc w:val="right"/>
            </w:pPr>
          </w:p>
        </w:tc>
        <w:tc>
          <w:tcPr>
            <w:tcW w:w="1701" w:type="dxa"/>
          </w:tcPr>
          <w:p w14:paraId="656D190F" w14:textId="77777777" w:rsidR="00773F7B" w:rsidRPr="001917D0" w:rsidRDefault="00773F7B" w:rsidP="00773F7B">
            <w:pPr>
              <w:pStyle w:val="T2"/>
              <w:jc w:val="right"/>
              <w:rPr>
                <w:b/>
                <w:bCs/>
              </w:rPr>
            </w:pPr>
          </w:p>
        </w:tc>
        <w:tc>
          <w:tcPr>
            <w:tcW w:w="1701" w:type="dxa"/>
          </w:tcPr>
          <w:p w14:paraId="25672F30" w14:textId="77777777" w:rsidR="00773F7B" w:rsidRPr="003C1ACC" w:rsidRDefault="00773F7B" w:rsidP="00773F7B">
            <w:pPr>
              <w:pStyle w:val="T2"/>
              <w:jc w:val="right"/>
            </w:pPr>
          </w:p>
        </w:tc>
      </w:tr>
      <w:tr w:rsidR="00773F7B" w14:paraId="229A8A51" w14:textId="77777777" w:rsidTr="005B3BEE">
        <w:trPr>
          <w:jc w:val="center"/>
        </w:trPr>
        <w:tc>
          <w:tcPr>
            <w:tcW w:w="6440" w:type="dxa"/>
          </w:tcPr>
          <w:p w14:paraId="07877DAB" w14:textId="77777777" w:rsidR="00773F7B" w:rsidRPr="0094516A" w:rsidRDefault="00773F7B" w:rsidP="00773F7B">
            <w:pPr>
              <w:pStyle w:val="T2"/>
              <w:jc w:val="left"/>
            </w:pPr>
            <w:r w:rsidRPr="0094516A">
              <w:t>Proceeds from issue of shares</w:t>
            </w:r>
          </w:p>
        </w:tc>
        <w:tc>
          <w:tcPr>
            <w:tcW w:w="648" w:type="dxa"/>
          </w:tcPr>
          <w:p w14:paraId="73ECB57A" w14:textId="77777777" w:rsidR="00773F7B" w:rsidRPr="00E02FFC" w:rsidRDefault="00773F7B" w:rsidP="00773F7B">
            <w:pPr>
              <w:pStyle w:val="T2"/>
              <w:jc w:val="right"/>
            </w:pPr>
          </w:p>
        </w:tc>
        <w:tc>
          <w:tcPr>
            <w:tcW w:w="1701" w:type="dxa"/>
          </w:tcPr>
          <w:p w14:paraId="5AFB0E88" w14:textId="77777777" w:rsidR="00773F7B" w:rsidRPr="001917D0" w:rsidRDefault="00773F7B" w:rsidP="00773F7B">
            <w:pPr>
              <w:pStyle w:val="T2"/>
              <w:jc w:val="right"/>
              <w:rPr>
                <w:b/>
                <w:bCs/>
              </w:rPr>
            </w:pPr>
            <w:r>
              <w:rPr>
                <w:b/>
                <w:bCs/>
              </w:rPr>
              <w:t>0.3</w:t>
            </w:r>
          </w:p>
        </w:tc>
        <w:tc>
          <w:tcPr>
            <w:tcW w:w="1701" w:type="dxa"/>
          </w:tcPr>
          <w:p w14:paraId="6C6966D2" w14:textId="77777777" w:rsidR="00773F7B" w:rsidRPr="003C1ACC" w:rsidRDefault="00773F7B" w:rsidP="00773F7B">
            <w:pPr>
              <w:pStyle w:val="T2"/>
              <w:jc w:val="right"/>
            </w:pPr>
            <w:r w:rsidRPr="0096767F">
              <w:rPr>
                <w:bCs/>
              </w:rPr>
              <w:t>–</w:t>
            </w:r>
          </w:p>
        </w:tc>
      </w:tr>
      <w:tr w:rsidR="00773F7B" w14:paraId="4274029F" w14:textId="77777777" w:rsidTr="005B3BEE">
        <w:trPr>
          <w:jc w:val="center"/>
        </w:trPr>
        <w:tc>
          <w:tcPr>
            <w:tcW w:w="6440" w:type="dxa"/>
          </w:tcPr>
          <w:p w14:paraId="1DB8FB00" w14:textId="77777777" w:rsidR="00773F7B" w:rsidRPr="0094516A" w:rsidRDefault="00773F7B" w:rsidP="00773F7B">
            <w:pPr>
              <w:pStyle w:val="T2"/>
              <w:jc w:val="left"/>
            </w:pPr>
            <w:r w:rsidRPr="0094516A">
              <w:t xml:space="preserve">Ordinary shares purchased </w:t>
            </w:r>
            <w:r>
              <w:t>–</w:t>
            </w:r>
            <w:r w:rsidRPr="0094516A">
              <w:t xml:space="preserve"> own shares</w:t>
            </w:r>
          </w:p>
        </w:tc>
        <w:tc>
          <w:tcPr>
            <w:tcW w:w="648" w:type="dxa"/>
          </w:tcPr>
          <w:p w14:paraId="5C8203F8" w14:textId="77777777" w:rsidR="00773F7B" w:rsidRPr="00E02FFC" w:rsidRDefault="00773F7B" w:rsidP="00773F7B">
            <w:pPr>
              <w:pStyle w:val="T2"/>
              <w:jc w:val="right"/>
            </w:pPr>
          </w:p>
        </w:tc>
        <w:tc>
          <w:tcPr>
            <w:tcW w:w="1701" w:type="dxa"/>
          </w:tcPr>
          <w:p w14:paraId="02DF1A30" w14:textId="77777777" w:rsidR="00773F7B" w:rsidRPr="001917D0" w:rsidRDefault="00773F7B" w:rsidP="00773F7B">
            <w:pPr>
              <w:pStyle w:val="T2"/>
              <w:jc w:val="right"/>
              <w:rPr>
                <w:b/>
                <w:bCs/>
              </w:rPr>
            </w:pPr>
            <w:r>
              <w:rPr>
                <w:b/>
                <w:bCs/>
              </w:rPr>
              <w:t>–</w:t>
            </w:r>
          </w:p>
        </w:tc>
        <w:tc>
          <w:tcPr>
            <w:tcW w:w="1701" w:type="dxa"/>
          </w:tcPr>
          <w:p w14:paraId="43FC55CA" w14:textId="77777777" w:rsidR="00773F7B" w:rsidRPr="003C1ACC" w:rsidRDefault="00773F7B" w:rsidP="00773F7B">
            <w:pPr>
              <w:pStyle w:val="T2"/>
              <w:jc w:val="right"/>
            </w:pPr>
            <w:r w:rsidRPr="0096767F">
              <w:rPr>
                <w:bCs/>
              </w:rPr>
              <w:t>(0.6)</w:t>
            </w:r>
          </w:p>
        </w:tc>
      </w:tr>
      <w:tr w:rsidR="00773F7B" w14:paraId="3252A910" w14:textId="77777777" w:rsidTr="005B3BEE">
        <w:trPr>
          <w:jc w:val="center"/>
        </w:trPr>
        <w:tc>
          <w:tcPr>
            <w:tcW w:w="6440" w:type="dxa"/>
          </w:tcPr>
          <w:p w14:paraId="77956F3E" w14:textId="77777777" w:rsidR="00773F7B" w:rsidRPr="0094516A" w:rsidRDefault="00773F7B" w:rsidP="00773F7B">
            <w:pPr>
              <w:pStyle w:val="T2"/>
              <w:jc w:val="left"/>
            </w:pPr>
            <w:r w:rsidRPr="0094516A">
              <w:t>Drawdown of bank borrowings</w:t>
            </w:r>
          </w:p>
        </w:tc>
        <w:tc>
          <w:tcPr>
            <w:tcW w:w="648" w:type="dxa"/>
          </w:tcPr>
          <w:p w14:paraId="3AD9836D" w14:textId="77777777" w:rsidR="00773F7B" w:rsidRPr="00E02FFC" w:rsidRDefault="00773F7B" w:rsidP="00773F7B">
            <w:pPr>
              <w:pStyle w:val="T2"/>
              <w:jc w:val="right"/>
            </w:pPr>
            <w:r>
              <w:t>12</w:t>
            </w:r>
          </w:p>
        </w:tc>
        <w:tc>
          <w:tcPr>
            <w:tcW w:w="1701" w:type="dxa"/>
          </w:tcPr>
          <w:p w14:paraId="4593C7A3" w14:textId="77777777" w:rsidR="00773F7B" w:rsidRPr="001917D0" w:rsidRDefault="00773F7B" w:rsidP="00773F7B">
            <w:pPr>
              <w:pStyle w:val="T2"/>
              <w:jc w:val="right"/>
              <w:rPr>
                <w:b/>
                <w:bCs/>
              </w:rPr>
            </w:pPr>
            <w:r w:rsidRPr="001917D0">
              <w:rPr>
                <w:b/>
                <w:bCs/>
              </w:rPr>
              <w:t>16.8</w:t>
            </w:r>
          </w:p>
        </w:tc>
        <w:tc>
          <w:tcPr>
            <w:tcW w:w="1701" w:type="dxa"/>
          </w:tcPr>
          <w:p w14:paraId="515E864A" w14:textId="77777777" w:rsidR="00773F7B" w:rsidRPr="003C1ACC" w:rsidRDefault="00773F7B" w:rsidP="00773F7B">
            <w:pPr>
              <w:pStyle w:val="T2"/>
              <w:jc w:val="right"/>
            </w:pPr>
            <w:r w:rsidRPr="0096767F">
              <w:rPr>
                <w:bCs/>
              </w:rPr>
              <w:t>42.0</w:t>
            </w:r>
          </w:p>
        </w:tc>
      </w:tr>
      <w:tr w:rsidR="00773F7B" w14:paraId="0246D35E" w14:textId="77777777" w:rsidTr="005B3BEE">
        <w:trPr>
          <w:jc w:val="center"/>
        </w:trPr>
        <w:tc>
          <w:tcPr>
            <w:tcW w:w="6440" w:type="dxa"/>
          </w:tcPr>
          <w:p w14:paraId="282C9F09" w14:textId="77777777" w:rsidR="00773F7B" w:rsidRPr="0094516A" w:rsidRDefault="00773F7B" w:rsidP="00773F7B">
            <w:pPr>
              <w:pStyle w:val="T2"/>
              <w:jc w:val="left"/>
            </w:pPr>
            <w:r w:rsidRPr="0094516A">
              <w:t>Repayment of bank borrowings</w:t>
            </w:r>
          </w:p>
        </w:tc>
        <w:tc>
          <w:tcPr>
            <w:tcW w:w="648" w:type="dxa"/>
          </w:tcPr>
          <w:p w14:paraId="52DDD60A" w14:textId="77777777" w:rsidR="00773F7B" w:rsidRPr="00E02FFC" w:rsidRDefault="00773F7B" w:rsidP="00773F7B">
            <w:pPr>
              <w:pStyle w:val="T2"/>
              <w:jc w:val="right"/>
            </w:pPr>
            <w:r>
              <w:t>12</w:t>
            </w:r>
          </w:p>
        </w:tc>
        <w:tc>
          <w:tcPr>
            <w:tcW w:w="1701" w:type="dxa"/>
          </w:tcPr>
          <w:p w14:paraId="23691932" w14:textId="77777777" w:rsidR="00773F7B" w:rsidRPr="00FC568F" w:rsidRDefault="00773F7B" w:rsidP="00773F7B">
            <w:pPr>
              <w:pStyle w:val="T2"/>
              <w:jc w:val="right"/>
              <w:rPr>
                <w:b/>
                <w:bCs/>
              </w:rPr>
            </w:pPr>
            <w:r w:rsidRPr="00FC568F">
              <w:rPr>
                <w:b/>
                <w:bCs/>
              </w:rPr>
              <w:t>–</w:t>
            </w:r>
          </w:p>
        </w:tc>
        <w:tc>
          <w:tcPr>
            <w:tcW w:w="1701" w:type="dxa"/>
          </w:tcPr>
          <w:p w14:paraId="11F86BA8" w14:textId="77777777" w:rsidR="00773F7B" w:rsidRPr="009F0349" w:rsidRDefault="00773F7B" w:rsidP="00773F7B">
            <w:pPr>
              <w:pStyle w:val="T2"/>
              <w:jc w:val="right"/>
            </w:pPr>
            <w:r w:rsidRPr="0096767F">
              <w:rPr>
                <w:bCs/>
              </w:rPr>
              <w:t>(210.0)</w:t>
            </w:r>
          </w:p>
        </w:tc>
      </w:tr>
      <w:tr w:rsidR="00773F7B" w14:paraId="387040C3" w14:textId="77777777" w:rsidTr="005B3BEE">
        <w:trPr>
          <w:jc w:val="center"/>
        </w:trPr>
        <w:tc>
          <w:tcPr>
            <w:tcW w:w="6440" w:type="dxa"/>
          </w:tcPr>
          <w:p w14:paraId="72276DA0" w14:textId="77777777" w:rsidR="00773F7B" w:rsidRPr="0094516A" w:rsidRDefault="00773F7B" w:rsidP="00773F7B">
            <w:pPr>
              <w:pStyle w:val="T2"/>
              <w:jc w:val="left"/>
            </w:pPr>
            <w:r>
              <w:t>Repayment of non–bank borrowings</w:t>
            </w:r>
          </w:p>
        </w:tc>
        <w:tc>
          <w:tcPr>
            <w:tcW w:w="648" w:type="dxa"/>
          </w:tcPr>
          <w:p w14:paraId="6DA580F8" w14:textId="77777777" w:rsidR="00773F7B" w:rsidRPr="00E02FFC" w:rsidRDefault="00773F7B" w:rsidP="00773F7B">
            <w:pPr>
              <w:pStyle w:val="T2"/>
              <w:jc w:val="right"/>
            </w:pPr>
            <w:r>
              <w:t>12</w:t>
            </w:r>
          </w:p>
        </w:tc>
        <w:tc>
          <w:tcPr>
            <w:tcW w:w="1701" w:type="dxa"/>
          </w:tcPr>
          <w:p w14:paraId="0151A5F4" w14:textId="77777777" w:rsidR="00773F7B" w:rsidRPr="00FC568F" w:rsidRDefault="00773F7B" w:rsidP="00773F7B">
            <w:pPr>
              <w:pStyle w:val="T2"/>
              <w:jc w:val="right"/>
              <w:rPr>
                <w:b/>
                <w:bCs/>
              </w:rPr>
            </w:pPr>
            <w:r w:rsidRPr="00FC568F">
              <w:rPr>
                <w:b/>
                <w:bCs/>
              </w:rPr>
              <w:t>–</w:t>
            </w:r>
          </w:p>
        </w:tc>
        <w:tc>
          <w:tcPr>
            <w:tcW w:w="1701" w:type="dxa"/>
          </w:tcPr>
          <w:p w14:paraId="34583EDC" w14:textId="77777777" w:rsidR="00773F7B" w:rsidRPr="009F0349" w:rsidRDefault="00773F7B" w:rsidP="00773F7B">
            <w:pPr>
              <w:pStyle w:val="T2"/>
              <w:jc w:val="right"/>
            </w:pPr>
            <w:r w:rsidRPr="0096767F">
              <w:rPr>
                <w:bCs/>
              </w:rPr>
              <w:t>(63.1)</w:t>
            </w:r>
          </w:p>
        </w:tc>
      </w:tr>
      <w:tr w:rsidR="00773F7B" w14:paraId="2FCF7780" w14:textId="77777777" w:rsidTr="005B3BEE">
        <w:trPr>
          <w:jc w:val="center"/>
        </w:trPr>
        <w:tc>
          <w:tcPr>
            <w:tcW w:w="6440" w:type="dxa"/>
          </w:tcPr>
          <w:p w14:paraId="457138B7" w14:textId="77777777" w:rsidR="00773F7B" w:rsidRPr="0094516A" w:rsidRDefault="00773F7B" w:rsidP="00773F7B">
            <w:pPr>
              <w:pStyle w:val="T2"/>
              <w:jc w:val="left"/>
            </w:pPr>
            <w:r w:rsidRPr="0094516A">
              <w:t>Repayment of private placement notes</w:t>
            </w:r>
          </w:p>
        </w:tc>
        <w:tc>
          <w:tcPr>
            <w:tcW w:w="648" w:type="dxa"/>
          </w:tcPr>
          <w:p w14:paraId="2399ABBC" w14:textId="77777777" w:rsidR="00773F7B" w:rsidRPr="00E02FFC" w:rsidRDefault="00773F7B" w:rsidP="00773F7B">
            <w:pPr>
              <w:pStyle w:val="T2"/>
              <w:jc w:val="right"/>
            </w:pPr>
            <w:r>
              <w:t>12</w:t>
            </w:r>
          </w:p>
        </w:tc>
        <w:tc>
          <w:tcPr>
            <w:tcW w:w="1701" w:type="dxa"/>
          </w:tcPr>
          <w:p w14:paraId="595E0A4F" w14:textId="77777777" w:rsidR="00773F7B" w:rsidRPr="00FC568F" w:rsidRDefault="00773F7B" w:rsidP="00773F7B">
            <w:pPr>
              <w:pStyle w:val="T2"/>
              <w:jc w:val="right"/>
              <w:rPr>
                <w:b/>
                <w:bCs/>
              </w:rPr>
            </w:pPr>
            <w:r w:rsidRPr="00FC568F">
              <w:rPr>
                <w:b/>
                <w:bCs/>
              </w:rPr>
              <w:t>–</w:t>
            </w:r>
          </w:p>
        </w:tc>
        <w:tc>
          <w:tcPr>
            <w:tcW w:w="1701" w:type="dxa"/>
          </w:tcPr>
          <w:p w14:paraId="07BE6FB0" w14:textId="77777777" w:rsidR="00773F7B" w:rsidRPr="003C1ACC" w:rsidRDefault="00773F7B" w:rsidP="00773F7B">
            <w:pPr>
              <w:pStyle w:val="T2"/>
              <w:jc w:val="right"/>
            </w:pPr>
            <w:r w:rsidRPr="0096767F">
              <w:rPr>
                <w:bCs/>
              </w:rPr>
              <w:t>(14.6)</w:t>
            </w:r>
          </w:p>
        </w:tc>
      </w:tr>
      <w:tr w:rsidR="00773F7B" w14:paraId="70B333CE" w14:textId="77777777" w:rsidTr="005B3BEE">
        <w:trPr>
          <w:jc w:val="center"/>
        </w:trPr>
        <w:tc>
          <w:tcPr>
            <w:tcW w:w="6440" w:type="dxa"/>
          </w:tcPr>
          <w:p w14:paraId="452824B2" w14:textId="77777777" w:rsidR="00773F7B" w:rsidRPr="0094516A" w:rsidRDefault="00773F7B" w:rsidP="00773F7B">
            <w:pPr>
              <w:pStyle w:val="T2"/>
              <w:jc w:val="left"/>
            </w:pPr>
            <w:r w:rsidRPr="0062389F">
              <w:t>Repayment of lease liabilities</w:t>
            </w:r>
            <w:r>
              <w:t xml:space="preserve"> </w:t>
            </w:r>
          </w:p>
        </w:tc>
        <w:tc>
          <w:tcPr>
            <w:tcW w:w="648" w:type="dxa"/>
          </w:tcPr>
          <w:p w14:paraId="3014872C" w14:textId="77777777" w:rsidR="00773F7B" w:rsidRPr="00E02FFC" w:rsidRDefault="00773F7B" w:rsidP="00773F7B">
            <w:pPr>
              <w:pStyle w:val="T2"/>
              <w:jc w:val="right"/>
            </w:pPr>
            <w:r>
              <w:t>11</w:t>
            </w:r>
          </w:p>
        </w:tc>
        <w:tc>
          <w:tcPr>
            <w:tcW w:w="1701" w:type="dxa"/>
          </w:tcPr>
          <w:p w14:paraId="1E9279E7" w14:textId="77777777" w:rsidR="00773F7B" w:rsidRPr="001917D0" w:rsidRDefault="00773F7B" w:rsidP="00773F7B">
            <w:pPr>
              <w:pStyle w:val="T2"/>
              <w:jc w:val="right"/>
              <w:rPr>
                <w:b/>
                <w:bCs/>
              </w:rPr>
            </w:pPr>
            <w:r w:rsidRPr="001917D0">
              <w:rPr>
                <w:b/>
                <w:bCs/>
              </w:rPr>
              <w:t>(</w:t>
            </w:r>
            <w:r w:rsidR="00B10F27">
              <w:rPr>
                <w:b/>
                <w:bCs/>
              </w:rPr>
              <w:t>4.9</w:t>
            </w:r>
            <w:r w:rsidRPr="001917D0">
              <w:rPr>
                <w:b/>
                <w:bCs/>
              </w:rPr>
              <w:t>)</w:t>
            </w:r>
          </w:p>
        </w:tc>
        <w:tc>
          <w:tcPr>
            <w:tcW w:w="1701" w:type="dxa"/>
          </w:tcPr>
          <w:p w14:paraId="745B615D" w14:textId="77777777" w:rsidR="00773F7B" w:rsidRPr="003C1ACC" w:rsidRDefault="00773F7B" w:rsidP="00773F7B">
            <w:pPr>
              <w:pStyle w:val="T2"/>
              <w:jc w:val="right"/>
            </w:pPr>
            <w:r w:rsidRPr="0096767F">
              <w:rPr>
                <w:bCs/>
              </w:rPr>
              <w:t>(0.4)</w:t>
            </w:r>
          </w:p>
        </w:tc>
      </w:tr>
      <w:tr w:rsidR="00773F7B" w14:paraId="66242EBA" w14:textId="77777777" w:rsidTr="005B3BEE">
        <w:trPr>
          <w:jc w:val="center"/>
        </w:trPr>
        <w:tc>
          <w:tcPr>
            <w:tcW w:w="6440" w:type="dxa"/>
          </w:tcPr>
          <w:p w14:paraId="25D74BF7" w14:textId="77777777" w:rsidR="00773F7B" w:rsidRPr="0094516A" w:rsidRDefault="00773F7B" w:rsidP="00773F7B">
            <w:pPr>
              <w:pStyle w:val="T2"/>
              <w:jc w:val="left"/>
            </w:pPr>
            <w:r w:rsidRPr="0094516A">
              <w:t>Dividends paid to equity holders of the Company</w:t>
            </w:r>
          </w:p>
        </w:tc>
        <w:tc>
          <w:tcPr>
            <w:tcW w:w="648" w:type="dxa"/>
          </w:tcPr>
          <w:p w14:paraId="4F8A0C62" w14:textId="77777777" w:rsidR="00773F7B" w:rsidRPr="00E02FFC" w:rsidRDefault="00773F7B" w:rsidP="00773F7B">
            <w:pPr>
              <w:pStyle w:val="T2"/>
              <w:jc w:val="right"/>
            </w:pPr>
          </w:p>
        </w:tc>
        <w:tc>
          <w:tcPr>
            <w:tcW w:w="1701" w:type="dxa"/>
          </w:tcPr>
          <w:p w14:paraId="7E09FAA4" w14:textId="77777777" w:rsidR="00773F7B" w:rsidRPr="001917D0" w:rsidRDefault="00773F7B" w:rsidP="00773F7B">
            <w:pPr>
              <w:pStyle w:val="T2"/>
              <w:jc w:val="right"/>
              <w:rPr>
                <w:b/>
                <w:bCs/>
              </w:rPr>
            </w:pPr>
            <w:r w:rsidRPr="001917D0">
              <w:rPr>
                <w:b/>
                <w:bCs/>
              </w:rPr>
              <w:t>(16.7)</w:t>
            </w:r>
          </w:p>
        </w:tc>
        <w:tc>
          <w:tcPr>
            <w:tcW w:w="1701" w:type="dxa"/>
          </w:tcPr>
          <w:p w14:paraId="5FE16D1F" w14:textId="77777777" w:rsidR="00773F7B" w:rsidRPr="003C1ACC" w:rsidRDefault="00773F7B" w:rsidP="00773F7B">
            <w:pPr>
              <w:pStyle w:val="T2"/>
              <w:jc w:val="right"/>
            </w:pPr>
            <w:r w:rsidRPr="0096767F">
              <w:rPr>
                <w:bCs/>
              </w:rPr>
              <w:t>(39.4)</w:t>
            </w:r>
          </w:p>
        </w:tc>
      </w:tr>
      <w:tr w:rsidR="00773F7B" w14:paraId="52C84AD2" w14:textId="77777777" w:rsidTr="005B3BEE">
        <w:trPr>
          <w:jc w:val="center"/>
        </w:trPr>
        <w:tc>
          <w:tcPr>
            <w:tcW w:w="6440" w:type="dxa"/>
          </w:tcPr>
          <w:p w14:paraId="15218810" w14:textId="77777777" w:rsidR="00773F7B" w:rsidRPr="0094516A" w:rsidRDefault="00773F7B" w:rsidP="00773F7B">
            <w:pPr>
              <w:pStyle w:val="T2"/>
              <w:jc w:val="left"/>
            </w:pPr>
            <w:r w:rsidRPr="0094516A">
              <w:t>Dividends paid to non</w:t>
            </w:r>
            <w:r>
              <w:t>–</w:t>
            </w:r>
            <w:r w:rsidRPr="0094516A">
              <w:t>controlling interests</w:t>
            </w:r>
          </w:p>
        </w:tc>
        <w:tc>
          <w:tcPr>
            <w:tcW w:w="648" w:type="dxa"/>
          </w:tcPr>
          <w:p w14:paraId="426D9645" w14:textId="77777777" w:rsidR="00773F7B" w:rsidRDefault="00773F7B" w:rsidP="00773F7B">
            <w:pPr>
              <w:pStyle w:val="T2"/>
              <w:jc w:val="right"/>
              <w:rPr>
                <w:b/>
              </w:rPr>
            </w:pPr>
          </w:p>
        </w:tc>
        <w:tc>
          <w:tcPr>
            <w:tcW w:w="1701" w:type="dxa"/>
          </w:tcPr>
          <w:p w14:paraId="012AA159" w14:textId="77777777" w:rsidR="00773F7B" w:rsidRPr="001917D0" w:rsidRDefault="00773F7B" w:rsidP="00773F7B">
            <w:pPr>
              <w:pStyle w:val="T2"/>
              <w:jc w:val="right"/>
              <w:rPr>
                <w:b/>
                <w:bCs/>
              </w:rPr>
            </w:pPr>
            <w:r w:rsidRPr="001917D0">
              <w:rPr>
                <w:b/>
                <w:bCs/>
              </w:rPr>
              <w:t>(2.4)</w:t>
            </w:r>
          </w:p>
        </w:tc>
        <w:tc>
          <w:tcPr>
            <w:tcW w:w="1701" w:type="dxa"/>
          </w:tcPr>
          <w:p w14:paraId="5B7C835C" w14:textId="77777777" w:rsidR="00773F7B" w:rsidRPr="003C1ACC" w:rsidRDefault="00773F7B" w:rsidP="00773F7B">
            <w:pPr>
              <w:pStyle w:val="T2"/>
              <w:jc w:val="right"/>
            </w:pPr>
            <w:r w:rsidRPr="0096767F">
              <w:rPr>
                <w:bCs/>
              </w:rPr>
              <w:t>(2.2)</w:t>
            </w:r>
          </w:p>
        </w:tc>
      </w:tr>
      <w:tr w:rsidR="00773F7B" w14:paraId="1E7592D0" w14:textId="77777777" w:rsidTr="005B3BEE">
        <w:trPr>
          <w:jc w:val="center"/>
        </w:trPr>
        <w:tc>
          <w:tcPr>
            <w:tcW w:w="6440" w:type="dxa"/>
          </w:tcPr>
          <w:p w14:paraId="68EB3CE4" w14:textId="77777777" w:rsidR="00773F7B" w:rsidRPr="0094516A" w:rsidRDefault="00773F7B" w:rsidP="00773F7B">
            <w:pPr>
              <w:pStyle w:val="T2"/>
              <w:jc w:val="left"/>
            </w:pPr>
            <w:r>
              <w:t>Capital return via tender offer</w:t>
            </w:r>
          </w:p>
        </w:tc>
        <w:tc>
          <w:tcPr>
            <w:tcW w:w="648" w:type="dxa"/>
          </w:tcPr>
          <w:p w14:paraId="238BF888" w14:textId="77777777" w:rsidR="00773F7B" w:rsidRDefault="00773F7B" w:rsidP="00773F7B">
            <w:pPr>
              <w:pStyle w:val="T2"/>
              <w:jc w:val="right"/>
              <w:rPr>
                <w:b/>
              </w:rPr>
            </w:pPr>
          </w:p>
        </w:tc>
        <w:tc>
          <w:tcPr>
            <w:tcW w:w="1701" w:type="dxa"/>
          </w:tcPr>
          <w:p w14:paraId="4BCA3CFE" w14:textId="77777777" w:rsidR="00773F7B" w:rsidRPr="001917D0" w:rsidRDefault="00773F7B" w:rsidP="00773F7B">
            <w:pPr>
              <w:pStyle w:val="T2"/>
              <w:jc w:val="right"/>
              <w:rPr>
                <w:b/>
                <w:bCs/>
              </w:rPr>
            </w:pPr>
            <w:r>
              <w:rPr>
                <w:b/>
                <w:bCs/>
              </w:rPr>
              <w:t>–</w:t>
            </w:r>
          </w:p>
        </w:tc>
        <w:tc>
          <w:tcPr>
            <w:tcW w:w="1701" w:type="dxa"/>
          </w:tcPr>
          <w:p w14:paraId="2892AFF8" w14:textId="77777777" w:rsidR="00773F7B" w:rsidRPr="0096767F" w:rsidRDefault="00773F7B" w:rsidP="00773F7B">
            <w:pPr>
              <w:pStyle w:val="T2"/>
              <w:jc w:val="right"/>
              <w:rPr>
                <w:bCs/>
              </w:rPr>
            </w:pPr>
            <w:r w:rsidRPr="0096767F">
              <w:rPr>
                <w:bCs/>
              </w:rPr>
              <w:t>(509.0)</w:t>
            </w:r>
          </w:p>
        </w:tc>
      </w:tr>
      <w:tr w:rsidR="00773F7B" w14:paraId="2289D46A" w14:textId="77777777" w:rsidTr="005B3BEE">
        <w:trPr>
          <w:jc w:val="center"/>
        </w:trPr>
        <w:tc>
          <w:tcPr>
            <w:tcW w:w="6440" w:type="dxa"/>
            <w:tcBorders>
              <w:bottom w:val="single" w:sz="2" w:space="0" w:color="auto"/>
            </w:tcBorders>
          </w:tcPr>
          <w:p w14:paraId="1F8E079C" w14:textId="77777777" w:rsidR="00773F7B" w:rsidRDefault="00773F7B" w:rsidP="00773F7B">
            <w:pPr>
              <w:pStyle w:val="T2"/>
              <w:jc w:val="left"/>
            </w:pPr>
            <w:r w:rsidRPr="0094516A">
              <w:t>Termination of swaps</w:t>
            </w:r>
          </w:p>
        </w:tc>
        <w:tc>
          <w:tcPr>
            <w:tcW w:w="648" w:type="dxa"/>
            <w:tcBorders>
              <w:bottom w:val="single" w:sz="2" w:space="0" w:color="auto"/>
            </w:tcBorders>
          </w:tcPr>
          <w:p w14:paraId="26C6C18B" w14:textId="77777777" w:rsidR="00773F7B" w:rsidRDefault="00773F7B" w:rsidP="00773F7B">
            <w:pPr>
              <w:pStyle w:val="T2"/>
              <w:jc w:val="right"/>
              <w:rPr>
                <w:b/>
              </w:rPr>
            </w:pPr>
          </w:p>
        </w:tc>
        <w:tc>
          <w:tcPr>
            <w:tcW w:w="1701" w:type="dxa"/>
            <w:tcBorders>
              <w:bottom w:val="single" w:sz="2" w:space="0" w:color="auto"/>
            </w:tcBorders>
          </w:tcPr>
          <w:p w14:paraId="31FBAB1E" w14:textId="77777777" w:rsidR="00773F7B" w:rsidRDefault="00773F7B" w:rsidP="00773F7B">
            <w:pPr>
              <w:pStyle w:val="T2"/>
              <w:jc w:val="right"/>
              <w:rPr>
                <w:b/>
                <w:bCs/>
              </w:rPr>
            </w:pPr>
            <w:r>
              <w:rPr>
                <w:b/>
                <w:bCs/>
              </w:rPr>
              <w:t>–</w:t>
            </w:r>
          </w:p>
        </w:tc>
        <w:tc>
          <w:tcPr>
            <w:tcW w:w="1701" w:type="dxa"/>
            <w:tcBorders>
              <w:bottom w:val="single" w:sz="2" w:space="0" w:color="auto"/>
            </w:tcBorders>
          </w:tcPr>
          <w:p w14:paraId="1EE06B87" w14:textId="77777777" w:rsidR="00773F7B" w:rsidRPr="0096767F" w:rsidRDefault="00773F7B" w:rsidP="00773F7B">
            <w:pPr>
              <w:pStyle w:val="T2"/>
              <w:jc w:val="right"/>
              <w:rPr>
                <w:bCs/>
              </w:rPr>
            </w:pPr>
            <w:r w:rsidRPr="0096767F">
              <w:rPr>
                <w:bCs/>
              </w:rPr>
              <w:t>(12.6)</w:t>
            </w:r>
          </w:p>
        </w:tc>
      </w:tr>
      <w:tr w:rsidR="00773F7B" w14:paraId="0402F09B" w14:textId="77777777" w:rsidTr="005B3BEE">
        <w:trPr>
          <w:jc w:val="center"/>
        </w:trPr>
        <w:tc>
          <w:tcPr>
            <w:tcW w:w="6440" w:type="dxa"/>
            <w:tcBorders>
              <w:top w:val="single" w:sz="2" w:space="0" w:color="auto"/>
              <w:bottom w:val="single" w:sz="2" w:space="0" w:color="auto"/>
            </w:tcBorders>
          </w:tcPr>
          <w:p w14:paraId="1CA6AD18" w14:textId="77777777" w:rsidR="00773F7B" w:rsidRPr="00B13DAE" w:rsidRDefault="00773F7B" w:rsidP="00773F7B">
            <w:pPr>
              <w:pStyle w:val="T2"/>
              <w:jc w:val="left"/>
              <w:rPr>
                <w:b/>
              </w:rPr>
            </w:pPr>
            <w:r w:rsidRPr="00B13DAE">
              <w:rPr>
                <w:b/>
              </w:rPr>
              <w:t xml:space="preserve">Net cash </w:t>
            </w:r>
            <w:r>
              <w:rPr>
                <w:b/>
              </w:rPr>
              <w:t>outflow</w:t>
            </w:r>
            <w:r w:rsidRPr="00B13DAE">
              <w:rPr>
                <w:b/>
              </w:rPr>
              <w:t xml:space="preserve"> from financing activities</w:t>
            </w:r>
          </w:p>
        </w:tc>
        <w:tc>
          <w:tcPr>
            <w:tcW w:w="648" w:type="dxa"/>
            <w:tcBorders>
              <w:top w:val="single" w:sz="2" w:space="0" w:color="auto"/>
              <w:bottom w:val="single" w:sz="2" w:space="0" w:color="auto"/>
            </w:tcBorders>
          </w:tcPr>
          <w:p w14:paraId="414B293E" w14:textId="77777777" w:rsidR="00773F7B" w:rsidRPr="00CD4C0F" w:rsidRDefault="00773F7B" w:rsidP="00773F7B">
            <w:pPr>
              <w:pStyle w:val="T2"/>
              <w:jc w:val="right"/>
              <w:rPr>
                <w:b/>
              </w:rPr>
            </w:pPr>
          </w:p>
        </w:tc>
        <w:tc>
          <w:tcPr>
            <w:tcW w:w="1701" w:type="dxa"/>
            <w:tcBorders>
              <w:top w:val="single" w:sz="2" w:space="0" w:color="auto"/>
              <w:bottom w:val="single" w:sz="2" w:space="0" w:color="auto"/>
            </w:tcBorders>
          </w:tcPr>
          <w:p w14:paraId="7B79F9D9" w14:textId="77777777" w:rsidR="00773F7B" w:rsidRPr="001917D0" w:rsidRDefault="00773F7B" w:rsidP="00773F7B">
            <w:pPr>
              <w:pStyle w:val="T2"/>
              <w:jc w:val="right"/>
              <w:rPr>
                <w:b/>
                <w:bCs/>
              </w:rPr>
            </w:pPr>
            <w:r>
              <w:rPr>
                <w:b/>
                <w:bCs/>
              </w:rPr>
              <w:t>(</w:t>
            </w:r>
            <w:r w:rsidR="00B10F27">
              <w:rPr>
                <w:b/>
                <w:bCs/>
              </w:rPr>
              <w:t>6.9</w:t>
            </w:r>
            <w:r w:rsidRPr="001917D0">
              <w:rPr>
                <w:b/>
                <w:bCs/>
              </w:rPr>
              <w:t>)</w:t>
            </w:r>
          </w:p>
        </w:tc>
        <w:tc>
          <w:tcPr>
            <w:tcW w:w="1701" w:type="dxa"/>
            <w:tcBorders>
              <w:top w:val="single" w:sz="2" w:space="0" w:color="auto"/>
              <w:bottom w:val="single" w:sz="2" w:space="0" w:color="auto"/>
            </w:tcBorders>
          </w:tcPr>
          <w:p w14:paraId="1173013B" w14:textId="77777777" w:rsidR="00773F7B" w:rsidRPr="003C1ACC" w:rsidRDefault="00773F7B" w:rsidP="00773F7B">
            <w:pPr>
              <w:pStyle w:val="T2"/>
              <w:jc w:val="right"/>
            </w:pPr>
            <w:r w:rsidRPr="0096767F">
              <w:rPr>
                <w:bCs/>
              </w:rPr>
              <w:t>(809.9)</w:t>
            </w:r>
          </w:p>
        </w:tc>
      </w:tr>
      <w:tr w:rsidR="00773F7B" w14:paraId="3C567EC0" w14:textId="77777777" w:rsidTr="005B3BEE">
        <w:trPr>
          <w:jc w:val="center"/>
        </w:trPr>
        <w:tc>
          <w:tcPr>
            <w:tcW w:w="6440" w:type="dxa"/>
            <w:tcBorders>
              <w:top w:val="single" w:sz="2" w:space="0" w:color="auto"/>
              <w:bottom w:val="single" w:sz="8" w:space="0" w:color="auto"/>
            </w:tcBorders>
          </w:tcPr>
          <w:p w14:paraId="7FD51850" w14:textId="77777777" w:rsidR="00773F7B" w:rsidRPr="00B13DAE" w:rsidRDefault="00773F7B" w:rsidP="00773F7B">
            <w:pPr>
              <w:pStyle w:val="T2"/>
              <w:jc w:val="left"/>
              <w:rPr>
                <w:b/>
              </w:rPr>
            </w:pPr>
            <w:r w:rsidRPr="00B13DAE">
              <w:rPr>
                <w:b/>
              </w:rPr>
              <w:t xml:space="preserve">Net </w:t>
            </w:r>
            <w:r>
              <w:rPr>
                <w:b/>
              </w:rPr>
              <w:t>decrease</w:t>
            </w:r>
            <w:r w:rsidRPr="00B13DAE">
              <w:rPr>
                <w:b/>
              </w:rPr>
              <w:t xml:space="preserve"> in cash and cash equivalents</w:t>
            </w:r>
          </w:p>
        </w:tc>
        <w:tc>
          <w:tcPr>
            <w:tcW w:w="648" w:type="dxa"/>
            <w:tcBorders>
              <w:top w:val="single" w:sz="2" w:space="0" w:color="auto"/>
              <w:bottom w:val="single" w:sz="8" w:space="0" w:color="auto"/>
            </w:tcBorders>
          </w:tcPr>
          <w:p w14:paraId="2D12A322" w14:textId="77777777" w:rsidR="00773F7B" w:rsidRDefault="00773F7B" w:rsidP="00773F7B">
            <w:pPr>
              <w:pStyle w:val="T2"/>
              <w:jc w:val="right"/>
              <w:rPr>
                <w:b/>
              </w:rPr>
            </w:pPr>
          </w:p>
        </w:tc>
        <w:tc>
          <w:tcPr>
            <w:tcW w:w="1701" w:type="dxa"/>
            <w:tcBorders>
              <w:top w:val="single" w:sz="2" w:space="0" w:color="auto"/>
              <w:bottom w:val="single" w:sz="8" w:space="0" w:color="auto"/>
            </w:tcBorders>
          </w:tcPr>
          <w:p w14:paraId="3F0922BF" w14:textId="77777777" w:rsidR="00773F7B" w:rsidRPr="001917D0" w:rsidRDefault="00773F7B" w:rsidP="00773F7B">
            <w:pPr>
              <w:pStyle w:val="T2"/>
              <w:jc w:val="right"/>
              <w:rPr>
                <w:b/>
                <w:bCs/>
              </w:rPr>
            </w:pPr>
            <w:r>
              <w:rPr>
                <w:b/>
                <w:bCs/>
              </w:rPr>
              <w:t>(6.9</w:t>
            </w:r>
            <w:r w:rsidRPr="001917D0">
              <w:rPr>
                <w:b/>
                <w:bCs/>
              </w:rPr>
              <w:t>)</w:t>
            </w:r>
          </w:p>
        </w:tc>
        <w:tc>
          <w:tcPr>
            <w:tcW w:w="1701" w:type="dxa"/>
            <w:tcBorders>
              <w:top w:val="single" w:sz="2" w:space="0" w:color="auto"/>
              <w:bottom w:val="single" w:sz="8" w:space="0" w:color="auto"/>
            </w:tcBorders>
          </w:tcPr>
          <w:p w14:paraId="5C86D998" w14:textId="77777777" w:rsidR="00773F7B" w:rsidRPr="003C1ACC" w:rsidRDefault="00773F7B" w:rsidP="00773F7B">
            <w:pPr>
              <w:pStyle w:val="T2"/>
              <w:jc w:val="right"/>
            </w:pPr>
            <w:r w:rsidRPr="0096767F">
              <w:rPr>
                <w:bCs/>
              </w:rPr>
              <w:t>(21.8)</w:t>
            </w:r>
          </w:p>
        </w:tc>
      </w:tr>
      <w:tr w:rsidR="00773F7B" w14:paraId="13A2960B" w14:textId="77777777" w:rsidTr="005B3BEE">
        <w:trPr>
          <w:jc w:val="center"/>
        </w:trPr>
        <w:tc>
          <w:tcPr>
            <w:tcW w:w="6440" w:type="dxa"/>
            <w:tcBorders>
              <w:top w:val="single" w:sz="8" w:space="0" w:color="auto"/>
            </w:tcBorders>
          </w:tcPr>
          <w:p w14:paraId="5D49601E" w14:textId="77777777" w:rsidR="00773F7B" w:rsidRPr="0094516A" w:rsidRDefault="00773F7B" w:rsidP="00773F7B">
            <w:pPr>
              <w:pStyle w:val="T2"/>
              <w:jc w:val="left"/>
            </w:pPr>
          </w:p>
        </w:tc>
        <w:tc>
          <w:tcPr>
            <w:tcW w:w="648" w:type="dxa"/>
            <w:tcBorders>
              <w:top w:val="single" w:sz="8" w:space="0" w:color="auto"/>
            </w:tcBorders>
          </w:tcPr>
          <w:p w14:paraId="62F94CF7" w14:textId="77777777" w:rsidR="00773F7B" w:rsidRPr="00CD4C0F" w:rsidRDefault="00773F7B" w:rsidP="00773F7B">
            <w:pPr>
              <w:pStyle w:val="T2"/>
              <w:jc w:val="right"/>
              <w:rPr>
                <w:b/>
              </w:rPr>
            </w:pPr>
          </w:p>
        </w:tc>
        <w:tc>
          <w:tcPr>
            <w:tcW w:w="1701" w:type="dxa"/>
            <w:tcBorders>
              <w:top w:val="single" w:sz="8" w:space="0" w:color="auto"/>
            </w:tcBorders>
          </w:tcPr>
          <w:p w14:paraId="110A996B" w14:textId="77777777" w:rsidR="00773F7B" w:rsidRPr="001917D0" w:rsidRDefault="00773F7B" w:rsidP="00773F7B">
            <w:pPr>
              <w:pStyle w:val="T2"/>
              <w:jc w:val="right"/>
              <w:rPr>
                <w:b/>
                <w:bCs/>
              </w:rPr>
            </w:pPr>
          </w:p>
        </w:tc>
        <w:tc>
          <w:tcPr>
            <w:tcW w:w="1701" w:type="dxa"/>
            <w:tcBorders>
              <w:top w:val="single" w:sz="8" w:space="0" w:color="auto"/>
            </w:tcBorders>
          </w:tcPr>
          <w:p w14:paraId="5EAC50BF" w14:textId="77777777" w:rsidR="00773F7B" w:rsidRPr="003C1ACC" w:rsidRDefault="00773F7B" w:rsidP="00773F7B">
            <w:pPr>
              <w:pStyle w:val="T2"/>
              <w:jc w:val="right"/>
            </w:pPr>
          </w:p>
        </w:tc>
      </w:tr>
      <w:tr w:rsidR="00773F7B" w14:paraId="43592892" w14:textId="77777777" w:rsidTr="005B3BEE">
        <w:trPr>
          <w:jc w:val="center"/>
        </w:trPr>
        <w:tc>
          <w:tcPr>
            <w:tcW w:w="6440" w:type="dxa"/>
          </w:tcPr>
          <w:p w14:paraId="5F62D1A0" w14:textId="77777777" w:rsidR="00773F7B" w:rsidRPr="00B13DAE" w:rsidRDefault="00773F7B" w:rsidP="00773F7B">
            <w:pPr>
              <w:pStyle w:val="T2"/>
              <w:jc w:val="left"/>
              <w:rPr>
                <w:b/>
              </w:rPr>
            </w:pPr>
            <w:r w:rsidRPr="00B13DAE">
              <w:rPr>
                <w:b/>
              </w:rPr>
              <w:t>Reconciliation of opening to closing cash and cash equivalents</w:t>
            </w:r>
          </w:p>
        </w:tc>
        <w:tc>
          <w:tcPr>
            <w:tcW w:w="648" w:type="dxa"/>
          </w:tcPr>
          <w:p w14:paraId="6D10D8B7" w14:textId="77777777" w:rsidR="00773F7B" w:rsidRPr="00CD4C0F" w:rsidRDefault="00773F7B" w:rsidP="00773F7B">
            <w:pPr>
              <w:pStyle w:val="T2"/>
              <w:jc w:val="right"/>
              <w:rPr>
                <w:b/>
              </w:rPr>
            </w:pPr>
          </w:p>
        </w:tc>
        <w:tc>
          <w:tcPr>
            <w:tcW w:w="1701" w:type="dxa"/>
          </w:tcPr>
          <w:p w14:paraId="3A56CC68" w14:textId="77777777" w:rsidR="00773F7B" w:rsidRPr="001917D0" w:rsidRDefault="00773F7B" w:rsidP="00773F7B">
            <w:pPr>
              <w:pStyle w:val="T2"/>
              <w:jc w:val="right"/>
              <w:rPr>
                <w:b/>
                <w:bCs/>
              </w:rPr>
            </w:pPr>
          </w:p>
        </w:tc>
        <w:tc>
          <w:tcPr>
            <w:tcW w:w="1701" w:type="dxa"/>
          </w:tcPr>
          <w:p w14:paraId="2EEC8939" w14:textId="77777777" w:rsidR="00773F7B" w:rsidRPr="003C1ACC" w:rsidRDefault="00773F7B" w:rsidP="00773F7B">
            <w:pPr>
              <w:pStyle w:val="T2"/>
              <w:jc w:val="right"/>
            </w:pPr>
          </w:p>
        </w:tc>
      </w:tr>
      <w:tr w:rsidR="00773F7B" w14:paraId="4D60D5FB" w14:textId="77777777" w:rsidTr="005B3BEE">
        <w:trPr>
          <w:jc w:val="center"/>
        </w:trPr>
        <w:tc>
          <w:tcPr>
            <w:tcW w:w="6440" w:type="dxa"/>
          </w:tcPr>
          <w:p w14:paraId="4E765336" w14:textId="77777777" w:rsidR="00773F7B" w:rsidRPr="0094516A" w:rsidRDefault="00773F7B" w:rsidP="00773F7B">
            <w:pPr>
              <w:pStyle w:val="T2"/>
              <w:jc w:val="left"/>
            </w:pPr>
            <w:r w:rsidRPr="0094516A">
              <w:t>Cash and cash equivalents at beginning of period</w:t>
            </w:r>
          </w:p>
        </w:tc>
        <w:tc>
          <w:tcPr>
            <w:tcW w:w="648" w:type="dxa"/>
          </w:tcPr>
          <w:p w14:paraId="2C632738" w14:textId="77777777" w:rsidR="00773F7B" w:rsidRPr="00CD4C0F" w:rsidRDefault="00773F7B" w:rsidP="00773F7B">
            <w:pPr>
              <w:pStyle w:val="T2"/>
              <w:jc w:val="right"/>
              <w:rPr>
                <w:b/>
              </w:rPr>
            </w:pPr>
          </w:p>
        </w:tc>
        <w:tc>
          <w:tcPr>
            <w:tcW w:w="1701" w:type="dxa"/>
          </w:tcPr>
          <w:p w14:paraId="72E458B2" w14:textId="77777777" w:rsidR="00773F7B" w:rsidRPr="001917D0" w:rsidRDefault="00773F7B" w:rsidP="00773F7B">
            <w:pPr>
              <w:pStyle w:val="T2"/>
              <w:jc w:val="right"/>
              <w:rPr>
                <w:b/>
                <w:bCs/>
              </w:rPr>
            </w:pPr>
            <w:r w:rsidRPr="001917D0">
              <w:rPr>
                <w:b/>
                <w:bCs/>
              </w:rPr>
              <w:t>41.6</w:t>
            </w:r>
          </w:p>
        </w:tc>
        <w:tc>
          <w:tcPr>
            <w:tcW w:w="1701" w:type="dxa"/>
          </w:tcPr>
          <w:p w14:paraId="3D2B9E33" w14:textId="77777777" w:rsidR="00773F7B" w:rsidRPr="003C1ACC" w:rsidRDefault="00773F7B" w:rsidP="00773F7B">
            <w:pPr>
              <w:pStyle w:val="T2"/>
              <w:jc w:val="right"/>
            </w:pPr>
            <w:r w:rsidRPr="0096767F">
              <w:rPr>
                <w:bCs/>
              </w:rPr>
              <w:t>37.0</w:t>
            </w:r>
          </w:p>
        </w:tc>
      </w:tr>
      <w:tr w:rsidR="00773F7B" w14:paraId="70F639FD" w14:textId="77777777" w:rsidTr="005B3BEE">
        <w:trPr>
          <w:jc w:val="center"/>
        </w:trPr>
        <w:tc>
          <w:tcPr>
            <w:tcW w:w="6440" w:type="dxa"/>
          </w:tcPr>
          <w:p w14:paraId="16FDD4A7" w14:textId="77777777" w:rsidR="00773F7B" w:rsidRPr="0094516A" w:rsidRDefault="00773F7B" w:rsidP="00773F7B">
            <w:pPr>
              <w:pStyle w:val="T2"/>
              <w:jc w:val="left"/>
            </w:pPr>
            <w:r w:rsidRPr="0094516A">
              <w:t>Translation adjustment</w:t>
            </w:r>
          </w:p>
        </w:tc>
        <w:tc>
          <w:tcPr>
            <w:tcW w:w="648" w:type="dxa"/>
          </w:tcPr>
          <w:p w14:paraId="22D3D5AC" w14:textId="77777777" w:rsidR="00773F7B" w:rsidRDefault="00773F7B" w:rsidP="00773F7B">
            <w:pPr>
              <w:pStyle w:val="T2"/>
              <w:jc w:val="right"/>
              <w:rPr>
                <w:b/>
              </w:rPr>
            </w:pPr>
          </w:p>
        </w:tc>
        <w:tc>
          <w:tcPr>
            <w:tcW w:w="1701" w:type="dxa"/>
          </w:tcPr>
          <w:p w14:paraId="33B8FA82" w14:textId="77777777" w:rsidR="00773F7B" w:rsidRPr="001917D0" w:rsidRDefault="00773F7B" w:rsidP="00773F7B">
            <w:pPr>
              <w:pStyle w:val="T2"/>
              <w:jc w:val="right"/>
              <w:rPr>
                <w:b/>
                <w:bCs/>
              </w:rPr>
            </w:pPr>
            <w:r w:rsidRPr="001917D0">
              <w:rPr>
                <w:b/>
                <w:bCs/>
              </w:rPr>
              <w:t>(0.2)</w:t>
            </w:r>
          </w:p>
        </w:tc>
        <w:tc>
          <w:tcPr>
            <w:tcW w:w="1701" w:type="dxa"/>
          </w:tcPr>
          <w:p w14:paraId="5A6F0A97" w14:textId="77777777" w:rsidR="00773F7B" w:rsidRPr="003C1ACC" w:rsidRDefault="00773F7B" w:rsidP="00773F7B">
            <w:pPr>
              <w:pStyle w:val="T2"/>
              <w:jc w:val="right"/>
            </w:pPr>
            <w:r w:rsidRPr="0096767F">
              <w:rPr>
                <w:bCs/>
              </w:rPr>
              <w:t>0.3</w:t>
            </w:r>
          </w:p>
        </w:tc>
      </w:tr>
      <w:tr w:rsidR="00773F7B" w14:paraId="78BFBE69" w14:textId="77777777" w:rsidTr="005B3BEE">
        <w:trPr>
          <w:jc w:val="center"/>
        </w:trPr>
        <w:tc>
          <w:tcPr>
            <w:tcW w:w="6440" w:type="dxa"/>
            <w:tcBorders>
              <w:bottom w:val="single" w:sz="2" w:space="0" w:color="auto"/>
            </w:tcBorders>
          </w:tcPr>
          <w:p w14:paraId="311B97C5" w14:textId="77777777" w:rsidR="00773F7B" w:rsidRPr="0094516A" w:rsidRDefault="00773F7B" w:rsidP="00773F7B">
            <w:pPr>
              <w:pStyle w:val="T2"/>
              <w:jc w:val="left"/>
            </w:pPr>
            <w:r>
              <w:t>Decrease</w:t>
            </w:r>
            <w:r w:rsidRPr="0094516A">
              <w:t xml:space="preserve"> in cash and cash equivalents</w:t>
            </w:r>
          </w:p>
        </w:tc>
        <w:tc>
          <w:tcPr>
            <w:tcW w:w="648" w:type="dxa"/>
            <w:tcBorders>
              <w:bottom w:val="single" w:sz="2" w:space="0" w:color="auto"/>
            </w:tcBorders>
          </w:tcPr>
          <w:p w14:paraId="0A9A39F6" w14:textId="77777777" w:rsidR="00773F7B" w:rsidRDefault="00773F7B" w:rsidP="00773F7B">
            <w:pPr>
              <w:pStyle w:val="T2"/>
              <w:jc w:val="right"/>
              <w:rPr>
                <w:b/>
              </w:rPr>
            </w:pPr>
          </w:p>
        </w:tc>
        <w:tc>
          <w:tcPr>
            <w:tcW w:w="1701" w:type="dxa"/>
            <w:tcBorders>
              <w:bottom w:val="single" w:sz="2" w:space="0" w:color="auto"/>
            </w:tcBorders>
          </w:tcPr>
          <w:p w14:paraId="59AE3A3A" w14:textId="77777777" w:rsidR="00773F7B" w:rsidRPr="001917D0" w:rsidRDefault="00773F7B" w:rsidP="00773F7B">
            <w:pPr>
              <w:pStyle w:val="T2"/>
              <w:jc w:val="right"/>
              <w:rPr>
                <w:b/>
                <w:bCs/>
              </w:rPr>
            </w:pPr>
            <w:r>
              <w:rPr>
                <w:b/>
                <w:bCs/>
              </w:rPr>
              <w:t>(6.9</w:t>
            </w:r>
            <w:r w:rsidRPr="001917D0">
              <w:rPr>
                <w:b/>
                <w:bCs/>
              </w:rPr>
              <w:t>)</w:t>
            </w:r>
          </w:p>
        </w:tc>
        <w:tc>
          <w:tcPr>
            <w:tcW w:w="1701" w:type="dxa"/>
            <w:tcBorders>
              <w:bottom w:val="single" w:sz="2" w:space="0" w:color="auto"/>
            </w:tcBorders>
          </w:tcPr>
          <w:p w14:paraId="0BFCB531" w14:textId="77777777" w:rsidR="00773F7B" w:rsidRPr="003C1ACC" w:rsidRDefault="00773F7B" w:rsidP="00773F7B">
            <w:pPr>
              <w:pStyle w:val="T2"/>
              <w:jc w:val="right"/>
            </w:pPr>
            <w:r w:rsidRPr="0096767F">
              <w:rPr>
                <w:bCs/>
              </w:rPr>
              <w:t>(21.8)</w:t>
            </w:r>
          </w:p>
        </w:tc>
      </w:tr>
      <w:tr w:rsidR="00773F7B" w14:paraId="7FDE9722" w14:textId="77777777" w:rsidTr="005B3BEE">
        <w:trPr>
          <w:jc w:val="center"/>
        </w:trPr>
        <w:tc>
          <w:tcPr>
            <w:tcW w:w="6440" w:type="dxa"/>
            <w:tcBorders>
              <w:top w:val="single" w:sz="2" w:space="0" w:color="auto"/>
              <w:bottom w:val="single" w:sz="8" w:space="0" w:color="auto"/>
            </w:tcBorders>
          </w:tcPr>
          <w:p w14:paraId="6EF8C963" w14:textId="77777777" w:rsidR="00773F7B" w:rsidRPr="00B13DAE" w:rsidRDefault="00773F7B" w:rsidP="00773F7B">
            <w:pPr>
              <w:rPr>
                <w:b/>
              </w:rPr>
            </w:pPr>
            <w:r w:rsidRPr="00B13DAE">
              <w:rPr>
                <w:b/>
                <w:sz w:val="18"/>
                <w:szCs w:val="18"/>
              </w:rPr>
              <w:t>Cash and cash equivalents at end of period</w:t>
            </w:r>
          </w:p>
        </w:tc>
        <w:tc>
          <w:tcPr>
            <w:tcW w:w="648" w:type="dxa"/>
            <w:tcBorders>
              <w:top w:val="single" w:sz="2" w:space="0" w:color="auto"/>
              <w:bottom w:val="single" w:sz="8" w:space="0" w:color="auto"/>
            </w:tcBorders>
          </w:tcPr>
          <w:p w14:paraId="5952D5EC" w14:textId="77777777" w:rsidR="00773F7B" w:rsidRDefault="00773F7B" w:rsidP="00773F7B">
            <w:pPr>
              <w:pStyle w:val="T2"/>
              <w:jc w:val="right"/>
              <w:rPr>
                <w:b/>
              </w:rPr>
            </w:pPr>
          </w:p>
        </w:tc>
        <w:tc>
          <w:tcPr>
            <w:tcW w:w="1701" w:type="dxa"/>
            <w:tcBorders>
              <w:top w:val="single" w:sz="2" w:space="0" w:color="auto"/>
              <w:bottom w:val="single" w:sz="8" w:space="0" w:color="auto"/>
            </w:tcBorders>
          </w:tcPr>
          <w:p w14:paraId="59E59B6B" w14:textId="77777777" w:rsidR="00773F7B" w:rsidRPr="001917D0" w:rsidRDefault="00773F7B" w:rsidP="00773F7B">
            <w:pPr>
              <w:pStyle w:val="T2"/>
              <w:jc w:val="right"/>
              <w:rPr>
                <w:b/>
                <w:bCs/>
              </w:rPr>
            </w:pPr>
            <w:r w:rsidRPr="001917D0">
              <w:rPr>
                <w:b/>
                <w:bCs/>
              </w:rPr>
              <w:t>34.5</w:t>
            </w:r>
          </w:p>
        </w:tc>
        <w:tc>
          <w:tcPr>
            <w:tcW w:w="1701" w:type="dxa"/>
            <w:tcBorders>
              <w:top w:val="single" w:sz="2" w:space="0" w:color="auto"/>
              <w:bottom w:val="single" w:sz="8" w:space="0" w:color="auto"/>
            </w:tcBorders>
          </w:tcPr>
          <w:p w14:paraId="58884C29" w14:textId="77777777" w:rsidR="00773F7B" w:rsidRDefault="00773F7B" w:rsidP="00773F7B">
            <w:pPr>
              <w:pStyle w:val="T2"/>
              <w:jc w:val="right"/>
            </w:pPr>
            <w:r w:rsidRPr="0096767F">
              <w:rPr>
                <w:bCs/>
              </w:rPr>
              <w:t>15.5</w:t>
            </w:r>
          </w:p>
        </w:tc>
      </w:tr>
      <w:tr w:rsidR="00773F7B" w14:paraId="13475A07" w14:textId="77777777" w:rsidTr="005B3BEE">
        <w:trPr>
          <w:jc w:val="center"/>
        </w:trPr>
        <w:tc>
          <w:tcPr>
            <w:tcW w:w="6440" w:type="dxa"/>
            <w:tcBorders>
              <w:top w:val="single" w:sz="8" w:space="0" w:color="auto"/>
            </w:tcBorders>
          </w:tcPr>
          <w:p w14:paraId="1958F62E" w14:textId="77777777" w:rsidR="00773F7B" w:rsidRDefault="00773F7B" w:rsidP="00773F7B">
            <w:pPr>
              <w:pStyle w:val="T2"/>
            </w:pPr>
          </w:p>
        </w:tc>
        <w:tc>
          <w:tcPr>
            <w:tcW w:w="648" w:type="dxa"/>
            <w:tcBorders>
              <w:top w:val="single" w:sz="8" w:space="0" w:color="auto"/>
            </w:tcBorders>
          </w:tcPr>
          <w:p w14:paraId="04E8FBE3" w14:textId="77777777" w:rsidR="00773F7B" w:rsidRPr="00A70E4B" w:rsidRDefault="00773F7B" w:rsidP="00773F7B">
            <w:pPr>
              <w:pStyle w:val="T2"/>
              <w:jc w:val="right"/>
              <w:rPr>
                <w:b/>
              </w:rPr>
            </w:pPr>
          </w:p>
        </w:tc>
        <w:tc>
          <w:tcPr>
            <w:tcW w:w="1701" w:type="dxa"/>
            <w:tcBorders>
              <w:top w:val="single" w:sz="8" w:space="0" w:color="auto"/>
            </w:tcBorders>
          </w:tcPr>
          <w:p w14:paraId="7913D747" w14:textId="77777777" w:rsidR="00773F7B" w:rsidRPr="00A70E4B" w:rsidRDefault="00773F7B" w:rsidP="00773F7B">
            <w:pPr>
              <w:pStyle w:val="T2"/>
              <w:jc w:val="right"/>
              <w:rPr>
                <w:b/>
              </w:rPr>
            </w:pPr>
          </w:p>
        </w:tc>
        <w:tc>
          <w:tcPr>
            <w:tcW w:w="1701" w:type="dxa"/>
            <w:tcBorders>
              <w:top w:val="single" w:sz="8" w:space="0" w:color="auto"/>
            </w:tcBorders>
          </w:tcPr>
          <w:p w14:paraId="0936B841" w14:textId="77777777" w:rsidR="00773F7B" w:rsidRPr="003C1ACC" w:rsidRDefault="00773F7B" w:rsidP="00773F7B"/>
        </w:tc>
      </w:tr>
      <w:tr w:rsidR="00773F7B" w14:paraId="7EF653E4" w14:textId="77777777" w:rsidTr="005B3BEE">
        <w:trPr>
          <w:jc w:val="center"/>
        </w:trPr>
        <w:tc>
          <w:tcPr>
            <w:tcW w:w="6440" w:type="dxa"/>
          </w:tcPr>
          <w:p w14:paraId="33556BCD" w14:textId="77777777" w:rsidR="00773F7B" w:rsidRDefault="00773F7B" w:rsidP="00773F7B">
            <w:pPr>
              <w:pStyle w:val="T2"/>
            </w:pPr>
          </w:p>
        </w:tc>
        <w:tc>
          <w:tcPr>
            <w:tcW w:w="648" w:type="dxa"/>
          </w:tcPr>
          <w:p w14:paraId="6F156638" w14:textId="77777777" w:rsidR="00773F7B" w:rsidRPr="00A70E4B" w:rsidRDefault="00773F7B" w:rsidP="00773F7B">
            <w:pPr>
              <w:pStyle w:val="T2"/>
              <w:jc w:val="right"/>
              <w:rPr>
                <w:b/>
              </w:rPr>
            </w:pPr>
          </w:p>
        </w:tc>
        <w:tc>
          <w:tcPr>
            <w:tcW w:w="1701" w:type="dxa"/>
          </w:tcPr>
          <w:p w14:paraId="22FF6EE0" w14:textId="77777777" w:rsidR="00773F7B" w:rsidRPr="00A70E4B" w:rsidRDefault="00773F7B" w:rsidP="00773F7B">
            <w:pPr>
              <w:pStyle w:val="T2"/>
              <w:jc w:val="right"/>
              <w:rPr>
                <w:b/>
              </w:rPr>
            </w:pPr>
          </w:p>
        </w:tc>
        <w:tc>
          <w:tcPr>
            <w:tcW w:w="1701" w:type="dxa"/>
          </w:tcPr>
          <w:p w14:paraId="3C4D5D05" w14:textId="77777777" w:rsidR="00773F7B" w:rsidRPr="003C1ACC" w:rsidRDefault="00773F7B" w:rsidP="00773F7B"/>
        </w:tc>
      </w:tr>
    </w:tbl>
    <w:p w14:paraId="4AFD522E" w14:textId="77777777" w:rsidR="00773F7B" w:rsidRDefault="00773F7B" w:rsidP="00773F7B">
      <w:pPr>
        <w:pStyle w:val="T2"/>
        <w:jc w:val="left"/>
        <w:sectPr w:rsidR="00773F7B" w:rsidSect="004A2ED9">
          <w:headerReference w:type="default" r:id="rId11"/>
          <w:pgSz w:w="11906" w:h="16838"/>
          <w:pgMar w:top="1440" w:right="707" w:bottom="1440" w:left="1080" w:header="708" w:footer="708" w:gutter="0"/>
          <w:cols w:space="708"/>
          <w:docGrid w:linePitch="360"/>
        </w:sect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709"/>
        <w:gridCol w:w="992"/>
        <w:gridCol w:w="850"/>
        <w:gridCol w:w="851"/>
        <w:gridCol w:w="826"/>
        <w:gridCol w:w="1020"/>
        <w:gridCol w:w="847"/>
      </w:tblGrid>
      <w:tr w:rsidR="00773F7B" w14:paraId="6D7EC6C2" w14:textId="77777777" w:rsidTr="005B3BEE">
        <w:trPr>
          <w:jc w:val="center"/>
        </w:trPr>
        <w:tc>
          <w:tcPr>
            <w:tcW w:w="4395" w:type="dxa"/>
            <w:vAlign w:val="bottom"/>
          </w:tcPr>
          <w:p w14:paraId="73468E64" w14:textId="77777777" w:rsidR="00773F7B" w:rsidRPr="00E57F3E" w:rsidRDefault="00773F7B" w:rsidP="00773F7B">
            <w:pPr>
              <w:pStyle w:val="T2"/>
              <w:jc w:val="left"/>
            </w:pPr>
          </w:p>
        </w:tc>
        <w:tc>
          <w:tcPr>
            <w:tcW w:w="709" w:type="dxa"/>
            <w:vAlign w:val="bottom"/>
          </w:tcPr>
          <w:p w14:paraId="74D190CE" w14:textId="77777777" w:rsidR="00773F7B" w:rsidRPr="00377178" w:rsidRDefault="00773F7B" w:rsidP="00773F7B">
            <w:pPr>
              <w:pStyle w:val="T2"/>
              <w:ind w:left="-108"/>
              <w:jc w:val="right"/>
              <w:rPr>
                <w:b/>
              </w:rPr>
            </w:pPr>
            <w:r w:rsidRPr="00377178">
              <w:rPr>
                <w:b/>
              </w:rPr>
              <w:t>Share capital</w:t>
            </w:r>
          </w:p>
        </w:tc>
        <w:tc>
          <w:tcPr>
            <w:tcW w:w="992" w:type="dxa"/>
            <w:vAlign w:val="bottom"/>
          </w:tcPr>
          <w:p w14:paraId="26AD200E" w14:textId="77777777" w:rsidR="00773F7B" w:rsidRPr="00377178" w:rsidRDefault="00773F7B" w:rsidP="00773F7B">
            <w:pPr>
              <w:pStyle w:val="T2"/>
              <w:jc w:val="right"/>
              <w:rPr>
                <w:b/>
              </w:rPr>
            </w:pPr>
            <w:r w:rsidRPr="00377178">
              <w:rPr>
                <w:b/>
              </w:rPr>
              <w:t>Share premium</w:t>
            </w:r>
          </w:p>
        </w:tc>
        <w:tc>
          <w:tcPr>
            <w:tcW w:w="850" w:type="dxa"/>
            <w:vAlign w:val="bottom"/>
          </w:tcPr>
          <w:p w14:paraId="5AB37E3E" w14:textId="77777777" w:rsidR="00773F7B" w:rsidRPr="00377178" w:rsidRDefault="00773F7B" w:rsidP="00773F7B">
            <w:pPr>
              <w:pStyle w:val="T2"/>
              <w:jc w:val="right"/>
              <w:rPr>
                <w:b/>
              </w:rPr>
            </w:pPr>
            <w:r w:rsidRPr="00377178">
              <w:rPr>
                <w:b/>
              </w:rPr>
              <w:t>Other reserves</w:t>
            </w:r>
          </w:p>
        </w:tc>
        <w:tc>
          <w:tcPr>
            <w:tcW w:w="851" w:type="dxa"/>
            <w:vAlign w:val="bottom"/>
          </w:tcPr>
          <w:p w14:paraId="32FF0377" w14:textId="77777777" w:rsidR="00773F7B" w:rsidRPr="00377178" w:rsidRDefault="00773F7B" w:rsidP="00773F7B">
            <w:pPr>
              <w:pStyle w:val="T2"/>
              <w:ind w:left="-108"/>
              <w:jc w:val="right"/>
              <w:rPr>
                <w:b/>
              </w:rPr>
            </w:pPr>
            <w:r w:rsidRPr="00377178">
              <w:rPr>
                <w:b/>
              </w:rPr>
              <w:t>Retained earnings</w:t>
            </w:r>
          </w:p>
        </w:tc>
        <w:tc>
          <w:tcPr>
            <w:tcW w:w="826" w:type="dxa"/>
            <w:vAlign w:val="bottom"/>
          </w:tcPr>
          <w:p w14:paraId="7C34B821" w14:textId="77777777" w:rsidR="00773F7B" w:rsidRPr="00377178" w:rsidRDefault="00773F7B" w:rsidP="00773F7B">
            <w:pPr>
              <w:pStyle w:val="T2"/>
              <w:jc w:val="right"/>
              <w:rPr>
                <w:b/>
              </w:rPr>
            </w:pPr>
            <w:r w:rsidRPr="00377178">
              <w:rPr>
                <w:b/>
              </w:rPr>
              <w:t>Total</w:t>
            </w:r>
          </w:p>
        </w:tc>
        <w:tc>
          <w:tcPr>
            <w:tcW w:w="1020" w:type="dxa"/>
            <w:vAlign w:val="bottom"/>
          </w:tcPr>
          <w:p w14:paraId="0D88CA45" w14:textId="77777777" w:rsidR="00773F7B" w:rsidRPr="00377178" w:rsidRDefault="00773F7B" w:rsidP="00773F7B">
            <w:pPr>
              <w:pStyle w:val="T2"/>
              <w:ind w:left="-108"/>
              <w:jc w:val="right"/>
              <w:rPr>
                <w:b/>
              </w:rPr>
            </w:pPr>
            <w:r w:rsidRPr="00377178">
              <w:rPr>
                <w:b/>
              </w:rPr>
              <w:t>Non</w:t>
            </w:r>
            <w:r>
              <w:rPr>
                <w:b/>
              </w:rPr>
              <w:t>–</w:t>
            </w:r>
            <w:r w:rsidRPr="00377178">
              <w:rPr>
                <w:b/>
              </w:rPr>
              <w:t>controlling interest</w:t>
            </w:r>
          </w:p>
        </w:tc>
        <w:tc>
          <w:tcPr>
            <w:tcW w:w="847" w:type="dxa"/>
            <w:vAlign w:val="bottom"/>
          </w:tcPr>
          <w:p w14:paraId="53C46B58" w14:textId="77777777" w:rsidR="00773F7B" w:rsidRPr="00377178" w:rsidRDefault="00773F7B" w:rsidP="00773F7B">
            <w:pPr>
              <w:pStyle w:val="T2"/>
              <w:jc w:val="right"/>
              <w:rPr>
                <w:b/>
              </w:rPr>
            </w:pPr>
            <w:r w:rsidRPr="00377178">
              <w:rPr>
                <w:b/>
              </w:rPr>
              <w:t xml:space="preserve">Total </w:t>
            </w:r>
          </w:p>
          <w:p w14:paraId="3156E43D" w14:textId="77777777" w:rsidR="00773F7B" w:rsidRPr="00377178" w:rsidRDefault="00773F7B" w:rsidP="00773F7B">
            <w:pPr>
              <w:pStyle w:val="T2"/>
              <w:jc w:val="right"/>
              <w:rPr>
                <w:b/>
              </w:rPr>
            </w:pPr>
            <w:r w:rsidRPr="00377178">
              <w:rPr>
                <w:b/>
              </w:rPr>
              <w:t>equity</w:t>
            </w:r>
          </w:p>
        </w:tc>
      </w:tr>
      <w:tr w:rsidR="00773F7B" w14:paraId="6D929635" w14:textId="77777777" w:rsidTr="005B3BEE">
        <w:trPr>
          <w:jc w:val="center"/>
        </w:trPr>
        <w:tc>
          <w:tcPr>
            <w:tcW w:w="4395" w:type="dxa"/>
            <w:tcBorders>
              <w:bottom w:val="single" w:sz="2" w:space="0" w:color="auto"/>
            </w:tcBorders>
            <w:vAlign w:val="bottom"/>
          </w:tcPr>
          <w:p w14:paraId="339BEF12" w14:textId="77777777" w:rsidR="00773F7B" w:rsidRPr="00E57F3E" w:rsidRDefault="00773F7B" w:rsidP="00773F7B">
            <w:pPr>
              <w:pStyle w:val="T2"/>
              <w:jc w:val="left"/>
            </w:pPr>
          </w:p>
        </w:tc>
        <w:tc>
          <w:tcPr>
            <w:tcW w:w="709" w:type="dxa"/>
            <w:tcBorders>
              <w:bottom w:val="single" w:sz="2" w:space="0" w:color="auto"/>
            </w:tcBorders>
            <w:vAlign w:val="bottom"/>
          </w:tcPr>
          <w:p w14:paraId="002F6347" w14:textId="77777777" w:rsidR="00773F7B" w:rsidRPr="00377178" w:rsidRDefault="00773F7B" w:rsidP="00773F7B">
            <w:pPr>
              <w:pStyle w:val="T2"/>
              <w:jc w:val="right"/>
              <w:rPr>
                <w:b/>
              </w:rPr>
            </w:pPr>
            <w:r w:rsidRPr="00377178">
              <w:rPr>
                <w:b/>
              </w:rPr>
              <w:t>£m</w:t>
            </w:r>
          </w:p>
        </w:tc>
        <w:tc>
          <w:tcPr>
            <w:tcW w:w="992" w:type="dxa"/>
            <w:tcBorders>
              <w:bottom w:val="single" w:sz="2" w:space="0" w:color="auto"/>
            </w:tcBorders>
            <w:vAlign w:val="bottom"/>
          </w:tcPr>
          <w:p w14:paraId="35005730" w14:textId="77777777" w:rsidR="00773F7B" w:rsidRPr="00377178" w:rsidRDefault="00773F7B" w:rsidP="00773F7B">
            <w:pPr>
              <w:pStyle w:val="T2"/>
              <w:jc w:val="right"/>
              <w:rPr>
                <w:b/>
              </w:rPr>
            </w:pPr>
            <w:r w:rsidRPr="00377178">
              <w:rPr>
                <w:b/>
              </w:rPr>
              <w:t>£m</w:t>
            </w:r>
          </w:p>
        </w:tc>
        <w:tc>
          <w:tcPr>
            <w:tcW w:w="850" w:type="dxa"/>
            <w:tcBorders>
              <w:bottom w:val="single" w:sz="2" w:space="0" w:color="auto"/>
            </w:tcBorders>
            <w:vAlign w:val="bottom"/>
          </w:tcPr>
          <w:p w14:paraId="691D8F59" w14:textId="77777777" w:rsidR="00773F7B" w:rsidRPr="00377178" w:rsidRDefault="00773F7B" w:rsidP="00773F7B">
            <w:pPr>
              <w:pStyle w:val="T2"/>
              <w:jc w:val="right"/>
              <w:rPr>
                <w:b/>
              </w:rPr>
            </w:pPr>
            <w:r w:rsidRPr="00377178">
              <w:rPr>
                <w:b/>
              </w:rPr>
              <w:t>£m</w:t>
            </w:r>
          </w:p>
        </w:tc>
        <w:tc>
          <w:tcPr>
            <w:tcW w:w="851" w:type="dxa"/>
            <w:tcBorders>
              <w:bottom w:val="single" w:sz="2" w:space="0" w:color="auto"/>
            </w:tcBorders>
            <w:vAlign w:val="bottom"/>
          </w:tcPr>
          <w:p w14:paraId="2E11396D" w14:textId="77777777" w:rsidR="00773F7B" w:rsidRPr="00377178" w:rsidRDefault="00773F7B" w:rsidP="00773F7B">
            <w:pPr>
              <w:pStyle w:val="T2"/>
              <w:jc w:val="right"/>
              <w:rPr>
                <w:b/>
              </w:rPr>
            </w:pPr>
            <w:r w:rsidRPr="00377178">
              <w:rPr>
                <w:b/>
              </w:rPr>
              <w:t>£m</w:t>
            </w:r>
          </w:p>
        </w:tc>
        <w:tc>
          <w:tcPr>
            <w:tcW w:w="826" w:type="dxa"/>
            <w:tcBorders>
              <w:bottom w:val="single" w:sz="2" w:space="0" w:color="auto"/>
            </w:tcBorders>
            <w:vAlign w:val="bottom"/>
          </w:tcPr>
          <w:p w14:paraId="65D4DA3F" w14:textId="77777777" w:rsidR="00773F7B" w:rsidRPr="00377178" w:rsidRDefault="00773F7B" w:rsidP="00773F7B">
            <w:pPr>
              <w:pStyle w:val="T2"/>
              <w:jc w:val="right"/>
              <w:rPr>
                <w:b/>
              </w:rPr>
            </w:pPr>
            <w:r w:rsidRPr="00377178">
              <w:rPr>
                <w:b/>
              </w:rPr>
              <w:t>£m</w:t>
            </w:r>
          </w:p>
        </w:tc>
        <w:tc>
          <w:tcPr>
            <w:tcW w:w="1020" w:type="dxa"/>
            <w:tcBorders>
              <w:bottom w:val="single" w:sz="2" w:space="0" w:color="auto"/>
            </w:tcBorders>
            <w:vAlign w:val="bottom"/>
          </w:tcPr>
          <w:p w14:paraId="31C57FF3" w14:textId="77777777" w:rsidR="00773F7B" w:rsidRPr="00377178" w:rsidRDefault="00773F7B" w:rsidP="00773F7B">
            <w:pPr>
              <w:pStyle w:val="T2"/>
              <w:jc w:val="right"/>
              <w:rPr>
                <w:b/>
              </w:rPr>
            </w:pPr>
            <w:r w:rsidRPr="00377178">
              <w:rPr>
                <w:b/>
              </w:rPr>
              <w:t>£m</w:t>
            </w:r>
          </w:p>
        </w:tc>
        <w:tc>
          <w:tcPr>
            <w:tcW w:w="847" w:type="dxa"/>
            <w:tcBorders>
              <w:bottom w:val="single" w:sz="2" w:space="0" w:color="auto"/>
            </w:tcBorders>
            <w:vAlign w:val="bottom"/>
          </w:tcPr>
          <w:p w14:paraId="00CA57AF" w14:textId="77777777" w:rsidR="00773F7B" w:rsidRPr="00377178" w:rsidRDefault="00773F7B" w:rsidP="00773F7B">
            <w:pPr>
              <w:pStyle w:val="T2"/>
              <w:jc w:val="right"/>
              <w:rPr>
                <w:b/>
              </w:rPr>
            </w:pPr>
            <w:r w:rsidRPr="00377178">
              <w:rPr>
                <w:b/>
              </w:rPr>
              <w:t>£m</w:t>
            </w:r>
          </w:p>
        </w:tc>
      </w:tr>
      <w:tr w:rsidR="00773F7B" w:rsidRPr="00BD5017" w14:paraId="691DC46F" w14:textId="77777777" w:rsidTr="005B3BEE">
        <w:trPr>
          <w:jc w:val="center"/>
        </w:trPr>
        <w:tc>
          <w:tcPr>
            <w:tcW w:w="4395" w:type="dxa"/>
            <w:tcBorders>
              <w:top w:val="single" w:sz="2" w:space="0" w:color="auto"/>
              <w:bottom w:val="single" w:sz="2" w:space="0" w:color="auto"/>
            </w:tcBorders>
            <w:vAlign w:val="bottom"/>
          </w:tcPr>
          <w:p w14:paraId="2B9973F4" w14:textId="77777777" w:rsidR="00773F7B" w:rsidRPr="00B52070" w:rsidRDefault="00773F7B" w:rsidP="00773F7B">
            <w:pPr>
              <w:pStyle w:val="T2"/>
              <w:jc w:val="left"/>
              <w:rPr>
                <w:b/>
                <w:bCs/>
              </w:rPr>
            </w:pPr>
            <w:r w:rsidRPr="00B52070">
              <w:rPr>
                <w:b/>
                <w:bCs/>
              </w:rPr>
              <w:t>At 27 September 2019</w:t>
            </w:r>
          </w:p>
        </w:tc>
        <w:tc>
          <w:tcPr>
            <w:tcW w:w="709" w:type="dxa"/>
            <w:tcBorders>
              <w:top w:val="single" w:sz="2" w:space="0" w:color="auto"/>
              <w:bottom w:val="single" w:sz="2" w:space="0" w:color="auto"/>
            </w:tcBorders>
            <w:vAlign w:val="bottom"/>
          </w:tcPr>
          <w:p w14:paraId="39023108" w14:textId="77777777" w:rsidR="00773F7B" w:rsidRPr="00BE7FD5" w:rsidRDefault="00773F7B" w:rsidP="00773F7B">
            <w:pPr>
              <w:pStyle w:val="T2"/>
              <w:jc w:val="right"/>
              <w:rPr>
                <w:b/>
                <w:bCs/>
              </w:rPr>
            </w:pPr>
            <w:r w:rsidRPr="00BE7FD5">
              <w:rPr>
                <w:b/>
                <w:bCs/>
              </w:rPr>
              <w:t>4.5</w:t>
            </w:r>
          </w:p>
        </w:tc>
        <w:tc>
          <w:tcPr>
            <w:tcW w:w="992" w:type="dxa"/>
            <w:tcBorders>
              <w:top w:val="single" w:sz="2" w:space="0" w:color="auto"/>
              <w:bottom w:val="single" w:sz="2" w:space="0" w:color="auto"/>
            </w:tcBorders>
            <w:vAlign w:val="bottom"/>
          </w:tcPr>
          <w:p w14:paraId="241FCE22" w14:textId="77777777" w:rsidR="00773F7B" w:rsidRPr="00BE7FD5" w:rsidRDefault="00773F7B" w:rsidP="00773F7B">
            <w:pPr>
              <w:pStyle w:val="T2"/>
              <w:jc w:val="right"/>
              <w:rPr>
                <w:b/>
                <w:bCs/>
              </w:rPr>
            </w:pPr>
            <w:r w:rsidRPr="00BE7FD5">
              <w:rPr>
                <w:b/>
                <w:bCs/>
              </w:rPr>
              <w:t>0.1</w:t>
            </w:r>
          </w:p>
        </w:tc>
        <w:tc>
          <w:tcPr>
            <w:tcW w:w="850" w:type="dxa"/>
            <w:tcBorders>
              <w:top w:val="single" w:sz="2" w:space="0" w:color="auto"/>
              <w:bottom w:val="single" w:sz="2" w:space="0" w:color="auto"/>
            </w:tcBorders>
            <w:vAlign w:val="bottom"/>
          </w:tcPr>
          <w:p w14:paraId="7333BA1A" w14:textId="77777777" w:rsidR="00773F7B" w:rsidRPr="00BD5B9E" w:rsidRDefault="00773F7B" w:rsidP="00773F7B">
            <w:pPr>
              <w:pStyle w:val="T2"/>
              <w:jc w:val="right"/>
              <w:rPr>
                <w:b/>
                <w:bCs/>
              </w:rPr>
            </w:pPr>
            <w:r w:rsidRPr="00BD5B9E">
              <w:rPr>
                <w:b/>
                <w:bCs/>
              </w:rPr>
              <w:t>116.8</w:t>
            </w:r>
          </w:p>
        </w:tc>
        <w:tc>
          <w:tcPr>
            <w:tcW w:w="851" w:type="dxa"/>
            <w:tcBorders>
              <w:top w:val="single" w:sz="2" w:space="0" w:color="auto"/>
              <w:bottom w:val="single" w:sz="2" w:space="0" w:color="auto"/>
            </w:tcBorders>
            <w:vAlign w:val="bottom"/>
          </w:tcPr>
          <w:p w14:paraId="227769CA" w14:textId="77777777" w:rsidR="00773F7B" w:rsidRPr="00EA1A7A" w:rsidRDefault="00773F7B" w:rsidP="00773F7B">
            <w:pPr>
              <w:pStyle w:val="T2"/>
              <w:jc w:val="right"/>
              <w:rPr>
                <w:b/>
                <w:bCs/>
              </w:rPr>
            </w:pPr>
            <w:r w:rsidRPr="0052700C">
              <w:rPr>
                <w:b/>
                <w:bCs/>
              </w:rPr>
              <w:t>178.0</w:t>
            </w:r>
          </w:p>
        </w:tc>
        <w:tc>
          <w:tcPr>
            <w:tcW w:w="826" w:type="dxa"/>
            <w:tcBorders>
              <w:top w:val="single" w:sz="2" w:space="0" w:color="auto"/>
              <w:bottom w:val="single" w:sz="2" w:space="0" w:color="auto"/>
            </w:tcBorders>
            <w:vAlign w:val="bottom"/>
          </w:tcPr>
          <w:p w14:paraId="5A22250D" w14:textId="77777777" w:rsidR="00773F7B" w:rsidRPr="00850427" w:rsidRDefault="00773F7B" w:rsidP="00773F7B">
            <w:pPr>
              <w:pStyle w:val="T2"/>
              <w:jc w:val="right"/>
              <w:rPr>
                <w:b/>
                <w:bCs/>
              </w:rPr>
            </w:pPr>
            <w:r w:rsidRPr="00850427">
              <w:rPr>
                <w:b/>
                <w:bCs/>
              </w:rPr>
              <w:t>299.4</w:t>
            </w:r>
          </w:p>
        </w:tc>
        <w:tc>
          <w:tcPr>
            <w:tcW w:w="1020" w:type="dxa"/>
            <w:tcBorders>
              <w:top w:val="single" w:sz="2" w:space="0" w:color="auto"/>
              <w:bottom w:val="single" w:sz="2" w:space="0" w:color="auto"/>
            </w:tcBorders>
            <w:vAlign w:val="bottom"/>
          </w:tcPr>
          <w:p w14:paraId="6AF4462D" w14:textId="77777777" w:rsidR="00773F7B" w:rsidRPr="00313FBC" w:rsidRDefault="00773F7B" w:rsidP="00773F7B">
            <w:pPr>
              <w:pStyle w:val="T2"/>
              <w:jc w:val="right"/>
              <w:rPr>
                <w:b/>
                <w:bCs/>
              </w:rPr>
            </w:pPr>
            <w:r w:rsidRPr="00313FBC">
              <w:rPr>
                <w:b/>
                <w:bCs/>
              </w:rPr>
              <w:t>6.4</w:t>
            </w:r>
          </w:p>
        </w:tc>
        <w:tc>
          <w:tcPr>
            <w:tcW w:w="847" w:type="dxa"/>
            <w:tcBorders>
              <w:top w:val="single" w:sz="2" w:space="0" w:color="auto"/>
              <w:bottom w:val="single" w:sz="2" w:space="0" w:color="auto"/>
            </w:tcBorders>
            <w:vAlign w:val="bottom"/>
          </w:tcPr>
          <w:p w14:paraId="3835201D" w14:textId="77777777" w:rsidR="00773F7B" w:rsidRPr="00313FBC" w:rsidRDefault="00773F7B" w:rsidP="00773F7B">
            <w:pPr>
              <w:pStyle w:val="T2"/>
              <w:jc w:val="right"/>
              <w:rPr>
                <w:b/>
                <w:bCs/>
              </w:rPr>
            </w:pPr>
            <w:r w:rsidRPr="00313FBC">
              <w:rPr>
                <w:b/>
                <w:bCs/>
              </w:rPr>
              <w:t>305.8</w:t>
            </w:r>
          </w:p>
        </w:tc>
      </w:tr>
      <w:tr w:rsidR="00773F7B" w14:paraId="5B047D20" w14:textId="77777777" w:rsidTr="005B3BEE">
        <w:trPr>
          <w:jc w:val="center"/>
        </w:trPr>
        <w:tc>
          <w:tcPr>
            <w:tcW w:w="4395" w:type="dxa"/>
            <w:tcBorders>
              <w:top w:val="single" w:sz="2" w:space="0" w:color="auto"/>
              <w:bottom w:val="single" w:sz="2" w:space="0" w:color="auto"/>
            </w:tcBorders>
            <w:vAlign w:val="bottom"/>
          </w:tcPr>
          <w:p w14:paraId="3605D69A" w14:textId="77777777" w:rsidR="00773F7B" w:rsidRPr="00E57F3E" w:rsidRDefault="00773F7B" w:rsidP="00773F7B">
            <w:pPr>
              <w:pStyle w:val="T2"/>
              <w:jc w:val="left"/>
            </w:pPr>
            <w:r w:rsidRPr="00E57F3E">
              <w:t xml:space="preserve">IFRS </w:t>
            </w:r>
            <w:r>
              <w:t>16 Leases</w:t>
            </w:r>
            <w:r w:rsidRPr="00E57F3E">
              <w:t xml:space="preserve"> transition </w:t>
            </w:r>
            <w:r w:rsidRPr="00A54FA0">
              <w:t xml:space="preserve">adjustment (note </w:t>
            </w:r>
            <w:r>
              <w:t>2</w:t>
            </w:r>
            <w:r w:rsidRPr="00A54FA0">
              <w:t>)</w:t>
            </w:r>
          </w:p>
        </w:tc>
        <w:tc>
          <w:tcPr>
            <w:tcW w:w="709" w:type="dxa"/>
            <w:tcBorders>
              <w:top w:val="single" w:sz="2" w:space="0" w:color="auto"/>
              <w:bottom w:val="single" w:sz="2" w:space="0" w:color="auto"/>
            </w:tcBorders>
            <w:vAlign w:val="bottom"/>
          </w:tcPr>
          <w:p w14:paraId="1906AA97" w14:textId="77777777" w:rsidR="00773F7B" w:rsidRPr="00377178" w:rsidRDefault="00773F7B" w:rsidP="00773F7B">
            <w:pPr>
              <w:pStyle w:val="T2"/>
              <w:jc w:val="right"/>
              <w:rPr>
                <w:b/>
              </w:rPr>
            </w:pPr>
            <w:r>
              <w:rPr>
                <w:b/>
              </w:rPr>
              <w:t>–</w:t>
            </w:r>
          </w:p>
        </w:tc>
        <w:tc>
          <w:tcPr>
            <w:tcW w:w="992" w:type="dxa"/>
            <w:tcBorders>
              <w:top w:val="single" w:sz="2" w:space="0" w:color="auto"/>
              <w:bottom w:val="single" w:sz="2" w:space="0" w:color="auto"/>
            </w:tcBorders>
            <w:vAlign w:val="bottom"/>
          </w:tcPr>
          <w:p w14:paraId="2FCB11C3" w14:textId="77777777" w:rsidR="00773F7B" w:rsidRPr="00377178" w:rsidRDefault="00773F7B" w:rsidP="00773F7B">
            <w:pPr>
              <w:pStyle w:val="T2"/>
              <w:jc w:val="right"/>
              <w:rPr>
                <w:b/>
              </w:rPr>
            </w:pPr>
            <w:r>
              <w:rPr>
                <w:b/>
              </w:rPr>
              <w:t>–</w:t>
            </w:r>
          </w:p>
        </w:tc>
        <w:tc>
          <w:tcPr>
            <w:tcW w:w="850" w:type="dxa"/>
            <w:tcBorders>
              <w:top w:val="single" w:sz="2" w:space="0" w:color="auto"/>
              <w:bottom w:val="single" w:sz="2" w:space="0" w:color="auto"/>
            </w:tcBorders>
            <w:vAlign w:val="bottom"/>
          </w:tcPr>
          <w:p w14:paraId="1C753471" w14:textId="77777777" w:rsidR="00773F7B" w:rsidRPr="00377178" w:rsidRDefault="00773F7B" w:rsidP="00773F7B">
            <w:pPr>
              <w:pStyle w:val="T2"/>
              <w:jc w:val="right"/>
              <w:rPr>
                <w:b/>
              </w:rPr>
            </w:pPr>
            <w:r>
              <w:rPr>
                <w:b/>
              </w:rPr>
              <w:t>–</w:t>
            </w:r>
          </w:p>
        </w:tc>
        <w:tc>
          <w:tcPr>
            <w:tcW w:w="851" w:type="dxa"/>
            <w:tcBorders>
              <w:top w:val="single" w:sz="2" w:space="0" w:color="auto"/>
              <w:bottom w:val="single" w:sz="2" w:space="0" w:color="auto"/>
            </w:tcBorders>
            <w:vAlign w:val="bottom"/>
          </w:tcPr>
          <w:p w14:paraId="57699B48" w14:textId="77777777" w:rsidR="00773F7B" w:rsidRPr="00FC1DD8" w:rsidRDefault="00773F7B" w:rsidP="00773F7B">
            <w:pPr>
              <w:pStyle w:val="T2"/>
              <w:jc w:val="right"/>
              <w:rPr>
                <w:b/>
              </w:rPr>
            </w:pPr>
            <w:r w:rsidRPr="00FC1DD8">
              <w:rPr>
                <w:b/>
              </w:rPr>
              <w:t>(3.4)</w:t>
            </w:r>
          </w:p>
        </w:tc>
        <w:tc>
          <w:tcPr>
            <w:tcW w:w="826" w:type="dxa"/>
            <w:tcBorders>
              <w:top w:val="single" w:sz="2" w:space="0" w:color="auto"/>
              <w:bottom w:val="single" w:sz="2" w:space="0" w:color="auto"/>
            </w:tcBorders>
            <w:vAlign w:val="bottom"/>
          </w:tcPr>
          <w:p w14:paraId="0976F6E5" w14:textId="77777777" w:rsidR="00773F7B" w:rsidRPr="00FC1DD8" w:rsidRDefault="00773F7B" w:rsidP="00773F7B">
            <w:pPr>
              <w:pStyle w:val="T2"/>
              <w:jc w:val="right"/>
              <w:rPr>
                <w:b/>
              </w:rPr>
            </w:pPr>
            <w:r w:rsidRPr="00FC1DD8">
              <w:rPr>
                <w:b/>
              </w:rPr>
              <w:t>(3.4)</w:t>
            </w:r>
          </w:p>
        </w:tc>
        <w:tc>
          <w:tcPr>
            <w:tcW w:w="1020" w:type="dxa"/>
            <w:tcBorders>
              <w:top w:val="single" w:sz="2" w:space="0" w:color="auto"/>
              <w:bottom w:val="single" w:sz="2" w:space="0" w:color="auto"/>
            </w:tcBorders>
            <w:vAlign w:val="bottom"/>
          </w:tcPr>
          <w:p w14:paraId="33EA6B96" w14:textId="77777777" w:rsidR="00773F7B" w:rsidRPr="00FC1DD8" w:rsidRDefault="00773F7B" w:rsidP="00773F7B">
            <w:pPr>
              <w:pStyle w:val="T2"/>
              <w:jc w:val="right"/>
              <w:rPr>
                <w:b/>
              </w:rPr>
            </w:pPr>
            <w:r w:rsidRPr="00FC1DD8">
              <w:rPr>
                <w:b/>
              </w:rPr>
              <w:t>–</w:t>
            </w:r>
          </w:p>
        </w:tc>
        <w:tc>
          <w:tcPr>
            <w:tcW w:w="847" w:type="dxa"/>
            <w:tcBorders>
              <w:top w:val="single" w:sz="2" w:space="0" w:color="auto"/>
              <w:bottom w:val="single" w:sz="2" w:space="0" w:color="auto"/>
            </w:tcBorders>
            <w:vAlign w:val="bottom"/>
          </w:tcPr>
          <w:p w14:paraId="432E1C67" w14:textId="77777777" w:rsidR="00773F7B" w:rsidRPr="00FC1DD8" w:rsidRDefault="00773F7B" w:rsidP="00773F7B">
            <w:pPr>
              <w:pStyle w:val="T2"/>
              <w:jc w:val="right"/>
              <w:rPr>
                <w:b/>
              </w:rPr>
            </w:pPr>
            <w:r w:rsidRPr="00FC1DD8">
              <w:rPr>
                <w:b/>
              </w:rPr>
              <w:t>(3.4)</w:t>
            </w:r>
          </w:p>
        </w:tc>
      </w:tr>
      <w:tr w:rsidR="00773F7B" w:rsidRPr="00C50E20" w14:paraId="2AB3F406" w14:textId="77777777" w:rsidTr="005B3BEE">
        <w:trPr>
          <w:jc w:val="center"/>
        </w:trPr>
        <w:tc>
          <w:tcPr>
            <w:tcW w:w="4395" w:type="dxa"/>
            <w:tcBorders>
              <w:top w:val="single" w:sz="2" w:space="0" w:color="auto"/>
              <w:bottom w:val="single" w:sz="2" w:space="0" w:color="auto"/>
            </w:tcBorders>
            <w:vAlign w:val="bottom"/>
          </w:tcPr>
          <w:p w14:paraId="56410911" w14:textId="77777777" w:rsidR="00773F7B" w:rsidRPr="00B52070" w:rsidRDefault="00773F7B" w:rsidP="00773F7B">
            <w:pPr>
              <w:pStyle w:val="T2"/>
              <w:jc w:val="left"/>
              <w:rPr>
                <w:b/>
              </w:rPr>
            </w:pPr>
            <w:r w:rsidRPr="00B52070">
              <w:rPr>
                <w:b/>
              </w:rPr>
              <w:t>At 28 September 2019</w:t>
            </w:r>
          </w:p>
        </w:tc>
        <w:tc>
          <w:tcPr>
            <w:tcW w:w="709" w:type="dxa"/>
            <w:tcBorders>
              <w:top w:val="single" w:sz="2" w:space="0" w:color="auto"/>
              <w:bottom w:val="single" w:sz="2" w:space="0" w:color="auto"/>
            </w:tcBorders>
            <w:vAlign w:val="bottom"/>
          </w:tcPr>
          <w:p w14:paraId="1805C637" w14:textId="77777777" w:rsidR="00773F7B" w:rsidRPr="00AB2673" w:rsidRDefault="00773F7B" w:rsidP="00773F7B">
            <w:pPr>
              <w:pStyle w:val="T2"/>
              <w:jc w:val="right"/>
              <w:rPr>
                <w:b/>
                <w:bCs/>
              </w:rPr>
            </w:pPr>
            <w:r w:rsidRPr="00AB2673">
              <w:rPr>
                <w:b/>
                <w:bCs/>
              </w:rPr>
              <w:t>4.5</w:t>
            </w:r>
          </w:p>
        </w:tc>
        <w:tc>
          <w:tcPr>
            <w:tcW w:w="992" w:type="dxa"/>
            <w:tcBorders>
              <w:top w:val="single" w:sz="2" w:space="0" w:color="auto"/>
              <w:bottom w:val="single" w:sz="2" w:space="0" w:color="auto"/>
            </w:tcBorders>
            <w:vAlign w:val="bottom"/>
          </w:tcPr>
          <w:p w14:paraId="3091FB2E" w14:textId="77777777" w:rsidR="00773F7B" w:rsidRPr="00AB2673" w:rsidRDefault="00773F7B" w:rsidP="00773F7B">
            <w:pPr>
              <w:pStyle w:val="T2"/>
              <w:jc w:val="right"/>
              <w:rPr>
                <w:b/>
                <w:bCs/>
              </w:rPr>
            </w:pPr>
            <w:r w:rsidRPr="00AB2673">
              <w:rPr>
                <w:b/>
                <w:bCs/>
              </w:rPr>
              <w:t>0.1</w:t>
            </w:r>
          </w:p>
        </w:tc>
        <w:tc>
          <w:tcPr>
            <w:tcW w:w="850" w:type="dxa"/>
            <w:tcBorders>
              <w:top w:val="single" w:sz="2" w:space="0" w:color="auto"/>
              <w:bottom w:val="single" w:sz="2" w:space="0" w:color="auto"/>
            </w:tcBorders>
            <w:vAlign w:val="bottom"/>
          </w:tcPr>
          <w:p w14:paraId="6B5DED53" w14:textId="77777777" w:rsidR="00773F7B" w:rsidRPr="00AB2673" w:rsidRDefault="00773F7B" w:rsidP="00773F7B">
            <w:pPr>
              <w:pStyle w:val="T2"/>
              <w:jc w:val="right"/>
              <w:rPr>
                <w:b/>
                <w:bCs/>
              </w:rPr>
            </w:pPr>
            <w:r w:rsidRPr="00AB2673">
              <w:rPr>
                <w:b/>
                <w:bCs/>
              </w:rPr>
              <w:t>116.8</w:t>
            </w:r>
          </w:p>
        </w:tc>
        <w:tc>
          <w:tcPr>
            <w:tcW w:w="851" w:type="dxa"/>
            <w:tcBorders>
              <w:top w:val="single" w:sz="2" w:space="0" w:color="auto"/>
              <w:bottom w:val="single" w:sz="2" w:space="0" w:color="auto"/>
            </w:tcBorders>
            <w:vAlign w:val="bottom"/>
          </w:tcPr>
          <w:p w14:paraId="0D666C49" w14:textId="77777777" w:rsidR="00773F7B" w:rsidRPr="00AB2673" w:rsidRDefault="00773F7B" w:rsidP="00773F7B">
            <w:pPr>
              <w:pStyle w:val="T2"/>
              <w:jc w:val="right"/>
              <w:rPr>
                <w:b/>
                <w:bCs/>
              </w:rPr>
            </w:pPr>
            <w:r w:rsidRPr="00AB2673">
              <w:rPr>
                <w:b/>
                <w:bCs/>
              </w:rPr>
              <w:t>17</w:t>
            </w:r>
            <w:r>
              <w:rPr>
                <w:b/>
                <w:bCs/>
              </w:rPr>
              <w:t>4.6</w:t>
            </w:r>
          </w:p>
        </w:tc>
        <w:tc>
          <w:tcPr>
            <w:tcW w:w="826" w:type="dxa"/>
            <w:tcBorders>
              <w:top w:val="single" w:sz="2" w:space="0" w:color="auto"/>
              <w:bottom w:val="single" w:sz="2" w:space="0" w:color="auto"/>
            </w:tcBorders>
            <w:vAlign w:val="bottom"/>
          </w:tcPr>
          <w:p w14:paraId="2D54EBFC" w14:textId="77777777" w:rsidR="00773F7B" w:rsidRPr="00AB2673" w:rsidRDefault="00773F7B" w:rsidP="00773F7B">
            <w:pPr>
              <w:pStyle w:val="T2"/>
              <w:jc w:val="right"/>
              <w:rPr>
                <w:b/>
                <w:bCs/>
              </w:rPr>
            </w:pPr>
            <w:r w:rsidRPr="00AB2673">
              <w:rPr>
                <w:b/>
                <w:bCs/>
              </w:rPr>
              <w:t>29</w:t>
            </w:r>
            <w:r>
              <w:rPr>
                <w:b/>
                <w:bCs/>
              </w:rPr>
              <w:t>6.0</w:t>
            </w:r>
          </w:p>
        </w:tc>
        <w:tc>
          <w:tcPr>
            <w:tcW w:w="1020" w:type="dxa"/>
            <w:tcBorders>
              <w:top w:val="single" w:sz="2" w:space="0" w:color="auto"/>
              <w:bottom w:val="single" w:sz="2" w:space="0" w:color="auto"/>
            </w:tcBorders>
            <w:vAlign w:val="bottom"/>
          </w:tcPr>
          <w:p w14:paraId="2DEDF69E" w14:textId="77777777" w:rsidR="00773F7B" w:rsidRPr="00AB2673" w:rsidRDefault="00773F7B" w:rsidP="00773F7B">
            <w:pPr>
              <w:pStyle w:val="T2"/>
              <w:jc w:val="right"/>
              <w:rPr>
                <w:b/>
                <w:bCs/>
              </w:rPr>
            </w:pPr>
            <w:r w:rsidRPr="00AB2673">
              <w:rPr>
                <w:b/>
                <w:bCs/>
              </w:rPr>
              <w:t>6.4</w:t>
            </w:r>
          </w:p>
        </w:tc>
        <w:tc>
          <w:tcPr>
            <w:tcW w:w="847" w:type="dxa"/>
            <w:tcBorders>
              <w:top w:val="single" w:sz="2" w:space="0" w:color="auto"/>
              <w:bottom w:val="single" w:sz="2" w:space="0" w:color="auto"/>
            </w:tcBorders>
            <w:vAlign w:val="bottom"/>
          </w:tcPr>
          <w:p w14:paraId="1D1ADD99" w14:textId="77777777" w:rsidR="00773F7B" w:rsidRPr="00AB2673" w:rsidRDefault="00773F7B" w:rsidP="00773F7B">
            <w:pPr>
              <w:pStyle w:val="T2"/>
              <w:jc w:val="right"/>
              <w:rPr>
                <w:b/>
                <w:bCs/>
              </w:rPr>
            </w:pPr>
            <w:r w:rsidRPr="00AB2673">
              <w:rPr>
                <w:b/>
                <w:bCs/>
              </w:rPr>
              <w:t>30</w:t>
            </w:r>
            <w:r>
              <w:rPr>
                <w:b/>
                <w:bCs/>
              </w:rPr>
              <w:t>2.4</w:t>
            </w:r>
          </w:p>
        </w:tc>
      </w:tr>
      <w:tr w:rsidR="00773F7B" w:rsidRPr="00C50E20" w14:paraId="1DAEF070" w14:textId="77777777" w:rsidTr="005B3BEE">
        <w:trPr>
          <w:jc w:val="center"/>
        </w:trPr>
        <w:tc>
          <w:tcPr>
            <w:tcW w:w="4395" w:type="dxa"/>
            <w:tcBorders>
              <w:top w:val="single" w:sz="2" w:space="0" w:color="auto"/>
            </w:tcBorders>
            <w:vAlign w:val="bottom"/>
          </w:tcPr>
          <w:p w14:paraId="54A561EB" w14:textId="77777777" w:rsidR="00773F7B" w:rsidRPr="005D0EFF" w:rsidRDefault="00773F7B" w:rsidP="00773F7B">
            <w:pPr>
              <w:pStyle w:val="T2"/>
              <w:jc w:val="left"/>
              <w:rPr>
                <w:bCs/>
              </w:rPr>
            </w:pPr>
            <w:r w:rsidRPr="005D0EFF">
              <w:rPr>
                <w:bCs/>
              </w:rPr>
              <w:t>Items of income and expense taken directly to equity</w:t>
            </w:r>
          </w:p>
        </w:tc>
        <w:tc>
          <w:tcPr>
            <w:tcW w:w="709" w:type="dxa"/>
            <w:tcBorders>
              <w:top w:val="single" w:sz="2" w:space="0" w:color="auto"/>
            </w:tcBorders>
            <w:vAlign w:val="bottom"/>
          </w:tcPr>
          <w:p w14:paraId="67AA691B" w14:textId="77777777" w:rsidR="00773F7B" w:rsidRPr="005D0EFF" w:rsidRDefault="00773F7B" w:rsidP="00773F7B">
            <w:pPr>
              <w:pStyle w:val="T2"/>
              <w:jc w:val="right"/>
              <w:rPr>
                <w:bCs/>
              </w:rPr>
            </w:pPr>
          </w:p>
        </w:tc>
        <w:tc>
          <w:tcPr>
            <w:tcW w:w="992" w:type="dxa"/>
            <w:tcBorders>
              <w:top w:val="single" w:sz="2" w:space="0" w:color="auto"/>
            </w:tcBorders>
            <w:vAlign w:val="bottom"/>
          </w:tcPr>
          <w:p w14:paraId="0F8F30DD" w14:textId="77777777" w:rsidR="00773F7B" w:rsidRPr="005D0EFF" w:rsidRDefault="00773F7B" w:rsidP="00773F7B">
            <w:pPr>
              <w:pStyle w:val="T2"/>
              <w:jc w:val="right"/>
              <w:rPr>
                <w:bCs/>
              </w:rPr>
            </w:pPr>
          </w:p>
        </w:tc>
        <w:tc>
          <w:tcPr>
            <w:tcW w:w="850" w:type="dxa"/>
            <w:tcBorders>
              <w:top w:val="single" w:sz="2" w:space="0" w:color="auto"/>
            </w:tcBorders>
            <w:vAlign w:val="bottom"/>
          </w:tcPr>
          <w:p w14:paraId="03525206" w14:textId="77777777" w:rsidR="00773F7B" w:rsidRPr="005D0EFF" w:rsidRDefault="00773F7B" w:rsidP="00773F7B">
            <w:pPr>
              <w:pStyle w:val="T2"/>
              <w:jc w:val="right"/>
              <w:rPr>
                <w:bCs/>
              </w:rPr>
            </w:pPr>
          </w:p>
        </w:tc>
        <w:tc>
          <w:tcPr>
            <w:tcW w:w="851" w:type="dxa"/>
            <w:tcBorders>
              <w:top w:val="single" w:sz="2" w:space="0" w:color="auto"/>
            </w:tcBorders>
            <w:vAlign w:val="bottom"/>
          </w:tcPr>
          <w:p w14:paraId="08216B74" w14:textId="77777777" w:rsidR="00773F7B" w:rsidRPr="005D0EFF" w:rsidRDefault="00773F7B" w:rsidP="00773F7B">
            <w:pPr>
              <w:pStyle w:val="T2"/>
              <w:jc w:val="right"/>
              <w:rPr>
                <w:bCs/>
              </w:rPr>
            </w:pPr>
          </w:p>
        </w:tc>
        <w:tc>
          <w:tcPr>
            <w:tcW w:w="826" w:type="dxa"/>
            <w:tcBorders>
              <w:top w:val="single" w:sz="2" w:space="0" w:color="auto"/>
            </w:tcBorders>
            <w:vAlign w:val="bottom"/>
          </w:tcPr>
          <w:p w14:paraId="0523E842" w14:textId="77777777" w:rsidR="00773F7B" w:rsidRPr="005D0EFF" w:rsidRDefault="00773F7B" w:rsidP="00773F7B">
            <w:pPr>
              <w:pStyle w:val="T2"/>
              <w:jc w:val="right"/>
              <w:rPr>
                <w:bCs/>
              </w:rPr>
            </w:pPr>
          </w:p>
        </w:tc>
        <w:tc>
          <w:tcPr>
            <w:tcW w:w="1020" w:type="dxa"/>
            <w:tcBorders>
              <w:top w:val="single" w:sz="2" w:space="0" w:color="auto"/>
            </w:tcBorders>
            <w:vAlign w:val="bottom"/>
          </w:tcPr>
          <w:p w14:paraId="4D91EF67" w14:textId="77777777" w:rsidR="00773F7B" w:rsidRPr="005D0EFF" w:rsidRDefault="00773F7B" w:rsidP="00773F7B">
            <w:pPr>
              <w:pStyle w:val="T2"/>
              <w:jc w:val="right"/>
              <w:rPr>
                <w:bCs/>
              </w:rPr>
            </w:pPr>
          </w:p>
        </w:tc>
        <w:tc>
          <w:tcPr>
            <w:tcW w:w="847" w:type="dxa"/>
            <w:tcBorders>
              <w:top w:val="single" w:sz="2" w:space="0" w:color="auto"/>
            </w:tcBorders>
            <w:vAlign w:val="bottom"/>
          </w:tcPr>
          <w:p w14:paraId="729A1F48" w14:textId="77777777" w:rsidR="00773F7B" w:rsidRPr="005D0EFF" w:rsidRDefault="00773F7B" w:rsidP="00773F7B">
            <w:pPr>
              <w:pStyle w:val="T2"/>
              <w:jc w:val="right"/>
              <w:rPr>
                <w:bCs/>
              </w:rPr>
            </w:pPr>
          </w:p>
        </w:tc>
      </w:tr>
      <w:tr w:rsidR="00773F7B" w:rsidRPr="00C50E20" w14:paraId="44AEBFA0" w14:textId="77777777" w:rsidTr="005B3BEE">
        <w:trPr>
          <w:jc w:val="center"/>
        </w:trPr>
        <w:tc>
          <w:tcPr>
            <w:tcW w:w="4395" w:type="dxa"/>
            <w:vAlign w:val="bottom"/>
          </w:tcPr>
          <w:p w14:paraId="5B4AC616" w14:textId="77777777" w:rsidR="00773F7B" w:rsidRPr="00006931" w:rsidRDefault="00773F7B" w:rsidP="00773F7B">
            <w:pPr>
              <w:pStyle w:val="T2"/>
              <w:jc w:val="left"/>
              <w:rPr>
                <w:bCs/>
              </w:rPr>
            </w:pPr>
            <w:r w:rsidRPr="00006931">
              <w:rPr>
                <w:bCs/>
              </w:rPr>
              <w:t>Currency translation adjustment</w:t>
            </w:r>
          </w:p>
        </w:tc>
        <w:tc>
          <w:tcPr>
            <w:tcW w:w="709" w:type="dxa"/>
            <w:vAlign w:val="bottom"/>
          </w:tcPr>
          <w:p w14:paraId="5E9E2C2E" w14:textId="77777777" w:rsidR="00773F7B" w:rsidRPr="00BB318F" w:rsidRDefault="00773F7B" w:rsidP="00773F7B">
            <w:pPr>
              <w:pStyle w:val="T2"/>
              <w:jc w:val="right"/>
              <w:rPr>
                <w:b/>
                <w:bCs/>
              </w:rPr>
            </w:pPr>
            <w:r>
              <w:rPr>
                <w:b/>
                <w:bCs/>
              </w:rPr>
              <w:t>–</w:t>
            </w:r>
          </w:p>
        </w:tc>
        <w:tc>
          <w:tcPr>
            <w:tcW w:w="992" w:type="dxa"/>
            <w:vAlign w:val="bottom"/>
          </w:tcPr>
          <w:p w14:paraId="7511DA04" w14:textId="77777777" w:rsidR="00773F7B" w:rsidRPr="00BB318F" w:rsidRDefault="00773F7B" w:rsidP="00773F7B">
            <w:pPr>
              <w:pStyle w:val="T2"/>
              <w:jc w:val="right"/>
              <w:rPr>
                <w:b/>
                <w:bCs/>
              </w:rPr>
            </w:pPr>
            <w:r>
              <w:rPr>
                <w:b/>
                <w:bCs/>
              </w:rPr>
              <w:t>–</w:t>
            </w:r>
          </w:p>
        </w:tc>
        <w:tc>
          <w:tcPr>
            <w:tcW w:w="850" w:type="dxa"/>
            <w:vAlign w:val="bottom"/>
          </w:tcPr>
          <w:p w14:paraId="48E5CE94" w14:textId="77777777" w:rsidR="00773F7B" w:rsidRPr="00BB318F" w:rsidRDefault="00773F7B" w:rsidP="00773F7B">
            <w:pPr>
              <w:pStyle w:val="T2"/>
              <w:jc w:val="right"/>
              <w:rPr>
                <w:b/>
                <w:bCs/>
              </w:rPr>
            </w:pPr>
            <w:r>
              <w:rPr>
                <w:b/>
                <w:bCs/>
              </w:rPr>
              <w:t>1.0</w:t>
            </w:r>
          </w:p>
        </w:tc>
        <w:tc>
          <w:tcPr>
            <w:tcW w:w="851" w:type="dxa"/>
            <w:vAlign w:val="bottom"/>
          </w:tcPr>
          <w:p w14:paraId="3332D8CF" w14:textId="77777777" w:rsidR="00773F7B" w:rsidRPr="00BB318F" w:rsidRDefault="00773F7B" w:rsidP="00773F7B">
            <w:pPr>
              <w:pStyle w:val="T2"/>
              <w:jc w:val="right"/>
              <w:rPr>
                <w:b/>
                <w:bCs/>
              </w:rPr>
            </w:pPr>
            <w:r>
              <w:rPr>
                <w:b/>
                <w:bCs/>
              </w:rPr>
              <w:t>–</w:t>
            </w:r>
          </w:p>
        </w:tc>
        <w:tc>
          <w:tcPr>
            <w:tcW w:w="826" w:type="dxa"/>
            <w:vAlign w:val="bottom"/>
          </w:tcPr>
          <w:p w14:paraId="40B45D42" w14:textId="77777777" w:rsidR="00773F7B" w:rsidRPr="00BB318F" w:rsidRDefault="00773F7B" w:rsidP="00773F7B">
            <w:pPr>
              <w:pStyle w:val="T2"/>
              <w:jc w:val="right"/>
              <w:rPr>
                <w:b/>
                <w:bCs/>
              </w:rPr>
            </w:pPr>
            <w:r>
              <w:rPr>
                <w:b/>
                <w:bCs/>
              </w:rPr>
              <w:t>1.0</w:t>
            </w:r>
          </w:p>
        </w:tc>
        <w:tc>
          <w:tcPr>
            <w:tcW w:w="1020" w:type="dxa"/>
            <w:vAlign w:val="bottom"/>
          </w:tcPr>
          <w:p w14:paraId="626A8192" w14:textId="77777777" w:rsidR="00773F7B" w:rsidRPr="00BB318F" w:rsidRDefault="00773F7B" w:rsidP="00773F7B">
            <w:pPr>
              <w:pStyle w:val="T2"/>
              <w:jc w:val="right"/>
              <w:rPr>
                <w:b/>
                <w:bCs/>
              </w:rPr>
            </w:pPr>
            <w:r>
              <w:rPr>
                <w:b/>
                <w:bCs/>
              </w:rPr>
              <w:t>–</w:t>
            </w:r>
          </w:p>
        </w:tc>
        <w:tc>
          <w:tcPr>
            <w:tcW w:w="847" w:type="dxa"/>
            <w:vAlign w:val="bottom"/>
          </w:tcPr>
          <w:p w14:paraId="2AF99AA7" w14:textId="77777777" w:rsidR="00773F7B" w:rsidRPr="00BB318F" w:rsidRDefault="00773F7B" w:rsidP="00773F7B">
            <w:pPr>
              <w:pStyle w:val="T2"/>
              <w:jc w:val="right"/>
              <w:rPr>
                <w:b/>
                <w:bCs/>
              </w:rPr>
            </w:pPr>
            <w:r>
              <w:rPr>
                <w:b/>
                <w:bCs/>
              </w:rPr>
              <w:t>1.0</w:t>
            </w:r>
          </w:p>
        </w:tc>
      </w:tr>
      <w:tr w:rsidR="00773F7B" w:rsidRPr="00C50E20" w14:paraId="1245C682" w14:textId="77777777" w:rsidTr="005B3BEE">
        <w:trPr>
          <w:jc w:val="center"/>
        </w:trPr>
        <w:tc>
          <w:tcPr>
            <w:tcW w:w="4395" w:type="dxa"/>
            <w:vAlign w:val="bottom"/>
          </w:tcPr>
          <w:p w14:paraId="7EFA377C" w14:textId="77777777" w:rsidR="00773F7B" w:rsidRPr="00006931" w:rsidRDefault="00773F7B" w:rsidP="00773F7B">
            <w:pPr>
              <w:pStyle w:val="T2"/>
              <w:jc w:val="left"/>
              <w:rPr>
                <w:rFonts w:ascii="Calibri" w:hAnsi="Calibri" w:cs="Calibri"/>
                <w:bCs/>
              </w:rPr>
            </w:pPr>
            <w:r w:rsidRPr="00006931">
              <w:rPr>
                <w:rFonts w:ascii="Calibri" w:hAnsi="Calibri" w:cs="Calibri"/>
                <w:bCs/>
              </w:rPr>
              <w:t>Cashflow hedge fair value movement taken to equity</w:t>
            </w:r>
          </w:p>
        </w:tc>
        <w:tc>
          <w:tcPr>
            <w:tcW w:w="709" w:type="dxa"/>
            <w:vAlign w:val="bottom"/>
          </w:tcPr>
          <w:p w14:paraId="602F927F" w14:textId="77777777" w:rsidR="00773F7B" w:rsidRPr="00BB318F" w:rsidRDefault="00773F7B" w:rsidP="00773F7B">
            <w:pPr>
              <w:pStyle w:val="T2"/>
              <w:jc w:val="right"/>
              <w:rPr>
                <w:rFonts w:ascii="Calibri" w:hAnsi="Calibri" w:cs="Calibri"/>
                <w:b/>
                <w:bCs/>
              </w:rPr>
            </w:pPr>
            <w:r>
              <w:rPr>
                <w:rFonts w:ascii="Calibri" w:hAnsi="Calibri" w:cs="Calibri"/>
                <w:b/>
                <w:bCs/>
              </w:rPr>
              <w:t>–</w:t>
            </w:r>
          </w:p>
        </w:tc>
        <w:tc>
          <w:tcPr>
            <w:tcW w:w="992" w:type="dxa"/>
            <w:vAlign w:val="bottom"/>
          </w:tcPr>
          <w:p w14:paraId="1C13F51F" w14:textId="77777777" w:rsidR="00773F7B" w:rsidRPr="00BB318F" w:rsidRDefault="00773F7B" w:rsidP="00773F7B">
            <w:pPr>
              <w:pStyle w:val="T2"/>
              <w:jc w:val="right"/>
              <w:rPr>
                <w:rFonts w:ascii="Calibri" w:hAnsi="Calibri" w:cs="Calibri"/>
                <w:b/>
                <w:bCs/>
              </w:rPr>
            </w:pPr>
            <w:r>
              <w:rPr>
                <w:rFonts w:ascii="Calibri" w:hAnsi="Calibri" w:cs="Calibri"/>
                <w:b/>
                <w:bCs/>
              </w:rPr>
              <w:t>–</w:t>
            </w:r>
          </w:p>
        </w:tc>
        <w:tc>
          <w:tcPr>
            <w:tcW w:w="850" w:type="dxa"/>
            <w:vAlign w:val="bottom"/>
          </w:tcPr>
          <w:p w14:paraId="44AF57B7" w14:textId="77777777" w:rsidR="00773F7B" w:rsidRPr="00BB318F" w:rsidRDefault="00773F7B" w:rsidP="00773F7B">
            <w:pPr>
              <w:pStyle w:val="T2"/>
              <w:jc w:val="right"/>
              <w:rPr>
                <w:rFonts w:ascii="Calibri" w:hAnsi="Calibri" w:cs="Calibri"/>
                <w:b/>
                <w:bCs/>
              </w:rPr>
            </w:pPr>
            <w:r w:rsidRPr="00BB318F">
              <w:rPr>
                <w:rFonts w:ascii="Calibri" w:hAnsi="Calibri" w:cs="Calibri"/>
                <w:b/>
                <w:bCs/>
              </w:rPr>
              <w:t>2.</w:t>
            </w:r>
            <w:r>
              <w:rPr>
                <w:rFonts w:ascii="Calibri" w:hAnsi="Calibri" w:cs="Calibri"/>
                <w:b/>
                <w:bCs/>
              </w:rPr>
              <w:t>4</w:t>
            </w:r>
          </w:p>
        </w:tc>
        <w:tc>
          <w:tcPr>
            <w:tcW w:w="851" w:type="dxa"/>
            <w:vAlign w:val="bottom"/>
          </w:tcPr>
          <w:p w14:paraId="15C4DCD4" w14:textId="77777777" w:rsidR="00773F7B" w:rsidRPr="00BB318F" w:rsidRDefault="00773F7B" w:rsidP="00773F7B">
            <w:pPr>
              <w:pStyle w:val="T2"/>
              <w:jc w:val="right"/>
              <w:rPr>
                <w:rFonts w:ascii="Calibri" w:hAnsi="Calibri" w:cs="Calibri"/>
                <w:b/>
                <w:bCs/>
              </w:rPr>
            </w:pPr>
            <w:r>
              <w:rPr>
                <w:rFonts w:ascii="Calibri" w:hAnsi="Calibri" w:cs="Calibri"/>
                <w:b/>
                <w:bCs/>
              </w:rPr>
              <w:t>–</w:t>
            </w:r>
          </w:p>
        </w:tc>
        <w:tc>
          <w:tcPr>
            <w:tcW w:w="826" w:type="dxa"/>
            <w:vAlign w:val="bottom"/>
          </w:tcPr>
          <w:p w14:paraId="3C586039" w14:textId="77777777" w:rsidR="00773F7B" w:rsidRPr="00BB318F" w:rsidRDefault="00773F7B" w:rsidP="00773F7B">
            <w:pPr>
              <w:pStyle w:val="T2"/>
              <w:jc w:val="right"/>
              <w:rPr>
                <w:rFonts w:ascii="Calibri" w:hAnsi="Calibri" w:cs="Calibri"/>
                <w:b/>
                <w:bCs/>
              </w:rPr>
            </w:pPr>
            <w:r w:rsidRPr="00BB318F">
              <w:rPr>
                <w:rFonts w:ascii="Calibri" w:hAnsi="Calibri" w:cs="Calibri"/>
                <w:b/>
                <w:bCs/>
              </w:rPr>
              <w:t>2.</w:t>
            </w:r>
            <w:r>
              <w:rPr>
                <w:rFonts w:ascii="Calibri" w:hAnsi="Calibri" w:cs="Calibri"/>
                <w:b/>
                <w:bCs/>
              </w:rPr>
              <w:t>4</w:t>
            </w:r>
          </w:p>
        </w:tc>
        <w:tc>
          <w:tcPr>
            <w:tcW w:w="1020" w:type="dxa"/>
            <w:vAlign w:val="bottom"/>
          </w:tcPr>
          <w:p w14:paraId="25702ED2" w14:textId="77777777" w:rsidR="00773F7B" w:rsidRPr="00BB318F" w:rsidRDefault="00773F7B" w:rsidP="00773F7B">
            <w:pPr>
              <w:pStyle w:val="T2"/>
              <w:jc w:val="right"/>
              <w:rPr>
                <w:rFonts w:ascii="Calibri" w:hAnsi="Calibri" w:cs="Calibri"/>
                <w:b/>
                <w:bCs/>
              </w:rPr>
            </w:pPr>
            <w:r>
              <w:rPr>
                <w:rFonts w:ascii="Calibri" w:hAnsi="Calibri" w:cs="Calibri"/>
                <w:b/>
                <w:bCs/>
              </w:rPr>
              <w:t>–</w:t>
            </w:r>
          </w:p>
        </w:tc>
        <w:tc>
          <w:tcPr>
            <w:tcW w:w="847" w:type="dxa"/>
            <w:vAlign w:val="bottom"/>
          </w:tcPr>
          <w:p w14:paraId="5BC0E609" w14:textId="77777777" w:rsidR="00773F7B" w:rsidRPr="00BB318F" w:rsidRDefault="00773F7B" w:rsidP="00773F7B">
            <w:pPr>
              <w:pStyle w:val="T2"/>
              <w:jc w:val="right"/>
              <w:rPr>
                <w:rFonts w:ascii="Calibri" w:hAnsi="Calibri" w:cs="Calibri"/>
                <w:b/>
                <w:bCs/>
              </w:rPr>
            </w:pPr>
            <w:r w:rsidRPr="00BB318F">
              <w:rPr>
                <w:rFonts w:ascii="Calibri" w:hAnsi="Calibri" w:cs="Calibri"/>
                <w:b/>
                <w:bCs/>
              </w:rPr>
              <w:t>2.</w:t>
            </w:r>
            <w:r>
              <w:rPr>
                <w:rFonts w:ascii="Calibri" w:hAnsi="Calibri" w:cs="Calibri"/>
                <w:b/>
                <w:bCs/>
              </w:rPr>
              <w:t>4</w:t>
            </w:r>
          </w:p>
        </w:tc>
      </w:tr>
      <w:tr w:rsidR="00773F7B" w:rsidRPr="00C50E20" w14:paraId="77DBC193" w14:textId="77777777" w:rsidTr="005B3BEE">
        <w:trPr>
          <w:jc w:val="center"/>
        </w:trPr>
        <w:tc>
          <w:tcPr>
            <w:tcW w:w="4395" w:type="dxa"/>
            <w:vAlign w:val="bottom"/>
          </w:tcPr>
          <w:p w14:paraId="19DD1789" w14:textId="77777777" w:rsidR="00773F7B" w:rsidRPr="00006931" w:rsidRDefault="00773F7B" w:rsidP="00773F7B">
            <w:pPr>
              <w:pStyle w:val="T2"/>
              <w:jc w:val="left"/>
              <w:rPr>
                <w:rFonts w:ascii="Calibri" w:hAnsi="Calibri" w:cs="Calibri"/>
                <w:bCs/>
              </w:rPr>
            </w:pPr>
            <w:r w:rsidRPr="00006931">
              <w:rPr>
                <w:rFonts w:ascii="Calibri" w:hAnsi="Calibri" w:cs="Calibri"/>
                <w:bCs/>
              </w:rPr>
              <w:t>Cashflow hedge transferred to Income Statement</w:t>
            </w:r>
          </w:p>
        </w:tc>
        <w:tc>
          <w:tcPr>
            <w:tcW w:w="709" w:type="dxa"/>
            <w:vAlign w:val="bottom"/>
          </w:tcPr>
          <w:p w14:paraId="51DC9FFC" w14:textId="77777777" w:rsidR="00773F7B" w:rsidRPr="00BB318F" w:rsidRDefault="00773F7B" w:rsidP="00773F7B">
            <w:pPr>
              <w:pStyle w:val="T2"/>
              <w:jc w:val="right"/>
              <w:rPr>
                <w:rFonts w:ascii="Calibri" w:hAnsi="Calibri" w:cs="Calibri"/>
                <w:b/>
                <w:bCs/>
              </w:rPr>
            </w:pPr>
            <w:r>
              <w:rPr>
                <w:rFonts w:ascii="Calibri" w:hAnsi="Calibri" w:cs="Calibri"/>
                <w:b/>
                <w:bCs/>
              </w:rPr>
              <w:t>–</w:t>
            </w:r>
          </w:p>
        </w:tc>
        <w:tc>
          <w:tcPr>
            <w:tcW w:w="992" w:type="dxa"/>
            <w:vAlign w:val="bottom"/>
          </w:tcPr>
          <w:p w14:paraId="17F26FC0" w14:textId="77777777" w:rsidR="00773F7B" w:rsidRPr="00BB318F" w:rsidRDefault="00773F7B" w:rsidP="00773F7B">
            <w:pPr>
              <w:pStyle w:val="T2"/>
              <w:jc w:val="right"/>
              <w:rPr>
                <w:rFonts w:ascii="Calibri" w:hAnsi="Calibri" w:cs="Calibri"/>
                <w:b/>
                <w:bCs/>
              </w:rPr>
            </w:pPr>
            <w:r>
              <w:rPr>
                <w:rFonts w:ascii="Calibri" w:hAnsi="Calibri" w:cs="Calibri"/>
                <w:b/>
                <w:bCs/>
              </w:rPr>
              <w:t>–</w:t>
            </w:r>
          </w:p>
        </w:tc>
        <w:tc>
          <w:tcPr>
            <w:tcW w:w="850" w:type="dxa"/>
            <w:vAlign w:val="bottom"/>
          </w:tcPr>
          <w:p w14:paraId="4AB5CD20" w14:textId="77777777" w:rsidR="00773F7B" w:rsidRPr="00BB318F" w:rsidRDefault="00773F7B" w:rsidP="00773F7B">
            <w:pPr>
              <w:pStyle w:val="T2"/>
              <w:jc w:val="right"/>
              <w:rPr>
                <w:rFonts w:ascii="Calibri" w:hAnsi="Calibri" w:cs="Calibri"/>
                <w:b/>
                <w:bCs/>
              </w:rPr>
            </w:pPr>
            <w:r w:rsidRPr="00BB318F">
              <w:rPr>
                <w:rFonts w:ascii="Calibri" w:hAnsi="Calibri" w:cs="Calibri"/>
                <w:b/>
                <w:bCs/>
              </w:rPr>
              <w:t>0.1</w:t>
            </w:r>
          </w:p>
        </w:tc>
        <w:tc>
          <w:tcPr>
            <w:tcW w:w="851" w:type="dxa"/>
            <w:vAlign w:val="bottom"/>
          </w:tcPr>
          <w:p w14:paraId="3B8B1D31" w14:textId="77777777" w:rsidR="00773F7B" w:rsidRPr="00BB318F" w:rsidRDefault="00773F7B" w:rsidP="00773F7B">
            <w:pPr>
              <w:pStyle w:val="T2"/>
              <w:jc w:val="right"/>
              <w:rPr>
                <w:rFonts w:ascii="Calibri" w:hAnsi="Calibri" w:cs="Calibri"/>
                <w:b/>
                <w:bCs/>
              </w:rPr>
            </w:pPr>
            <w:r>
              <w:rPr>
                <w:rFonts w:ascii="Calibri" w:hAnsi="Calibri" w:cs="Calibri"/>
                <w:b/>
                <w:bCs/>
              </w:rPr>
              <w:t>–</w:t>
            </w:r>
          </w:p>
        </w:tc>
        <w:tc>
          <w:tcPr>
            <w:tcW w:w="826" w:type="dxa"/>
            <w:vAlign w:val="bottom"/>
          </w:tcPr>
          <w:p w14:paraId="62EBAF19" w14:textId="77777777" w:rsidR="00773F7B" w:rsidRPr="00BB318F" w:rsidRDefault="00773F7B" w:rsidP="00773F7B">
            <w:pPr>
              <w:pStyle w:val="T2"/>
              <w:jc w:val="right"/>
              <w:rPr>
                <w:rFonts w:ascii="Calibri" w:hAnsi="Calibri" w:cs="Calibri"/>
                <w:b/>
                <w:bCs/>
              </w:rPr>
            </w:pPr>
            <w:r w:rsidRPr="00BB318F">
              <w:rPr>
                <w:rFonts w:ascii="Calibri" w:hAnsi="Calibri" w:cs="Calibri"/>
                <w:b/>
                <w:bCs/>
              </w:rPr>
              <w:t>0.1</w:t>
            </w:r>
          </w:p>
        </w:tc>
        <w:tc>
          <w:tcPr>
            <w:tcW w:w="1020" w:type="dxa"/>
            <w:vAlign w:val="bottom"/>
          </w:tcPr>
          <w:p w14:paraId="06A94B2C" w14:textId="77777777" w:rsidR="00773F7B" w:rsidRPr="00BB318F" w:rsidRDefault="00773F7B" w:rsidP="00773F7B">
            <w:pPr>
              <w:pStyle w:val="T2"/>
              <w:jc w:val="right"/>
              <w:rPr>
                <w:rFonts w:ascii="Calibri" w:hAnsi="Calibri" w:cs="Calibri"/>
                <w:b/>
                <w:bCs/>
              </w:rPr>
            </w:pPr>
            <w:r>
              <w:rPr>
                <w:rFonts w:ascii="Calibri" w:hAnsi="Calibri" w:cs="Calibri"/>
                <w:b/>
                <w:bCs/>
              </w:rPr>
              <w:t>–</w:t>
            </w:r>
          </w:p>
        </w:tc>
        <w:tc>
          <w:tcPr>
            <w:tcW w:w="847" w:type="dxa"/>
            <w:vAlign w:val="bottom"/>
          </w:tcPr>
          <w:p w14:paraId="27B5787B" w14:textId="77777777" w:rsidR="00773F7B" w:rsidRPr="00BB318F" w:rsidRDefault="00773F7B" w:rsidP="00773F7B">
            <w:pPr>
              <w:pStyle w:val="T2"/>
              <w:jc w:val="right"/>
              <w:rPr>
                <w:rFonts w:ascii="Calibri" w:hAnsi="Calibri" w:cs="Calibri"/>
                <w:b/>
                <w:bCs/>
              </w:rPr>
            </w:pPr>
            <w:r>
              <w:rPr>
                <w:rFonts w:ascii="Calibri" w:hAnsi="Calibri" w:cs="Calibri"/>
                <w:b/>
                <w:bCs/>
              </w:rPr>
              <w:t xml:space="preserve"> </w:t>
            </w:r>
            <w:r w:rsidRPr="00BB318F">
              <w:rPr>
                <w:rFonts w:ascii="Calibri" w:hAnsi="Calibri" w:cs="Calibri"/>
                <w:b/>
                <w:bCs/>
              </w:rPr>
              <w:t>0.1</w:t>
            </w:r>
          </w:p>
        </w:tc>
      </w:tr>
      <w:tr w:rsidR="00773F7B" w:rsidRPr="00C50E20" w14:paraId="16E898C0" w14:textId="77777777" w:rsidTr="005B3BEE">
        <w:trPr>
          <w:jc w:val="center"/>
        </w:trPr>
        <w:tc>
          <w:tcPr>
            <w:tcW w:w="4395" w:type="dxa"/>
            <w:vAlign w:val="bottom"/>
          </w:tcPr>
          <w:p w14:paraId="449E1BC3" w14:textId="77777777" w:rsidR="00773F7B" w:rsidRPr="005D0EFF" w:rsidRDefault="00773F7B" w:rsidP="00773F7B">
            <w:pPr>
              <w:pStyle w:val="T2"/>
              <w:jc w:val="left"/>
              <w:rPr>
                <w:rFonts w:ascii="Calibri" w:hAnsi="Calibri" w:cs="Calibri"/>
                <w:bCs/>
              </w:rPr>
            </w:pPr>
            <w:r w:rsidRPr="00006931">
              <w:rPr>
                <w:rFonts w:ascii="Calibri" w:hAnsi="Calibri" w:cs="Calibri"/>
                <w:bCs/>
              </w:rPr>
              <w:t xml:space="preserve">Actuarial </w:t>
            </w:r>
            <w:r>
              <w:rPr>
                <w:rFonts w:ascii="Calibri" w:hAnsi="Calibri" w:cs="Calibri"/>
                <w:bCs/>
              </w:rPr>
              <w:t>gain</w:t>
            </w:r>
            <w:r w:rsidRPr="00006931">
              <w:rPr>
                <w:rFonts w:ascii="Calibri" w:hAnsi="Calibri" w:cs="Calibri"/>
                <w:bCs/>
              </w:rPr>
              <w:t xml:space="preserve"> on Group legacy defined benefit pension schemes</w:t>
            </w:r>
          </w:p>
        </w:tc>
        <w:tc>
          <w:tcPr>
            <w:tcW w:w="709" w:type="dxa"/>
            <w:vAlign w:val="bottom"/>
          </w:tcPr>
          <w:p w14:paraId="009BEF52" w14:textId="77777777" w:rsidR="00773F7B" w:rsidRPr="00BB318F" w:rsidRDefault="00773F7B" w:rsidP="00773F7B">
            <w:pPr>
              <w:pStyle w:val="T2"/>
              <w:jc w:val="right"/>
              <w:rPr>
                <w:b/>
                <w:bCs/>
              </w:rPr>
            </w:pPr>
            <w:r>
              <w:rPr>
                <w:rFonts w:ascii="Calibri" w:hAnsi="Calibri" w:cs="Calibri"/>
                <w:b/>
                <w:bCs/>
              </w:rPr>
              <w:t>–</w:t>
            </w:r>
          </w:p>
        </w:tc>
        <w:tc>
          <w:tcPr>
            <w:tcW w:w="992" w:type="dxa"/>
            <w:vAlign w:val="bottom"/>
          </w:tcPr>
          <w:p w14:paraId="7938CA58" w14:textId="77777777" w:rsidR="00773F7B" w:rsidRPr="00BB318F" w:rsidRDefault="00773F7B" w:rsidP="00773F7B">
            <w:pPr>
              <w:pStyle w:val="T2"/>
              <w:jc w:val="right"/>
              <w:rPr>
                <w:b/>
                <w:bCs/>
              </w:rPr>
            </w:pPr>
            <w:r>
              <w:rPr>
                <w:rFonts w:ascii="Calibri" w:hAnsi="Calibri" w:cs="Calibri"/>
                <w:b/>
                <w:bCs/>
              </w:rPr>
              <w:t>–</w:t>
            </w:r>
          </w:p>
        </w:tc>
        <w:tc>
          <w:tcPr>
            <w:tcW w:w="850" w:type="dxa"/>
            <w:vAlign w:val="bottom"/>
          </w:tcPr>
          <w:p w14:paraId="12B77C99" w14:textId="77777777" w:rsidR="00773F7B" w:rsidRPr="00BB318F" w:rsidRDefault="00773F7B" w:rsidP="00773F7B">
            <w:pPr>
              <w:pStyle w:val="T2"/>
              <w:jc w:val="right"/>
              <w:rPr>
                <w:b/>
                <w:bCs/>
              </w:rPr>
            </w:pPr>
            <w:r>
              <w:rPr>
                <w:rFonts w:ascii="Calibri" w:hAnsi="Calibri" w:cs="Calibri"/>
                <w:b/>
                <w:bCs/>
              </w:rPr>
              <w:t>–</w:t>
            </w:r>
          </w:p>
        </w:tc>
        <w:tc>
          <w:tcPr>
            <w:tcW w:w="851" w:type="dxa"/>
            <w:vAlign w:val="bottom"/>
          </w:tcPr>
          <w:p w14:paraId="2433A485" w14:textId="77777777" w:rsidR="00773F7B" w:rsidRPr="00BB318F" w:rsidRDefault="00773F7B" w:rsidP="00773F7B">
            <w:pPr>
              <w:pStyle w:val="T2"/>
              <w:jc w:val="right"/>
              <w:rPr>
                <w:b/>
                <w:bCs/>
              </w:rPr>
            </w:pPr>
            <w:r w:rsidRPr="00BB318F">
              <w:rPr>
                <w:b/>
                <w:bCs/>
              </w:rPr>
              <w:t>3</w:t>
            </w:r>
            <w:r>
              <w:rPr>
                <w:b/>
                <w:bCs/>
              </w:rPr>
              <w:t>2.0</w:t>
            </w:r>
          </w:p>
        </w:tc>
        <w:tc>
          <w:tcPr>
            <w:tcW w:w="826" w:type="dxa"/>
            <w:vAlign w:val="bottom"/>
          </w:tcPr>
          <w:p w14:paraId="6C3B38DD" w14:textId="77777777" w:rsidR="00773F7B" w:rsidRPr="00BB318F" w:rsidRDefault="00773F7B" w:rsidP="00773F7B">
            <w:pPr>
              <w:pStyle w:val="T2"/>
              <w:jc w:val="right"/>
              <w:rPr>
                <w:b/>
                <w:bCs/>
              </w:rPr>
            </w:pPr>
            <w:r w:rsidRPr="00BB318F">
              <w:rPr>
                <w:b/>
                <w:bCs/>
              </w:rPr>
              <w:t>3</w:t>
            </w:r>
            <w:r>
              <w:rPr>
                <w:b/>
                <w:bCs/>
              </w:rPr>
              <w:t>2.0</w:t>
            </w:r>
          </w:p>
        </w:tc>
        <w:tc>
          <w:tcPr>
            <w:tcW w:w="1020" w:type="dxa"/>
            <w:vAlign w:val="bottom"/>
          </w:tcPr>
          <w:p w14:paraId="3701591E" w14:textId="77777777" w:rsidR="00773F7B" w:rsidRPr="00BB318F" w:rsidRDefault="00773F7B" w:rsidP="00773F7B">
            <w:pPr>
              <w:pStyle w:val="T2"/>
              <w:jc w:val="right"/>
              <w:rPr>
                <w:b/>
                <w:bCs/>
              </w:rPr>
            </w:pPr>
            <w:r>
              <w:rPr>
                <w:b/>
                <w:bCs/>
              </w:rPr>
              <w:t>–</w:t>
            </w:r>
          </w:p>
        </w:tc>
        <w:tc>
          <w:tcPr>
            <w:tcW w:w="847" w:type="dxa"/>
            <w:vAlign w:val="bottom"/>
          </w:tcPr>
          <w:p w14:paraId="49C49DDA" w14:textId="77777777" w:rsidR="00773F7B" w:rsidRPr="00BB318F" w:rsidRDefault="00773F7B" w:rsidP="00773F7B">
            <w:pPr>
              <w:pStyle w:val="T2"/>
              <w:jc w:val="right"/>
              <w:rPr>
                <w:b/>
                <w:bCs/>
              </w:rPr>
            </w:pPr>
            <w:r w:rsidRPr="00BB318F">
              <w:rPr>
                <w:b/>
                <w:bCs/>
              </w:rPr>
              <w:t>3</w:t>
            </w:r>
            <w:r>
              <w:rPr>
                <w:b/>
                <w:bCs/>
              </w:rPr>
              <w:t>2.0</w:t>
            </w:r>
          </w:p>
        </w:tc>
      </w:tr>
      <w:tr w:rsidR="00773F7B" w:rsidRPr="00C50E20" w14:paraId="1BEB3F0E" w14:textId="77777777" w:rsidTr="005B3BEE">
        <w:trPr>
          <w:jc w:val="center"/>
        </w:trPr>
        <w:tc>
          <w:tcPr>
            <w:tcW w:w="4395" w:type="dxa"/>
            <w:vAlign w:val="bottom"/>
          </w:tcPr>
          <w:p w14:paraId="7438CE72" w14:textId="77777777" w:rsidR="00773F7B" w:rsidRPr="005D0EFF" w:rsidRDefault="00773F7B" w:rsidP="00773F7B">
            <w:pPr>
              <w:pStyle w:val="T2"/>
              <w:jc w:val="left"/>
              <w:rPr>
                <w:rFonts w:ascii="Calibri" w:hAnsi="Calibri" w:cs="Calibri"/>
                <w:bCs/>
              </w:rPr>
            </w:pPr>
            <w:r w:rsidRPr="00006931">
              <w:rPr>
                <w:rFonts w:ascii="Calibri" w:hAnsi="Calibri" w:cs="Calibri"/>
                <w:bCs/>
              </w:rPr>
              <w:t>Deferred tax on Group legacy defined benefit pension schemes</w:t>
            </w:r>
          </w:p>
        </w:tc>
        <w:tc>
          <w:tcPr>
            <w:tcW w:w="709" w:type="dxa"/>
            <w:vAlign w:val="bottom"/>
          </w:tcPr>
          <w:p w14:paraId="4254DD4E" w14:textId="77777777" w:rsidR="00773F7B" w:rsidRPr="00BB318F" w:rsidRDefault="00773F7B" w:rsidP="00773F7B">
            <w:pPr>
              <w:pStyle w:val="T2"/>
              <w:jc w:val="right"/>
              <w:rPr>
                <w:b/>
                <w:bCs/>
              </w:rPr>
            </w:pPr>
            <w:r>
              <w:rPr>
                <w:rFonts w:ascii="Calibri" w:hAnsi="Calibri" w:cs="Calibri"/>
                <w:b/>
                <w:bCs/>
              </w:rPr>
              <w:t>–</w:t>
            </w:r>
          </w:p>
        </w:tc>
        <w:tc>
          <w:tcPr>
            <w:tcW w:w="992" w:type="dxa"/>
            <w:vAlign w:val="bottom"/>
          </w:tcPr>
          <w:p w14:paraId="4CBAD6C5" w14:textId="77777777" w:rsidR="00773F7B" w:rsidRPr="00BB318F" w:rsidRDefault="00773F7B" w:rsidP="00773F7B">
            <w:pPr>
              <w:pStyle w:val="T2"/>
              <w:jc w:val="right"/>
              <w:rPr>
                <w:b/>
                <w:bCs/>
              </w:rPr>
            </w:pPr>
            <w:r>
              <w:rPr>
                <w:rFonts w:ascii="Calibri" w:hAnsi="Calibri" w:cs="Calibri"/>
                <w:b/>
                <w:bCs/>
              </w:rPr>
              <w:t>–</w:t>
            </w:r>
          </w:p>
        </w:tc>
        <w:tc>
          <w:tcPr>
            <w:tcW w:w="850" w:type="dxa"/>
            <w:vAlign w:val="bottom"/>
          </w:tcPr>
          <w:p w14:paraId="36CE30D0" w14:textId="77777777" w:rsidR="00773F7B" w:rsidRPr="00BB318F" w:rsidRDefault="00773F7B" w:rsidP="00773F7B">
            <w:pPr>
              <w:pStyle w:val="T2"/>
              <w:jc w:val="right"/>
              <w:rPr>
                <w:b/>
                <w:bCs/>
              </w:rPr>
            </w:pPr>
            <w:r>
              <w:rPr>
                <w:rFonts w:ascii="Calibri" w:hAnsi="Calibri" w:cs="Calibri"/>
                <w:b/>
                <w:bCs/>
              </w:rPr>
              <w:t>–</w:t>
            </w:r>
          </w:p>
        </w:tc>
        <w:tc>
          <w:tcPr>
            <w:tcW w:w="851" w:type="dxa"/>
            <w:vAlign w:val="bottom"/>
          </w:tcPr>
          <w:p w14:paraId="1F336EF6" w14:textId="77777777" w:rsidR="00773F7B" w:rsidRPr="001E1407" w:rsidRDefault="00773F7B" w:rsidP="00773F7B">
            <w:pPr>
              <w:pStyle w:val="T2"/>
              <w:jc w:val="right"/>
              <w:rPr>
                <w:b/>
                <w:bCs/>
              </w:rPr>
            </w:pPr>
            <w:r w:rsidRPr="001E1407">
              <w:rPr>
                <w:rFonts w:ascii="Calibri" w:hAnsi="Calibri" w:cs="Calibri"/>
                <w:b/>
                <w:bCs/>
              </w:rPr>
              <w:t>(2.7)</w:t>
            </w:r>
          </w:p>
        </w:tc>
        <w:tc>
          <w:tcPr>
            <w:tcW w:w="826" w:type="dxa"/>
            <w:vAlign w:val="bottom"/>
          </w:tcPr>
          <w:p w14:paraId="13348D37" w14:textId="77777777" w:rsidR="00773F7B" w:rsidRPr="001E1407" w:rsidRDefault="00773F7B" w:rsidP="00773F7B">
            <w:pPr>
              <w:pStyle w:val="T2"/>
              <w:jc w:val="right"/>
              <w:rPr>
                <w:b/>
                <w:bCs/>
              </w:rPr>
            </w:pPr>
            <w:r w:rsidRPr="001E1407">
              <w:rPr>
                <w:rFonts w:ascii="Calibri" w:hAnsi="Calibri" w:cs="Calibri"/>
                <w:b/>
                <w:bCs/>
              </w:rPr>
              <w:t>(2.7</w:t>
            </w:r>
            <w:r>
              <w:rPr>
                <w:rFonts w:ascii="Calibri" w:hAnsi="Calibri" w:cs="Calibri"/>
                <w:b/>
                <w:bCs/>
              </w:rPr>
              <w:t>)</w:t>
            </w:r>
          </w:p>
        </w:tc>
        <w:tc>
          <w:tcPr>
            <w:tcW w:w="1020" w:type="dxa"/>
            <w:vAlign w:val="bottom"/>
          </w:tcPr>
          <w:p w14:paraId="621A3325" w14:textId="77777777" w:rsidR="00773F7B" w:rsidRPr="00353430" w:rsidRDefault="00773F7B" w:rsidP="00773F7B">
            <w:pPr>
              <w:pStyle w:val="T2"/>
              <w:jc w:val="right"/>
              <w:rPr>
                <w:b/>
                <w:bCs/>
              </w:rPr>
            </w:pPr>
            <w:r w:rsidRPr="00353430">
              <w:rPr>
                <w:rFonts w:ascii="Calibri" w:hAnsi="Calibri" w:cs="Calibri"/>
                <w:b/>
                <w:bCs/>
              </w:rPr>
              <w:t>–</w:t>
            </w:r>
          </w:p>
        </w:tc>
        <w:tc>
          <w:tcPr>
            <w:tcW w:w="847" w:type="dxa"/>
            <w:vAlign w:val="bottom"/>
          </w:tcPr>
          <w:p w14:paraId="22290D2D" w14:textId="77777777" w:rsidR="00773F7B" w:rsidRPr="00353430" w:rsidRDefault="00773F7B" w:rsidP="00773F7B">
            <w:pPr>
              <w:pStyle w:val="T2"/>
              <w:jc w:val="right"/>
              <w:rPr>
                <w:b/>
                <w:bCs/>
              </w:rPr>
            </w:pPr>
            <w:r w:rsidRPr="001E1407">
              <w:rPr>
                <w:rFonts w:ascii="Calibri" w:hAnsi="Calibri" w:cs="Calibri"/>
                <w:b/>
                <w:bCs/>
              </w:rPr>
              <w:t>(2.7)</w:t>
            </w:r>
          </w:p>
        </w:tc>
      </w:tr>
      <w:tr w:rsidR="00773F7B" w:rsidRPr="00C50E20" w14:paraId="21C897F5" w14:textId="77777777" w:rsidTr="005B3BEE">
        <w:trPr>
          <w:jc w:val="center"/>
        </w:trPr>
        <w:tc>
          <w:tcPr>
            <w:tcW w:w="4395" w:type="dxa"/>
            <w:tcBorders>
              <w:bottom w:val="single" w:sz="2" w:space="0" w:color="auto"/>
            </w:tcBorders>
            <w:vAlign w:val="bottom"/>
          </w:tcPr>
          <w:p w14:paraId="2ADECF68" w14:textId="77777777" w:rsidR="00773F7B" w:rsidRPr="00006931" w:rsidRDefault="00773F7B" w:rsidP="00773F7B">
            <w:pPr>
              <w:pStyle w:val="T2"/>
              <w:jc w:val="left"/>
              <w:rPr>
                <w:rFonts w:ascii="Calibri" w:hAnsi="Calibri" w:cs="Calibri"/>
                <w:bCs/>
              </w:rPr>
            </w:pPr>
            <w:r w:rsidRPr="00006931">
              <w:rPr>
                <w:rFonts w:ascii="Calibri" w:hAnsi="Calibri" w:cs="Calibri"/>
                <w:bCs/>
              </w:rPr>
              <w:t>Profit for the financial period</w:t>
            </w:r>
          </w:p>
        </w:tc>
        <w:tc>
          <w:tcPr>
            <w:tcW w:w="709" w:type="dxa"/>
            <w:tcBorders>
              <w:bottom w:val="single" w:sz="2" w:space="0" w:color="auto"/>
            </w:tcBorders>
            <w:vAlign w:val="bottom"/>
          </w:tcPr>
          <w:p w14:paraId="40C7A205" w14:textId="77777777" w:rsidR="00773F7B" w:rsidRPr="00BB318F" w:rsidRDefault="00773F7B" w:rsidP="00773F7B">
            <w:pPr>
              <w:pStyle w:val="T2"/>
              <w:jc w:val="right"/>
              <w:rPr>
                <w:b/>
                <w:bCs/>
              </w:rPr>
            </w:pPr>
            <w:r>
              <w:rPr>
                <w:rFonts w:ascii="Calibri" w:hAnsi="Calibri" w:cs="Calibri"/>
                <w:b/>
                <w:bCs/>
              </w:rPr>
              <w:t>–</w:t>
            </w:r>
          </w:p>
        </w:tc>
        <w:tc>
          <w:tcPr>
            <w:tcW w:w="992" w:type="dxa"/>
            <w:tcBorders>
              <w:bottom w:val="single" w:sz="2" w:space="0" w:color="auto"/>
            </w:tcBorders>
            <w:vAlign w:val="bottom"/>
          </w:tcPr>
          <w:p w14:paraId="459F8078" w14:textId="77777777" w:rsidR="00773F7B" w:rsidRPr="00BB318F" w:rsidRDefault="00773F7B" w:rsidP="00773F7B">
            <w:pPr>
              <w:pStyle w:val="T2"/>
              <w:jc w:val="right"/>
              <w:rPr>
                <w:b/>
                <w:bCs/>
              </w:rPr>
            </w:pPr>
            <w:r>
              <w:rPr>
                <w:rFonts w:ascii="Calibri" w:hAnsi="Calibri" w:cs="Calibri"/>
                <w:b/>
                <w:bCs/>
              </w:rPr>
              <w:t>–</w:t>
            </w:r>
          </w:p>
        </w:tc>
        <w:tc>
          <w:tcPr>
            <w:tcW w:w="850" w:type="dxa"/>
            <w:tcBorders>
              <w:bottom w:val="single" w:sz="2" w:space="0" w:color="auto"/>
            </w:tcBorders>
            <w:vAlign w:val="bottom"/>
          </w:tcPr>
          <w:p w14:paraId="13104F97" w14:textId="77777777" w:rsidR="00773F7B" w:rsidRPr="00BB318F" w:rsidRDefault="00773F7B" w:rsidP="00773F7B">
            <w:pPr>
              <w:pStyle w:val="T2"/>
              <w:jc w:val="right"/>
              <w:rPr>
                <w:b/>
                <w:bCs/>
              </w:rPr>
            </w:pPr>
            <w:r>
              <w:rPr>
                <w:rFonts w:ascii="Calibri" w:hAnsi="Calibri" w:cs="Calibri"/>
                <w:b/>
                <w:bCs/>
              </w:rPr>
              <w:t>–</w:t>
            </w:r>
          </w:p>
        </w:tc>
        <w:tc>
          <w:tcPr>
            <w:tcW w:w="851" w:type="dxa"/>
            <w:tcBorders>
              <w:bottom w:val="single" w:sz="2" w:space="0" w:color="auto"/>
            </w:tcBorders>
            <w:vAlign w:val="bottom"/>
          </w:tcPr>
          <w:p w14:paraId="73CA1F15" w14:textId="77777777" w:rsidR="00773F7B" w:rsidRPr="00BB318F" w:rsidRDefault="00773F7B" w:rsidP="00773F7B">
            <w:pPr>
              <w:pStyle w:val="T2"/>
              <w:jc w:val="right"/>
              <w:rPr>
                <w:b/>
                <w:bCs/>
              </w:rPr>
            </w:pPr>
            <w:r>
              <w:rPr>
                <w:b/>
                <w:bCs/>
              </w:rPr>
              <w:t>23.3</w:t>
            </w:r>
          </w:p>
        </w:tc>
        <w:tc>
          <w:tcPr>
            <w:tcW w:w="826" w:type="dxa"/>
            <w:tcBorders>
              <w:bottom w:val="single" w:sz="2" w:space="0" w:color="auto"/>
            </w:tcBorders>
            <w:vAlign w:val="bottom"/>
          </w:tcPr>
          <w:p w14:paraId="2C17508E" w14:textId="77777777" w:rsidR="00773F7B" w:rsidRPr="00BB318F" w:rsidRDefault="00773F7B" w:rsidP="00773F7B">
            <w:pPr>
              <w:pStyle w:val="T2"/>
              <w:jc w:val="right"/>
              <w:rPr>
                <w:b/>
                <w:bCs/>
              </w:rPr>
            </w:pPr>
            <w:r>
              <w:rPr>
                <w:b/>
                <w:bCs/>
              </w:rPr>
              <w:t>23.3</w:t>
            </w:r>
          </w:p>
        </w:tc>
        <w:tc>
          <w:tcPr>
            <w:tcW w:w="1020" w:type="dxa"/>
            <w:tcBorders>
              <w:bottom w:val="single" w:sz="2" w:space="0" w:color="auto"/>
            </w:tcBorders>
            <w:vAlign w:val="bottom"/>
          </w:tcPr>
          <w:p w14:paraId="157A2F08" w14:textId="77777777" w:rsidR="00773F7B" w:rsidRPr="00BB318F" w:rsidRDefault="00773F7B" w:rsidP="00773F7B">
            <w:pPr>
              <w:pStyle w:val="T2"/>
              <w:jc w:val="right"/>
              <w:rPr>
                <w:b/>
                <w:bCs/>
              </w:rPr>
            </w:pPr>
            <w:r w:rsidRPr="00BB318F">
              <w:rPr>
                <w:b/>
                <w:bCs/>
              </w:rPr>
              <w:t>0.9</w:t>
            </w:r>
          </w:p>
        </w:tc>
        <w:tc>
          <w:tcPr>
            <w:tcW w:w="847" w:type="dxa"/>
            <w:tcBorders>
              <w:bottom w:val="single" w:sz="2" w:space="0" w:color="auto"/>
            </w:tcBorders>
            <w:vAlign w:val="bottom"/>
          </w:tcPr>
          <w:p w14:paraId="0B6AF869" w14:textId="77777777" w:rsidR="00773F7B" w:rsidRPr="00BB318F" w:rsidRDefault="00773F7B" w:rsidP="00773F7B">
            <w:pPr>
              <w:pStyle w:val="T2"/>
              <w:jc w:val="right"/>
              <w:rPr>
                <w:b/>
                <w:bCs/>
              </w:rPr>
            </w:pPr>
            <w:r>
              <w:rPr>
                <w:b/>
                <w:bCs/>
              </w:rPr>
              <w:t>24.2</w:t>
            </w:r>
          </w:p>
        </w:tc>
      </w:tr>
      <w:tr w:rsidR="00773F7B" w:rsidRPr="00BD5017" w14:paraId="38D014F4" w14:textId="77777777" w:rsidTr="005B3BEE">
        <w:trPr>
          <w:jc w:val="center"/>
        </w:trPr>
        <w:tc>
          <w:tcPr>
            <w:tcW w:w="4395" w:type="dxa"/>
            <w:tcBorders>
              <w:top w:val="single" w:sz="2" w:space="0" w:color="auto"/>
              <w:bottom w:val="single" w:sz="2" w:space="0" w:color="auto"/>
            </w:tcBorders>
            <w:vAlign w:val="bottom"/>
          </w:tcPr>
          <w:p w14:paraId="277A543E" w14:textId="77777777" w:rsidR="00773F7B" w:rsidRPr="00B52070" w:rsidRDefault="00773F7B" w:rsidP="00773F7B">
            <w:pPr>
              <w:pStyle w:val="T2"/>
              <w:jc w:val="left"/>
              <w:rPr>
                <w:b/>
              </w:rPr>
            </w:pPr>
            <w:r w:rsidRPr="00B52070">
              <w:rPr>
                <w:b/>
              </w:rPr>
              <w:t>Total recognised income and expense for the financial period</w:t>
            </w:r>
          </w:p>
        </w:tc>
        <w:tc>
          <w:tcPr>
            <w:tcW w:w="709" w:type="dxa"/>
            <w:tcBorders>
              <w:top w:val="single" w:sz="2" w:space="0" w:color="auto"/>
              <w:bottom w:val="single" w:sz="2" w:space="0" w:color="auto"/>
            </w:tcBorders>
            <w:vAlign w:val="bottom"/>
          </w:tcPr>
          <w:p w14:paraId="1AFE97E1" w14:textId="77777777" w:rsidR="00773F7B" w:rsidRPr="00BE7FD5" w:rsidRDefault="00773F7B" w:rsidP="00773F7B">
            <w:pPr>
              <w:pStyle w:val="T2"/>
              <w:jc w:val="right"/>
              <w:rPr>
                <w:b/>
              </w:rPr>
            </w:pPr>
            <w:r w:rsidRPr="00BE7FD5">
              <w:rPr>
                <w:rFonts w:ascii="Calibri" w:hAnsi="Calibri" w:cs="Calibri"/>
                <w:b/>
              </w:rPr>
              <w:t>–</w:t>
            </w:r>
          </w:p>
        </w:tc>
        <w:tc>
          <w:tcPr>
            <w:tcW w:w="992" w:type="dxa"/>
            <w:tcBorders>
              <w:top w:val="single" w:sz="2" w:space="0" w:color="auto"/>
              <w:bottom w:val="single" w:sz="2" w:space="0" w:color="auto"/>
            </w:tcBorders>
            <w:vAlign w:val="bottom"/>
          </w:tcPr>
          <w:p w14:paraId="341565E9" w14:textId="77777777" w:rsidR="00773F7B" w:rsidRPr="00BE7FD5" w:rsidRDefault="00773F7B" w:rsidP="00773F7B">
            <w:pPr>
              <w:pStyle w:val="T2"/>
              <w:jc w:val="right"/>
              <w:rPr>
                <w:b/>
              </w:rPr>
            </w:pPr>
            <w:r w:rsidRPr="00BE7FD5">
              <w:rPr>
                <w:rFonts w:ascii="Calibri" w:hAnsi="Calibri" w:cs="Calibri"/>
                <w:b/>
              </w:rPr>
              <w:t>–</w:t>
            </w:r>
          </w:p>
        </w:tc>
        <w:tc>
          <w:tcPr>
            <w:tcW w:w="850" w:type="dxa"/>
            <w:tcBorders>
              <w:top w:val="single" w:sz="2" w:space="0" w:color="auto"/>
              <w:bottom w:val="single" w:sz="2" w:space="0" w:color="auto"/>
            </w:tcBorders>
            <w:vAlign w:val="bottom"/>
          </w:tcPr>
          <w:p w14:paraId="33F366F3" w14:textId="77777777" w:rsidR="00773F7B" w:rsidRPr="00BD5B9E" w:rsidRDefault="00773F7B" w:rsidP="00773F7B">
            <w:pPr>
              <w:pStyle w:val="T2"/>
              <w:jc w:val="right"/>
              <w:rPr>
                <w:b/>
              </w:rPr>
            </w:pPr>
            <w:r w:rsidRPr="00BD5B9E">
              <w:rPr>
                <w:b/>
              </w:rPr>
              <w:t>3.5</w:t>
            </w:r>
          </w:p>
        </w:tc>
        <w:tc>
          <w:tcPr>
            <w:tcW w:w="851" w:type="dxa"/>
            <w:tcBorders>
              <w:top w:val="single" w:sz="2" w:space="0" w:color="auto"/>
              <w:bottom w:val="single" w:sz="2" w:space="0" w:color="auto"/>
            </w:tcBorders>
            <w:vAlign w:val="bottom"/>
          </w:tcPr>
          <w:p w14:paraId="1BC140CF" w14:textId="77777777" w:rsidR="00773F7B" w:rsidRPr="00EA1A7A" w:rsidRDefault="00773F7B" w:rsidP="00773F7B">
            <w:pPr>
              <w:pStyle w:val="T2"/>
              <w:jc w:val="right"/>
              <w:rPr>
                <w:b/>
              </w:rPr>
            </w:pPr>
            <w:r w:rsidRPr="0052700C">
              <w:rPr>
                <w:b/>
              </w:rPr>
              <w:t>52.6</w:t>
            </w:r>
          </w:p>
        </w:tc>
        <w:tc>
          <w:tcPr>
            <w:tcW w:w="826" w:type="dxa"/>
            <w:tcBorders>
              <w:top w:val="single" w:sz="2" w:space="0" w:color="auto"/>
              <w:bottom w:val="single" w:sz="2" w:space="0" w:color="auto"/>
            </w:tcBorders>
            <w:vAlign w:val="bottom"/>
          </w:tcPr>
          <w:p w14:paraId="5FE01871" w14:textId="77777777" w:rsidR="00773F7B" w:rsidRPr="00850427" w:rsidRDefault="00773F7B" w:rsidP="00773F7B">
            <w:pPr>
              <w:pStyle w:val="T2"/>
              <w:jc w:val="right"/>
              <w:rPr>
                <w:b/>
              </w:rPr>
            </w:pPr>
            <w:r w:rsidRPr="00850427">
              <w:rPr>
                <w:b/>
              </w:rPr>
              <w:t>56.1</w:t>
            </w:r>
          </w:p>
        </w:tc>
        <w:tc>
          <w:tcPr>
            <w:tcW w:w="1020" w:type="dxa"/>
            <w:tcBorders>
              <w:top w:val="single" w:sz="2" w:space="0" w:color="auto"/>
              <w:bottom w:val="single" w:sz="2" w:space="0" w:color="auto"/>
            </w:tcBorders>
            <w:vAlign w:val="bottom"/>
          </w:tcPr>
          <w:p w14:paraId="33169FB0" w14:textId="77777777" w:rsidR="00773F7B" w:rsidRPr="00313FBC" w:rsidRDefault="00773F7B" w:rsidP="00773F7B">
            <w:pPr>
              <w:pStyle w:val="T2"/>
              <w:jc w:val="right"/>
              <w:rPr>
                <w:b/>
              </w:rPr>
            </w:pPr>
            <w:r w:rsidRPr="00313FBC">
              <w:rPr>
                <w:b/>
              </w:rPr>
              <w:t>0.9</w:t>
            </w:r>
          </w:p>
        </w:tc>
        <w:tc>
          <w:tcPr>
            <w:tcW w:w="847" w:type="dxa"/>
            <w:tcBorders>
              <w:top w:val="single" w:sz="2" w:space="0" w:color="auto"/>
              <w:bottom w:val="single" w:sz="2" w:space="0" w:color="auto"/>
            </w:tcBorders>
            <w:vAlign w:val="bottom"/>
          </w:tcPr>
          <w:p w14:paraId="05F8E75A" w14:textId="77777777" w:rsidR="00773F7B" w:rsidRPr="00313FBC" w:rsidRDefault="00773F7B" w:rsidP="00773F7B">
            <w:pPr>
              <w:pStyle w:val="T2"/>
              <w:jc w:val="right"/>
              <w:rPr>
                <w:b/>
              </w:rPr>
            </w:pPr>
            <w:r w:rsidRPr="00313FBC">
              <w:rPr>
                <w:b/>
              </w:rPr>
              <w:t>57.0</w:t>
            </w:r>
          </w:p>
        </w:tc>
      </w:tr>
      <w:tr w:rsidR="00773F7B" w:rsidRPr="00C50E20" w14:paraId="02859F0F" w14:textId="77777777" w:rsidTr="005B3BEE">
        <w:trPr>
          <w:jc w:val="center"/>
        </w:trPr>
        <w:tc>
          <w:tcPr>
            <w:tcW w:w="4395" w:type="dxa"/>
            <w:tcBorders>
              <w:top w:val="single" w:sz="2" w:space="0" w:color="auto"/>
            </w:tcBorders>
          </w:tcPr>
          <w:p w14:paraId="21C0A364" w14:textId="77777777" w:rsidR="00773F7B" w:rsidRPr="005D0EFF" w:rsidRDefault="00773F7B" w:rsidP="00773F7B">
            <w:pPr>
              <w:pStyle w:val="T2"/>
              <w:jc w:val="left"/>
              <w:rPr>
                <w:bCs/>
              </w:rPr>
            </w:pPr>
            <w:r w:rsidRPr="00006931">
              <w:rPr>
                <w:bCs/>
              </w:rPr>
              <w:t xml:space="preserve">Employee </w:t>
            </w:r>
            <w:r w:rsidRPr="005D0EFF">
              <w:rPr>
                <w:bCs/>
              </w:rPr>
              <w:t>share</w:t>
            </w:r>
            <w:r>
              <w:rPr>
                <w:bCs/>
              </w:rPr>
              <w:t>–</w:t>
            </w:r>
            <w:r w:rsidRPr="005D0EFF">
              <w:rPr>
                <w:bCs/>
              </w:rPr>
              <w:t>based payment expense</w:t>
            </w:r>
          </w:p>
        </w:tc>
        <w:tc>
          <w:tcPr>
            <w:tcW w:w="709" w:type="dxa"/>
            <w:tcBorders>
              <w:top w:val="single" w:sz="2" w:space="0" w:color="auto"/>
            </w:tcBorders>
            <w:vAlign w:val="bottom"/>
          </w:tcPr>
          <w:p w14:paraId="7649097E" w14:textId="77777777" w:rsidR="00773F7B" w:rsidRPr="00BB14B7" w:rsidRDefault="00773F7B" w:rsidP="00773F7B">
            <w:pPr>
              <w:pStyle w:val="T2"/>
              <w:jc w:val="right"/>
              <w:rPr>
                <w:b/>
                <w:bCs/>
              </w:rPr>
            </w:pPr>
            <w:r>
              <w:rPr>
                <w:rFonts w:ascii="Calibri" w:hAnsi="Calibri" w:cs="Calibri"/>
                <w:b/>
                <w:bCs/>
              </w:rPr>
              <w:t>–</w:t>
            </w:r>
          </w:p>
        </w:tc>
        <w:tc>
          <w:tcPr>
            <w:tcW w:w="992" w:type="dxa"/>
            <w:tcBorders>
              <w:top w:val="single" w:sz="2" w:space="0" w:color="auto"/>
            </w:tcBorders>
            <w:vAlign w:val="bottom"/>
          </w:tcPr>
          <w:p w14:paraId="6AFE22A1" w14:textId="77777777" w:rsidR="00773F7B" w:rsidRPr="00BB14B7" w:rsidRDefault="00773F7B" w:rsidP="00773F7B">
            <w:pPr>
              <w:pStyle w:val="T2"/>
              <w:jc w:val="right"/>
              <w:rPr>
                <w:b/>
                <w:bCs/>
              </w:rPr>
            </w:pPr>
            <w:r>
              <w:rPr>
                <w:rFonts w:ascii="Calibri" w:hAnsi="Calibri" w:cs="Calibri"/>
                <w:b/>
                <w:bCs/>
              </w:rPr>
              <w:t>–</w:t>
            </w:r>
          </w:p>
        </w:tc>
        <w:tc>
          <w:tcPr>
            <w:tcW w:w="850" w:type="dxa"/>
            <w:tcBorders>
              <w:top w:val="single" w:sz="2" w:space="0" w:color="auto"/>
            </w:tcBorders>
          </w:tcPr>
          <w:p w14:paraId="32835E12" w14:textId="77777777" w:rsidR="00773F7B" w:rsidRPr="00BB14B7" w:rsidRDefault="00773F7B" w:rsidP="00773F7B">
            <w:pPr>
              <w:pStyle w:val="T2"/>
              <w:jc w:val="right"/>
              <w:rPr>
                <w:b/>
                <w:bCs/>
              </w:rPr>
            </w:pPr>
            <w:r w:rsidRPr="00BB14B7">
              <w:rPr>
                <w:b/>
                <w:bCs/>
              </w:rPr>
              <w:t>0.9</w:t>
            </w:r>
          </w:p>
        </w:tc>
        <w:tc>
          <w:tcPr>
            <w:tcW w:w="851" w:type="dxa"/>
            <w:tcBorders>
              <w:top w:val="single" w:sz="2" w:space="0" w:color="auto"/>
            </w:tcBorders>
            <w:shd w:val="clear" w:color="auto" w:fill="auto"/>
          </w:tcPr>
          <w:p w14:paraId="74BC9B72" w14:textId="77777777" w:rsidR="00773F7B" w:rsidRPr="00336204" w:rsidRDefault="00773F7B" w:rsidP="00773F7B">
            <w:pPr>
              <w:pStyle w:val="T2"/>
              <w:jc w:val="right"/>
              <w:rPr>
                <w:b/>
                <w:bCs/>
              </w:rPr>
            </w:pPr>
            <w:r w:rsidRPr="00336204">
              <w:rPr>
                <w:b/>
                <w:bCs/>
              </w:rPr>
              <w:t>–</w:t>
            </w:r>
          </w:p>
        </w:tc>
        <w:tc>
          <w:tcPr>
            <w:tcW w:w="826" w:type="dxa"/>
            <w:tcBorders>
              <w:top w:val="single" w:sz="2" w:space="0" w:color="auto"/>
            </w:tcBorders>
            <w:shd w:val="clear" w:color="auto" w:fill="auto"/>
          </w:tcPr>
          <w:p w14:paraId="02A46C7D" w14:textId="77777777" w:rsidR="00773F7B" w:rsidRPr="008A2066" w:rsidRDefault="00773F7B" w:rsidP="00773F7B">
            <w:pPr>
              <w:pStyle w:val="T2"/>
              <w:jc w:val="right"/>
              <w:rPr>
                <w:b/>
                <w:bCs/>
              </w:rPr>
            </w:pPr>
            <w:r w:rsidRPr="008A2066">
              <w:rPr>
                <w:b/>
                <w:bCs/>
              </w:rPr>
              <w:t>0.9</w:t>
            </w:r>
          </w:p>
        </w:tc>
        <w:tc>
          <w:tcPr>
            <w:tcW w:w="1020" w:type="dxa"/>
            <w:tcBorders>
              <w:top w:val="single" w:sz="2" w:space="0" w:color="auto"/>
            </w:tcBorders>
            <w:shd w:val="clear" w:color="auto" w:fill="auto"/>
          </w:tcPr>
          <w:p w14:paraId="78E2A57D" w14:textId="77777777" w:rsidR="00773F7B" w:rsidRPr="001E1407" w:rsidRDefault="00773F7B" w:rsidP="00773F7B">
            <w:pPr>
              <w:pStyle w:val="T2"/>
              <w:jc w:val="right"/>
              <w:rPr>
                <w:b/>
                <w:bCs/>
              </w:rPr>
            </w:pPr>
            <w:r w:rsidRPr="001E1407">
              <w:rPr>
                <w:b/>
                <w:bCs/>
              </w:rPr>
              <w:t>–</w:t>
            </w:r>
          </w:p>
        </w:tc>
        <w:tc>
          <w:tcPr>
            <w:tcW w:w="847" w:type="dxa"/>
            <w:tcBorders>
              <w:top w:val="single" w:sz="2" w:space="0" w:color="auto"/>
            </w:tcBorders>
            <w:shd w:val="clear" w:color="auto" w:fill="auto"/>
          </w:tcPr>
          <w:p w14:paraId="29F3A174" w14:textId="77777777" w:rsidR="00773F7B" w:rsidRPr="001E1407" w:rsidRDefault="00773F7B" w:rsidP="00773F7B">
            <w:pPr>
              <w:pStyle w:val="T2"/>
              <w:jc w:val="right"/>
              <w:rPr>
                <w:b/>
                <w:bCs/>
              </w:rPr>
            </w:pPr>
            <w:r w:rsidRPr="001E1407">
              <w:rPr>
                <w:b/>
                <w:bCs/>
              </w:rPr>
              <w:t>0.9</w:t>
            </w:r>
          </w:p>
        </w:tc>
      </w:tr>
      <w:tr w:rsidR="00773F7B" w:rsidRPr="00C50E20" w14:paraId="3C88F271" w14:textId="77777777" w:rsidTr="005B3BEE">
        <w:trPr>
          <w:trHeight w:val="243"/>
          <w:jc w:val="center"/>
        </w:trPr>
        <w:tc>
          <w:tcPr>
            <w:tcW w:w="4395" w:type="dxa"/>
          </w:tcPr>
          <w:p w14:paraId="1E80950F" w14:textId="77777777" w:rsidR="00773F7B" w:rsidRPr="00006931" w:rsidRDefault="00773F7B" w:rsidP="00773F7B">
            <w:pPr>
              <w:pStyle w:val="T2"/>
              <w:jc w:val="left"/>
              <w:rPr>
                <w:bCs/>
              </w:rPr>
            </w:pPr>
            <w:r w:rsidRPr="00006931">
              <w:rPr>
                <w:bCs/>
              </w:rPr>
              <w:t>Exercise, lapse or forfeit of share</w:t>
            </w:r>
            <w:r>
              <w:rPr>
                <w:bCs/>
              </w:rPr>
              <w:t>–</w:t>
            </w:r>
            <w:r w:rsidRPr="00006931">
              <w:rPr>
                <w:bCs/>
              </w:rPr>
              <w:t>based payments</w:t>
            </w:r>
          </w:p>
        </w:tc>
        <w:tc>
          <w:tcPr>
            <w:tcW w:w="709" w:type="dxa"/>
            <w:vAlign w:val="bottom"/>
          </w:tcPr>
          <w:p w14:paraId="45E32515" w14:textId="77777777" w:rsidR="00773F7B" w:rsidRPr="00BB14B7" w:rsidRDefault="00773F7B" w:rsidP="00773F7B">
            <w:pPr>
              <w:pStyle w:val="T2"/>
              <w:jc w:val="right"/>
              <w:rPr>
                <w:b/>
                <w:bCs/>
              </w:rPr>
            </w:pPr>
            <w:r>
              <w:rPr>
                <w:rFonts w:ascii="Calibri" w:hAnsi="Calibri" w:cs="Calibri"/>
                <w:b/>
                <w:bCs/>
              </w:rPr>
              <w:t>–</w:t>
            </w:r>
          </w:p>
        </w:tc>
        <w:tc>
          <w:tcPr>
            <w:tcW w:w="992" w:type="dxa"/>
            <w:vAlign w:val="bottom"/>
          </w:tcPr>
          <w:p w14:paraId="36127F28" w14:textId="77777777" w:rsidR="00773F7B" w:rsidRPr="00BB14B7" w:rsidRDefault="00773F7B" w:rsidP="00773F7B">
            <w:pPr>
              <w:pStyle w:val="T2"/>
              <w:jc w:val="right"/>
              <w:rPr>
                <w:b/>
                <w:bCs/>
              </w:rPr>
            </w:pPr>
            <w:r w:rsidRPr="00BB14B7">
              <w:rPr>
                <w:rFonts w:ascii="Calibri" w:hAnsi="Calibri" w:cs="Calibri"/>
                <w:b/>
                <w:bCs/>
              </w:rPr>
              <w:t>0.3</w:t>
            </w:r>
          </w:p>
        </w:tc>
        <w:tc>
          <w:tcPr>
            <w:tcW w:w="850" w:type="dxa"/>
          </w:tcPr>
          <w:p w14:paraId="7EA4E3EA" w14:textId="77777777" w:rsidR="00773F7B" w:rsidRPr="00BB14B7" w:rsidRDefault="00773F7B" w:rsidP="00773F7B">
            <w:pPr>
              <w:pStyle w:val="T2"/>
              <w:jc w:val="right"/>
              <w:rPr>
                <w:b/>
                <w:bCs/>
              </w:rPr>
            </w:pPr>
            <w:r>
              <w:rPr>
                <w:b/>
                <w:bCs/>
              </w:rPr>
              <w:t>(2.6</w:t>
            </w:r>
            <w:r w:rsidRPr="00BB14B7">
              <w:rPr>
                <w:b/>
                <w:bCs/>
              </w:rPr>
              <w:t>)</w:t>
            </w:r>
          </w:p>
        </w:tc>
        <w:tc>
          <w:tcPr>
            <w:tcW w:w="851" w:type="dxa"/>
          </w:tcPr>
          <w:p w14:paraId="16C885AA" w14:textId="77777777" w:rsidR="00773F7B" w:rsidRPr="00BB14B7" w:rsidRDefault="00773F7B" w:rsidP="00773F7B">
            <w:pPr>
              <w:pStyle w:val="T2"/>
              <w:jc w:val="right"/>
              <w:rPr>
                <w:b/>
                <w:bCs/>
              </w:rPr>
            </w:pPr>
            <w:r>
              <w:rPr>
                <w:b/>
                <w:bCs/>
              </w:rPr>
              <w:t>2.6</w:t>
            </w:r>
          </w:p>
        </w:tc>
        <w:tc>
          <w:tcPr>
            <w:tcW w:w="826" w:type="dxa"/>
          </w:tcPr>
          <w:p w14:paraId="25BC95C3" w14:textId="77777777" w:rsidR="00773F7B" w:rsidRPr="00BB14B7" w:rsidRDefault="00773F7B" w:rsidP="00773F7B">
            <w:pPr>
              <w:pStyle w:val="T2"/>
              <w:jc w:val="right"/>
              <w:rPr>
                <w:b/>
                <w:bCs/>
              </w:rPr>
            </w:pPr>
            <w:r w:rsidRPr="00BB14B7">
              <w:rPr>
                <w:b/>
                <w:bCs/>
              </w:rPr>
              <w:t>0.3</w:t>
            </w:r>
          </w:p>
        </w:tc>
        <w:tc>
          <w:tcPr>
            <w:tcW w:w="1020" w:type="dxa"/>
          </w:tcPr>
          <w:p w14:paraId="4ECA2CDC" w14:textId="77777777" w:rsidR="00773F7B" w:rsidRPr="00BB14B7" w:rsidRDefault="00773F7B" w:rsidP="00773F7B">
            <w:pPr>
              <w:pStyle w:val="T2"/>
              <w:jc w:val="right"/>
              <w:rPr>
                <w:b/>
                <w:bCs/>
              </w:rPr>
            </w:pPr>
            <w:r>
              <w:rPr>
                <w:b/>
                <w:bCs/>
              </w:rPr>
              <w:t>–</w:t>
            </w:r>
          </w:p>
        </w:tc>
        <w:tc>
          <w:tcPr>
            <w:tcW w:w="847" w:type="dxa"/>
          </w:tcPr>
          <w:p w14:paraId="3D27D7A7" w14:textId="77777777" w:rsidR="00773F7B" w:rsidRPr="00BB14B7" w:rsidRDefault="00773F7B" w:rsidP="00773F7B">
            <w:pPr>
              <w:pStyle w:val="T2"/>
              <w:jc w:val="right"/>
              <w:rPr>
                <w:b/>
                <w:bCs/>
              </w:rPr>
            </w:pPr>
            <w:r w:rsidRPr="00BB14B7">
              <w:rPr>
                <w:b/>
                <w:bCs/>
              </w:rPr>
              <w:t>0.3</w:t>
            </w:r>
          </w:p>
        </w:tc>
      </w:tr>
      <w:tr w:rsidR="00773F7B" w:rsidRPr="00C50E20" w14:paraId="018B8D81" w14:textId="77777777" w:rsidTr="005B3BEE">
        <w:trPr>
          <w:trHeight w:val="243"/>
          <w:jc w:val="center"/>
        </w:trPr>
        <w:tc>
          <w:tcPr>
            <w:tcW w:w="4395" w:type="dxa"/>
          </w:tcPr>
          <w:p w14:paraId="6CC9AB8B" w14:textId="77777777" w:rsidR="00773F7B" w:rsidRPr="00006931" w:rsidRDefault="00773F7B" w:rsidP="00773F7B">
            <w:pPr>
              <w:pStyle w:val="T2"/>
              <w:jc w:val="left"/>
              <w:rPr>
                <w:bCs/>
              </w:rPr>
            </w:pPr>
            <w:r w:rsidRPr="00006931">
              <w:rPr>
                <w:bCs/>
              </w:rPr>
              <w:t>Shares acquired by Employee Benefit Trust</w:t>
            </w:r>
          </w:p>
        </w:tc>
        <w:tc>
          <w:tcPr>
            <w:tcW w:w="709" w:type="dxa"/>
            <w:vAlign w:val="bottom"/>
          </w:tcPr>
          <w:p w14:paraId="0FC6F32D" w14:textId="77777777" w:rsidR="00773F7B" w:rsidRPr="003313E6" w:rsidRDefault="00773F7B" w:rsidP="00773F7B">
            <w:pPr>
              <w:pStyle w:val="T2"/>
              <w:jc w:val="right"/>
              <w:rPr>
                <w:b/>
                <w:bCs/>
              </w:rPr>
            </w:pPr>
            <w:r>
              <w:rPr>
                <w:rFonts w:ascii="Calibri" w:hAnsi="Calibri" w:cs="Calibri"/>
                <w:b/>
                <w:bCs/>
              </w:rPr>
              <w:t>–</w:t>
            </w:r>
          </w:p>
        </w:tc>
        <w:tc>
          <w:tcPr>
            <w:tcW w:w="992" w:type="dxa"/>
            <w:vAlign w:val="bottom"/>
          </w:tcPr>
          <w:p w14:paraId="5E6BCC9A" w14:textId="77777777" w:rsidR="00773F7B" w:rsidRPr="003313E6" w:rsidRDefault="00773F7B" w:rsidP="00773F7B">
            <w:pPr>
              <w:pStyle w:val="T2"/>
              <w:jc w:val="right"/>
              <w:rPr>
                <w:b/>
                <w:bCs/>
              </w:rPr>
            </w:pPr>
            <w:r>
              <w:rPr>
                <w:rFonts w:ascii="Calibri" w:hAnsi="Calibri" w:cs="Calibri"/>
                <w:b/>
                <w:bCs/>
              </w:rPr>
              <w:t>–</w:t>
            </w:r>
          </w:p>
        </w:tc>
        <w:tc>
          <w:tcPr>
            <w:tcW w:w="850" w:type="dxa"/>
          </w:tcPr>
          <w:p w14:paraId="6895262E" w14:textId="77777777" w:rsidR="00773F7B" w:rsidRPr="003313E6" w:rsidRDefault="00773F7B" w:rsidP="00773F7B">
            <w:pPr>
              <w:pStyle w:val="T2"/>
              <w:jc w:val="right"/>
              <w:rPr>
                <w:b/>
                <w:bCs/>
              </w:rPr>
            </w:pPr>
            <w:r w:rsidRPr="003313E6">
              <w:rPr>
                <w:b/>
                <w:bCs/>
              </w:rPr>
              <w:t>(0.1)</w:t>
            </w:r>
          </w:p>
        </w:tc>
        <w:tc>
          <w:tcPr>
            <w:tcW w:w="851" w:type="dxa"/>
          </w:tcPr>
          <w:p w14:paraId="3CE6A4AD" w14:textId="77777777" w:rsidR="00773F7B" w:rsidRPr="003313E6" w:rsidRDefault="00773F7B" w:rsidP="00773F7B">
            <w:pPr>
              <w:pStyle w:val="T2"/>
              <w:jc w:val="right"/>
              <w:rPr>
                <w:b/>
                <w:bCs/>
              </w:rPr>
            </w:pPr>
            <w:r>
              <w:rPr>
                <w:rFonts w:ascii="Calibri" w:hAnsi="Calibri" w:cs="Calibri"/>
                <w:b/>
                <w:bCs/>
              </w:rPr>
              <w:t>0.1</w:t>
            </w:r>
          </w:p>
        </w:tc>
        <w:tc>
          <w:tcPr>
            <w:tcW w:w="826" w:type="dxa"/>
          </w:tcPr>
          <w:p w14:paraId="77486540" w14:textId="77777777" w:rsidR="00773F7B" w:rsidRPr="003313E6" w:rsidRDefault="00773F7B" w:rsidP="00773F7B">
            <w:pPr>
              <w:pStyle w:val="T2"/>
              <w:jc w:val="right"/>
              <w:rPr>
                <w:b/>
                <w:bCs/>
              </w:rPr>
            </w:pPr>
            <w:r>
              <w:rPr>
                <w:b/>
                <w:bCs/>
              </w:rPr>
              <w:t>–</w:t>
            </w:r>
          </w:p>
        </w:tc>
        <w:tc>
          <w:tcPr>
            <w:tcW w:w="1020" w:type="dxa"/>
          </w:tcPr>
          <w:p w14:paraId="2F613160" w14:textId="77777777" w:rsidR="00773F7B" w:rsidRPr="003313E6" w:rsidRDefault="00773F7B" w:rsidP="00773F7B">
            <w:pPr>
              <w:pStyle w:val="T2"/>
              <w:jc w:val="right"/>
              <w:rPr>
                <w:b/>
                <w:bCs/>
              </w:rPr>
            </w:pPr>
            <w:r>
              <w:rPr>
                <w:b/>
                <w:bCs/>
              </w:rPr>
              <w:t>–</w:t>
            </w:r>
          </w:p>
        </w:tc>
        <w:tc>
          <w:tcPr>
            <w:tcW w:w="847" w:type="dxa"/>
          </w:tcPr>
          <w:p w14:paraId="3EB003B8" w14:textId="77777777" w:rsidR="00773F7B" w:rsidRPr="003313E6" w:rsidRDefault="00773F7B" w:rsidP="00773F7B">
            <w:pPr>
              <w:pStyle w:val="T2"/>
              <w:jc w:val="right"/>
              <w:rPr>
                <w:b/>
                <w:bCs/>
              </w:rPr>
            </w:pPr>
            <w:r>
              <w:rPr>
                <w:b/>
                <w:bCs/>
              </w:rPr>
              <w:t>–</w:t>
            </w:r>
          </w:p>
        </w:tc>
      </w:tr>
      <w:tr w:rsidR="00773F7B" w:rsidRPr="00C50E20" w14:paraId="1113030A" w14:textId="77777777" w:rsidTr="005B3BEE">
        <w:trPr>
          <w:trHeight w:val="423"/>
          <w:jc w:val="center"/>
        </w:trPr>
        <w:tc>
          <w:tcPr>
            <w:tcW w:w="4395" w:type="dxa"/>
          </w:tcPr>
          <w:p w14:paraId="61C0314D" w14:textId="77777777" w:rsidR="00773F7B" w:rsidRPr="005D0EFF" w:rsidRDefault="00773F7B" w:rsidP="00773F7B">
            <w:pPr>
              <w:pStyle w:val="T2"/>
              <w:jc w:val="left"/>
              <w:rPr>
                <w:bCs/>
              </w:rPr>
            </w:pPr>
            <w:r w:rsidRPr="00006931">
              <w:rPr>
                <w:bCs/>
              </w:rPr>
              <w:t>Transfer to Retained Earnings on grant of shares to beneficiaries of the Employee Benefit Trust</w:t>
            </w:r>
          </w:p>
        </w:tc>
        <w:tc>
          <w:tcPr>
            <w:tcW w:w="709" w:type="dxa"/>
            <w:vAlign w:val="bottom"/>
          </w:tcPr>
          <w:p w14:paraId="253053F5" w14:textId="77777777" w:rsidR="00773F7B" w:rsidRPr="003313E6" w:rsidRDefault="00773F7B" w:rsidP="00773F7B">
            <w:pPr>
              <w:pStyle w:val="T2"/>
              <w:jc w:val="right"/>
              <w:rPr>
                <w:b/>
                <w:bCs/>
              </w:rPr>
            </w:pPr>
            <w:r>
              <w:rPr>
                <w:rFonts w:ascii="Calibri" w:hAnsi="Calibri" w:cs="Calibri"/>
                <w:b/>
                <w:bCs/>
              </w:rPr>
              <w:t>–</w:t>
            </w:r>
          </w:p>
        </w:tc>
        <w:tc>
          <w:tcPr>
            <w:tcW w:w="992" w:type="dxa"/>
            <w:vAlign w:val="bottom"/>
          </w:tcPr>
          <w:p w14:paraId="4A119C0B" w14:textId="77777777" w:rsidR="00773F7B" w:rsidRPr="003313E6" w:rsidRDefault="00773F7B" w:rsidP="00773F7B">
            <w:pPr>
              <w:pStyle w:val="T2"/>
              <w:jc w:val="right"/>
              <w:rPr>
                <w:b/>
                <w:bCs/>
              </w:rPr>
            </w:pPr>
            <w:r>
              <w:rPr>
                <w:rFonts w:ascii="Calibri" w:hAnsi="Calibri" w:cs="Calibri"/>
                <w:b/>
                <w:bCs/>
              </w:rPr>
              <w:t>–</w:t>
            </w:r>
          </w:p>
        </w:tc>
        <w:tc>
          <w:tcPr>
            <w:tcW w:w="850" w:type="dxa"/>
            <w:vAlign w:val="bottom"/>
          </w:tcPr>
          <w:p w14:paraId="209C3B1F" w14:textId="77777777" w:rsidR="00773F7B" w:rsidRPr="003313E6" w:rsidRDefault="00773F7B" w:rsidP="00773F7B">
            <w:pPr>
              <w:pStyle w:val="T2"/>
              <w:jc w:val="right"/>
              <w:rPr>
                <w:b/>
                <w:bCs/>
              </w:rPr>
            </w:pPr>
            <w:r w:rsidRPr="003313E6">
              <w:rPr>
                <w:b/>
                <w:bCs/>
              </w:rPr>
              <w:t>5.0</w:t>
            </w:r>
          </w:p>
        </w:tc>
        <w:tc>
          <w:tcPr>
            <w:tcW w:w="851" w:type="dxa"/>
            <w:vAlign w:val="bottom"/>
          </w:tcPr>
          <w:p w14:paraId="2494E809" w14:textId="77777777" w:rsidR="00773F7B" w:rsidRPr="003313E6" w:rsidRDefault="00773F7B" w:rsidP="00773F7B">
            <w:pPr>
              <w:pStyle w:val="T2"/>
              <w:jc w:val="right"/>
              <w:rPr>
                <w:b/>
                <w:bCs/>
              </w:rPr>
            </w:pPr>
            <w:r w:rsidRPr="003313E6">
              <w:rPr>
                <w:b/>
                <w:bCs/>
              </w:rPr>
              <w:t>(5.0)</w:t>
            </w:r>
          </w:p>
        </w:tc>
        <w:tc>
          <w:tcPr>
            <w:tcW w:w="826" w:type="dxa"/>
            <w:vAlign w:val="bottom"/>
          </w:tcPr>
          <w:p w14:paraId="7F965797" w14:textId="77777777" w:rsidR="00773F7B" w:rsidRPr="003313E6" w:rsidRDefault="00773F7B" w:rsidP="00773F7B">
            <w:pPr>
              <w:pStyle w:val="T2"/>
              <w:jc w:val="right"/>
              <w:rPr>
                <w:b/>
                <w:bCs/>
              </w:rPr>
            </w:pPr>
            <w:r>
              <w:rPr>
                <w:b/>
                <w:bCs/>
              </w:rPr>
              <w:t>–</w:t>
            </w:r>
          </w:p>
        </w:tc>
        <w:tc>
          <w:tcPr>
            <w:tcW w:w="1020" w:type="dxa"/>
            <w:vAlign w:val="bottom"/>
          </w:tcPr>
          <w:p w14:paraId="45AB3025" w14:textId="77777777" w:rsidR="00773F7B" w:rsidRPr="003313E6" w:rsidRDefault="00773F7B" w:rsidP="00773F7B">
            <w:pPr>
              <w:pStyle w:val="T2"/>
              <w:jc w:val="right"/>
              <w:rPr>
                <w:b/>
                <w:bCs/>
              </w:rPr>
            </w:pPr>
            <w:r>
              <w:rPr>
                <w:b/>
                <w:bCs/>
              </w:rPr>
              <w:t>–</w:t>
            </w:r>
          </w:p>
        </w:tc>
        <w:tc>
          <w:tcPr>
            <w:tcW w:w="847" w:type="dxa"/>
            <w:vAlign w:val="bottom"/>
          </w:tcPr>
          <w:p w14:paraId="5362D1AF" w14:textId="77777777" w:rsidR="00773F7B" w:rsidRPr="003313E6" w:rsidRDefault="00773F7B" w:rsidP="00773F7B">
            <w:pPr>
              <w:pStyle w:val="T2"/>
              <w:jc w:val="right"/>
              <w:rPr>
                <w:b/>
                <w:bCs/>
              </w:rPr>
            </w:pPr>
            <w:r>
              <w:rPr>
                <w:b/>
                <w:bCs/>
              </w:rPr>
              <w:t>–</w:t>
            </w:r>
          </w:p>
        </w:tc>
      </w:tr>
      <w:tr w:rsidR="00773F7B" w:rsidRPr="00C50E20" w14:paraId="21BF6D13" w14:textId="77777777" w:rsidTr="005B3BEE">
        <w:trPr>
          <w:jc w:val="center"/>
        </w:trPr>
        <w:tc>
          <w:tcPr>
            <w:tcW w:w="4395" w:type="dxa"/>
            <w:tcBorders>
              <w:bottom w:val="single" w:sz="2" w:space="0" w:color="auto"/>
            </w:tcBorders>
          </w:tcPr>
          <w:p w14:paraId="21684FA8" w14:textId="77777777" w:rsidR="00773F7B" w:rsidRPr="00006931" w:rsidRDefault="00773F7B" w:rsidP="00773F7B">
            <w:pPr>
              <w:pStyle w:val="T2"/>
              <w:jc w:val="left"/>
              <w:rPr>
                <w:bCs/>
              </w:rPr>
            </w:pPr>
            <w:r w:rsidRPr="00006931">
              <w:rPr>
                <w:bCs/>
              </w:rPr>
              <w:t>Dividends</w:t>
            </w:r>
          </w:p>
        </w:tc>
        <w:tc>
          <w:tcPr>
            <w:tcW w:w="709" w:type="dxa"/>
            <w:tcBorders>
              <w:bottom w:val="single" w:sz="2" w:space="0" w:color="auto"/>
            </w:tcBorders>
            <w:vAlign w:val="bottom"/>
          </w:tcPr>
          <w:p w14:paraId="39C49C46" w14:textId="77777777" w:rsidR="00773F7B" w:rsidRPr="003313E6" w:rsidRDefault="00773F7B" w:rsidP="00773F7B">
            <w:pPr>
              <w:pStyle w:val="T2"/>
              <w:jc w:val="right"/>
              <w:rPr>
                <w:b/>
                <w:bCs/>
              </w:rPr>
            </w:pPr>
            <w:r>
              <w:rPr>
                <w:rFonts w:ascii="Calibri" w:hAnsi="Calibri" w:cs="Calibri"/>
                <w:b/>
                <w:bCs/>
              </w:rPr>
              <w:t>–</w:t>
            </w:r>
          </w:p>
        </w:tc>
        <w:tc>
          <w:tcPr>
            <w:tcW w:w="992" w:type="dxa"/>
            <w:tcBorders>
              <w:bottom w:val="single" w:sz="2" w:space="0" w:color="auto"/>
            </w:tcBorders>
            <w:vAlign w:val="bottom"/>
          </w:tcPr>
          <w:p w14:paraId="46AC04C4" w14:textId="77777777" w:rsidR="00773F7B" w:rsidRPr="003313E6" w:rsidRDefault="00773F7B" w:rsidP="00773F7B">
            <w:pPr>
              <w:pStyle w:val="T2"/>
              <w:jc w:val="right"/>
              <w:rPr>
                <w:b/>
                <w:bCs/>
              </w:rPr>
            </w:pPr>
            <w:r>
              <w:rPr>
                <w:rFonts w:ascii="Calibri" w:hAnsi="Calibri" w:cs="Calibri"/>
                <w:b/>
                <w:bCs/>
              </w:rPr>
              <w:t>–</w:t>
            </w:r>
          </w:p>
        </w:tc>
        <w:tc>
          <w:tcPr>
            <w:tcW w:w="850" w:type="dxa"/>
            <w:tcBorders>
              <w:bottom w:val="single" w:sz="2" w:space="0" w:color="auto"/>
            </w:tcBorders>
          </w:tcPr>
          <w:p w14:paraId="503FBD27" w14:textId="77777777" w:rsidR="00773F7B" w:rsidRPr="003313E6" w:rsidRDefault="00773F7B" w:rsidP="00773F7B">
            <w:pPr>
              <w:pStyle w:val="T2"/>
              <w:jc w:val="right"/>
              <w:rPr>
                <w:b/>
                <w:bCs/>
              </w:rPr>
            </w:pPr>
            <w:r>
              <w:rPr>
                <w:rFonts w:ascii="Calibri" w:hAnsi="Calibri" w:cs="Calibri"/>
                <w:b/>
                <w:bCs/>
              </w:rPr>
              <w:t>–</w:t>
            </w:r>
          </w:p>
        </w:tc>
        <w:tc>
          <w:tcPr>
            <w:tcW w:w="851" w:type="dxa"/>
            <w:tcBorders>
              <w:bottom w:val="single" w:sz="2" w:space="0" w:color="auto"/>
            </w:tcBorders>
          </w:tcPr>
          <w:p w14:paraId="384854DD" w14:textId="77777777" w:rsidR="00773F7B" w:rsidRPr="003313E6" w:rsidRDefault="00773F7B" w:rsidP="00773F7B">
            <w:pPr>
              <w:pStyle w:val="T2"/>
              <w:jc w:val="right"/>
              <w:rPr>
                <w:b/>
                <w:bCs/>
              </w:rPr>
            </w:pPr>
            <w:r w:rsidRPr="003313E6">
              <w:rPr>
                <w:b/>
                <w:bCs/>
              </w:rPr>
              <w:t>(16.7)</w:t>
            </w:r>
          </w:p>
        </w:tc>
        <w:tc>
          <w:tcPr>
            <w:tcW w:w="826" w:type="dxa"/>
            <w:tcBorders>
              <w:bottom w:val="single" w:sz="2" w:space="0" w:color="auto"/>
            </w:tcBorders>
          </w:tcPr>
          <w:p w14:paraId="49EC7801" w14:textId="77777777" w:rsidR="00773F7B" w:rsidRPr="003313E6" w:rsidRDefault="00773F7B" w:rsidP="00773F7B">
            <w:pPr>
              <w:pStyle w:val="T2"/>
              <w:jc w:val="right"/>
              <w:rPr>
                <w:b/>
                <w:bCs/>
              </w:rPr>
            </w:pPr>
            <w:r w:rsidRPr="003313E6">
              <w:rPr>
                <w:b/>
                <w:bCs/>
              </w:rPr>
              <w:t>(16.7)</w:t>
            </w:r>
          </w:p>
        </w:tc>
        <w:tc>
          <w:tcPr>
            <w:tcW w:w="1020" w:type="dxa"/>
            <w:tcBorders>
              <w:bottom w:val="single" w:sz="2" w:space="0" w:color="auto"/>
            </w:tcBorders>
          </w:tcPr>
          <w:p w14:paraId="0FC4906A" w14:textId="77777777" w:rsidR="00773F7B" w:rsidRPr="003313E6" w:rsidRDefault="00773F7B" w:rsidP="00773F7B">
            <w:pPr>
              <w:pStyle w:val="T2"/>
              <w:jc w:val="right"/>
              <w:rPr>
                <w:b/>
                <w:bCs/>
              </w:rPr>
            </w:pPr>
            <w:r w:rsidRPr="003313E6">
              <w:rPr>
                <w:b/>
                <w:bCs/>
              </w:rPr>
              <w:t>(2.4)</w:t>
            </w:r>
          </w:p>
        </w:tc>
        <w:tc>
          <w:tcPr>
            <w:tcW w:w="847" w:type="dxa"/>
            <w:tcBorders>
              <w:bottom w:val="single" w:sz="2" w:space="0" w:color="auto"/>
            </w:tcBorders>
          </w:tcPr>
          <w:p w14:paraId="02E4E204" w14:textId="77777777" w:rsidR="00773F7B" w:rsidRPr="003313E6" w:rsidRDefault="00773F7B" w:rsidP="00773F7B">
            <w:pPr>
              <w:pStyle w:val="T2"/>
              <w:jc w:val="right"/>
              <w:rPr>
                <w:b/>
                <w:bCs/>
              </w:rPr>
            </w:pPr>
            <w:r w:rsidRPr="003313E6">
              <w:rPr>
                <w:b/>
                <w:bCs/>
              </w:rPr>
              <w:t>(19.1)</w:t>
            </w:r>
          </w:p>
        </w:tc>
      </w:tr>
      <w:tr w:rsidR="00773F7B" w:rsidRPr="00C50E20" w14:paraId="6AA1A522" w14:textId="77777777" w:rsidTr="005B3BEE">
        <w:trPr>
          <w:jc w:val="center"/>
        </w:trPr>
        <w:tc>
          <w:tcPr>
            <w:tcW w:w="4395" w:type="dxa"/>
            <w:tcBorders>
              <w:top w:val="single" w:sz="2" w:space="0" w:color="auto"/>
              <w:bottom w:val="single" w:sz="8" w:space="0" w:color="auto"/>
            </w:tcBorders>
          </w:tcPr>
          <w:p w14:paraId="47C83F88" w14:textId="77777777" w:rsidR="00773F7B" w:rsidRPr="005D0EFF" w:rsidRDefault="00773F7B" w:rsidP="00773F7B">
            <w:pPr>
              <w:pStyle w:val="T2"/>
              <w:jc w:val="left"/>
              <w:rPr>
                <w:b/>
                <w:bCs/>
              </w:rPr>
            </w:pPr>
            <w:r w:rsidRPr="005D0EFF">
              <w:rPr>
                <w:b/>
                <w:bCs/>
              </w:rPr>
              <w:t>At 27 March 2020</w:t>
            </w:r>
          </w:p>
        </w:tc>
        <w:tc>
          <w:tcPr>
            <w:tcW w:w="709" w:type="dxa"/>
            <w:tcBorders>
              <w:top w:val="single" w:sz="2" w:space="0" w:color="auto"/>
              <w:bottom w:val="single" w:sz="8" w:space="0" w:color="auto"/>
            </w:tcBorders>
          </w:tcPr>
          <w:p w14:paraId="683A15C7" w14:textId="77777777" w:rsidR="00773F7B" w:rsidRPr="003313E6" w:rsidRDefault="00773F7B" w:rsidP="00773F7B">
            <w:pPr>
              <w:pStyle w:val="T2"/>
              <w:jc w:val="right"/>
              <w:rPr>
                <w:b/>
                <w:bCs/>
              </w:rPr>
            </w:pPr>
            <w:r w:rsidRPr="003313E6">
              <w:rPr>
                <w:b/>
                <w:bCs/>
              </w:rPr>
              <w:t>4.5</w:t>
            </w:r>
          </w:p>
        </w:tc>
        <w:tc>
          <w:tcPr>
            <w:tcW w:w="992" w:type="dxa"/>
            <w:tcBorders>
              <w:top w:val="single" w:sz="2" w:space="0" w:color="auto"/>
              <w:bottom w:val="single" w:sz="8" w:space="0" w:color="auto"/>
            </w:tcBorders>
          </w:tcPr>
          <w:p w14:paraId="1762572D" w14:textId="77777777" w:rsidR="00773F7B" w:rsidRPr="003313E6" w:rsidRDefault="00773F7B" w:rsidP="00773F7B">
            <w:pPr>
              <w:pStyle w:val="T2"/>
              <w:jc w:val="right"/>
              <w:rPr>
                <w:b/>
                <w:bCs/>
              </w:rPr>
            </w:pPr>
            <w:r w:rsidRPr="003313E6">
              <w:rPr>
                <w:b/>
                <w:bCs/>
              </w:rPr>
              <w:t>0.4</w:t>
            </w:r>
          </w:p>
        </w:tc>
        <w:tc>
          <w:tcPr>
            <w:tcW w:w="850" w:type="dxa"/>
            <w:tcBorders>
              <w:top w:val="single" w:sz="2" w:space="0" w:color="auto"/>
              <w:bottom w:val="single" w:sz="8" w:space="0" w:color="auto"/>
            </w:tcBorders>
          </w:tcPr>
          <w:p w14:paraId="32B711B2" w14:textId="77777777" w:rsidR="00773F7B" w:rsidRPr="003313E6" w:rsidRDefault="00773F7B" w:rsidP="00773F7B">
            <w:pPr>
              <w:pStyle w:val="T2"/>
              <w:jc w:val="right"/>
              <w:rPr>
                <w:b/>
                <w:bCs/>
              </w:rPr>
            </w:pPr>
            <w:r w:rsidRPr="003313E6">
              <w:rPr>
                <w:b/>
                <w:bCs/>
              </w:rPr>
              <w:t>12</w:t>
            </w:r>
            <w:r>
              <w:rPr>
                <w:b/>
                <w:bCs/>
              </w:rPr>
              <w:t>3.5</w:t>
            </w:r>
          </w:p>
        </w:tc>
        <w:tc>
          <w:tcPr>
            <w:tcW w:w="851" w:type="dxa"/>
            <w:tcBorders>
              <w:top w:val="single" w:sz="2" w:space="0" w:color="auto"/>
              <w:bottom w:val="single" w:sz="8" w:space="0" w:color="auto"/>
            </w:tcBorders>
          </w:tcPr>
          <w:p w14:paraId="342EA3EB" w14:textId="77777777" w:rsidR="00773F7B" w:rsidRPr="003313E6" w:rsidRDefault="00773F7B" w:rsidP="00773F7B">
            <w:pPr>
              <w:pStyle w:val="T2"/>
              <w:jc w:val="right"/>
              <w:rPr>
                <w:b/>
                <w:bCs/>
              </w:rPr>
            </w:pPr>
            <w:r>
              <w:rPr>
                <w:b/>
                <w:bCs/>
              </w:rPr>
              <w:t>208.2</w:t>
            </w:r>
          </w:p>
        </w:tc>
        <w:tc>
          <w:tcPr>
            <w:tcW w:w="826" w:type="dxa"/>
            <w:tcBorders>
              <w:top w:val="single" w:sz="2" w:space="0" w:color="auto"/>
              <w:bottom w:val="single" w:sz="8" w:space="0" w:color="auto"/>
            </w:tcBorders>
          </w:tcPr>
          <w:p w14:paraId="7C53486E" w14:textId="77777777" w:rsidR="00773F7B" w:rsidRPr="003313E6" w:rsidRDefault="00773F7B" w:rsidP="00773F7B">
            <w:pPr>
              <w:pStyle w:val="T2"/>
              <w:jc w:val="right"/>
              <w:rPr>
                <w:b/>
                <w:bCs/>
              </w:rPr>
            </w:pPr>
            <w:r w:rsidRPr="003313E6">
              <w:rPr>
                <w:b/>
                <w:bCs/>
              </w:rPr>
              <w:t>33</w:t>
            </w:r>
            <w:r>
              <w:rPr>
                <w:b/>
                <w:bCs/>
              </w:rPr>
              <w:t>6.6</w:t>
            </w:r>
          </w:p>
        </w:tc>
        <w:tc>
          <w:tcPr>
            <w:tcW w:w="1020" w:type="dxa"/>
            <w:tcBorders>
              <w:top w:val="single" w:sz="2" w:space="0" w:color="auto"/>
              <w:bottom w:val="single" w:sz="8" w:space="0" w:color="auto"/>
            </w:tcBorders>
          </w:tcPr>
          <w:p w14:paraId="220EB0E7" w14:textId="77777777" w:rsidR="00773F7B" w:rsidRPr="003313E6" w:rsidRDefault="00773F7B" w:rsidP="00773F7B">
            <w:pPr>
              <w:pStyle w:val="T2"/>
              <w:jc w:val="right"/>
              <w:rPr>
                <w:b/>
                <w:bCs/>
              </w:rPr>
            </w:pPr>
            <w:r w:rsidRPr="003313E6">
              <w:rPr>
                <w:b/>
                <w:bCs/>
              </w:rPr>
              <w:t>4.9</w:t>
            </w:r>
          </w:p>
        </w:tc>
        <w:tc>
          <w:tcPr>
            <w:tcW w:w="847" w:type="dxa"/>
            <w:tcBorders>
              <w:top w:val="single" w:sz="2" w:space="0" w:color="auto"/>
              <w:bottom w:val="single" w:sz="8" w:space="0" w:color="auto"/>
            </w:tcBorders>
          </w:tcPr>
          <w:p w14:paraId="28A55B05" w14:textId="77777777" w:rsidR="00773F7B" w:rsidRPr="003313E6" w:rsidRDefault="00773F7B" w:rsidP="00773F7B">
            <w:pPr>
              <w:pStyle w:val="T2"/>
              <w:jc w:val="right"/>
              <w:rPr>
                <w:b/>
                <w:bCs/>
              </w:rPr>
            </w:pPr>
            <w:r w:rsidRPr="003313E6">
              <w:rPr>
                <w:b/>
                <w:bCs/>
              </w:rPr>
              <w:t>34</w:t>
            </w:r>
            <w:r>
              <w:rPr>
                <w:b/>
                <w:bCs/>
              </w:rPr>
              <w:t>1.5</w:t>
            </w:r>
          </w:p>
        </w:tc>
      </w:tr>
    </w:tbl>
    <w:p w14:paraId="7049C133" w14:textId="41160EAB" w:rsidR="009C27E0" w:rsidRDefault="009C27E0"/>
    <w:p w14:paraId="063D9356" w14:textId="77777777" w:rsidR="009C27E0" w:rsidRDefault="009C27E0">
      <w:r>
        <w:br w:type="page"/>
      </w:r>
    </w:p>
    <w:tbl>
      <w:tblPr>
        <w:tblStyle w:val="TableGrid"/>
        <w:tblW w:w="10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709"/>
        <w:gridCol w:w="992"/>
        <w:gridCol w:w="850"/>
        <w:gridCol w:w="992"/>
        <w:gridCol w:w="826"/>
        <w:gridCol w:w="1020"/>
        <w:gridCol w:w="847"/>
      </w:tblGrid>
      <w:tr w:rsidR="00773F7B" w:rsidRPr="00BD5017" w14:paraId="685466DE" w14:textId="77777777" w:rsidTr="00B52070">
        <w:trPr>
          <w:jc w:val="center"/>
        </w:trPr>
        <w:tc>
          <w:tcPr>
            <w:tcW w:w="4395" w:type="dxa"/>
            <w:vAlign w:val="bottom"/>
          </w:tcPr>
          <w:p w14:paraId="59D631B7" w14:textId="77777777" w:rsidR="00773F7B" w:rsidRPr="00E57F3E" w:rsidRDefault="00773F7B" w:rsidP="00773F7B">
            <w:pPr>
              <w:pStyle w:val="T2"/>
              <w:jc w:val="left"/>
            </w:pPr>
          </w:p>
        </w:tc>
        <w:tc>
          <w:tcPr>
            <w:tcW w:w="709" w:type="dxa"/>
            <w:vAlign w:val="bottom"/>
          </w:tcPr>
          <w:p w14:paraId="093E163F" w14:textId="77777777" w:rsidR="00773F7B" w:rsidRPr="00B52070" w:rsidRDefault="00773F7B" w:rsidP="00B52070">
            <w:pPr>
              <w:pStyle w:val="T2"/>
              <w:ind w:left="-126" w:firstLine="126"/>
              <w:jc w:val="right"/>
            </w:pPr>
            <w:r w:rsidRPr="00BE7FD5">
              <w:t>Share capital</w:t>
            </w:r>
          </w:p>
        </w:tc>
        <w:tc>
          <w:tcPr>
            <w:tcW w:w="992" w:type="dxa"/>
            <w:vAlign w:val="bottom"/>
          </w:tcPr>
          <w:p w14:paraId="2DE81D6B" w14:textId="77777777" w:rsidR="00773F7B" w:rsidRPr="00B52070" w:rsidRDefault="00773F7B" w:rsidP="00B52070">
            <w:pPr>
              <w:pStyle w:val="T2"/>
              <w:ind w:left="-126" w:firstLine="126"/>
              <w:jc w:val="right"/>
            </w:pPr>
            <w:r w:rsidRPr="00BE7FD5">
              <w:t>Share premium</w:t>
            </w:r>
          </w:p>
        </w:tc>
        <w:tc>
          <w:tcPr>
            <w:tcW w:w="850" w:type="dxa"/>
            <w:vAlign w:val="bottom"/>
          </w:tcPr>
          <w:p w14:paraId="3CBD63FE" w14:textId="77777777" w:rsidR="00773F7B" w:rsidRPr="00B52070" w:rsidRDefault="00773F7B" w:rsidP="00B52070">
            <w:pPr>
              <w:pStyle w:val="T2"/>
              <w:ind w:left="-126" w:firstLine="126"/>
              <w:jc w:val="right"/>
            </w:pPr>
            <w:r w:rsidRPr="00BE7FD5">
              <w:t>Other reserves</w:t>
            </w:r>
          </w:p>
        </w:tc>
        <w:tc>
          <w:tcPr>
            <w:tcW w:w="992" w:type="dxa"/>
            <w:vAlign w:val="bottom"/>
          </w:tcPr>
          <w:p w14:paraId="48B1E41C" w14:textId="77777777" w:rsidR="00773F7B" w:rsidRPr="00B52070" w:rsidRDefault="00773F7B" w:rsidP="00B52070">
            <w:pPr>
              <w:pStyle w:val="T2"/>
              <w:ind w:left="-126" w:firstLine="126"/>
              <w:jc w:val="right"/>
            </w:pPr>
            <w:r w:rsidRPr="00BE7FD5">
              <w:t>Retained earnings</w:t>
            </w:r>
          </w:p>
        </w:tc>
        <w:tc>
          <w:tcPr>
            <w:tcW w:w="826" w:type="dxa"/>
            <w:vAlign w:val="bottom"/>
          </w:tcPr>
          <w:p w14:paraId="6B88E208" w14:textId="77777777" w:rsidR="00773F7B" w:rsidRPr="00B52070" w:rsidRDefault="00773F7B" w:rsidP="00B52070">
            <w:pPr>
              <w:pStyle w:val="T2"/>
              <w:ind w:left="-126" w:firstLine="126"/>
              <w:jc w:val="right"/>
            </w:pPr>
            <w:r w:rsidRPr="00BE7FD5">
              <w:t>Total</w:t>
            </w:r>
          </w:p>
        </w:tc>
        <w:tc>
          <w:tcPr>
            <w:tcW w:w="1020" w:type="dxa"/>
            <w:vAlign w:val="bottom"/>
          </w:tcPr>
          <w:p w14:paraId="7D544144" w14:textId="77777777" w:rsidR="00773F7B" w:rsidRPr="00B52070" w:rsidRDefault="00773F7B" w:rsidP="00B52070">
            <w:pPr>
              <w:pStyle w:val="T2"/>
              <w:ind w:left="-126" w:right="-10" w:firstLine="126"/>
              <w:jc w:val="right"/>
            </w:pPr>
            <w:r w:rsidRPr="00BE7FD5">
              <w:t>Non–controlling interest</w:t>
            </w:r>
          </w:p>
        </w:tc>
        <w:tc>
          <w:tcPr>
            <w:tcW w:w="847" w:type="dxa"/>
            <w:vAlign w:val="bottom"/>
          </w:tcPr>
          <w:p w14:paraId="2458D15B" w14:textId="77777777" w:rsidR="00773F7B" w:rsidRPr="00BE7FD5" w:rsidRDefault="00773F7B" w:rsidP="00B52070">
            <w:pPr>
              <w:pStyle w:val="T2"/>
              <w:ind w:left="-126" w:firstLine="126"/>
              <w:jc w:val="right"/>
            </w:pPr>
            <w:r w:rsidRPr="00BE7FD5">
              <w:t xml:space="preserve">Total </w:t>
            </w:r>
          </w:p>
          <w:p w14:paraId="7E644913" w14:textId="77777777" w:rsidR="00773F7B" w:rsidRPr="00B52070" w:rsidRDefault="00773F7B" w:rsidP="00B52070">
            <w:pPr>
              <w:pStyle w:val="T2"/>
              <w:ind w:left="-126" w:firstLine="126"/>
              <w:jc w:val="right"/>
            </w:pPr>
            <w:r w:rsidRPr="00BE7FD5">
              <w:t>equity</w:t>
            </w:r>
          </w:p>
        </w:tc>
      </w:tr>
      <w:tr w:rsidR="00773F7B" w:rsidRPr="00BD5017" w14:paraId="3D0DC37C" w14:textId="77777777" w:rsidTr="00B52070">
        <w:trPr>
          <w:jc w:val="center"/>
        </w:trPr>
        <w:tc>
          <w:tcPr>
            <w:tcW w:w="4395" w:type="dxa"/>
            <w:tcBorders>
              <w:bottom w:val="single" w:sz="2" w:space="0" w:color="auto"/>
            </w:tcBorders>
            <w:vAlign w:val="bottom"/>
          </w:tcPr>
          <w:p w14:paraId="08FB545A" w14:textId="77777777" w:rsidR="00773F7B" w:rsidRPr="00E57F3E" w:rsidRDefault="00773F7B" w:rsidP="00773F7B">
            <w:pPr>
              <w:pStyle w:val="T2"/>
              <w:jc w:val="left"/>
              <w:rPr>
                <w:b/>
              </w:rPr>
            </w:pPr>
          </w:p>
        </w:tc>
        <w:tc>
          <w:tcPr>
            <w:tcW w:w="709" w:type="dxa"/>
            <w:tcBorders>
              <w:bottom w:val="single" w:sz="2" w:space="0" w:color="auto"/>
            </w:tcBorders>
            <w:vAlign w:val="bottom"/>
          </w:tcPr>
          <w:p w14:paraId="2CDFC448" w14:textId="77777777" w:rsidR="00773F7B" w:rsidRPr="00B52070" w:rsidRDefault="00773F7B" w:rsidP="00B52070">
            <w:pPr>
              <w:pStyle w:val="T2"/>
              <w:ind w:left="-126" w:firstLine="126"/>
              <w:jc w:val="right"/>
            </w:pPr>
            <w:r w:rsidRPr="00BE7FD5">
              <w:t>£m</w:t>
            </w:r>
          </w:p>
        </w:tc>
        <w:tc>
          <w:tcPr>
            <w:tcW w:w="992" w:type="dxa"/>
            <w:tcBorders>
              <w:bottom w:val="single" w:sz="2" w:space="0" w:color="auto"/>
            </w:tcBorders>
            <w:vAlign w:val="bottom"/>
          </w:tcPr>
          <w:p w14:paraId="1F79D1DA" w14:textId="77777777" w:rsidR="00773F7B" w:rsidRPr="00B52070" w:rsidRDefault="00773F7B" w:rsidP="00B52070">
            <w:pPr>
              <w:pStyle w:val="T2"/>
              <w:ind w:left="-126" w:firstLine="126"/>
              <w:jc w:val="right"/>
            </w:pPr>
            <w:r w:rsidRPr="00BE7FD5">
              <w:t>£m</w:t>
            </w:r>
          </w:p>
        </w:tc>
        <w:tc>
          <w:tcPr>
            <w:tcW w:w="850" w:type="dxa"/>
            <w:tcBorders>
              <w:bottom w:val="single" w:sz="2" w:space="0" w:color="auto"/>
            </w:tcBorders>
            <w:vAlign w:val="bottom"/>
          </w:tcPr>
          <w:p w14:paraId="1F746DEA" w14:textId="77777777" w:rsidR="00773F7B" w:rsidRPr="00B52070" w:rsidRDefault="00773F7B" w:rsidP="00B52070">
            <w:pPr>
              <w:pStyle w:val="T2"/>
              <w:ind w:left="-126" w:firstLine="126"/>
              <w:jc w:val="right"/>
            </w:pPr>
            <w:r w:rsidRPr="00BE7FD5">
              <w:t>£m</w:t>
            </w:r>
          </w:p>
        </w:tc>
        <w:tc>
          <w:tcPr>
            <w:tcW w:w="992" w:type="dxa"/>
            <w:tcBorders>
              <w:bottom w:val="single" w:sz="2" w:space="0" w:color="auto"/>
            </w:tcBorders>
            <w:vAlign w:val="bottom"/>
          </w:tcPr>
          <w:p w14:paraId="50A97C0E" w14:textId="77777777" w:rsidR="00773F7B" w:rsidRPr="00B52070" w:rsidRDefault="00773F7B" w:rsidP="00B52070">
            <w:pPr>
              <w:pStyle w:val="T2"/>
              <w:ind w:left="-126" w:firstLine="126"/>
              <w:jc w:val="right"/>
            </w:pPr>
            <w:r w:rsidRPr="00BE7FD5">
              <w:t>£m</w:t>
            </w:r>
          </w:p>
        </w:tc>
        <w:tc>
          <w:tcPr>
            <w:tcW w:w="826" w:type="dxa"/>
            <w:tcBorders>
              <w:bottom w:val="single" w:sz="2" w:space="0" w:color="auto"/>
            </w:tcBorders>
            <w:vAlign w:val="bottom"/>
          </w:tcPr>
          <w:p w14:paraId="1108FAF5" w14:textId="77777777" w:rsidR="00773F7B" w:rsidRPr="00B52070" w:rsidRDefault="00773F7B" w:rsidP="00B52070">
            <w:pPr>
              <w:pStyle w:val="T2"/>
              <w:ind w:left="-126" w:firstLine="126"/>
              <w:jc w:val="right"/>
            </w:pPr>
            <w:r w:rsidRPr="00BE7FD5">
              <w:t>£m</w:t>
            </w:r>
          </w:p>
        </w:tc>
        <w:tc>
          <w:tcPr>
            <w:tcW w:w="1020" w:type="dxa"/>
            <w:tcBorders>
              <w:bottom w:val="single" w:sz="2" w:space="0" w:color="auto"/>
            </w:tcBorders>
            <w:vAlign w:val="bottom"/>
          </w:tcPr>
          <w:p w14:paraId="209042A0" w14:textId="77777777" w:rsidR="00773F7B" w:rsidRPr="00B52070" w:rsidRDefault="00773F7B" w:rsidP="00B52070">
            <w:pPr>
              <w:pStyle w:val="T2"/>
              <w:ind w:left="-126" w:firstLine="126"/>
              <w:jc w:val="right"/>
            </w:pPr>
            <w:r w:rsidRPr="00BE7FD5">
              <w:t>£m</w:t>
            </w:r>
          </w:p>
        </w:tc>
        <w:tc>
          <w:tcPr>
            <w:tcW w:w="847" w:type="dxa"/>
            <w:tcBorders>
              <w:bottom w:val="single" w:sz="2" w:space="0" w:color="auto"/>
            </w:tcBorders>
            <w:vAlign w:val="bottom"/>
          </w:tcPr>
          <w:p w14:paraId="5958C1C0" w14:textId="77777777" w:rsidR="00773F7B" w:rsidRPr="00B52070" w:rsidRDefault="00773F7B" w:rsidP="00B52070">
            <w:pPr>
              <w:pStyle w:val="T2"/>
              <w:ind w:left="-126" w:firstLine="126"/>
              <w:jc w:val="right"/>
            </w:pPr>
            <w:r w:rsidRPr="00BE7FD5">
              <w:t>£m</w:t>
            </w:r>
          </w:p>
        </w:tc>
      </w:tr>
      <w:tr w:rsidR="00773F7B" w14:paraId="3A286584" w14:textId="77777777" w:rsidTr="00B52070">
        <w:trPr>
          <w:jc w:val="center"/>
        </w:trPr>
        <w:tc>
          <w:tcPr>
            <w:tcW w:w="4395" w:type="dxa"/>
            <w:tcBorders>
              <w:top w:val="single" w:sz="2" w:space="0" w:color="auto"/>
              <w:bottom w:val="single" w:sz="2" w:space="0" w:color="auto"/>
            </w:tcBorders>
            <w:vAlign w:val="bottom"/>
          </w:tcPr>
          <w:p w14:paraId="541132A1" w14:textId="77777777" w:rsidR="00773F7B" w:rsidRPr="00B52070" w:rsidRDefault="00773F7B" w:rsidP="00773F7B">
            <w:pPr>
              <w:pStyle w:val="T2"/>
              <w:jc w:val="left"/>
              <w:rPr>
                <w:b/>
              </w:rPr>
            </w:pPr>
            <w:r w:rsidRPr="00B52070">
              <w:rPr>
                <w:b/>
              </w:rPr>
              <w:t xml:space="preserve">At 28 September 2018 </w:t>
            </w:r>
          </w:p>
        </w:tc>
        <w:tc>
          <w:tcPr>
            <w:tcW w:w="709" w:type="dxa"/>
            <w:tcBorders>
              <w:top w:val="single" w:sz="2" w:space="0" w:color="auto"/>
              <w:bottom w:val="single" w:sz="2" w:space="0" w:color="auto"/>
            </w:tcBorders>
            <w:vAlign w:val="bottom"/>
          </w:tcPr>
          <w:p w14:paraId="32D02860" w14:textId="77777777" w:rsidR="00773F7B" w:rsidRPr="00BE7FD5" w:rsidRDefault="00773F7B" w:rsidP="00773F7B">
            <w:pPr>
              <w:pStyle w:val="T2"/>
              <w:jc w:val="right"/>
              <w:rPr>
                <w:bCs/>
              </w:rPr>
            </w:pPr>
            <w:r w:rsidRPr="00BE7FD5">
              <w:rPr>
                <w:bCs/>
              </w:rPr>
              <w:t>7.1</w:t>
            </w:r>
          </w:p>
        </w:tc>
        <w:tc>
          <w:tcPr>
            <w:tcW w:w="992" w:type="dxa"/>
            <w:tcBorders>
              <w:top w:val="single" w:sz="2" w:space="0" w:color="auto"/>
              <w:bottom w:val="single" w:sz="2" w:space="0" w:color="auto"/>
            </w:tcBorders>
            <w:vAlign w:val="bottom"/>
          </w:tcPr>
          <w:p w14:paraId="76A9B533" w14:textId="77777777" w:rsidR="00773F7B" w:rsidRPr="00BD5B9E" w:rsidRDefault="00773F7B" w:rsidP="00773F7B">
            <w:pPr>
              <w:pStyle w:val="T2"/>
              <w:jc w:val="right"/>
              <w:rPr>
                <w:bCs/>
              </w:rPr>
            </w:pPr>
            <w:r w:rsidRPr="00BD5B9E">
              <w:rPr>
                <w:bCs/>
              </w:rPr>
              <w:t>650.8</w:t>
            </w:r>
          </w:p>
        </w:tc>
        <w:tc>
          <w:tcPr>
            <w:tcW w:w="850" w:type="dxa"/>
            <w:tcBorders>
              <w:top w:val="single" w:sz="2" w:space="0" w:color="auto"/>
              <w:bottom w:val="single" w:sz="2" w:space="0" w:color="auto"/>
            </w:tcBorders>
            <w:vAlign w:val="bottom"/>
          </w:tcPr>
          <w:p w14:paraId="67996CEC" w14:textId="77777777" w:rsidR="00773F7B" w:rsidRPr="00850427" w:rsidRDefault="00773F7B" w:rsidP="00773F7B">
            <w:pPr>
              <w:pStyle w:val="T2"/>
              <w:jc w:val="right"/>
              <w:rPr>
                <w:bCs/>
              </w:rPr>
            </w:pPr>
            <w:r w:rsidRPr="0052700C">
              <w:rPr>
                <w:bCs/>
              </w:rPr>
              <w:t>105.1</w:t>
            </w:r>
          </w:p>
        </w:tc>
        <w:tc>
          <w:tcPr>
            <w:tcW w:w="992" w:type="dxa"/>
            <w:tcBorders>
              <w:top w:val="single" w:sz="2" w:space="0" w:color="auto"/>
              <w:bottom w:val="single" w:sz="2" w:space="0" w:color="auto"/>
            </w:tcBorders>
            <w:vAlign w:val="bottom"/>
          </w:tcPr>
          <w:p w14:paraId="03F47C45" w14:textId="77777777" w:rsidR="00773F7B" w:rsidRPr="00313FBC" w:rsidRDefault="00773F7B" w:rsidP="00773F7B">
            <w:pPr>
              <w:pStyle w:val="T2"/>
              <w:jc w:val="right"/>
              <w:rPr>
                <w:bCs/>
              </w:rPr>
            </w:pPr>
            <w:r w:rsidRPr="00313FBC">
              <w:rPr>
                <w:bCs/>
              </w:rPr>
              <w:t>(25.8)</w:t>
            </w:r>
          </w:p>
        </w:tc>
        <w:tc>
          <w:tcPr>
            <w:tcW w:w="826" w:type="dxa"/>
            <w:tcBorders>
              <w:top w:val="single" w:sz="2" w:space="0" w:color="auto"/>
              <w:bottom w:val="single" w:sz="2" w:space="0" w:color="auto"/>
            </w:tcBorders>
            <w:vAlign w:val="bottom"/>
          </w:tcPr>
          <w:p w14:paraId="55501112" w14:textId="77777777" w:rsidR="00773F7B" w:rsidRPr="006D0A46" w:rsidRDefault="00773F7B" w:rsidP="00773F7B">
            <w:pPr>
              <w:pStyle w:val="T2"/>
              <w:jc w:val="right"/>
              <w:rPr>
                <w:bCs/>
              </w:rPr>
            </w:pPr>
            <w:r w:rsidRPr="006D0A46">
              <w:rPr>
                <w:bCs/>
              </w:rPr>
              <w:t>737.2</w:t>
            </w:r>
          </w:p>
        </w:tc>
        <w:tc>
          <w:tcPr>
            <w:tcW w:w="1020" w:type="dxa"/>
            <w:tcBorders>
              <w:top w:val="single" w:sz="2" w:space="0" w:color="auto"/>
              <w:bottom w:val="single" w:sz="2" w:space="0" w:color="auto"/>
            </w:tcBorders>
            <w:vAlign w:val="bottom"/>
          </w:tcPr>
          <w:p w14:paraId="7BABCD9B" w14:textId="77777777" w:rsidR="00773F7B" w:rsidRPr="00AF32EB" w:rsidRDefault="00773F7B" w:rsidP="00773F7B">
            <w:pPr>
              <w:pStyle w:val="T2"/>
              <w:jc w:val="right"/>
              <w:rPr>
                <w:bCs/>
              </w:rPr>
            </w:pPr>
            <w:r w:rsidRPr="00AF32EB">
              <w:rPr>
                <w:bCs/>
              </w:rPr>
              <w:t>6.4</w:t>
            </w:r>
          </w:p>
        </w:tc>
        <w:tc>
          <w:tcPr>
            <w:tcW w:w="847" w:type="dxa"/>
            <w:tcBorders>
              <w:top w:val="single" w:sz="2" w:space="0" w:color="auto"/>
              <w:bottom w:val="single" w:sz="2" w:space="0" w:color="auto"/>
            </w:tcBorders>
            <w:vAlign w:val="bottom"/>
          </w:tcPr>
          <w:p w14:paraId="08FBACFF" w14:textId="77777777" w:rsidR="00773F7B" w:rsidRPr="001C4EF0" w:rsidRDefault="00773F7B" w:rsidP="00773F7B">
            <w:pPr>
              <w:pStyle w:val="T2"/>
              <w:jc w:val="right"/>
              <w:rPr>
                <w:bCs/>
              </w:rPr>
            </w:pPr>
            <w:r w:rsidRPr="001C4EF0">
              <w:rPr>
                <w:bCs/>
              </w:rPr>
              <w:t>743.6</w:t>
            </w:r>
          </w:p>
        </w:tc>
      </w:tr>
      <w:tr w:rsidR="00773F7B" w14:paraId="663DBC45" w14:textId="77777777" w:rsidTr="00B52070">
        <w:trPr>
          <w:jc w:val="center"/>
        </w:trPr>
        <w:tc>
          <w:tcPr>
            <w:tcW w:w="4395" w:type="dxa"/>
            <w:tcBorders>
              <w:top w:val="single" w:sz="2" w:space="0" w:color="auto"/>
            </w:tcBorders>
            <w:vAlign w:val="bottom"/>
          </w:tcPr>
          <w:p w14:paraId="3ACB393E" w14:textId="77777777" w:rsidR="00773F7B" w:rsidRPr="0096767F" w:rsidRDefault="00773F7B" w:rsidP="00773F7B">
            <w:pPr>
              <w:pStyle w:val="T2"/>
              <w:jc w:val="left"/>
              <w:rPr>
                <w:bCs/>
              </w:rPr>
            </w:pPr>
            <w:r>
              <w:rPr>
                <w:bCs/>
              </w:rPr>
              <w:t xml:space="preserve">IFRS 9 transition adjustment </w:t>
            </w:r>
          </w:p>
        </w:tc>
        <w:tc>
          <w:tcPr>
            <w:tcW w:w="709" w:type="dxa"/>
            <w:tcBorders>
              <w:top w:val="single" w:sz="2" w:space="0" w:color="auto"/>
            </w:tcBorders>
            <w:vAlign w:val="bottom"/>
          </w:tcPr>
          <w:p w14:paraId="215FD385" w14:textId="77777777" w:rsidR="00773F7B" w:rsidRPr="00BE7FD5" w:rsidRDefault="00773F7B" w:rsidP="00773F7B">
            <w:pPr>
              <w:pStyle w:val="T2"/>
              <w:jc w:val="right"/>
              <w:rPr>
                <w:bCs/>
              </w:rPr>
            </w:pPr>
            <w:r w:rsidRPr="00BE7FD5">
              <w:rPr>
                <w:bCs/>
              </w:rPr>
              <w:t>–</w:t>
            </w:r>
          </w:p>
        </w:tc>
        <w:tc>
          <w:tcPr>
            <w:tcW w:w="992" w:type="dxa"/>
            <w:tcBorders>
              <w:top w:val="single" w:sz="2" w:space="0" w:color="auto"/>
            </w:tcBorders>
            <w:vAlign w:val="bottom"/>
          </w:tcPr>
          <w:p w14:paraId="7442608B" w14:textId="77777777" w:rsidR="00773F7B" w:rsidRPr="00BD5B9E" w:rsidRDefault="00773F7B" w:rsidP="00773F7B">
            <w:pPr>
              <w:pStyle w:val="T2"/>
              <w:jc w:val="right"/>
              <w:rPr>
                <w:bCs/>
              </w:rPr>
            </w:pPr>
            <w:r w:rsidRPr="00BD5B9E">
              <w:rPr>
                <w:bCs/>
              </w:rPr>
              <w:t>–</w:t>
            </w:r>
          </w:p>
        </w:tc>
        <w:tc>
          <w:tcPr>
            <w:tcW w:w="850" w:type="dxa"/>
            <w:tcBorders>
              <w:top w:val="single" w:sz="2" w:space="0" w:color="auto"/>
            </w:tcBorders>
            <w:vAlign w:val="bottom"/>
          </w:tcPr>
          <w:p w14:paraId="317E9C6C" w14:textId="77777777" w:rsidR="00773F7B" w:rsidRPr="00850427" w:rsidRDefault="00773F7B" w:rsidP="00773F7B">
            <w:pPr>
              <w:pStyle w:val="T2"/>
              <w:jc w:val="right"/>
              <w:rPr>
                <w:bCs/>
              </w:rPr>
            </w:pPr>
            <w:r w:rsidRPr="0052700C">
              <w:rPr>
                <w:bCs/>
              </w:rPr>
              <w:t>–</w:t>
            </w:r>
          </w:p>
        </w:tc>
        <w:tc>
          <w:tcPr>
            <w:tcW w:w="992" w:type="dxa"/>
            <w:tcBorders>
              <w:top w:val="single" w:sz="2" w:space="0" w:color="auto"/>
            </w:tcBorders>
            <w:vAlign w:val="bottom"/>
          </w:tcPr>
          <w:p w14:paraId="6143B2AD" w14:textId="77777777" w:rsidR="00773F7B" w:rsidRPr="00313FBC" w:rsidRDefault="00773F7B" w:rsidP="00773F7B">
            <w:pPr>
              <w:pStyle w:val="T2"/>
              <w:jc w:val="right"/>
              <w:rPr>
                <w:bCs/>
              </w:rPr>
            </w:pPr>
            <w:r w:rsidRPr="00313FBC">
              <w:rPr>
                <w:bCs/>
              </w:rPr>
              <w:t>(0.9)</w:t>
            </w:r>
          </w:p>
        </w:tc>
        <w:tc>
          <w:tcPr>
            <w:tcW w:w="826" w:type="dxa"/>
            <w:tcBorders>
              <w:top w:val="single" w:sz="2" w:space="0" w:color="auto"/>
            </w:tcBorders>
            <w:vAlign w:val="bottom"/>
          </w:tcPr>
          <w:p w14:paraId="7D2A6FB6" w14:textId="77777777" w:rsidR="00773F7B" w:rsidRPr="006D0A46" w:rsidRDefault="00773F7B" w:rsidP="00773F7B">
            <w:pPr>
              <w:pStyle w:val="T2"/>
              <w:jc w:val="right"/>
              <w:rPr>
                <w:bCs/>
              </w:rPr>
            </w:pPr>
            <w:r w:rsidRPr="006D0A46">
              <w:rPr>
                <w:bCs/>
              </w:rPr>
              <w:t>(0.9)</w:t>
            </w:r>
          </w:p>
        </w:tc>
        <w:tc>
          <w:tcPr>
            <w:tcW w:w="1020" w:type="dxa"/>
            <w:tcBorders>
              <w:top w:val="single" w:sz="2" w:space="0" w:color="auto"/>
            </w:tcBorders>
            <w:vAlign w:val="bottom"/>
          </w:tcPr>
          <w:p w14:paraId="600C834A" w14:textId="77777777" w:rsidR="00773F7B" w:rsidRPr="00AF32EB" w:rsidRDefault="00773F7B" w:rsidP="00773F7B">
            <w:pPr>
              <w:pStyle w:val="T2"/>
              <w:jc w:val="right"/>
              <w:rPr>
                <w:bCs/>
              </w:rPr>
            </w:pPr>
            <w:r w:rsidRPr="00AF32EB">
              <w:rPr>
                <w:bCs/>
              </w:rPr>
              <w:t>–</w:t>
            </w:r>
          </w:p>
        </w:tc>
        <w:tc>
          <w:tcPr>
            <w:tcW w:w="847" w:type="dxa"/>
            <w:tcBorders>
              <w:top w:val="single" w:sz="2" w:space="0" w:color="auto"/>
            </w:tcBorders>
            <w:vAlign w:val="bottom"/>
          </w:tcPr>
          <w:p w14:paraId="5B15968E" w14:textId="77777777" w:rsidR="00773F7B" w:rsidRPr="001C4EF0" w:rsidRDefault="00773F7B" w:rsidP="00773F7B">
            <w:pPr>
              <w:pStyle w:val="T2"/>
              <w:jc w:val="right"/>
              <w:rPr>
                <w:bCs/>
              </w:rPr>
            </w:pPr>
            <w:r w:rsidRPr="001C4EF0">
              <w:rPr>
                <w:bCs/>
              </w:rPr>
              <w:t>(0.9)</w:t>
            </w:r>
          </w:p>
        </w:tc>
      </w:tr>
      <w:tr w:rsidR="00773F7B" w14:paraId="4EDB7EEF" w14:textId="77777777" w:rsidTr="00B52070">
        <w:trPr>
          <w:jc w:val="center"/>
        </w:trPr>
        <w:tc>
          <w:tcPr>
            <w:tcW w:w="4395" w:type="dxa"/>
            <w:tcBorders>
              <w:top w:val="single" w:sz="2" w:space="0" w:color="auto"/>
            </w:tcBorders>
            <w:vAlign w:val="bottom"/>
          </w:tcPr>
          <w:p w14:paraId="696C987A" w14:textId="77777777" w:rsidR="00773F7B" w:rsidRPr="00B52070" w:rsidRDefault="00773F7B" w:rsidP="00773F7B">
            <w:pPr>
              <w:pStyle w:val="T2"/>
              <w:jc w:val="left"/>
              <w:rPr>
                <w:b/>
              </w:rPr>
            </w:pPr>
            <w:r w:rsidRPr="00B52070">
              <w:rPr>
                <w:b/>
              </w:rPr>
              <w:t>At 29 September 2018</w:t>
            </w:r>
          </w:p>
        </w:tc>
        <w:tc>
          <w:tcPr>
            <w:tcW w:w="709" w:type="dxa"/>
            <w:tcBorders>
              <w:top w:val="single" w:sz="2" w:space="0" w:color="auto"/>
            </w:tcBorders>
            <w:vAlign w:val="bottom"/>
          </w:tcPr>
          <w:p w14:paraId="0622725D" w14:textId="77777777" w:rsidR="00773F7B" w:rsidRPr="00BE7FD5" w:rsidRDefault="00773F7B" w:rsidP="00773F7B">
            <w:pPr>
              <w:pStyle w:val="T2"/>
              <w:jc w:val="right"/>
              <w:rPr>
                <w:bCs/>
              </w:rPr>
            </w:pPr>
            <w:r w:rsidRPr="00BE7FD5">
              <w:rPr>
                <w:bCs/>
              </w:rPr>
              <w:t>7.1</w:t>
            </w:r>
          </w:p>
        </w:tc>
        <w:tc>
          <w:tcPr>
            <w:tcW w:w="992" w:type="dxa"/>
            <w:tcBorders>
              <w:top w:val="single" w:sz="2" w:space="0" w:color="auto"/>
            </w:tcBorders>
            <w:vAlign w:val="bottom"/>
          </w:tcPr>
          <w:p w14:paraId="728A1ECB" w14:textId="77777777" w:rsidR="00773F7B" w:rsidRPr="00BD5B9E" w:rsidRDefault="00773F7B" w:rsidP="00773F7B">
            <w:pPr>
              <w:pStyle w:val="T2"/>
              <w:jc w:val="right"/>
              <w:rPr>
                <w:bCs/>
              </w:rPr>
            </w:pPr>
            <w:r w:rsidRPr="00BD5B9E">
              <w:rPr>
                <w:bCs/>
              </w:rPr>
              <w:t>650.8</w:t>
            </w:r>
          </w:p>
        </w:tc>
        <w:tc>
          <w:tcPr>
            <w:tcW w:w="850" w:type="dxa"/>
            <w:tcBorders>
              <w:top w:val="single" w:sz="2" w:space="0" w:color="auto"/>
            </w:tcBorders>
            <w:vAlign w:val="bottom"/>
          </w:tcPr>
          <w:p w14:paraId="37CC36C0" w14:textId="77777777" w:rsidR="00773F7B" w:rsidRPr="00850427" w:rsidRDefault="00773F7B" w:rsidP="00773F7B">
            <w:pPr>
              <w:pStyle w:val="T2"/>
              <w:jc w:val="right"/>
              <w:rPr>
                <w:bCs/>
              </w:rPr>
            </w:pPr>
            <w:r w:rsidRPr="0052700C">
              <w:rPr>
                <w:bCs/>
              </w:rPr>
              <w:t>105.1</w:t>
            </w:r>
          </w:p>
        </w:tc>
        <w:tc>
          <w:tcPr>
            <w:tcW w:w="992" w:type="dxa"/>
            <w:tcBorders>
              <w:top w:val="single" w:sz="2" w:space="0" w:color="auto"/>
            </w:tcBorders>
            <w:vAlign w:val="bottom"/>
          </w:tcPr>
          <w:p w14:paraId="305D37E5" w14:textId="77777777" w:rsidR="00773F7B" w:rsidRPr="00313FBC" w:rsidRDefault="00773F7B" w:rsidP="00773F7B">
            <w:pPr>
              <w:pStyle w:val="T2"/>
              <w:jc w:val="right"/>
              <w:rPr>
                <w:bCs/>
              </w:rPr>
            </w:pPr>
            <w:r w:rsidRPr="00313FBC">
              <w:rPr>
                <w:bCs/>
              </w:rPr>
              <w:t>(26.7)</w:t>
            </w:r>
          </w:p>
        </w:tc>
        <w:tc>
          <w:tcPr>
            <w:tcW w:w="826" w:type="dxa"/>
            <w:tcBorders>
              <w:top w:val="single" w:sz="2" w:space="0" w:color="auto"/>
            </w:tcBorders>
            <w:vAlign w:val="bottom"/>
          </w:tcPr>
          <w:p w14:paraId="0336255C" w14:textId="77777777" w:rsidR="00773F7B" w:rsidRPr="006D0A46" w:rsidRDefault="00773F7B" w:rsidP="00773F7B">
            <w:pPr>
              <w:pStyle w:val="T2"/>
              <w:jc w:val="right"/>
              <w:rPr>
                <w:bCs/>
              </w:rPr>
            </w:pPr>
            <w:r w:rsidRPr="006D0A46">
              <w:rPr>
                <w:bCs/>
              </w:rPr>
              <w:t>736.3</w:t>
            </w:r>
          </w:p>
        </w:tc>
        <w:tc>
          <w:tcPr>
            <w:tcW w:w="1020" w:type="dxa"/>
            <w:tcBorders>
              <w:top w:val="single" w:sz="2" w:space="0" w:color="auto"/>
            </w:tcBorders>
            <w:vAlign w:val="bottom"/>
          </w:tcPr>
          <w:p w14:paraId="4F43F3BE" w14:textId="77777777" w:rsidR="00773F7B" w:rsidRPr="00AF32EB" w:rsidRDefault="00773F7B" w:rsidP="00773F7B">
            <w:pPr>
              <w:pStyle w:val="T2"/>
              <w:jc w:val="right"/>
              <w:rPr>
                <w:bCs/>
              </w:rPr>
            </w:pPr>
            <w:r w:rsidRPr="00AF32EB">
              <w:rPr>
                <w:bCs/>
              </w:rPr>
              <w:t>6.4</w:t>
            </w:r>
          </w:p>
        </w:tc>
        <w:tc>
          <w:tcPr>
            <w:tcW w:w="847" w:type="dxa"/>
            <w:tcBorders>
              <w:top w:val="single" w:sz="2" w:space="0" w:color="auto"/>
            </w:tcBorders>
            <w:vAlign w:val="bottom"/>
          </w:tcPr>
          <w:p w14:paraId="7CEA9823" w14:textId="77777777" w:rsidR="00773F7B" w:rsidRPr="001C4EF0" w:rsidRDefault="00773F7B" w:rsidP="00773F7B">
            <w:pPr>
              <w:pStyle w:val="T2"/>
              <w:jc w:val="right"/>
              <w:rPr>
                <w:bCs/>
              </w:rPr>
            </w:pPr>
            <w:r w:rsidRPr="001C4EF0">
              <w:rPr>
                <w:bCs/>
              </w:rPr>
              <w:t>742.7</w:t>
            </w:r>
          </w:p>
        </w:tc>
      </w:tr>
      <w:tr w:rsidR="00773F7B" w14:paraId="4E20802A" w14:textId="77777777" w:rsidTr="00B52070">
        <w:trPr>
          <w:jc w:val="center"/>
        </w:trPr>
        <w:tc>
          <w:tcPr>
            <w:tcW w:w="4395" w:type="dxa"/>
            <w:tcBorders>
              <w:top w:val="single" w:sz="2" w:space="0" w:color="auto"/>
            </w:tcBorders>
            <w:vAlign w:val="bottom"/>
          </w:tcPr>
          <w:p w14:paraId="55A1795B" w14:textId="77777777" w:rsidR="00773F7B" w:rsidRPr="00E57F3E" w:rsidRDefault="00773F7B" w:rsidP="00773F7B">
            <w:pPr>
              <w:pStyle w:val="T2"/>
              <w:jc w:val="left"/>
              <w:rPr>
                <w:b/>
              </w:rPr>
            </w:pPr>
            <w:r w:rsidRPr="0096767F">
              <w:rPr>
                <w:bCs/>
              </w:rPr>
              <w:t>Items of income and expense taken directly to equity</w:t>
            </w:r>
          </w:p>
        </w:tc>
        <w:tc>
          <w:tcPr>
            <w:tcW w:w="709" w:type="dxa"/>
            <w:tcBorders>
              <w:top w:val="single" w:sz="2" w:space="0" w:color="auto"/>
            </w:tcBorders>
            <w:vAlign w:val="bottom"/>
          </w:tcPr>
          <w:p w14:paraId="2EB96C6E" w14:textId="77777777" w:rsidR="00773F7B" w:rsidRPr="00BE7FD5" w:rsidRDefault="00773F7B" w:rsidP="00773F7B">
            <w:pPr>
              <w:pStyle w:val="T2"/>
              <w:jc w:val="right"/>
              <w:rPr>
                <w:bCs/>
              </w:rPr>
            </w:pPr>
          </w:p>
        </w:tc>
        <w:tc>
          <w:tcPr>
            <w:tcW w:w="992" w:type="dxa"/>
            <w:tcBorders>
              <w:top w:val="single" w:sz="2" w:space="0" w:color="auto"/>
            </w:tcBorders>
            <w:vAlign w:val="bottom"/>
          </w:tcPr>
          <w:p w14:paraId="1A817FAC" w14:textId="77777777" w:rsidR="00773F7B" w:rsidRPr="00BD5B9E" w:rsidRDefault="00773F7B" w:rsidP="00773F7B">
            <w:pPr>
              <w:pStyle w:val="T2"/>
              <w:jc w:val="right"/>
              <w:rPr>
                <w:bCs/>
              </w:rPr>
            </w:pPr>
          </w:p>
        </w:tc>
        <w:tc>
          <w:tcPr>
            <w:tcW w:w="850" w:type="dxa"/>
            <w:tcBorders>
              <w:top w:val="single" w:sz="2" w:space="0" w:color="auto"/>
            </w:tcBorders>
            <w:vAlign w:val="bottom"/>
          </w:tcPr>
          <w:p w14:paraId="750B9670" w14:textId="77777777" w:rsidR="00773F7B" w:rsidRPr="0052700C" w:rsidRDefault="00773F7B" w:rsidP="00773F7B">
            <w:pPr>
              <w:pStyle w:val="T2"/>
              <w:jc w:val="right"/>
              <w:rPr>
                <w:bCs/>
              </w:rPr>
            </w:pPr>
          </w:p>
        </w:tc>
        <w:tc>
          <w:tcPr>
            <w:tcW w:w="992" w:type="dxa"/>
            <w:tcBorders>
              <w:top w:val="single" w:sz="2" w:space="0" w:color="auto"/>
            </w:tcBorders>
            <w:vAlign w:val="bottom"/>
          </w:tcPr>
          <w:p w14:paraId="5897464A" w14:textId="77777777" w:rsidR="00773F7B" w:rsidRPr="00850427" w:rsidRDefault="00773F7B" w:rsidP="00773F7B">
            <w:pPr>
              <w:pStyle w:val="T2"/>
              <w:jc w:val="right"/>
              <w:rPr>
                <w:bCs/>
              </w:rPr>
            </w:pPr>
          </w:p>
        </w:tc>
        <w:tc>
          <w:tcPr>
            <w:tcW w:w="826" w:type="dxa"/>
            <w:tcBorders>
              <w:top w:val="single" w:sz="2" w:space="0" w:color="auto"/>
            </w:tcBorders>
            <w:vAlign w:val="bottom"/>
          </w:tcPr>
          <w:p w14:paraId="3E706B9C" w14:textId="77777777" w:rsidR="00773F7B" w:rsidRPr="00313FBC" w:rsidRDefault="00773F7B" w:rsidP="00773F7B">
            <w:pPr>
              <w:pStyle w:val="T2"/>
              <w:jc w:val="right"/>
              <w:rPr>
                <w:bCs/>
              </w:rPr>
            </w:pPr>
          </w:p>
        </w:tc>
        <w:tc>
          <w:tcPr>
            <w:tcW w:w="1020" w:type="dxa"/>
            <w:tcBorders>
              <w:top w:val="single" w:sz="2" w:space="0" w:color="auto"/>
            </w:tcBorders>
            <w:vAlign w:val="bottom"/>
          </w:tcPr>
          <w:p w14:paraId="79DD1AA2" w14:textId="77777777" w:rsidR="00773F7B" w:rsidRPr="00313FBC" w:rsidRDefault="00773F7B" w:rsidP="00773F7B">
            <w:pPr>
              <w:pStyle w:val="T2"/>
              <w:jc w:val="right"/>
              <w:rPr>
                <w:bCs/>
              </w:rPr>
            </w:pPr>
          </w:p>
        </w:tc>
        <w:tc>
          <w:tcPr>
            <w:tcW w:w="847" w:type="dxa"/>
            <w:tcBorders>
              <w:top w:val="single" w:sz="2" w:space="0" w:color="auto"/>
            </w:tcBorders>
            <w:vAlign w:val="bottom"/>
          </w:tcPr>
          <w:p w14:paraId="3253A653" w14:textId="77777777" w:rsidR="00773F7B" w:rsidRPr="006D0A46" w:rsidRDefault="00773F7B" w:rsidP="00773F7B">
            <w:pPr>
              <w:pStyle w:val="T2"/>
              <w:jc w:val="right"/>
              <w:rPr>
                <w:bCs/>
              </w:rPr>
            </w:pPr>
          </w:p>
        </w:tc>
      </w:tr>
      <w:tr w:rsidR="00773F7B" w14:paraId="25EFC669" w14:textId="77777777" w:rsidTr="00B52070">
        <w:trPr>
          <w:jc w:val="center"/>
        </w:trPr>
        <w:tc>
          <w:tcPr>
            <w:tcW w:w="4395" w:type="dxa"/>
            <w:vAlign w:val="bottom"/>
          </w:tcPr>
          <w:p w14:paraId="4FE1A612" w14:textId="77777777" w:rsidR="00773F7B" w:rsidRPr="00E57F3E" w:rsidRDefault="00773F7B" w:rsidP="00773F7B">
            <w:pPr>
              <w:pStyle w:val="T2"/>
              <w:jc w:val="left"/>
              <w:rPr>
                <w:b/>
              </w:rPr>
            </w:pPr>
            <w:r w:rsidRPr="0096767F">
              <w:rPr>
                <w:bCs/>
              </w:rPr>
              <w:t>Currency translation adjustment</w:t>
            </w:r>
          </w:p>
        </w:tc>
        <w:tc>
          <w:tcPr>
            <w:tcW w:w="709" w:type="dxa"/>
            <w:vAlign w:val="bottom"/>
          </w:tcPr>
          <w:p w14:paraId="1EACE013" w14:textId="77777777" w:rsidR="00773F7B" w:rsidRPr="00BE7FD5" w:rsidRDefault="00773F7B" w:rsidP="00773F7B">
            <w:pPr>
              <w:pStyle w:val="T2"/>
              <w:jc w:val="right"/>
              <w:rPr>
                <w:bCs/>
              </w:rPr>
            </w:pPr>
            <w:r w:rsidRPr="00BE7FD5">
              <w:rPr>
                <w:bCs/>
              </w:rPr>
              <w:t>–</w:t>
            </w:r>
          </w:p>
        </w:tc>
        <w:tc>
          <w:tcPr>
            <w:tcW w:w="992" w:type="dxa"/>
            <w:vAlign w:val="bottom"/>
          </w:tcPr>
          <w:p w14:paraId="691D0314" w14:textId="77777777" w:rsidR="00773F7B" w:rsidRPr="00BD5B9E" w:rsidRDefault="00773F7B" w:rsidP="00773F7B">
            <w:pPr>
              <w:pStyle w:val="T2"/>
              <w:jc w:val="right"/>
              <w:rPr>
                <w:bCs/>
              </w:rPr>
            </w:pPr>
            <w:r w:rsidRPr="00BE7FD5">
              <w:rPr>
                <w:bCs/>
              </w:rPr>
              <w:t>–</w:t>
            </w:r>
          </w:p>
        </w:tc>
        <w:tc>
          <w:tcPr>
            <w:tcW w:w="850" w:type="dxa"/>
            <w:vAlign w:val="bottom"/>
          </w:tcPr>
          <w:p w14:paraId="190C0FBA" w14:textId="77777777" w:rsidR="00773F7B" w:rsidRPr="00BD5B9E" w:rsidRDefault="00773F7B" w:rsidP="00773F7B">
            <w:pPr>
              <w:pStyle w:val="T2"/>
              <w:jc w:val="right"/>
              <w:rPr>
                <w:bCs/>
              </w:rPr>
            </w:pPr>
            <w:r w:rsidRPr="00BE7FD5">
              <w:rPr>
                <w:bCs/>
              </w:rPr>
              <w:t>9.6</w:t>
            </w:r>
          </w:p>
        </w:tc>
        <w:tc>
          <w:tcPr>
            <w:tcW w:w="992" w:type="dxa"/>
            <w:vAlign w:val="bottom"/>
          </w:tcPr>
          <w:p w14:paraId="7EC416E7" w14:textId="77777777" w:rsidR="00773F7B" w:rsidRPr="00BD5B9E" w:rsidRDefault="00773F7B" w:rsidP="00773F7B">
            <w:pPr>
              <w:pStyle w:val="T2"/>
              <w:jc w:val="right"/>
              <w:rPr>
                <w:bCs/>
              </w:rPr>
            </w:pPr>
            <w:r w:rsidRPr="00BE7FD5">
              <w:rPr>
                <w:bCs/>
              </w:rPr>
              <w:t>–</w:t>
            </w:r>
          </w:p>
        </w:tc>
        <w:tc>
          <w:tcPr>
            <w:tcW w:w="826" w:type="dxa"/>
            <w:vAlign w:val="bottom"/>
          </w:tcPr>
          <w:p w14:paraId="43AF8EEF" w14:textId="77777777" w:rsidR="00773F7B" w:rsidRPr="00BD5B9E" w:rsidRDefault="00773F7B" w:rsidP="00773F7B">
            <w:pPr>
              <w:pStyle w:val="T2"/>
              <w:jc w:val="right"/>
              <w:rPr>
                <w:bCs/>
              </w:rPr>
            </w:pPr>
            <w:r w:rsidRPr="00BE7FD5">
              <w:rPr>
                <w:bCs/>
              </w:rPr>
              <w:t>9.6</w:t>
            </w:r>
          </w:p>
        </w:tc>
        <w:tc>
          <w:tcPr>
            <w:tcW w:w="1020" w:type="dxa"/>
            <w:vAlign w:val="bottom"/>
          </w:tcPr>
          <w:p w14:paraId="410B39C5" w14:textId="77777777" w:rsidR="00773F7B" w:rsidRPr="00BD5B9E" w:rsidRDefault="00773F7B" w:rsidP="00773F7B">
            <w:pPr>
              <w:pStyle w:val="T2"/>
              <w:jc w:val="right"/>
              <w:rPr>
                <w:bCs/>
              </w:rPr>
            </w:pPr>
            <w:r w:rsidRPr="00BE7FD5">
              <w:rPr>
                <w:bCs/>
              </w:rPr>
              <w:t>(0.2)</w:t>
            </w:r>
          </w:p>
        </w:tc>
        <w:tc>
          <w:tcPr>
            <w:tcW w:w="847" w:type="dxa"/>
            <w:vAlign w:val="bottom"/>
          </w:tcPr>
          <w:p w14:paraId="66B41753" w14:textId="77777777" w:rsidR="00773F7B" w:rsidRPr="00BD5B9E" w:rsidRDefault="00773F7B" w:rsidP="00773F7B">
            <w:pPr>
              <w:pStyle w:val="T2"/>
              <w:jc w:val="right"/>
              <w:rPr>
                <w:bCs/>
              </w:rPr>
            </w:pPr>
            <w:r w:rsidRPr="00BE7FD5">
              <w:rPr>
                <w:bCs/>
              </w:rPr>
              <w:t>9.4</w:t>
            </w:r>
          </w:p>
        </w:tc>
      </w:tr>
      <w:tr w:rsidR="00773F7B" w14:paraId="6613AFD3" w14:textId="77777777" w:rsidTr="00B52070">
        <w:trPr>
          <w:jc w:val="center"/>
        </w:trPr>
        <w:tc>
          <w:tcPr>
            <w:tcW w:w="4395" w:type="dxa"/>
            <w:vAlign w:val="bottom"/>
          </w:tcPr>
          <w:p w14:paraId="7A9B7C43" w14:textId="77777777" w:rsidR="00773F7B" w:rsidRPr="00E57F3E" w:rsidRDefault="00773F7B" w:rsidP="00773F7B">
            <w:pPr>
              <w:pStyle w:val="T2"/>
              <w:jc w:val="left"/>
            </w:pPr>
            <w:r w:rsidRPr="0096767F">
              <w:rPr>
                <w:bCs/>
              </w:rPr>
              <w:t>Translation reserve transferred to income statement on discontinued operations</w:t>
            </w:r>
          </w:p>
        </w:tc>
        <w:tc>
          <w:tcPr>
            <w:tcW w:w="709" w:type="dxa"/>
            <w:vAlign w:val="bottom"/>
          </w:tcPr>
          <w:p w14:paraId="39FB198A" w14:textId="77777777" w:rsidR="00773F7B" w:rsidRPr="00BE7FD5" w:rsidRDefault="00773F7B" w:rsidP="00773F7B">
            <w:pPr>
              <w:pStyle w:val="T2"/>
              <w:jc w:val="right"/>
              <w:rPr>
                <w:bCs/>
              </w:rPr>
            </w:pPr>
            <w:r w:rsidRPr="00BE7FD5">
              <w:rPr>
                <w:bCs/>
              </w:rPr>
              <w:t>–</w:t>
            </w:r>
          </w:p>
        </w:tc>
        <w:tc>
          <w:tcPr>
            <w:tcW w:w="992" w:type="dxa"/>
            <w:vAlign w:val="bottom"/>
          </w:tcPr>
          <w:p w14:paraId="710F9F11" w14:textId="77777777" w:rsidR="00773F7B" w:rsidRPr="00BD5B9E" w:rsidRDefault="00773F7B" w:rsidP="00773F7B">
            <w:pPr>
              <w:pStyle w:val="T2"/>
              <w:jc w:val="right"/>
              <w:rPr>
                <w:bCs/>
              </w:rPr>
            </w:pPr>
            <w:r w:rsidRPr="00BE7FD5">
              <w:rPr>
                <w:bCs/>
              </w:rPr>
              <w:t>–</w:t>
            </w:r>
          </w:p>
        </w:tc>
        <w:tc>
          <w:tcPr>
            <w:tcW w:w="850" w:type="dxa"/>
            <w:vAlign w:val="bottom"/>
          </w:tcPr>
          <w:p w14:paraId="7F564A81" w14:textId="77777777" w:rsidR="00773F7B" w:rsidRPr="00BD5B9E" w:rsidRDefault="00773F7B" w:rsidP="00773F7B">
            <w:pPr>
              <w:pStyle w:val="T2"/>
              <w:jc w:val="right"/>
              <w:rPr>
                <w:bCs/>
              </w:rPr>
            </w:pPr>
            <w:r w:rsidRPr="00BE7FD5">
              <w:rPr>
                <w:bCs/>
              </w:rPr>
              <w:t>(24.5)</w:t>
            </w:r>
          </w:p>
        </w:tc>
        <w:tc>
          <w:tcPr>
            <w:tcW w:w="992" w:type="dxa"/>
            <w:vAlign w:val="bottom"/>
          </w:tcPr>
          <w:p w14:paraId="2C753678" w14:textId="77777777" w:rsidR="00773F7B" w:rsidRPr="00BD5B9E" w:rsidRDefault="00773F7B" w:rsidP="00773F7B">
            <w:pPr>
              <w:pStyle w:val="T2"/>
              <w:jc w:val="right"/>
              <w:rPr>
                <w:bCs/>
              </w:rPr>
            </w:pPr>
            <w:r w:rsidRPr="00BE7FD5">
              <w:rPr>
                <w:bCs/>
              </w:rPr>
              <w:t>–</w:t>
            </w:r>
          </w:p>
        </w:tc>
        <w:tc>
          <w:tcPr>
            <w:tcW w:w="826" w:type="dxa"/>
            <w:vAlign w:val="bottom"/>
          </w:tcPr>
          <w:p w14:paraId="27B759F5" w14:textId="77777777" w:rsidR="00773F7B" w:rsidRPr="00BD5B9E" w:rsidRDefault="00773F7B" w:rsidP="00773F7B">
            <w:pPr>
              <w:pStyle w:val="T2"/>
              <w:jc w:val="right"/>
              <w:rPr>
                <w:bCs/>
              </w:rPr>
            </w:pPr>
            <w:r w:rsidRPr="00BE7FD5">
              <w:rPr>
                <w:bCs/>
              </w:rPr>
              <w:t>(24.5)</w:t>
            </w:r>
          </w:p>
        </w:tc>
        <w:tc>
          <w:tcPr>
            <w:tcW w:w="1020" w:type="dxa"/>
            <w:vAlign w:val="bottom"/>
          </w:tcPr>
          <w:p w14:paraId="4002E6F8" w14:textId="77777777" w:rsidR="00773F7B" w:rsidRPr="00BD5B9E" w:rsidRDefault="00773F7B" w:rsidP="00773F7B">
            <w:pPr>
              <w:pStyle w:val="T2"/>
              <w:jc w:val="right"/>
              <w:rPr>
                <w:bCs/>
              </w:rPr>
            </w:pPr>
            <w:r w:rsidRPr="00BE7FD5">
              <w:rPr>
                <w:bCs/>
              </w:rPr>
              <w:t>–</w:t>
            </w:r>
          </w:p>
        </w:tc>
        <w:tc>
          <w:tcPr>
            <w:tcW w:w="847" w:type="dxa"/>
            <w:vAlign w:val="bottom"/>
          </w:tcPr>
          <w:p w14:paraId="4A637F33" w14:textId="77777777" w:rsidR="00773F7B" w:rsidRPr="00BD5B9E" w:rsidRDefault="00773F7B" w:rsidP="00773F7B">
            <w:pPr>
              <w:pStyle w:val="T2"/>
              <w:jc w:val="right"/>
              <w:rPr>
                <w:bCs/>
              </w:rPr>
            </w:pPr>
            <w:r w:rsidRPr="00BE7FD5">
              <w:rPr>
                <w:bCs/>
              </w:rPr>
              <w:t>(24.5)</w:t>
            </w:r>
          </w:p>
        </w:tc>
      </w:tr>
      <w:tr w:rsidR="00773F7B" w14:paraId="19C31755" w14:textId="77777777" w:rsidTr="00B52070">
        <w:trPr>
          <w:jc w:val="center"/>
        </w:trPr>
        <w:tc>
          <w:tcPr>
            <w:tcW w:w="4395" w:type="dxa"/>
            <w:vAlign w:val="bottom"/>
          </w:tcPr>
          <w:p w14:paraId="1C4D2BDD" w14:textId="77777777" w:rsidR="00773F7B" w:rsidRPr="00E57F3E" w:rsidRDefault="00773F7B" w:rsidP="00773F7B">
            <w:pPr>
              <w:pStyle w:val="T2"/>
              <w:jc w:val="left"/>
              <w:rPr>
                <w:b/>
              </w:rPr>
            </w:pPr>
            <w:r w:rsidRPr="0096767F">
              <w:rPr>
                <w:rFonts w:ascii="Calibri" w:hAnsi="Calibri" w:cs="Calibri"/>
                <w:bCs/>
              </w:rPr>
              <w:t>Net investment hedge transferred to Income Statement</w:t>
            </w:r>
          </w:p>
        </w:tc>
        <w:tc>
          <w:tcPr>
            <w:tcW w:w="709" w:type="dxa"/>
            <w:vAlign w:val="bottom"/>
          </w:tcPr>
          <w:p w14:paraId="57987A93" w14:textId="77777777" w:rsidR="00773F7B" w:rsidRPr="00BE7FD5" w:rsidRDefault="00773F7B" w:rsidP="00773F7B">
            <w:pPr>
              <w:pStyle w:val="T2"/>
              <w:jc w:val="right"/>
              <w:rPr>
                <w:bCs/>
              </w:rPr>
            </w:pPr>
            <w:r w:rsidRPr="00BE7FD5">
              <w:rPr>
                <w:bCs/>
              </w:rPr>
              <w:t>–</w:t>
            </w:r>
          </w:p>
        </w:tc>
        <w:tc>
          <w:tcPr>
            <w:tcW w:w="992" w:type="dxa"/>
            <w:vAlign w:val="bottom"/>
          </w:tcPr>
          <w:p w14:paraId="0FA34993" w14:textId="77777777" w:rsidR="00773F7B" w:rsidRPr="00BD5B9E" w:rsidRDefault="00773F7B" w:rsidP="00773F7B">
            <w:pPr>
              <w:pStyle w:val="T2"/>
              <w:jc w:val="right"/>
              <w:rPr>
                <w:bCs/>
              </w:rPr>
            </w:pPr>
            <w:r w:rsidRPr="00BE7FD5">
              <w:rPr>
                <w:bCs/>
              </w:rPr>
              <w:t>–</w:t>
            </w:r>
          </w:p>
        </w:tc>
        <w:tc>
          <w:tcPr>
            <w:tcW w:w="850" w:type="dxa"/>
            <w:vAlign w:val="bottom"/>
          </w:tcPr>
          <w:p w14:paraId="064A3CA9" w14:textId="77777777" w:rsidR="00773F7B" w:rsidRPr="00BD5B9E" w:rsidRDefault="00773F7B" w:rsidP="00773F7B">
            <w:pPr>
              <w:pStyle w:val="T2"/>
              <w:jc w:val="right"/>
              <w:rPr>
                <w:bCs/>
              </w:rPr>
            </w:pPr>
            <w:r w:rsidRPr="00BE7FD5">
              <w:rPr>
                <w:bCs/>
              </w:rPr>
              <w:t>22.3</w:t>
            </w:r>
          </w:p>
        </w:tc>
        <w:tc>
          <w:tcPr>
            <w:tcW w:w="992" w:type="dxa"/>
            <w:vAlign w:val="bottom"/>
          </w:tcPr>
          <w:p w14:paraId="6905D1F8" w14:textId="77777777" w:rsidR="00773F7B" w:rsidRPr="00BD5B9E" w:rsidRDefault="00773F7B" w:rsidP="00773F7B">
            <w:pPr>
              <w:pStyle w:val="T2"/>
              <w:jc w:val="right"/>
              <w:rPr>
                <w:bCs/>
              </w:rPr>
            </w:pPr>
            <w:r w:rsidRPr="00BE7FD5">
              <w:rPr>
                <w:bCs/>
              </w:rPr>
              <w:t>–</w:t>
            </w:r>
          </w:p>
        </w:tc>
        <w:tc>
          <w:tcPr>
            <w:tcW w:w="826" w:type="dxa"/>
            <w:vAlign w:val="bottom"/>
          </w:tcPr>
          <w:p w14:paraId="1F55083D" w14:textId="77777777" w:rsidR="00773F7B" w:rsidRPr="00BD5B9E" w:rsidRDefault="00773F7B" w:rsidP="00773F7B">
            <w:pPr>
              <w:pStyle w:val="T2"/>
              <w:jc w:val="right"/>
              <w:rPr>
                <w:bCs/>
              </w:rPr>
            </w:pPr>
            <w:r w:rsidRPr="00BE7FD5">
              <w:rPr>
                <w:bCs/>
              </w:rPr>
              <w:t>22.3</w:t>
            </w:r>
          </w:p>
        </w:tc>
        <w:tc>
          <w:tcPr>
            <w:tcW w:w="1020" w:type="dxa"/>
            <w:vAlign w:val="bottom"/>
          </w:tcPr>
          <w:p w14:paraId="1C29CA47" w14:textId="77777777" w:rsidR="00773F7B" w:rsidRPr="00BD5B9E" w:rsidRDefault="00773F7B" w:rsidP="00773F7B">
            <w:pPr>
              <w:pStyle w:val="T2"/>
              <w:jc w:val="right"/>
              <w:rPr>
                <w:bCs/>
              </w:rPr>
            </w:pPr>
            <w:r w:rsidRPr="00BE7FD5">
              <w:rPr>
                <w:bCs/>
              </w:rPr>
              <w:t>–</w:t>
            </w:r>
          </w:p>
        </w:tc>
        <w:tc>
          <w:tcPr>
            <w:tcW w:w="847" w:type="dxa"/>
            <w:vAlign w:val="bottom"/>
          </w:tcPr>
          <w:p w14:paraId="0A41CF87" w14:textId="77777777" w:rsidR="00773F7B" w:rsidRPr="00BD5B9E" w:rsidRDefault="00773F7B" w:rsidP="00773F7B">
            <w:pPr>
              <w:pStyle w:val="T2"/>
              <w:jc w:val="right"/>
              <w:rPr>
                <w:bCs/>
              </w:rPr>
            </w:pPr>
            <w:r w:rsidRPr="00BE7FD5">
              <w:rPr>
                <w:bCs/>
              </w:rPr>
              <w:t>22.3</w:t>
            </w:r>
          </w:p>
        </w:tc>
      </w:tr>
      <w:tr w:rsidR="00773F7B" w14:paraId="3E13CA1E" w14:textId="77777777" w:rsidTr="00B52070">
        <w:trPr>
          <w:jc w:val="center"/>
        </w:trPr>
        <w:tc>
          <w:tcPr>
            <w:tcW w:w="4395" w:type="dxa"/>
            <w:vAlign w:val="bottom"/>
          </w:tcPr>
          <w:p w14:paraId="6C62CE93" w14:textId="77777777" w:rsidR="00773F7B" w:rsidRPr="00E57F3E" w:rsidRDefault="00773F7B" w:rsidP="00773F7B">
            <w:pPr>
              <w:pStyle w:val="T2"/>
              <w:jc w:val="left"/>
            </w:pPr>
            <w:r w:rsidRPr="0096767F">
              <w:rPr>
                <w:rFonts w:ascii="Calibri" w:hAnsi="Calibri" w:cs="Calibri"/>
                <w:bCs/>
              </w:rPr>
              <w:t>Cashflow hedge fair value movement taken to equity</w:t>
            </w:r>
          </w:p>
        </w:tc>
        <w:tc>
          <w:tcPr>
            <w:tcW w:w="709" w:type="dxa"/>
            <w:vAlign w:val="bottom"/>
          </w:tcPr>
          <w:p w14:paraId="259BCE2C" w14:textId="77777777" w:rsidR="00773F7B" w:rsidRPr="00BE7FD5" w:rsidRDefault="00773F7B" w:rsidP="00773F7B">
            <w:pPr>
              <w:pStyle w:val="T2"/>
              <w:jc w:val="right"/>
              <w:rPr>
                <w:bCs/>
              </w:rPr>
            </w:pPr>
            <w:r w:rsidRPr="00BE7FD5">
              <w:rPr>
                <w:rFonts w:ascii="Calibri" w:hAnsi="Calibri" w:cs="Calibri"/>
                <w:bCs/>
              </w:rPr>
              <w:t>–</w:t>
            </w:r>
          </w:p>
        </w:tc>
        <w:tc>
          <w:tcPr>
            <w:tcW w:w="992" w:type="dxa"/>
            <w:vAlign w:val="bottom"/>
          </w:tcPr>
          <w:p w14:paraId="65412FB2" w14:textId="77777777" w:rsidR="00773F7B" w:rsidRPr="00BD5B9E" w:rsidRDefault="00773F7B" w:rsidP="00773F7B">
            <w:pPr>
              <w:pStyle w:val="T2"/>
              <w:jc w:val="right"/>
              <w:rPr>
                <w:bCs/>
              </w:rPr>
            </w:pPr>
            <w:r w:rsidRPr="00BE7FD5">
              <w:rPr>
                <w:rFonts w:ascii="Calibri" w:hAnsi="Calibri" w:cs="Calibri"/>
                <w:bCs/>
              </w:rPr>
              <w:t>–</w:t>
            </w:r>
          </w:p>
        </w:tc>
        <w:tc>
          <w:tcPr>
            <w:tcW w:w="850" w:type="dxa"/>
            <w:vAlign w:val="bottom"/>
          </w:tcPr>
          <w:p w14:paraId="10CFA4F8" w14:textId="77777777" w:rsidR="00773F7B" w:rsidRPr="00BD5B9E" w:rsidRDefault="00773F7B" w:rsidP="00773F7B">
            <w:pPr>
              <w:pStyle w:val="T2"/>
              <w:jc w:val="right"/>
              <w:rPr>
                <w:bCs/>
              </w:rPr>
            </w:pPr>
            <w:r w:rsidRPr="00BE7FD5">
              <w:rPr>
                <w:rFonts w:ascii="Calibri" w:hAnsi="Calibri" w:cs="Calibri"/>
                <w:bCs/>
              </w:rPr>
              <w:t>(2.2)</w:t>
            </w:r>
          </w:p>
        </w:tc>
        <w:tc>
          <w:tcPr>
            <w:tcW w:w="992" w:type="dxa"/>
            <w:vAlign w:val="bottom"/>
          </w:tcPr>
          <w:p w14:paraId="08F887C0" w14:textId="77777777" w:rsidR="00773F7B" w:rsidRPr="00BD5B9E" w:rsidRDefault="00773F7B" w:rsidP="00773F7B">
            <w:pPr>
              <w:pStyle w:val="T2"/>
              <w:jc w:val="right"/>
              <w:rPr>
                <w:bCs/>
              </w:rPr>
            </w:pPr>
            <w:r w:rsidRPr="00BE7FD5">
              <w:rPr>
                <w:rFonts w:ascii="Calibri" w:hAnsi="Calibri" w:cs="Calibri"/>
                <w:bCs/>
              </w:rPr>
              <w:t>–</w:t>
            </w:r>
          </w:p>
        </w:tc>
        <w:tc>
          <w:tcPr>
            <w:tcW w:w="826" w:type="dxa"/>
            <w:vAlign w:val="bottom"/>
          </w:tcPr>
          <w:p w14:paraId="417C996E" w14:textId="77777777" w:rsidR="00773F7B" w:rsidRPr="00BD5B9E" w:rsidRDefault="00773F7B" w:rsidP="00773F7B">
            <w:pPr>
              <w:pStyle w:val="T2"/>
              <w:jc w:val="right"/>
              <w:rPr>
                <w:bCs/>
              </w:rPr>
            </w:pPr>
            <w:r w:rsidRPr="00BE7FD5">
              <w:rPr>
                <w:rFonts w:ascii="Calibri" w:hAnsi="Calibri" w:cs="Calibri"/>
                <w:bCs/>
              </w:rPr>
              <w:t>(2.2)</w:t>
            </w:r>
          </w:p>
        </w:tc>
        <w:tc>
          <w:tcPr>
            <w:tcW w:w="1020" w:type="dxa"/>
            <w:vAlign w:val="bottom"/>
          </w:tcPr>
          <w:p w14:paraId="6416F224" w14:textId="77777777" w:rsidR="00773F7B" w:rsidRPr="00BD5B9E" w:rsidRDefault="00773F7B" w:rsidP="00773F7B">
            <w:pPr>
              <w:pStyle w:val="T2"/>
              <w:jc w:val="right"/>
              <w:rPr>
                <w:bCs/>
              </w:rPr>
            </w:pPr>
            <w:r w:rsidRPr="00BE7FD5">
              <w:rPr>
                <w:rFonts w:ascii="Calibri" w:hAnsi="Calibri" w:cs="Calibri"/>
                <w:bCs/>
              </w:rPr>
              <w:t>–</w:t>
            </w:r>
          </w:p>
        </w:tc>
        <w:tc>
          <w:tcPr>
            <w:tcW w:w="847" w:type="dxa"/>
            <w:vAlign w:val="bottom"/>
          </w:tcPr>
          <w:p w14:paraId="5F543F78" w14:textId="77777777" w:rsidR="00773F7B" w:rsidRPr="00BD5B9E" w:rsidRDefault="00773F7B" w:rsidP="00773F7B">
            <w:pPr>
              <w:pStyle w:val="T2"/>
              <w:jc w:val="right"/>
              <w:rPr>
                <w:bCs/>
              </w:rPr>
            </w:pPr>
            <w:r w:rsidRPr="00BE7FD5">
              <w:rPr>
                <w:rFonts w:ascii="Calibri" w:hAnsi="Calibri" w:cs="Calibri"/>
                <w:bCs/>
              </w:rPr>
              <w:t>(2.2)</w:t>
            </w:r>
          </w:p>
        </w:tc>
      </w:tr>
      <w:tr w:rsidR="00773F7B" w14:paraId="38E6CB13" w14:textId="77777777" w:rsidTr="00B52070">
        <w:trPr>
          <w:jc w:val="center"/>
        </w:trPr>
        <w:tc>
          <w:tcPr>
            <w:tcW w:w="4395" w:type="dxa"/>
            <w:vAlign w:val="bottom"/>
          </w:tcPr>
          <w:p w14:paraId="183DAD7A" w14:textId="77777777" w:rsidR="00773F7B" w:rsidRPr="00E57F3E" w:rsidRDefault="00773F7B" w:rsidP="00773F7B">
            <w:pPr>
              <w:pStyle w:val="T2"/>
              <w:jc w:val="left"/>
            </w:pPr>
            <w:r w:rsidRPr="0096767F">
              <w:rPr>
                <w:rFonts w:ascii="Calibri" w:hAnsi="Calibri" w:cs="Calibri"/>
                <w:bCs/>
              </w:rPr>
              <w:t>Cashflow hedge transferred to Income Statement</w:t>
            </w:r>
          </w:p>
        </w:tc>
        <w:tc>
          <w:tcPr>
            <w:tcW w:w="709" w:type="dxa"/>
            <w:vAlign w:val="bottom"/>
          </w:tcPr>
          <w:p w14:paraId="1134ED3A" w14:textId="77777777" w:rsidR="00773F7B" w:rsidRPr="00BE7FD5" w:rsidRDefault="00773F7B" w:rsidP="00773F7B">
            <w:pPr>
              <w:pStyle w:val="T2"/>
              <w:jc w:val="right"/>
              <w:rPr>
                <w:bCs/>
              </w:rPr>
            </w:pPr>
            <w:r w:rsidRPr="00BE7FD5">
              <w:rPr>
                <w:rFonts w:ascii="Calibri" w:hAnsi="Calibri" w:cs="Calibri"/>
                <w:bCs/>
              </w:rPr>
              <w:t>–</w:t>
            </w:r>
          </w:p>
        </w:tc>
        <w:tc>
          <w:tcPr>
            <w:tcW w:w="992" w:type="dxa"/>
            <w:vAlign w:val="bottom"/>
          </w:tcPr>
          <w:p w14:paraId="367D7D9F" w14:textId="77777777" w:rsidR="00773F7B" w:rsidRPr="00BD5B9E" w:rsidRDefault="00773F7B" w:rsidP="00773F7B">
            <w:pPr>
              <w:pStyle w:val="T2"/>
              <w:jc w:val="right"/>
              <w:rPr>
                <w:bCs/>
              </w:rPr>
            </w:pPr>
            <w:r w:rsidRPr="00BE7FD5">
              <w:rPr>
                <w:rFonts w:ascii="Calibri" w:hAnsi="Calibri" w:cs="Calibri"/>
                <w:bCs/>
              </w:rPr>
              <w:t>–</w:t>
            </w:r>
          </w:p>
        </w:tc>
        <w:tc>
          <w:tcPr>
            <w:tcW w:w="850" w:type="dxa"/>
            <w:vAlign w:val="bottom"/>
          </w:tcPr>
          <w:p w14:paraId="07491568" w14:textId="77777777" w:rsidR="00773F7B" w:rsidRPr="00BD5B9E" w:rsidRDefault="00773F7B" w:rsidP="00773F7B">
            <w:pPr>
              <w:pStyle w:val="T2"/>
              <w:jc w:val="right"/>
              <w:rPr>
                <w:bCs/>
              </w:rPr>
            </w:pPr>
            <w:r w:rsidRPr="00BE7FD5">
              <w:rPr>
                <w:rFonts w:ascii="Calibri" w:hAnsi="Calibri" w:cs="Calibri"/>
                <w:bCs/>
              </w:rPr>
              <w:t>1.6</w:t>
            </w:r>
          </w:p>
        </w:tc>
        <w:tc>
          <w:tcPr>
            <w:tcW w:w="992" w:type="dxa"/>
            <w:vAlign w:val="bottom"/>
          </w:tcPr>
          <w:p w14:paraId="19C6E5B0" w14:textId="77777777" w:rsidR="00773F7B" w:rsidRPr="00BD5B9E" w:rsidRDefault="00773F7B" w:rsidP="00773F7B">
            <w:pPr>
              <w:pStyle w:val="T2"/>
              <w:jc w:val="right"/>
              <w:rPr>
                <w:bCs/>
              </w:rPr>
            </w:pPr>
            <w:r w:rsidRPr="00BE7FD5">
              <w:rPr>
                <w:rFonts w:ascii="Calibri" w:hAnsi="Calibri" w:cs="Calibri"/>
                <w:bCs/>
              </w:rPr>
              <w:t>–</w:t>
            </w:r>
          </w:p>
        </w:tc>
        <w:tc>
          <w:tcPr>
            <w:tcW w:w="826" w:type="dxa"/>
            <w:vAlign w:val="bottom"/>
          </w:tcPr>
          <w:p w14:paraId="7E665F89" w14:textId="77777777" w:rsidR="00773F7B" w:rsidRPr="00BD5B9E" w:rsidRDefault="00773F7B" w:rsidP="00773F7B">
            <w:pPr>
              <w:pStyle w:val="T2"/>
              <w:jc w:val="right"/>
              <w:rPr>
                <w:bCs/>
              </w:rPr>
            </w:pPr>
            <w:r w:rsidRPr="00BE7FD5">
              <w:rPr>
                <w:rFonts w:ascii="Calibri" w:hAnsi="Calibri" w:cs="Calibri"/>
                <w:bCs/>
              </w:rPr>
              <w:t>1.6</w:t>
            </w:r>
          </w:p>
        </w:tc>
        <w:tc>
          <w:tcPr>
            <w:tcW w:w="1020" w:type="dxa"/>
            <w:vAlign w:val="bottom"/>
          </w:tcPr>
          <w:p w14:paraId="386BF95D" w14:textId="77777777" w:rsidR="00773F7B" w:rsidRPr="00BD5B9E" w:rsidRDefault="00773F7B" w:rsidP="00773F7B">
            <w:pPr>
              <w:pStyle w:val="T2"/>
              <w:jc w:val="right"/>
              <w:rPr>
                <w:bCs/>
              </w:rPr>
            </w:pPr>
            <w:r w:rsidRPr="00BE7FD5">
              <w:rPr>
                <w:rFonts w:ascii="Calibri" w:hAnsi="Calibri" w:cs="Calibri"/>
                <w:bCs/>
              </w:rPr>
              <w:t>–</w:t>
            </w:r>
          </w:p>
        </w:tc>
        <w:tc>
          <w:tcPr>
            <w:tcW w:w="847" w:type="dxa"/>
            <w:vAlign w:val="bottom"/>
          </w:tcPr>
          <w:p w14:paraId="214A4286" w14:textId="77777777" w:rsidR="00773F7B" w:rsidRPr="00BD5B9E" w:rsidRDefault="00773F7B" w:rsidP="00773F7B">
            <w:pPr>
              <w:pStyle w:val="T2"/>
              <w:jc w:val="right"/>
              <w:rPr>
                <w:bCs/>
              </w:rPr>
            </w:pPr>
            <w:r w:rsidRPr="00BE7FD5">
              <w:rPr>
                <w:rFonts w:ascii="Calibri" w:hAnsi="Calibri" w:cs="Calibri"/>
                <w:bCs/>
              </w:rPr>
              <w:t>1.6</w:t>
            </w:r>
          </w:p>
        </w:tc>
      </w:tr>
      <w:tr w:rsidR="00773F7B" w14:paraId="02F6EEC9" w14:textId="77777777" w:rsidTr="00B52070">
        <w:trPr>
          <w:jc w:val="center"/>
        </w:trPr>
        <w:tc>
          <w:tcPr>
            <w:tcW w:w="4395" w:type="dxa"/>
            <w:vAlign w:val="bottom"/>
          </w:tcPr>
          <w:p w14:paraId="09095AD1" w14:textId="77777777" w:rsidR="00773F7B" w:rsidRPr="00E57F3E" w:rsidRDefault="00773F7B" w:rsidP="00773F7B">
            <w:pPr>
              <w:pStyle w:val="T2"/>
              <w:jc w:val="left"/>
              <w:rPr>
                <w:b/>
              </w:rPr>
            </w:pPr>
            <w:r w:rsidRPr="0096767F">
              <w:rPr>
                <w:rFonts w:ascii="Calibri" w:hAnsi="Calibri" w:cs="Calibri"/>
                <w:bCs/>
              </w:rPr>
              <w:t>Actuarial loss on Group legacy defined benefit pension schemes</w:t>
            </w:r>
          </w:p>
        </w:tc>
        <w:tc>
          <w:tcPr>
            <w:tcW w:w="709" w:type="dxa"/>
            <w:vAlign w:val="bottom"/>
          </w:tcPr>
          <w:p w14:paraId="46EDBF45" w14:textId="77777777" w:rsidR="00773F7B" w:rsidRPr="00B52070" w:rsidRDefault="00773F7B" w:rsidP="00773F7B">
            <w:pPr>
              <w:pStyle w:val="T2"/>
              <w:jc w:val="right"/>
              <w:rPr>
                <w:bCs/>
              </w:rPr>
            </w:pPr>
            <w:r w:rsidRPr="00BE7FD5">
              <w:rPr>
                <w:bCs/>
              </w:rPr>
              <w:t>–</w:t>
            </w:r>
          </w:p>
        </w:tc>
        <w:tc>
          <w:tcPr>
            <w:tcW w:w="992" w:type="dxa"/>
            <w:vAlign w:val="bottom"/>
          </w:tcPr>
          <w:p w14:paraId="29CF8E83" w14:textId="77777777" w:rsidR="00773F7B" w:rsidRPr="00B52070" w:rsidRDefault="00773F7B" w:rsidP="00773F7B">
            <w:pPr>
              <w:pStyle w:val="T2"/>
              <w:jc w:val="right"/>
              <w:rPr>
                <w:bCs/>
              </w:rPr>
            </w:pPr>
            <w:r w:rsidRPr="00BE7FD5">
              <w:rPr>
                <w:bCs/>
              </w:rPr>
              <w:t>–</w:t>
            </w:r>
          </w:p>
        </w:tc>
        <w:tc>
          <w:tcPr>
            <w:tcW w:w="850" w:type="dxa"/>
            <w:vAlign w:val="bottom"/>
          </w:tcPr>
          <w:p w14:paraId="1A9B0644" w14:textId="77777777" w:rsidR="00773F7B" w:rsidRPr="00B52070" w:rsidRDefault="00773F7B" w:rsidP="00773F7B">
            <w:pPr>
              <w:pStyle w:val="T2"/>
              <w:jc w:val="right"/>
              <w:rPr>
                <w:bCs/>
              </w:rPr>
            </w:pPr>
            <w:r w:rsidRPr="00BE7FD5">
              <w:rPr>
                <w:bCs/>
              </w:rPr>
              <w:t>–</w:t>
            </w:r>
          </w:p>
        </w:tc>
        <w:tc>
          <w:tcPr>
            <w:tcW w:w="992" w:type="dxa"/>
            <w:vAlign w:val="bottom"/>
          </w:tcPr>
          <w:p w14:paraId="484C2DE7" w14:textId="77777777" w:rsidR="00773F7B" w:rsidRPr="00B52070" w:rsidRDefault="00773F7B" w:rsidP="00773F7B">
            <w:pPr>
              <w:pStyle w:val="T2"/>
              <w:jc w:val="right"/>
              <w:rPr>
                <w:bCs/>
              </w:rPr>
            </w:pPr>
            <w:r w:rsidRPr="00BE7FD5">
              <w:rPr>
                <w:bCs/>
              </w:rPr>
              <w:t>(11.1)</w:t>
            </w:r>
          </w:p>
        </w:tc>
        <w:tc>
          <w:tcPr>
            <w:tcW w:w="826" w:type="dxa"/>
            <w:vAlign w:val="bottom"/>
          </w:tcPr>
          <w:p w14:paraId="2D89D089" w14:textId="77777777" w:rsidR="00773F7B" w:rsidRPr="00B52070" w:rsidRDefault="00773F7B" w:rsidP="00773F7B">
            <w:pPr>
              <w:pStyle w:val="T2"/>
              <w:jc w:val="right"/>
              <w:rPr>
                <w:bCs/>
              </w:rPr>
            </w:pPr>
            <w:r w:rsidRPr="00BE7FD5">
              <w:rPr>
                <w:bCs/>
              </w:rPr>
              <w:t>(11.1)</w:t>
            </w:r>
          </w:p>
        </w:tc>
        <w:tc>
          <w:tcPr>
            <w:tcW w:w="1020" w:type="dxa"/>
            <w:vAlign w:val="bottom"/>
          </w:tcPr>
          <w:p w14:paraId="1B11D48A" w14:textId="77777777" w:rsidR="00773F7B" w:rsidRPr="00BE7FD5" w:rsidRDefault="00773F7B" w:rsidP="00773F7B">
            <w:pPr>
              <w:pStyle w:val="T2"/>
              <w:jc w:val="right"/>
              <w:rPr>
                <w:bCs/>
              </w:rPr>
            </w:pPr>
            <w:r w:rsidRPr="00BE7FD5">
              <w:rPr>
                <w:bCs/>
              </w:rPr>
              <w:t>–</w:t>
            </w:r>
          </w:p>
        </w:tc>
        <w:tc>
          <w:tcPr>
            <w:tcW w:w="847" w:type="dxa"/>
            <w:vAlign w:val="bottom"/>
          </w:tcPr>
          <w:p w14:paraId="16137186" w14:textId="77777777" w:rsidR="00773F7B" w:rsidRPr="00BD5B9E" w:rsidRDefault="00773F7B" w:rsidP="00773F7B">
            <w:pPr>
              <w:pStyle w:val="T2"/>
              <w:jc w:val="right"/>
              <w:rPr>
                <w:bCs/>
              </w:rPr>
            </w:pPr>
            <w:r w:rsidRPr="00BE7FD5">
              <w:rPr>
                <w:bCs/>
              </w:rPr>
              <w:t>(11.1)</w:t>
            </w:r>
          </w:p>
        </w:tc>
      </w:tr>
      <w:tr w:rsidR="00773F7B" w14:paraId="1F71DA4C" w14:textId="77777777" w:rsidTr="00B52070">
        <w:trPr>
          <w:jc w:val="center"/>
        </w:trPr>
        <w:tc>
          <w:tcPr>
            <w:tcW w:w="4395" w:type="dxa"/>
            <w:vAlign w:val="bottom"/>
          </w:tcPr>
          <w:p w14:paraId="563344F9" w14:textId="77777777" w:rsidR="00773F7B" w:rsidRPr="00E57F3E" w:rsidRDefault="00773F7B" w:rsidP="00773F7B">
            <w:pPr>
              <w:pStyle w:val="T2"/>
              <w:jc w:val="left"/>
            </w:pPr>
            <w:r w:rsidRPr="0096767F">
              <w:rPr>
                <w:rFonts w:ascii="Calibri" w:hAnsi="Calibri" w:cs="Calibri"/>
                <w:bCs/>
              </w:rPr>
              <w:t>Deferred tax on Group legacy defined benefit pension schemes</w:t>
            </w:r>
          </w:p>
        </w:tc>
        <w:tc>
          <w:tcPr>
            <w:tcW w:w="709" w:type="dxa"/>
            <w:vAlign w:val="bottom"/>
          </w:tcPr>
          <w:p w14:paraId="07E9E7E5" w14:textId="77777777" w:rsidR="00773F7B" w:rsidRPr="00BE7FD5" w:rsidRDefault="00773F7B" w:rsidP="00773F7B">
            <w:pPr>
              <w:pStyle w:val="T2"/>
              <w:jc w:val="right"/>
              <w:rPr>
                <w:bCs/>
              </w:rPr>
            </w:pPr>
            <w:r w:rsidRPr="00BE7FD5">
              <w:rPr>
                <w:bCs/>
              </w:rPr>
              <w:t>–</w:t>
            </w:r>
          </w:p>
        </w:tc>
        <w:tc>
          <w:tcPr>
            <w:tcW w:w="992" w:type="dxa"/>
            <w:vAlign w:val="bottom"/>
          </w:tcPr>
          <w:p w14:paraId="3371E1BB" w14:textId="77777777" w:rsidR="00773F7B" w:rsidRPr="00BE7FD5" w:rsidRDefault="00773F7B" w:rsidP="00773F7B">
            <w:pPr>
              <w:pStyle w:val="T2"/>
              <w:jc w:val="right"/>
              <w:rPr>
                <w:bCs/>
              </w:rPr>
            </w:pPr>
            <w:r w:rsidRPr="00BE7FD5">
              <w:rPr>
                <w:bCs/>
              </w:rPr>
              <w:t>–</w:t>
            </w:r>
          </w:p>
        </w:tc>
        <w:tc>
          <w:tcPr>
            <w:tcW w:w="850" w:type="dxa"/>
            <w:vAlign w:val="bottom"/>
          </w:tcPr>
          <w:p w14:paraId="32ED9CD9" w14:textId="77777777" w:rsidR="00773F7B" w:rsidRPr="00BE7FD5" w:rsidRDefault="00773F7B" w:rsidP="00773F7B">
            <w:pPr>
              <w:pStyle w:val="T2"/>
              <w:jc w:val="right"/>
              <w:rPr>
                <w:bCs/>
              </w:rPr>
            </w:pPr>
            <w:r w:rsidRPr="00BE7FD5">
              <w:rPr>
                <w:bCs/>
              </w:rPr>
              <w:t>–</w:t>
            </w:r>
          </w:p>
        </w:tc>
        <w:tc>
          <w:tcPr>
            <w:tcW w:w="992" w:type="dxa"/>
            <w:vAlign w:val="bottom"/>
          </w:tcPr>
          <w:p w14:paraId="60A70978" w14:textId="77777777" w:rsidR="00773F7B" w:rsidRPr="00BE7FD5" w:rsidRDefault="00773F7B" w:rsidP="00773F7B">
            <w:pPr>
              <w:pStyle w:val="T2"/>
              <w:jc w:val="right"/>
              <w:rPr>
                <w:bCs/>
              </w:rPr>
            </w:pPr>
            <w:r w:rsidRPr="00BE7FD5">
              <w:rPr>
                <w:bCs/>
              </w:rPr>
              <w:t>1.9</w:t>
            </w:r>
          </w:p>
        </w:tc>
        <w:tc>
          <w:tcPr>
            <w:tcW w:w="826" w:type="dxa"/>
            <w:vAlign w:val="bottom"/>
          </w:tcPr>
          <w:p w14:paraId="03233C3B" w14:textId="77777777" w:rsidR="00773F7B" w:rsidRPr="00BE7FD5" w:rsidRDefault="00773F7B" w:rsidP="00773F7B">
            <w:pPr>
              <w:pStyle w:val="T2"/>
              <w:jc w:val="right"/>
              <w:rPr>
                <w:bCs/>
              </w:rPr>
            </w:pPr>
            <w:r w:rsidRPr="00BE7FD5">
              <w:rPr>
                <w:bCs/>
              </w:rPr>
              <w:t>1.9</w:t>
            </w:r>
          </w:p>
        </w:tc>
        <w:tc>
          <w:tcPr>
            <w:tcW w:w="1020" w:type="dxa"/>
            <w:vAlign w:val="bottom"/>
          </w:tcPr>
          <w:p w14:paraId="79CA4BAB" w14:textId="77777777" w:rsidR="00773F7B" w:rsidRPr="00BE7FD5" w:rsidRDefault="00773F7B" w:rsidP="00773F7B">
            <w:pPr>
              <w:pStyle w:val="T2"/>
              <w:jc w:val="right"/>
              <w:rPr>
                <w:bCs/>
              </w:rPr>
            </w:pPr>
            <w:r w:rsidRPr="00BE7FD5">
              <w:rPr>
                <w:bCs/>
              </w:rPr>
              <w:t>–</w:t>
            </w:r>
          </w:p>
        </w:tc>
        <w:tc>
          <w:tcPr>
            <w:tcW w:w="847" w:type="dxa"/>
            <w:vAlign w:val="bottom"/>
          </w:tcPr>
          <w:p w14:paraId="60C5CDB7" w14:textId="77777777" w:rsidR="00773F7B" w:rsidRPr="00BD5B9E" w:rsidRDefault="00773F7B" w:rsidP="00773F7B">
            <w:pPr>
              <w:pStyle w:val="T2"/>
              <w:jc w:val="right"/>
              <w:rPr>
                <w:bCs/>
              </w:rPr>
            </w:pPr>
            <w:r w:rsidRPr="00BE7FD5">
              <w:rPr>
                <w:bCs/>
              </w:rPr>
              <w:t>1.9</w:t>
            </w:r>
          </w:p>
        </w:tc>
      </w:tr>
      <w:tr w:rsidR="00773F7B" w14:paraId="417DB52A" w14:textId="77777777" w:rsidTr="00B52070">
        <w:trPr>
          <w:jc w:val="center"/>
        </w:trPr>
        <w:tc>
          <w:tcPr>
            <w:tcW w:w="4395" w:type="dxa"/>
            <w:tcBorders>
              <w:bottom w:val="single" w:sz="2" w:space="0" w:color="auto"/>
            </w:tcBorders>
            <w:vAlign w:val="bottom"/>
          </w:tcPr>
          <w:p w14:paraId="6DD04FE7" w14:textId="77777777" w:rsidR="00773F7B" w:rsidRPr="00E57F3E" w:rsidRDefault="00773F7B" w:rsidP="00773F7B">
            <w:pPr>
              <w:pStyle w:val="T2"/>
              <w:jc w:val="left"/>
            </w:pPr>
            <w:r w:rsidRPr="0096767F">
              <w:rPr>
                <w:rFonts w:ascii="Calibri" w:hAnsi="Calibri" w:cs="Calibri"/>
                <w:bCs/>
              </w:rPr>
              <w:t>Profit for the financial period</w:t>
            </w:r>
          </w:p>
        </w:tc>
        <w:tc>
          <w:tcPr>
            <w:tcW w:w="709" w:type="dxa"/>
            <w:tcBorders>
              <w:bottom w:val="single" w:sz="2" w:space="0" w:color="auto"/>
            </w:tcBorders>
            <w:vAlign w:val="bottom"/>
          </w:tcPr>
          <w:p w14:paraId="6B9636E5" w14:textId="77777777" w:rsidR="00773F7B" w:rsidRPr="00BE7FD5" w:rsidRDefault="00773F7B" w:rsidP="00773F7B">
            <w:pPr>
              <w:jc w:val="right"/>
              <w:rPr>
                <w:rFonts w:ascii="Calibri" w:hAnsi="Calibri" w:cs="Calibri"/>
                <w:bCs/>
                <w:sz w:val="18"/>
                <w:szCs w:val="18"/>
              </w:rPr>
            </w:pPr>
            <w:r w:rsidRPr="00BE7FD5">
              <w:rPr>
                <w:bCs/>
              </w:rPr>
              <w:t>–</w:t>
            </w:r>
          </w:p>
        </w:tc>
        <w:tc>
          <w:tcPr>
            <w:tcW w:w="992" w:type="dxa"/>
            <w:tcBorders>
              <w:bottom w:val="single" w:sz="2" w:space="0" w:color="auto"/>
            </w:tcBorders>
            <w:vAlign w:val="bottom"/>
          </w:tcPr>
          <w:p w14:paraId="7CC4D145" w14:textId="77777777" w:rsidR="00773F7B" w:rsidRPr="00BE7FD5" w:rsidRDefault="00773F7B" w:rsidP="00773F7B">
            <w:pPr>
              <w:pStyle w:val="T2"/>
              <w:jc w:val="right"/>
              <w:rPr>
                <w:bCs/>
              </w:rPr>
            </w:pPr>
            <w:r w:rsidRPr="00BE7FD5">
              <w:rPr>
                <w:bCs/>
              </w:rPr>
              <w:t>–</w:t>
            </w:r>
          </w:p>
        </w:tc>
        <w:tc>
          <w:tcPr>
            <w:tcW w:w="850" w:type="dxa"/>
            <w:tcBorders>
              <w:bottom w:val="single" w:sz="2" w:space="0" w:color="auto"/>
            </w:tcBorders>
            <w:vAlign w:val="bottom"/>
          </w:tcPr>
          <w:p w14:paraId="259D3B6E" w14:textId="77777777" w:rsidR="00773F7B" w:rsidRPr="00BE7FD5" w:rsidRDefault="00773F7B" w:rsidP="00773F7B">
            <w:pPr>
              <w:pStyle w:val="T2"/>
              <w:jc w:val="right"/>
              <w:rPr>
                <w:bCs/>
              </w:rPr>
            </w:pPr>
            <w:r w:rsidRPr="00BE7FD5">
              <w:rPr>
                <w:bCs/>
              </w:rPr>
              <w:t>–</w:t>
            </w:r>
          </w:p>
        </w:tc>
        <w:tc>
          <w:tcPr>
            <w:tcW w:w="992" w:type="dxa"/>
            <w:tcBorders>
              <w:bottom w:val="single" w:sz="2" w:space="0" w:color="auto"/>
            </w:tcBorders>
            <w:vAlign w:val="bottom"/>
          </w:tcPr>
          <w:p w14:paraId="1BFDAC13" w14:textId="77777777" w:rsidR="00773F7B" w:rsidRPr="00BE7FD5" w:rsidRDefault="00773F7B" w:rsidP="00773F7B">
            <w:pPr>
              <w:pStyle w:val="T2"/>
              <w:jc w:val="right"/>
              <w:rPr>
                <w:bCs/>
              </w:rPr>
            </w:pPr>
            <w:r w:rsidRPr="00BE7FD5">
              <w:rPr>
                <w:bCs/>
              </w:rPr>
              <w:t>65.1</w:t>
            </w:r>
          </w:p>
        </w:tc>
        <w:tc>
          <w:tcPr>
            <w:tcW w:w="826" w:type="dxa"/>
            <w:tcBorders>
              <w:bottom w:val="single" w:sz="2" w:space="0" w:color="auto"/>
            </w:tcBorders>
            <w:vAlign w:val="bottom"/>
          </w:tcPr>
          <w:p w14:paraId="6DBF28D2" w14:textId="77777777" w:rsidR="00773F7B" w:rsidRPr="00BE7FD5" w:rsidRDefault="00773F7B" w:rsidP="00773F7B">
            <w:pPr>
              <w:pStyle w:val="T2"/>
              <w:jc w:val="right"/>
              <w:rPr>
                <w:bCs/>
              </w:rPr>
            </w:pPr>
            <w:r w:rsidRPr="00BE7FD5">
              <w:rPr>
                <w:bCs/>
              </w:rPr>
              <w:t>65.1</w:t>
            </w:r>
          </w:p>
        </w:tc>
        <w:tc>
          <w:tcPr>
            <w:tcW w:w="1020" w:type="dxa"/>
            <w:tcBorders>
              <w:bottom w:val="single" w:sz="2" w:space="0" w:color="auto"/>
            </w:tcBorders>
            <w:vAlign w:val="bottom"/>
          </w:tcPr>
          <w:p w14:paraId="598DEAE9" w14:textId="77777777" w:rsidR="00773F7B" w:rsidRPr="00BE7FD5" w:rsidRDefault="00773F7B" w:rsidP="00773F7B">
            <w:pPr>
              <w:pStyle w:val="T2"/>
              <w:jc w:val="right"/>
              <w:rPr>
                <w:bCs/>
              </w:rPr>
            </w:pPr>
            <w:r w:rsidRPr="00BE7FD5">
              <w:rPr>
                <w:bCs/>
              </w:rPr>
              <w:t>1.3</w:t>
            </w:r>
          </w:p>
        </w:tc>
        <w:tc>
          <w:tcPr>
            <w:tcW w:w="847" w:type="dxa"/>
            <w:tcBorders>
              <w:bottom w:val="single" w:sz="2" w:space="0" w:color="auto"/>
            </w:tcBorders>
            <w:vAlign w:val="bottom"/>
          </w:tcPr>
          <w:p w14:paraId="3479D8C4" w14:textId="77777777" w:rsidR="00773F7B" w:rsidRPr="00BD5B9E" w:rsidRDefault="00773F7B" w:rsidP="00773F7B">
            <w:pPr>
              <w:pStyle w:val="T2"/>
              <w:jc w:val="right"/>
              <w:rPr>
                <w:bCs/>
              </w:rPr>
            </w:pPr>
            <w:r w:rsidRPr="00BE7FD5">
              <w:rPr>
                <w:bCs/>
              </w:rPr>
              <w:t>66.4</w:t>
            </w:r>
          </w:p>
        </w:tc>
      </w:tr>
      <w:tr w:rsidR="00773F7B" w14:paraId="3E5CBFB7" w14:textId="77777777" w:rsidTr="00B52070">
        <w:trPr>
          <w:jc w:val="center"/>
        </w:trPr>
        <w:tc>
          <w:tcPr>
            <w:tcW w:w="4395" w:type="dxa"/>
            <w:tcBorders>
              <w:top w:val="single" w:sz="2" w:space="0" w:color="auto"/>
              <w:bottom w:val="single" w:sz="4" w:space="0" w:color="auto"/>
            </w:tcBorders>
            <w:vAlign w:val="bottom"/>
          </w:tcPr>
          <w:p w14:paraId="0E9BDD8F" w14:textId="77777777" w:rsidR="00773F7B" w:rsidRPr="00B52070" w:rsidRDefault="00773F7B" w:rsidP="00773F7B">
            <w:pPr>
              <w:pStyle w:val="T2"/>
              <w:jc w:val="left"/>
              <w:rPr>
                <w:b/>
              </w:rPr>
            </w:pPr>
            <w:r w:rsidRPr="00B52070">
              <w:rPr>
                <w:b/>
              </w:rPr>
              <w:t>Total recognised income and expense for the financial period</w:t>
            </w:r>
          </w:p>
        </w:tc>
        <w:tc>
          <w:tcPr>
            <w:tcW w:w="709" w:type="dxa"/>
            <w:tcBorders>
              <w:top w:val="single" w:sz="2" w:space="0" w:color="auto"/>
              <w:bottom w:val="single" w:sz="4" w:space="0" w:color="auto"/>
            </w:tcBorders>
            <w:vAlign w:val="bottom"/>
          </w:tcPr>
          <w:p w14:paraId="0C8F6D80" w14:textId="77777777" w:rsidR="00773F7B" w:rsidRPr="00BE7FD5" w:rsidRDefault="00773F7B" w:rsidP="00773F7B">
            <w:pPr>
              <w:jc w:val="right"/>
              <w:rPr>
                <w:rFonts w:ascii="Calibri" w:hAnsi="Calibri" w:cs="Calibri"/>
                <w:bCs/>
                <w:sz w:val="18"/>
                <w:szCs w:val="18"/>
              </w:rPr>
            </w:pPr>
            <w:r w:rsidRPr="00BE7FD5">
              <w:rPr>
                <w:bCs/>
              </w:rPr>
              <w:t>–</w:t>
            </w:r>
          </w:p>
        </w:tc>
        <w:tc>
          <w:tcPr>
            <w:tcW w:w="992" w:type="dxa"/>
            <w:tcBorders>
              <w:top w:val="single" w:sz="2" w:space="0" w:color="auto"/>
              <w:bottom w:val="single" w:sz="4" w:space="0" w:color="auto"/>
            </w:tcBorders>
            <w:vAlign w:val="bottom"/>
          </w:tcPr>
          <w:p w14:paraId="756883F7" w14:textId="77777777" w:rsidR="00773F7B" w:rsidRPr="00BE7FD5" w:rsidRDefault="00773F7B" w:rsidP="00773F7B">
            <w:pPr>
              <w:pStyle w:val="T2"/>
              <w:jc w:val="right"/>
              <w:rPr>
                <w:bCs/>
              </w:rPr>
            </w:pPr>
            <w:r w:rsidRPr="00BE7FD5">
              <w:rPr>
                <w:bCs/>
              </w:rPr>
              <w:t>–</w:t>
            </w:r>
          </w:p>
        </w:tc>
        <w:tc>
          <w:tcPr>
            <w:tcW w:w="850" w:type="dxa"/>
            <w:tcBorders>
              <w:top w:val="single" w:sz="2" w:space="0" w:color="auto"/>
              <w:bottom w:val="single" w:sz="4" w:space="0" w:color="auto"/>
            </w:tcBorders>
            <w:vAlign w:val="bottom"/>
          </w:tcPr>
          <w:p w14:paraId="459B8AF9" w14:textId="77777777" w:rsidR="00773F7B" w:rsidRPr="00BE7FD5" w:rsidRDefault="00773F7B" w:rsidP="00773F7B">
            <w:pPr>
              <w:pStyle w:val="T2"/>
              <w:jc w:val="right"/>
              <w:rPr>
                <w:bCs/>
              </w:rPr>
            </w:pPr>
            <w:r w:rsidRPr="00BE7FD5">
              <w:rPr>
                <w:bCs/>
              </w:rPr>
              <w:t>6.8</w:t>
            </w:r>
          </w:p>
        </w:tc>
        <w:tc>
          <w:tcPr>
            <w:tcW w:w="992" w:type="dxa"/>
            <w:tcBorders>
              <w:top w:val="single" w:sz="2" w:space="0" w:color="auto"/>
              <w:bottom w:val="single" w:sz="4" w:space="0" w:color="auto"/>
            </w:tcBorders>
            <w:vAlign w:val="bottom"/>
          </w:tcPr>
          <w:p w14:paraId="7B2F5030" w14:textId="77777777" w:rsidR="00773F7B" w:rsidRPr="00BE7FD5" w:rsidRDefault="00773F7B" w:rsidP="00773F7B">
            <w:pPr>
              <w:pStyle w:val="T2"/>
              <w:jc w:val="right"/>
              <w:rPr>
                <w:bCs/>
              </w:rPr>
            </w:pPr>
            <w:r w:rsidRPr="00BE7FD5">
              <w:rPr>
                <w:bCs/>
              </w:rPr>
              <w:t>55.9</w:t>
            </w:r>
          </w:p>
        </w:tc>
        <w:tc>
          <w:tcPr>
            <w:tcW w:w="826" w:type="dxa"/>
            <w:tcBorders>
              <w:top w:val="single" w:sz="2" w:space="0" w:color="auto"/>
              <w:bottom w:val="single" w:sz="4" w:space="0" w:color="auto"/>
            </w:tcBorders>
            <w:vAlign w:val="bottom"/>
          </w:tcPr>
          <w:p w14:paraId="61244A8E" w14:textId="77777777" w:rsidR="00773F7B" w:rsidRPr="00BE7FD5" w:rsidRDefault="00773F7B" w:rsidP="00773F7B">
            <w:pPr>
              <w:pStyle w:val="T2"/>
              <w:jc w:val="right"/>
              <w:rPr>
                <w:bCs/>
              </w:rPr>
            </w:pPr>
            <w:r w:rsidRPr="00BE7FD5">
              <w:rPr>
                <w:bCs/>
              </w:rPr>
              <w:t>62.7</w:t>
            </w:r>
          </w:p>
        </w:tc>
        <w:tc>
          <w:tcPr>
            <w:tcW w:w="1020" w:type="dxa"/>
            <w:tcBorders>
              <w:top w:val="single" w:sz="2" w:space="0" w:color="auto"/>
              <w:bottom w:val="single" w:sz="4" w:space="0" w:color="auto"/>
            </w:tcBorders>
            <w:vAlign w:val="bottom"/>
          </w:tcPr>
          <w:p w14:paraId="484D1303" w14:textId="77777777" w:rsidR="00773F7B" w:rsidRPr="00BE7FD5" w:rsidRDefault="00773F7B" w:rsidP="00773F7B">
            <w:pPr>
              <w:pStyle w:val="T2"/>
              <w:jc w:val="right"/>
              <w:rPr>
                <w:bCs/>
              </w:rPr>
            </w:pPr>
            <w:r w:rsidRPr="00BE7FD5">
              <w:rPr>
                <w:bCs/>
              </w:rPr>
              <w:t>1.1</w:t>
            </w:r>
          </w:p>
        </w:tc>
        <w:tc>
          <w:tcPr>
            <w:tcW w:w="847" w:type="dxa"/>
            <w:tcBorders>
              <w:top w:val="single" w:sz="2" w:space="0" w:color="auto"/>
              <w:bottom w:val="single" w:sz="4" w:space="0" w:color="auto"/>
            </w:tcBorders>
            <w:vAlign w:val="bottom"/>
          </w:tcPr>
          <w:p w14:paraId="4FDF235E" w14:textId="77777777" w:rsidR="00773F7B" w:rsidRPr="00BD5B9E" w:rsidRDefault="00773F7B" w:rsidP="00773F7B">
            <w:pPr>
              <w:pStyle w:val="T2"/>
              <w:jc w:val="right"/>
              <w:rPr>
                <w:bCs/>
              </w:rPr>
            </w:pPr>
            <w:r w:rsidRPr="00BE7FD5">
              <w:rPr>
                <w:bCs/>
              </w:rPr>
              <w:t>63.8</w:t>
            </w:r>
          </w:p>
        </w:tc>
      </w:tr>
      <w:tr w:rsidR="00773F7B" w14:paraId="1D76AB19" w14:textId="77777777" w:rsidTr="00B52070">
        <w:trPr>
          <w:jc w:val="center"/>
        </w:trPr>
        <w:tc>
          <w:tcPr>
            <w:tcW w:w="4395" w:type="dxa"/>
            <w:tcBorders>
              <w:top w:val="single" w:sz="4" w:space="0" w:color="auto"/>
            </w:tcBorders>
          </w:tcPr>
          <w:p w14:paraId="07339EE9" w14:textId="77777777" w:rsidR="00773F7B" w:rsidRPr="00AF5104" w:rsidRDefault="00773F7B" w:rsidP="00773F7B">
            <w:pPr>
              <w:pStyle w:val="T2"/>
              <w:jc w:val="left"/>
            </w:pPr>
            <w:r w:rsidRPr="0096767F">
              <w:rPr>
                <w:bCs/>
              </w:rPr>
              <w:t>Employee share</w:t>
            </w:r>
            <w:r>
              <w:rPr>
                <w:bCs/>
              </w:rPr>
              <w:t>–</w:t>
            </w:r>
            <w:r w:rsidRPr="0096767F">
              <w:rPr>
                <w:bCs/>
              </w:rPr>
              <w:t>based payment expense</w:t>
            </w:r>
          </w:p>
        </w:tc>
        <w:tc>
          <w:tcPr>
            <w:tcW w:w="709" w:type="dxa"/>
            <w:tcBorders>
              <w:top w:val="single" w:sz="4" w:space="0" w:color="auto"/>
            </w:tcBorders>
          </w:tcPr>
          <w:p w14:paraId="6263F26F" w14:textId="77777777" w:rsidR="00773F7B" w:rsidRPr="00BE7FD5" w:rsidRDefault="00773F7B" w:rsidP="00773F7B">
            <w:pPr>
              <w:pStyle w:val="T2"/>
              <w:jc w:val="right"/>
              <w:rPr>
                <w:bCs/>
              </w:rPr>
            </w:pPr>
            <w:r w:rsidRPr="00BE7FD5">
              <w:rPr>
                <w:bCs/>
              </w:rPr>
              <w:t>–</w:t>
            </w:r>
          </w:p>
        </w:tc>
        <w:tc>
          <w:tcPr>
            <w:tcW w:w="992" w:type="dxa"/>
            <w:tcBorders>
              <w:top w:val="single" w:sz="4" w:space="0" w:color="auto"/>
            </w:tcBorders>
          </w:tcPr>
          <w:p w14:paraId="2F588975" w14:textId="77777777" w:rsidR="00773F7B" w:rsidRPr="00BE7FD5" w:rsidRDefault="00773F7B" w:rsidP="00773F7B">
            <w:pPr>
              <w:pStyle w:val="T2"/>
              <w:jc w:val="right"/>
              <w:rPr>
                <w:bCs/>
              </w:rPr>
            </w:pPr>
            <w:r w:rsidRPr="00BE7FD5">
              <w:rPr>
                <w:bCs/>
              </w:rPr>
              <w:t>–</w:t>
            </w:r>
          </w:p>
        </w:tc>
        <w:tc>
          <w:tcPr>
            <w:tcW w:w="850" w:type="dxa"/>
            <w:tcBorders>
              <w:top w:val="single" w:sz="4" w:space="0" w:color="auto"/>
            </w:tcBorders>
          </w:tcPr>
          <w:p w14:paraId="729E0E04" w14:textId="77777777" w:rsidR="00773F7B" w:rsidRPr="00BE7FD5" w:rsidRDefault="00773F7B" w:rsidP="00773F7B">
            <w:pPr>
              <w:pStyle w:val="T2"/>
              <w:jc w:val="right"/>
              <w:rPr>
                <w:bCs/>
              </w:rPr>
            </w:pPr>
            <w:r w:rsidRPr="00BE7FD5">
              <w:rPr>
                <w:bCs/>
              </w:rPr>
              <w:t>1.5</w:t>
            </w:r>
          </w:p>
        </w:tc>
        <w:tc>
          <w:tcPr>
            <w:tcW w:w="992" w:type="dxa"/>
            <w:tcBorders>
              <w:top w:val="single" w:sz="4" w:space="0" w:color="auto"/>
            </w:tcBorders>
          </w:tcPr>
          <w:p w14:paraId="348C985B" w14:textId="77777777" w:rsidR="00773F7B" w:rsidRPr="00BE7FD5" w:rsidRDefault="00773F7B" w:rsidP="00773F7B">
            <w:pPr>
              <w:pStyle w:val="T2"/>
              <w:jc w:val="right"/>
              <w:rPr>
                <w:bCs/>
              </w:rPr>
            </w:pPr>
            <w:r w:rsidRPr="00BE7FD5">
              <w:rPr>
                <w:bCs/>
              </w:rPr>
              <w:t>–</w:t>
            </w:r>
          </w:p>
        </w:tc>
        <w:tc>
          <w:tcPr>
            <w:tcW w:w="826" w:type="dxa"/>
            <w:tcBorders>
              <w:top w:val="single" w:sz="4" w:space="0" w:color="auto"/>
            </w:tcBorders>
          </w:tcPr>
          <w:p w14:paraId="10BD99ED" w14:textId="77777777" w:rsidR="00773F7B" w:rsidRPr="00BE7FD5" w:rsidRDefault="00773F7B" w:rsidP="00773F7B">
            <w:pPr>
              <w:pStyle w:val="T2"/>
              <w:jc w:val="right"/>
              <w:rPr>
                <w:bCs/>
              </w:rPr>
            </w:pPr>
            <w:r w:rsidRPr="00BE7FD5">
              <w:rPr>
                <w:bCs/>
              </w:rPr>
              <w:t>1.5</w:t>
            </w:r>
          </w:p>
        </w:tc>
        <w:tc>
          <w:tcPr>
            <w:tcW w:w="1020" w:type="dxa"/>
            <w:tcBorders>
              <w:top w:val="single" w:sz="4" w:space="0" w:color="auto"/>
            </w:tcBorders>
          </w:tcPr>
          <w:p w14:paraId="54C6DBC8" w14:textId="77777777" w:rsidR="00773F7B" w:rsidRPr="00BE7FD5" w:rsidRDefault="00773F7B" w:rsidP="00773F7B">
            <w:pPr>
              <w:pStyle w:val="T2"/>
              <w:jc w:val="right"/>
              <w:rPr>
                <w:bCs/>
              </w:rPr>
            </w:pPr>
            <w:r w:rsidRPr="00BE7FD5">
              <w:rPr>
                <w:bCs/>
              </w:rPr>
              <w:t>–</w:t>
            </w:r>
          </w:p>
        </w:tc>
        <w:tc>
          <w:tcPr>
            <w:tcW w:w="847" w:type="dxa"/>
            <w:tcBorders>
              <w:top w:val="single" w:sz="4" w:space="0" w:color="auto"/>
            </w:tcBorders>
          </w:tcPr>
          <w:p w14:paraId="6BEA7AD2" w14:textId="77777777" w:rsidR="00773F7B" w:rsidRPr="00BD5B9E" w:rsidRDefault="00773F7B" w:rsidP="00773F7B">
            <w:pPr>
              <w:pStyle w:val="T2"/>
              <w:jc w:val="right"/>
              <w:rPr>
                <w:bCs/>
              </w:rPr>
            </w:pPr>
            <w:r w:rsidRPr="00BE7FD5">
              <w:rPr>
                <w:bCs/>
              </w:rPr>
              <w:t>1.5</w:t>
            </w:r>
          </w:p>
        </w:tc>
      </w:tr>
      <w:tr w:rsidR="00773F7B" w14:paraId="01FA2985" w14:textId="77777777" w:rsidTr="00B52070">
        <w:trPr>
          <w:jc w:val="center"/>
        </w:trPr>
        <w:tc>
          <w:tcPr>
            <w:tcW w:w="4395" w:type="dxa"/>
          </w:tcPr>
          <w:p w14:paraId="6C8EABA1" w14:textId="77777777" w:rsidR="00773F7B" w:rsidRDefault="00773F7B" w:rsidP="00773F7B">
            <w:pPr>
              <w:pStyle w:val="T2"/>
              <w:jc w:val="left"/>
            </w:pPr>
            <w:r w:rsidRPr="0096767F">
              <w:rPr>
                <w:bCs/>
              </w:rPr>
              <w:t>Tax on share</w:t>
            </w:r>
            <w:r>
              <w:rPr>
                <w:bCs/>
              </w:rPr>
              <w:t>–</w:t>
            </w:r>
            <w:r w:rsidRPr="0096767F">
              <w:rPr>
                <w:bCs/>
              </w:rPr>
              <w:t>based payments</w:t>
            </w:r>
          </w:p>
        </w:tc>
        <w:tc>
          <w:tcPr>
            <w:tcW w:w="709" w:type="dxa"/>
          </w:tcPr>
          <w:p w14:paraId="385B3F9E" w14:textId="77777777" w:rsidR="00773F7B" w:rsidRPr="00BE7FD5" w:rsidRDefault="00773F7B" w:rsidP="00773F7B">
            <w:pPr>
              <w:pStyle w:val="T2"/>
              <w:jc w:val="right"/>
              <w:rPr>
                <w:bCs/>
              </w:rPr>
            </w:pPr>
            <w:r w:rsidRPr="00BE7FD5">
              <w:rPr>
                <w:bCs/>
              </w:rPr>
              <w:t>–</w:t>
            </w:r>
          </w:p>
        </w:tc>
        <w:tc>
          <w:tcPr>
            <w:tcW w:w="992" w:type="dxa"/>
          </w:tcPr>
          <w:p w14:paraId="1FA45B41" w14:textId="77777777" w:rsidR="00773F7B" w:rsidRPr="00BD5B9E" w:rsidRDefault="00773F7B" w:rsidP="00773F7B">
            <w:pPr>
              <w:pStyle w:val="T2"/>
              <w:jc w:val="right"/>
              <w:rPr>
                <w:bCs/>
              </w:rPr>
            </w:pPr>
            <w:r w:rsidRPr="00BE7FD5">
              <w:rPr>
                <w:bCs/>
              </w:rPr>
              <w:t>–</w:t>
            </w:r>
          </w:p>
        </w:tc>
        <w:tc>
          <w:tcPr>
            <w:tcW w:w="850" w:type="dxa"/>
          </w:tcPr>
          <w:p w14:paraId="7F4D91B2" w14:textId="77777777" w:rsidR="00773F7B" w:rsidRPr="00BD5B9E" w:rsidRDefault="00773F7B" w:rsidP="00773F7B">
            <w:pPr>
              <w:pStyle w:val="T2"/>
              <w:jc w:val="right"/>
              <w:rPr>
                <w:bCs/>
              </w:rPr>
            </w:pPr>
            <w:r w:rsidRPr="00BE7FD5">
              <w:rPr>
                <w:bCs/>
              </w:rPr>
              <w:t>–</w:t>
            </w:r>
          </w:p>
        </w:tc>
        <w:tc>
          <w:tcPr>
            <w:tcW w:w="992" w:type="dxa"/>
          </w:tcPr>
          <w:p w14:paraId="5DDB45A2" w14:textId="77777777" w:rsidR="00773F7B" w:rsidRPr="00BD5B9E" w:rsidRDefault="00773F7B" w:rsidP="00773F7B">
            <w:pPr>
              <w:pStyle w:val="T2"/>
              <w:jc w:val="right"/>
              <w:rPr>
                <w:bCs/>
              </w:rPr>
            </w:pPr>
            <w:r w:rsidRPr="00BE7FD5">
              <w:rPr>
                <w:bCs/>
              </w:rPr>
              <w:t>0.1</w:t>
            </w:r>
          </w:p>
        </w:tc>
        <w:tc>
          <w:tcPr>
            <w:tcW w:w="826" w:type="dxa"/>
          </w:tcPr>
          <w:p w14:paraId="400B4E50" w14:textId="77777777" w:rsidR="00773F7B" w:rsidRPr="00BD5B9E" w:rsidRDefault="00773F7B" w:rsidP="00773F7B">
            <w:pPr>
              <w:pStyle w:val="T2"/>
              <w:jc w:val="right"/>
              <w:rPr>
                <w:bCs/>
              </w:rPr>
            </w:pPr>
            <w:r w:rsidRPr="00BE7FD5">
              <w:rPr>
                <w:bCs/>
              </w:rPr>
              <w:t>0.1</w:t>
            </w:r>
          </w:p>
        </w:tc>
        <w:tc>
          <w:tcPr>
            <w:tcW w:w="1020" w:type="dxa"/>
          </w:tcPr>
          <w:p w14:paraId="0CC83393" w14:textId="77777777" w:rsidR="00773F7B" w:rsidRPr="00BD5B9E" w:rsidRDefault="00773F7B" w:rsidP="00773F7B">
            <w:pPr>
              <w:pStyle w:val="T2"/>
              <w:jc w:val="right"/>
              <w:rPr>
                <w:bCs/>
              </w:rPr>
            </w:pPr>
            <w:r w:rsidRPr="00BE7FD5">
              <w:rPr>
                <w:bCs/>
              </w:rPr>
              <w:t>–</w:t>
            </w:r>
          </w:p>
        </w:tc>
        <w:tc>
          <w:tcPr>
            <w:tcW w:w="847" w:type="dxa"/>
          </w:tcPr>
          <w:p w14:paraId="776F4014" w14:textId="77777777" w:rsidR="00773F7B" w:rsidRPr="00BD5B9E" w:rsidRDefault="00773F7B" w:rsidP="00773F7B">
            <w:pPr>
              <w:pStyle w:val="T2"/>
              <w:jc w:val="right"/>
              <w:rPr>
                <w:bCs/>
              </w:rPr>
            </w:pPr>
            <w:r w:rsidRPr="00BE7FD5">
              <w:rPr>
                <w:bCs/>
              </w:rPr>
              <w:t>0.1</w:t>
            </w:r>
          </w:p>
        </w:tc>
      </w:tr>
      <w:tr w:rsidR="00773F7B" w14:paraId="5ED639CB" w14:textId="77777777" w:rsidTr="00B52070">
        <w:trPr>
          <w:jc w:val="center"/>
        </w:trPr>
        <w:tc>
          <w:tcPr>
            <w:tcW w:w="4395" w:type="dxa"/>
          </w:tcPr>
          <w:p w14:paraId="7517764E" w14:textId="77777777" w:rsidR="00773F7B" w:rsidRPr="00AF5104" w:rsidRDefault="00773F7B" w:rsidP="00773F7B">
            <w:pPr>
              <w:pStyle w:val="T2"/>
              <w:jc w:val="left"/>
            </w:pPr>
            <w:r w:rsidRPr="0096767F">
              <w:rPr>
                <w:bCs/>
              </w:rPr>
              <w:t>Exercise, lapse or forfeit of share</w:t>
            </w:r>
            <w:r>
              <w:rPr>
                <w:bCs/>
              </w:rPr>
              <w:t>–</w:t>
            </w:r>
            <w:r w:rsidRPr="0096767F">
              <w:rPr>
                <w:bCs/>
              </w:rPr>
              <w:t>based payments</w:t>
            </w:r>
          </w:p>
        </w:tc>
        <w:tc>
          <w:tcPr>
            <w:tcW w:w="709" w:type="dxa"/>
          </w:tcPr>
          <w:p w14:paraId="202287E0" w14:textId="77777777" w:rsidR="00773F7B" w:rsidRPr="00BE7FD5" w:rsidRDefault="00773F7B" w:rsidP="00773F7B">
            <w:pPr>
              <w:pStyle w:val="T2"/>
              <w:jc w:val="right"/>
              <w:rPr>
                <w:bCs/>
              </w:rPr>
            </w:pPr>
            <w:r w:rsidRPr="00BE7FD5">
              <w:rPr>
                <w:bCs/>
              </w:rPr>
              <w:t>–</w:t>
            </w:r>
          </w:p>
        </w:tc>
        <w:tc>
          <w:tcPr>
            <w:tcW w:w="992" w:type="dxa"/>
          </w:tcPr>
          <w:p w14:paraId="67C35864" w14:textId="77777777" w:rsidR="00773F7B" w:rsidRPr="00BD5B9E" w:rsidRDefault="00773F7B" w:rsidP="00773F7B">
            <w:pPr>
              <w:pStyle w:val="T2"/>
              <w:jc w:val="right"/>
              <w:rPr>
                <w:bCs/>
              </w:rPr>
            </w:pPr>
            <w:r w:rsidRPr="00BE7FD5">
              <w:rPr>
                <w:bCs/>
              </w:rPr>
              <w:t>–</w:t>
            </w:r>
          </w:p>
        </w:tc>
        <w:tc>
          <w:tcPr>
            <w:tcW w:w="850" w:type="dxa"/>
          </w:tcPr>
          <w:p w14:paraId="4C22E120" w14:textId="77777777" w:rsidR="00773F7B" w:rsidRPr="00BD5B9E" w:rsidRDefault="00773F7B" w:rsidP="00773F7B">
            <w:pPr>
              <w:pStyle w:val="T2"/>
              <w:jc w:val="right"/>
              <w:rPr>
                <w:bCs/>
              </w:rPr>
            </w:pPr>
            <w:r w:rsidRPr="00BE7FD5">
              <w:rPr>
                <w:bCs/>
              </w:rPr>
              <w:t>(1.5)</w:t>
            </w:r>
          </w:p>
        </w:tc>
        <w:tc>
          <w:tcPr>
            <w:tcW w:w="992" w:type="dxa"/>
          </w:tcPr>
          <w:p w14:paraId="71235892" w14:textId="77777777" w:rsidR="00773F7B" w:rsidRPr="00BD5B9E" w:rsidRDefault="00773F7B" w:rsidP="00773F7B">
            <w:pPr>
              <w:pStyle w:val="T2"/>
              <w:jc w:val="right"/>
              <w:rPr>
                <w:bCs/>
              </w:rPr>
            </w:pPr>
            <w:r w:rsidRPr="00BE7FD5">
              <w:rPr>
                <w:bCs/>
              </w:rPr>
              <w:t>0.8</w:t>
            </w:r>
          </w:p>
        </w:tc>
        <w:tc>
          <w:tcPr>
            <w:tcW w:w="826" w:type="dxa"/>
          </w:tcPr>
          <w:p w14:paraId="7409D1F8" w14:textId="77777777" w:rsidR="00773F7B" w:rsidRPr="00BD5B9E" w:rsidRDefault="00773F7B" w:rsidP="00773F7B">
            <w:pPr>
              <w:pStyle w:val="T2"/>
              <w:jc w:val="right"/>
              <w:rPr>
                <w:bCs/>
              </w:rPr>
            </w:pPr>
            <w:r w:rsidRPr="00BE7FD5">
              <w:rPr>
                <w:bCs/>
              </w:rPr>
              <w:t>(0.7)</w:t>
            </w:r>
          </w:p>
        </w:tc>
        <w:tc>
          <w:tcPr>
            <w:tcW w:w="1020" w:type="dxa"/>
          </w:tcPr>
          <w:p w14:paraId="37C91DE4" w14:textId="77777777" w:rsidR="00773F7B" w:rsidRPr="00BD5B9E" w:rsidRDefault="00773F7B" w:rsidP="00773F7B">
            <w:pPr>
              <w:pStyle w:val="T2"/>
              <w:jc w:val="right"/>
              <w:rPr>
                <w:bCs/>
              </w:rPr>
            </w:pPr>
            <w:r w:rsidRPr="00BE7FD5">
              <w:rPr>
                <w:bCs/>
              </w:rPr>
              <w:t>–</w:t>
            </w:r>
          </w:p>
        </w:tc>
        <w:tc>
          <w:tcPr>
            <w:tcW w:w="847" w:type="dxa"/>
          </w:tcPr>
          <w:p w14:paraId="398C84FA" w14:textId="77777777" w:rsidR="00773F7B" w:rsidRPr="00BD5B9E" w:rsidRDefault="00773F7B" w:rsidP="00773F7B">
            <w:pPr>
              <w:pStyle w:val="T2"/>
              <w:jc w:val="right"/>
              <w:rPr>
                <w:bCs/>
              </w:rPr>
            </w:pPr>
            <w:r w:rsidRPr="00BE7FD5">
              <w:rPr>
                <w:bCs/>
              </w:rPr>
              <w:t>(0.7)</w:t>
            </w:r>
          </w:p>
        </w:tc>
      </w:tr>
      <w:tr w:rsidR="00773F7B" w14:paraId="79066242" w14:textId="77777777" w:rsidTr="00B52070">
        <w:trPr>
          <w:jc w:val="center"/>
        </w:trPr>
        <w:tc>
          <w:tcPr>
            <w:tcW w:w="4395" w:type="dxa"/>
          </w:tcPr>
          <w:p w14:paraId="5B740BD1" w14:textId="77777777" w:rsidR="00773F7B" w:rsidRPr="003841B4" w:rsidRDefault="00773F7B" w:rsidP="00773F7B">
            <w:pPr>
              <w:pStyle w:val="T2"/>
              <w:jc w:val="left"/>
              <w:rPr>
                <w:b/>
              </w:rPr>
            </w:pPr>
            <w:r w:rsidRPr="0096767F">
              <w:rPr>
                <w:bCs/>
              </w:rPr>
              <w:t>Shares acquired by Employee Benefit Trust</w:t>
            </w:r>
          </w:p>
        </w:tc>
        <w:tc>
          <w:tcPr>
            <w:tcW w:w="709" w:type="dxa"/>
          </w:tcPr>
          <w:p w14:paraId="0DF6406C" w14:textId="77777777" w:rsidR="00773F7B" w:rsidRPr="00BE7FD5" w:rsidRDefault="00773F7B" w:rsidP="00773F7B">
            <w:pPr>
              <w:pStyle w:val="T2"/>
              <w:jc w:val="right"/>
              <w:rPr>
                <w:bCs/>
              </w:rPr>
            </w:pPr>
            <w:r w:rsidRPr="00BE7FD5">
              <w:rPr>
                <w:bCs/>
              </w:rPr>
              <w:t>–</w:t>
            </w:r>
          </w:p>
        </w:tc>
        <w:tc>
          <w:tcPr>
            <w:tcW w:w="992" w:type="dxa"/>
          </w:tcPr>
          <w:p w14:paraId="3B122D80" w14:textId="77777777" w:rsidR="00773F7B" w:rsidRPr="00BD5B9E" w:rsidRDefault="00773F7B" w:rsidP="00773F7B">
            <w:pPr>
              <w:pStyle w:val="T2"/>
              <w:jc w:val="right"/>
              <w:rPr>
                <w:bCs/>
              </w:rPr>
            </w:pPr>
            <w:r w:rsidRPr="00BE7FD5">
              <w:rPr>
                <w:bCs/>
              </w:rPr>
              <w:t>–</w:t>
            </w:r>
          </w:p>
        </w:tc>
        <w:tc>
          <w:tcPr>
            <w:tcW w:w="850" w:type="dxa"/>
          </w:tcPr>
          <w:p w14:paraId="43685F2B" w14:textId="77777777" w:rsidR="00773F7B" w:rsidRPr="00BD5B9E" w:rsidRDefault="00773F7B" w:rsidP="00773F7B">
            <w:pPr>
              <w:pStyle w:val="T2"/>
              <w:jc w:val="right"/>
              <w:rPr>
                <w:bCs/>
              </w:rPr>
            </w:pPr>
            <w:r w:rsidRPr="00BE7FD5">
              <w:rPr>
                <w:bCs/>
              </w:rPr>
              <w:t>(0.8)</w:t>
            </w:r>
          </w:p>
        </w:tc>
        <w:tc>
          <w:tcPr>
            <w:tcW w:w="992" w:type="dxa"/>
          </w:tcPr>
          <w:p w14:paraId="1617BC08" w14:textId="77777777" w:rsidR="00773F7B" w:rsidRPr="00BD5B9E" w:rsidRDefault="00773F7B" w:rsidP="00773F7B">
            <w:pPr>
              <w:pStyle w:val="T2"/>
              <w:jc w:val="right"/>
              <w:rPr>
                <w:bCs/>
              </w:rPr>
            </w:pPr>
            <w:r w:rsidRPr="00BE7FD5">
              <w:rPr>
                <w:bCs/>
              </w:rPr>
              <w:t>0.2</w:t>
            </w:r>
          </w:p>
        </w:tc>
        <w:tc>
          <w:tcPr>
            <w:tcW w:w="826" w:type="dxa"/>
          </w:tcPr>
          <w:p w14:paraId="2795365B" w14:textId="77777777" w:rsidR="00773F7B" w:rsidRPr="00BD5B9E" w:rsidRDefault="00773F7B" w:rsidP="00773F7B">
            <w:pPr>
              <w:pStyle w:val="T2"/>
              <w:jc w:val="right"/>
              <w:rPr>
                <w:bCs/>
              </w:rPr>
            </w:pPr>
            <w:r w:rsidRPr="00BE7FD5">
              <w:rPr>
                <w:bCs/>
              </w:rPr>
              <w:t>(0.6)</w:t>
            </w:r>
          </w:p>
        </w:tc>
        <w:tc>
          <w:tcPr>
            <w:tcW w:w="1020" w:type="dxa"/>
          </w:tcPr>
          <w:p w14:paraId="2253046C" w14:textId="77777777" w:rsidR="00773F7B" w:rsidRPr="00BD5B9E" w:rsidRDefault="00773F7B" w:rsidP="00773F7B">
            <w:pPr>
              <w:pStyle w:val="T2"/>
              <w:jc w:val="right"/>
              <w:rPr>
                <w:bCs/>
              </w:rPr>
            </w:pPr>
            <w:r w:rsidRPr="00BE7FD5">
              <w:rPr>
                <w:bCs/>
              </w:rPr>
              <w:t>–</w:t>
            </w:r>
          </w:p>
        </w:tc>
        <w:tc>
          <w:tcPr>
            <w:tcW w:w="847" w:type="dxa"/>
          </w:tcPr>
          <w:p w14:paraId="65DD6206" w14:textId="77777777" w:rsidR="00773F7B" w:rsidRPr="00BD5B9E" w:rsidRDefault="00773F7B" w:rsidP="00773F7B">
            <w:pPr>
              <w:pStyle w:val="T2"/>
              <w:jc w:val="right"/>
              <w:rPr>
                <w:bCs/>
              </w:rPr>
            </w:pPr>
            <w:r w:rsidRPr="00BE7FD5">
              <w:rPr>
                <w:bCs/>
              </w:rPr>
              <w:t>(0.6)</w:t>
            </w:r>
          </w:p>
        </w:tc>
      </w:tr>
      <w:tr w:rsidR="00773F7B" w14:paraId="67984BA9" w14:textId="77777777" w:rsidTr="00B52070">
        <w:trPr>
          <w:jc w:val="center"/>
        </w:trPr>
        <w:tc>
          <w:tcPr>
            <w:tcW w:w="4395" w:type="dxa"/>
          </w:tcPr>
          <w:p w14:paraId="04F47544" w14:textId="77777777" w:rsidR="00773F7B" w:rsidRPr="00A52C8E" w:rsidRDefault="00773F7B" w:rsidP="00773F7B">
            <w:pPr>
              <w:pStyle w:val="T2"/>
              <w:jc w:val="left"/>
            </w:pPr>
            <w:r w:rsidRPr="0096767F">
              <w:rPr>
                <w:bCs/>
              </w:rPr>
              <w:t>Transfer to Retained Earnings on grant of shares to beneficiaries of the Employee Benefit Trust</w:t>
            </w:r>
          </w:p>
        </w:tc>
        <w:tc>
          <w:tcPr>
            <w:tcW w:w="709" w:type="dxa"/>
          </w:tcPr>
          <w:p w14:paraId="31436BC6" w14:textId="77777777" w:rsidR="00773F7B" w:rsidRPr="00BE7FD5" w:rsidRDefault="00773F7B" w:rsidP="00773F7B">
            <w:pPr>
              <w:pStyle w:val="T2"/>
              <w:jc w:val="right"/>
              <w:rPr>
                <w:bCs/>
              </w:rPr>
            </w:pPr>
            <w:r w:rsidRPr="00BE7FD5">
              <w:rPr>
                <w:bCs/>
              </w:rPr>
              <w:t>–</w:t>
            </w:r>
          </w:p>
        </w:tc>
        <w:tc>
          <w:tcPr>
            <w:tcW w:w="992" w:type="dxa"/>
          </w:tcPr>
          <w:p w14:paraId="028A5C02" w14:textId="77777777" w:rsidR="00773F7B" w:rsidRPr="00BD5B9E" w:rsidRDefault="00773F7B" w:rsidP="00773F7B">
            <w:pPr>
              <w:pStyle w:val="T2"/>
              <w:jc w:val="right"/>
              <w:rPr>
                <w:bCs/>
              </w:rPr>
            </w:pPr>
            <w:r w:rsidRPr="00BE7FD5">
              <w:rPr>
                <w:bCs/>
              </w:rPr>
              <w:t>–</w:t>
            </w:r>
          </w:p>
        </w:tc>
        <w:tc>
          <w:tcPr>
            <w:tcW w:w="850" w:type="dxa"/>
          </w:tcPr>
          <w:p w14:paraId="10F85A5F" w14:textId="77777777" w:rsidR="00773F7B" w:rsidRPr="00BD5B9E" w:rsidRDefault="00773F7B" w:rsidP="00773F7B">
            <w:pPr>
              <w:pStyle w:val="T2"/>
              <w:jc w:val="right"/>
              <w:rPr>
                <w:bCs/>
              </w:rPr>
            </w:pPr>
            <w:r w:rsidRPr="00BE7FD5">
              <w:rPr>
                <w:bCs/>
              </w:rPr>
              <w:t>0.7</w:t>
            </w:r>
          </w:p>
        </w:tc>
        <w:tc>
          <w:tcPr>
            <w:tcW w:w="992" w:type="dxa"/>
          </w:tcPr>
          <w:p w14:paraId="22AFB759" w14:textId="77777777" w:rsidR="00773F7B" w:rsidRPr="00BD5B9E" w:rsidRDefault="00773F7B" w:rsidP="00773F7B">
            <w:pPr>
              <w:pStyle w:val="T2"/>
              <w:jc w:val="right"/>
              <w:rPr>
                <w:bCs/>
              </w:rPr>
            </w:pPr>
            <w:r w:rsidRPr="00BE7FD5">
              <w:rPr>
                <w:bCs/>
              </w:rPr>
              <w:t>(0.7)</w:t>
            </w:r>
          </w:p>
        </w:tc>
        <w:tc>
          <w:tcPr>
            <w:tcW w:w="826" w:type="dxa"/>
          </w:tcPr>
          <w:p w14:paraId="4A198ABA" w14:textId="77777777" w:rsidR="00773F7B" w:rsidRPr="00BD5B9E" w:rsidRDefault="00773F7B" w:rsidP="00773F7B">
            <w:pPr>
              <w:pStyle w:val="T2"/>
              <w:jc w:val="right"/>
              <w:rPr>
                <w:bCs/>
              </w:rPr>
            </w:pPr>
            <w:r w:rsidRPr="00BE7FD5">
              <w:rPr>
                <w:bCs/>
              </w:rPr>
              <w:t>–</w:t>
            </w:r>
          </w:p>
        </w:tc>
        <w:tc>
          <w:tcPr>
            <w:tcW w:w="1020" w:type="dxa"/>
          </w:tcPr>
          <w:p w14:paraId="50EBE0A7" w14:textId="77777777" w:rsidR="00773F7B" w:rsidRPr="00BD5B9E" w:rsidRDefault="00773F7B" w:rsidP="00773F7B">
            <w:pPr>
              <w:pStyle w:val="T2"/>
              <w:jc w:val="right"/>
              <w:rPr>
                <w:bCs/>
              </w:rPr>
            </w:pPr>
            <w:r w:rsidRPr="00BE7FD5">
              <w:rPr>
                <w:bCs/>
              </w:rPr>
              <w:t>–</w:t>
            </w:r>
          </w:p>
        </w:tc>
        <w:tc>
          <w:tcPr>
            <w:tcW w:w="847" w:type="dxa"/>
          </w:tcPr>
          <w:p w14:paraId="041653C4" w14:textId="77777777" w:rsidR="00773F7B" w:rsidRPr="00BD5B9E" w:rsidRDefault="00773F7B" w:rsidP="00773F7B">
            <w:pPr>
              <w:pStyle w:val="T2"/>
              <w:jc w:val="right"/>
              <w:rPr>
                <w:bCs/>
              </w:rPr>
            </w:pPr>
            <w:r w:rsidRPr="00BE7FD5">
              <w:rPr>
                <w:bCs/>
              </w:rPr>
              <w:t>–</w:t>
            </w:r>
          </w:p>
        </w:tc>
      </w:tr>
      <w:tr w:rsidR="00773F7B" w14:paraId="3EBB80BC" w14:textId="77777777" w:rsidTr="00B52070">
        <w:trPr>
          <w:jc w:val="center"/>
        </w:trPr>
        <w:tc>
          <w:tcPr>
            <w:tcW w:w="4395" w:type="dxa"/>
          </w:tcPr>
          <w:p w14:paraId="589B7AD8" w14:textId="77777777" w:rsidR="00773F7B" w:rsidRPr="003841B4" w:rsidRDefault="00773F7B" w:rsidP="00773F7B">
            <w:pPr>
              <w:pStyle w:val="T2"/>
              <w:jc w:val="left"/>
            </w:pPr>
            <w:r w:rsidRPr="0096767F">
              <w:rPr>
                <w:bCs/>
              </w:rPr>
              <w:t>Share capital reduction</w:t>
            </w:r>
          </w:p>
        </w:tc>
        <w:tc>
          <w:tcPr>
            <w:tcW w:w="709" w:type="dxa"/>
          </w:tcPr>
          <w:p w14:paraId="5FC49240" w14:textId="77777777" w:rsidR="00773F7B" w:rsidRPr="00BE7FD5" w:rsidRDefault="00773F7B" w:rsidP="00773F7B">
            <w:pPr>
              <w:pStyle w:val="T2"/>
              <w:jc w:val="right"/>
              <w:rPr>
                <w:bCs/>
              </w:rPr>
            </w:pPr>
            <w:r w:rsidRPr="00BE7FD5">
              <w:rPr>
                <w:bCs/>
              </w:rPr>
              <w:t>–</w:t>
            </w:r>
          </w:p>
        </w:tc>
        <w:tc>
          <w:tcPr>
            <w:tcW w:w="992" w:type="dxa"/>
          </w:tcPr>
          <w:p w14:paraId="132B7CAA" w14:textId="77777777" w:rsidR="00773F7B" w:rsidRPr="00BD5B9E" w:rsidRDefault="00773F7B" w:rsidP="00773F7B">
            <w:pPr>
              <w:pStyle w:val="T2"/>
              <w:jc w:val="right"/>
              <w:rPr>
                <w:bCs/>
              </w:rPr>
            </w:pPr>
            <w:r w:rsidRPr="00BE7FD5">
              <w:rPr>
                <w:bCs/>
              </w:rPr>
              <w:t>(650.8)</w:t>
            </w:r>
          </w:p>
        </w:tc>
        <w:tc>
          <w:tcPr>
            <w:tcW w:w="850" w:type="dxa"/>
          </w:tcPr>
          <w:p w14:paraId="065A5051" w14:textId="77777777" w:rsidR="00773F7B" w:rsidRPr="00BD5B9E" w:rsidRDefault="00773F7B" w:rsidP="00773F7B">
            <w:pPr>
              <w:pStyle w:val="T2"/>
              <w:jc w:val="right"/>
              <w:rPr>
                <w:bCs/>
              </w:rPr>
            </w:pPr>
            <w:r w:rsidRPr="00BE7FD5">
              <w:rPr>
                <w:bCs/>
              </w:rPr>
              <w:t>–</w:t>
            </w:r>
          </w:p>
        </w:tc>
        <w:tc>
          <w:tcPr>
            <w:tcW w:w="992" w:type="dxa"/>
          </w:tcPr>
          <w:p w14:paraId="51C7DCA3" w14:textId="77777777" w:rsidR="00773F7B" w:rsidRPr="00BD5B9E" w:rsidRDefault="00773F7B" w:rsidP="00773F7B">
            <w:pPr>
              <w:pStyle w:val="T2"/>
              <w:jc w:val="right"/>
              <w:rPr>
                <w:bCs/>
              </w:rPr>
            </w:pPr>
            <w:r w:rsidRPr="00BE7FD5">
              <w:rPr>
                <w:bCs/>
              </w:rPr>
              <w:t>650.8</w:t>
            </w:r>
          </w:p>
        </w:tc>
        <w:tc>
          <w:tcPr>
            <w:tcW w:w="826" w:type="dxa"/>
          </w:tcPr>
          <w:p w14:paraId="7B682F4E" w14:textId="77777777" w:rsidR="00773F7B" w:rsidRPr="00BD5B9E" w:rsidRDefault="00773F7B" w:rsidP="00773F7B">
            <w:pPr>
              <w:pStyle w:val="T2"/>
              <w:jc w:val="right"/>
              <w:rPr>
                <w:bCs/>
              </w:rPr>
            </w:pPr>
            <w:r w:rsidRPr="00BE7FD5">
              <w:rPr>
                <w:bCs/>
              </w:rPr>
              <w:t>–</w:t>
            </w:r>
          </w:p>
        </w:tc>
        <w:tc>
          <w:tcPr>
            <w:tcW w:w="1020" w:type="dxa"/>
          </w:tcPr>
          <w:p w14:paraId="66EBB839" w14:textId="77777777" w:rsidR="00773F7B" w:rsidRPr="00BD5B9E" w:rsidRDefault="00773F7B" w:rsidP="00773F7B">
            <w:pPr>
              <w:pStyle w:val="T2"/>
              <w:jc w:val="right"/>
              <w:rPr>
                <w:bCs/>
              </w:rPr>
            </w:pPr>
            <w:r w:rsidRPr="00BE7FD5">
              <w:rPr>
                <w:bCs/>
              </w:rPr>
              <w:t>–</w:t>
            </w:r>
          </w:p>
        </w:tc>
        <w:tc>
          <w:tcPr>
            <w:tcW w:w="847" w:type="dxa"/>
          </w:tcPr>
          <w:p w14:paraId="7C074A54" w14:textId="77777777" w:rsidR="00773F7B" w:rsidRPr="00BD5B9E" w:rsidRDefault="00773F7B" w:rsidP="00773F7B">
            <w:pPr>
              <w:pStyle w:val="T2"/>
              <w:jc w:val="right"/>
              <w:rPr>
                <w:bCs/>
              </w:rPr>
            </w:pPr>
            <w:r w:rsidRPr="00BE7FD5">
              <w:rPr>
                <w:bCs/>
              </w:rPr>
              <w:t>–</w:t>
            </w:r>
          </w:p>
        </w:tc>
      </w:tr>
      <w:tr w:rsidR="00773F7B" w14:paraId="7ED8A8DB" w14:textId="77777777" w:rsidTr="00B52070">
        <w:trPr>
          <w:jc w:val="center"/>
        </w:trPr>
        <w:tc>
          <w:tcPr>
            <w:tcW w:w="4395" w:type="dxa"/>
          </w:tcPr>
          <w:p w14:paraId="3A468ED4" w14:textId="77777777" w:rsidR="00773F7B" w:rsidRPr="003841B4" w:rsidRDefault="00773F7B" w:rsidP="00773F7B">
            <w:pPr>
              <w:pStyle w:val="T2"/>
              <w:jc w:val="left"/>
            </w:pPr>
            <w:r w:rsidRPr="0096767F">
              <w:rPr>
                <w:bCs/>
              </w:rPr>
              <w:t>Capital Return via tender offer</w:t>
            </w:r>
          </w:p>
        </w:tc>
        <w:tc>
          <w:tcPr>
            <w:tcW w:w="709" w:type="dxa"/>
          </w:tcPr>
          <w:p w14:paraId="3FE22F63" w14:textId="77777777" w:rsidR="00773F7B" w:rsidRPr="00BE7FD5" w:rsidRDefault="00773F7B" w:rsidP="00773F7B">
            <w:pPr>
              <w:pStyle w:val="T2"/>
              <w:jc w:val="right"/>
              <w:rPr>
                <w:bCs/>
              </w:rPr>
            </w:pPr>
            <w:r w:rsidRPr="00BE7FD5">
              <w:rPr>
                <w:bCs/>
              </w:rPr>
              <w:t>(2.6)</w:t>
            </w:r>
          </w:p>
        </w:tc>
        <w:tc>
          <w:tcPr>
            <w:tcW w:w="992" w:type="dxa"/>
          </w:tcPr>
          <w:p w14:paraId="6340B0AB" w14:textId="77777777" w:rsidR="00773F7B" w:rsidRPr="00BD5B9E" w:rsidRDefault="00773F7B" w:rsidP="00773F7B">
            <w:pPr>
              <w:pStyle w:val="T2"/>
              <w:jc w:val="right"/>
              <w:rPr>
                <w:bCs/>
              </w:rPr>
            </w:pPr>
            <w:r w:rsidRPr="00BE7FD5">
              <w:rPr>
                <w:bCs/>
              </w:rPr>
              <w:t>–</w:t>
            </w:r>
          </w:p>
        </w:tc>
        <w:tc>
          <w:tcPr>
            <w:tcW w:w="850" w:type="dxa"/>
          </w:tcPr>
          <w:p w14:paraId="43C689CE" w14:textId="77777777" w:rsidR="00773F7B" w:rsidRPr="00BD5B9E" w:rsidRDefault="00773F7B" w:rsidP="00773F7B">
            <w:pPr>
              <w:pStyle w:val="T2"/>
              <w:jc w:val="right"/>
              <w:rPr>
                <w:bCs/>
              </w:rPr>
            </w:pPr>
            <w:r w:rsidRPr="00BE7FD5">
              <w:rPr>
                <w:bCs/>
              </w:rPr>
              <w:t>2.6</w:t>
            </w:r>
          </w:p>
        </w:tc>
        <w:tc>
          <w:tcPr>
            <w:tcW w:w="992" w:type="dxa"/>
          </w:tcPr>
          <w:p w14:paraId="32A17D14" w14:textId="77777777" w:rsidR="00773F7B" w:rsidRPr="00BD5B9E" w:rsidRDefault="00773F7B" w:rsidP="00773F7B">
            <w:pPr>
              <w:pStyle w:val="T2"/>
              <w:jc w:val="right"/>
              <w:rPr>
                <w:bCs/>
              </w:rPr>
            </w:pPr>
            <w:r w:rsidRPr="00BE7FD5">
              <w:rPr>
                <w:bCs/>
              </w:rPr>
              <w:t>(509.0)</w:t>
            </w:r>
          </w:p>
        </w:tc>
        <w:tc>
          <w:tcPr>
            <w:tcW w:w="826" w:type="dxa"/>
          </w:tcPr>
          <w:p w14:paraId="7848288D" w14:textId="77777777" w:rsidR="00773F7B" w:rsidRPr="00BD5B9E" w:rsidRDefault="00773F7B" w:rsidP="00773F7B">
            <w:pPr>
              <w:pStyle w:val="T2"/>
              <w:jc w:val="right"/>
              <w:rPr>
                <w:bCs/>
              </w:rPr>
            </w:pPr>
            <w:r w:rsidRPr="00BE7FD5">
              <w:rPr>
                <w:bCs/>
              </w:rPr>
              <w:t>(509.0)</w:t>
            </w:r>
          </w:p>
        </w:tc>
        <w:tc>
          <w:tcPr>
            <w:tcW w:w="1020" w:type="dxa"/>
          </w:tcPr>
          <w:p w14:paraId="0348A396" w14:textId="77777777" w:rsidR="00773F7B" w:rsidRPr="00BD5B9E" w:rsidRDefault="00773F7B" w:rsidP="00773F7B">
            <w:pPr>
              <w:pStyle w:val="T2"/>
              <w:jc w:val="right"/>
              <w:rPr>
                <w:bCs/>
              </w:rPr>
            </w:pPr>
            <w:r w:rsidRPr="00BE7FD5">
              <w:rPr>
                <w:bCs/>
              </w:rPr>
              <w:t>–</w:t>
            </w:r>
          </w:p>
        </w:tc>
        <w:tc>
          <w:tcPr>
            <w:tcW w:w="847" w:type="dxa"/>
          </w:tcPr>
          <w:p w14:paraId="14B8566F" w14:textId="77777777" w:rsidR="00773F7B" w:rsidRPr="00BD5B9E" w:rsidRDefault="00773F7B" w:rsidP="00773F7B">
            <w:pPr>
              <w:pStyle w:val="T2"/>
              <w:jc w:val="right"/>
              <w:rPr>
                <w:bCs/>
              </w:rPr>
            </w:pPr>
            <w:r w:rsidRPr="00BE7FD5">
              <w:rPr>
                <w:bCs/>
              </w:rPr>
              <w:t>(509.0)</w:t>
            </w:r>
          </w:p>
        </w:tc>
      </w:tr>
      <w:tr w:rsidR="00773F7B" w14:paraId="766A9393" w14:textId="77777777" w:rsidTr="00B52070">
        <w:trPr>
          <w:jc w:val="center"/>
        </w:trPr>
        <w:tc>
          <w:tcPr>
            <w:tcW w:w="4395" w:type="dxa"/>
            <w:tcBorders>
              <w:bottom w:val="single" w:sz="2" w:space="0" w:color="auto"/>
            </w:tcBorders>
          </w:tcPr>
          <w:p w14:paraId="58D2C3CE" w14:textId="77777777" w:rsidR="00773F7B" w:rsidRPr="00A52C8E" w:rsidRDefault="00773F7B" w:rsidP="00773F7B">
            <w:pPr>
              <w:pStyle w:val="T2"/>
              <w:jc w:val="left"/>
            </w:pPr>
            <w:r w:rsidRPr="0096767F">
              <w:rPr>
                <w:bCs/>
              </w:rPr>
              <w:t>Dividends</w:t>
            </w:r>
          </w:p>
        </w:tc>
        <w:tc>
          <w:tcPr>
            <w:tcW w:w="709" w:type="dxa"/>
            <w:tcBorders>
              <w:bottom w:val="single" w:sz="2" w:space="0" w:color="auto"/>
            </w:tcBorders>
          </w:tcPr>
          <w:p w14:paraId="28AEA58E" w14:textId="77777777" w:rsidR="00773F7B" w:rsidRPr="00BE7FD5" w:rsidRDefault="00773F7B" w:rsidP="00773F7B">
            <w:pPr>
              <w:pStyle w:val="T2"/>
              <w:jc w:val="right"/>
              <w:rPr>
                <w:bCs/>
              </w:rPr>
            </w:pPr>
            <w:r w:rsidRPr="00BE7FD5">
              <w:rPr>
                <w:bCs/>
              </w:rPr>
              <w:t>–</w:t>
            </w:r>
          </w:p>
        </w:tc>
        <w:tc>
          <w:tcPr>
            <w:tcW w:w="992" w:type="dxa"/>
            <w:tcBorders>
              <w:bottom w:val="single" w:sz="2" w:space="0" w:color="auto"/>
            </w:tcBorders>
          </w:tcPr>
          <w:p w14:paraId="4F120BC1" w14:textId="77777777" w:rsidR="00773F7B" w:rsidRPr="00BD5B9E" w:rsidRDefault="00773F7B" w:rsidP="00773F7B">
            <w:pPr>
              <w:pStyle w:val="T2"/>
              <w:jc w:val="right"/>
              <w:rPr>
                <w:bCs/>
              </w:rPr>
            </w:pPr>
            <w:r w:rsidRPr="00BE7FD5">
              <w:rPr>
                <w:bCs/>
              </w:rPr>
              <w:t>–</w:t>
            </w:r>
          </w:p>
        </w:tc>
        <w:tc>
          <w:tcPr>
            <w:tcW w:w="850" w:type="dxa"/>
            <w:tcBorders>
              <w:bottom w:val="single" w:sz="2" w:space="0" w:color="auto"/>
            </w:tcBorders>
          </w:tcPr>
          <w:p w14:paraId="0259DCC9" w14:textId="77777777" w:rsidR="00773F7B" w:rsidRPr="00BD5B9E" w:rsidRDefault="00773F7B" w:rsidP="00773F7B">
            <w:pPr>
              <w:pStyle w:val="T2"/>
              <w:jc w:val="right"/>
              <w:rPr>
                <w:bCs/>
              </w:rPr>
            </w:pPr>
            <w:r w:rsidRPr="00BE7FD5">
              <w:rPr>
                <w:bCs/>
              </w:rPr>
              <w:t>–</w:t>
            </w:r>
          </w:p>
        </w:tc>
        <w:tc>
          <w:tcPr>
            <w:tcW w:w="992" w:type="dxa"/>
            <w:tcBorders>
              <w:bottom w:val="single" w:sz="2" w:space="0" w:color="auto"/>
            </w:tcBorders>
          </w:tcPr>
          <w:p w14:paraId="4C77AD30" w14:textId="77777777" w:rsidR="00773F7B" w:rsidRPr="00BD5B9E" w:rsidRDefault="00773F7B" w:rsidP="00773F7B">
            <w:pPr>
              <w:pStyle w:val="T2"/>
              <w:jc w:val="right"/>
              <w:rPr>
                <w:bCs/>
              </w:rPr>
            </w:pPr>
            <w:r w:rsidRPr="00BE7FD5">
              <w:rPr>
                <w:bCs/>
              </w:rPr>
              <w:t>(23.8)</w:t>
            </w:r>
          </w:p>
        </w:tc>
        <w:tc>
          <w:tcPr>
            <w:tcW w:w="826" w:type="dxa"/>
            <w:tcBorders>
              <w:bottom w:val="single" w:sz="2" w:space="0" w:color="auto"/>
            </w:tcBorders>
          </w:tcPr>
          <w:p w14:paraId="263BDDB0" w14:textId="77777777" w:rsidR="00773F7B" w:rsidRPr="00BD5B9E" w:rsidRDefault="00773F7B" w:rsidP="00773F7B">
            <w:pPr>
              <w:pStyle w:val="T2"/>
              <w:jc w:val="right"/>
              <w:rPr>
                <w:bCs/>
              </w:rPr>
            </w:pPr>
            <w:r w:rsidRPr="00BE7FD5">
              <w:rPr>
                <w:bCs/>
              </w:rPr>
              <w:t>(23.8)</w:t>
            </w:r>
          </w:p>
        </w:tc>
        <w:tc>
          <w:tcPr>
            <w:tcW w:w="1020" w:type="dxa"/>
            <w:tcBorders>
              <w:bottom w:val="single" w:sz="2" w:space="0" w:color="auto"/>
            </w:tcBorders>
          </w:tcPr>
          <w:p w14:paraId="61B46BD9" w14:textId="77777777" w:rsidR="00773F7B" w:rsidRPr="00BD5B9E" w:rsidRDefault="00773F7B" w:rsidP="00773F7B">
            <w:pPr>
              <w:pStyle w:val="T2"/>
              <w:jc w:val="right"/>
              <w:rPr>
                <w:bCs/>
              </w:rPr>
            </w:pPr>
            <w:r w:rsidRPr="00BE7FD5">
              <w:rPr>
                <w:bCs/>
              </w:rPr>
              <w:t>(2.2)</w:t>
            </w:r>
          </w:p>
        </w:tc>
        <w:tc>
          <w:tcPr>
            <w:tcW w:w="847" w:type="dxa"/>
            <w:tcBorders>
              <w:bottom w:val="single" w:sz="2" w:space="0" w:color="auto"/>
            </w:tcBorders>
          </w:tcPr>
          <w:p w14:paraId="619A4589" w14:textId="77777777" w:rsidR="00773F7B" w:rsidRPr="00BD5B9E" w:rsidRDefault="00773F7B" w:rsidP="00773F7B">
            <w:pPr>
              <w:pStyle w:val="T2"/>
              <w:jc w:val="right"/>
              <w:rPr>
                <w:bCs/>
              </w:rPr>
            </w:pPr>
            <w:r w:rsidRPr="00BE7FD5">
              <w:rPr>
                <w:bCs/>
              </w:rPr>
              <w:t>(26.0)</w:t>
            </w:r>
          </w:p>
        </w:tc>
      </w:tr>
      <w:tr w:rsidR="00773F7B" w14:paraId="4D3AB8EF" w14:textId="77777777" w:rsidTr="00B52070">
        <w:trPr>
          <w:jc w:val="center"/>
        </w:trPr>
        <w:tc>
          <w:tcPr>
            <w:tcW w:w="4395" w:type="dxa"/>
            <w:tcBorders>
              <w:top w:val="single" w:sz="2" w:space="0" w:color="auto"/>
              <w:bottom w:val="single" w:sz="8" w:space="0" w:color="auto"/>
            </w:tcBorders>
          </w:tcPr>
          <w:p w14:paraId="71AC6370" w14:textId="77777777" w:rsidR="00773F7B" w:rsidRPr="00B52070" w:rsidRDefault="00773F7B" w:rsidP="00773F7B">
            <w:pPr>
              <w:pStyle w:val="T2"/>
              <w:jc w:val="left"/>
              <w:rPr>
                <w:b/>
              </w:rPr>
            </w:pPr>
            <w:r w:rsidRPr="00B52070">
              <w:rPr>
                <w:b/>
              </w:rPr>
              <w:t>At 29 March 2019</w:t>
            </w:r>
          </w:p>
        </w:tc>
        <w:tc>
          <w:tcPr>
            <w:tcW w:w="709" w:type="dxa"/>
            <w:tcBorders>
              <w:top w:val="single" w:sz="2" w:space="0" w:color="auto"/>
              <w:bottom w:val="single" w:sz="8" w:space="0" w:color="auto"/>
            </w:tcBorders>
          </w:tcPr>
          <w:p w14:paraId="7D6FB565" w14:textId="77777777" w:rsidR="00773F7B" w:rsidRPr="00BE7FD5" w:rsidRDefault="00773F7B" w:rsidP="00773F7B">
            <w:pPr>
              <w:pStyle w:val="T2"/>
              <w:jc w:val="right"/>
              <w:rPr>
                <w:bCs/>
              </w:rPr>
            </w:pPr>
            <w:r w:rsidRPr="00BE7FD5">
              <w:rPr>
                <w:bCs/>
              </w:rPr>
              <w:t>4.5</w:t>
            </w:r>
          </w:p>
        </w:tc>
        <w:tc>
          <w:tcPr>
            <w:tcW w:w="992" w:type="dxa"/>
            <w:tcBorders>
              <w:top w:val="single" w:sz="2" w:space="0" w:color="auto"/>
              <w:bottom w:val="single" w:sz="8" w:space="0" w:color="auto"/>
            </w:tcBorders>
          </w:tcPr>
          <w:p w14:paraId="418EF1AE" w14:textId="77777777" w:rsidR="00773F7B" w:rsidRPr="00BD5B9E" w:rsidRDefault="00773F7B" w:rsidP="00773F7B">
            <w:pPr>
              <w:pStyle w:val="T2"/>
              <w:jc w:val="right"/>
              <w:rPr>
                <w:bCs/>
              </w:rPr>
            </w:pPr>
            <w:r w:rsidRPr="00BE7FD5">
              <w:rPr>
                <w:bCs/>
              </w:rPr>
              <w:t>–</w:t>
            </w:r>
          </w:p>
        </w:tc>
        <w:tc>
          <w:tcPr>
            <w:tcW w:w="850" w:type="dxa"/>
            <w:tcBorders>
              <w:top w:val="single" w:sz="2" w:space="0" w:color="auto"/>
              <w:bottom w:val="single" w:sz="8" w:space="0" w:color="auto"/>
            </w:tcBorders>
          </w:tcPr>
          <w:p w14:paraId="23DA8225" w14:textId="77777777" w:rsidR="00773F7B" w:rsidRPr="00BD5B9E" w:rsidRDefault="00773F7B" w:rsidP="00773F7B">
            <w:pPr>
              <w:pStyle w:val="T2"/>
              <w:jc w:val="right"/>
              <w:rPr>
                <w:bCs/>
              </w:rPr>
            </w:pPr>
            <w:r w:rsidRPr="00BE7FD5">
              <w:rPr>
                <w:bCs/>
              </w:rPr>
              <w:t>114.4</w:t>
            </w:r>
          </w:p>
        </w:tc>
        <w:tc>
          <w:tcPr>
            <w:tcW w:w="992" w:type="dxa"/>
            <w:tcBorders>
              <w:top w:val="single" w:sz="2" w:space="0" w:color="auto"/>
              <w:bottom w:val="single" w:sz="8" w:space="0" w:color="auto"/>
            </w:tcBorders>
          </w:tcPr>
          <w:p w14:paraId="10BF886E" w14:textId="77777777" w:rsidR="00773F7B" w:rsidRPr="00BD5B9E" w:rsidRDefault="00773F7B" w:rsidP="00773F7B">
            <w:pPr>
              <w:pStyle w:val="T2"/>
              <w:jc w:val="right"/>
              <w:rPr>
                <w:bCs/>
              </w:rPr>
            </w:pPr>
            <w:r w:rsidRPr="00BE7FD5">
              <w:rPr>
                <w:bCs/>
              </w:rPr>
              <w:t>147.6</w:t>
            </w:r>
          </w:p>
        </w:tc>
        <w:tc>
          <w:tcPr>
            <w:tcW w:w="826" w:type="dxa"/>
            <w:tcBorders>
              <w:top w:val="single" w:sz="2" w:space="0" w:color="auto"/>
              <w:bottom w:val="single" w:sz="8" w:space="0" w:color="auto"/>
            </w:tcBorders>
          </w:tcPr>
          <w:p w14:paraId="1EE1A646" w14:textId="77777777" w:rsidR="00773F7B" w:rsidRPr="00BD5B9E" w:rsidRDefault="00773F7B" w:rsidP="00773F7B">
            <w:pPr>
              <w:pStyle w:val="T2"/>
              <w:jc w:val="right"/>
              <w:rPr>
                <w:bCs/>
              </w:rPr>
            </w:pPr>
            <w:r w:rsidRPr="00BE7FD5">
              <w:rPr>
                <w:bCs/>
              </w:rPr>
              <w:t>266.5</w:t>
            </w:r>
          </w:p>
        </w:tc>
        <w:tc>
          <w:tcPr>
            <w:tcW w:w="1020" w:type="dxa"/>
            <w:tcBorders>
              <w:top w:val="single" w:sz="2" w:space="0" w:color="auto"/>
              <w:bottom w:val="single" w:sz="8" w:space="0" w:color="auto"/>
            </w:tcBorders>
          </w:tcPr>
          <w:p w14:paraId="51B49BC1" w14:textId="77777777" w:rsidR="00773F7B" w:rsidRPr="00BD5B9E" w:rsidRDefault="00773F7B" w:rsidP="00773F7B">
            <w:pPr>
              <w:pStyle w:val="T2"/>
              <w:jc w:val="right"/>
              <w:rPr>
                <w:bCs/>
              </w:rPr>
            </w:pPr>
            <w:r w:rsidRPr="00BE7FD5">
              <w:rPr>
                <w:bCs/>
              </w:rPr>
              <w:t>5.3</w:t>
            </w:r>
          </w:p>
        </w:tc>
        <w:tc>
          <w:tcPr>
            <w:tcW w:w="847" w:type="dxa"/>
            <w:tcBorders>
              <w:top w:val="single" w:sz="2" w:space="0" w:color="auto"/>
              <w:bottom w:val="single" w:sz="8" w:space="0" w:color="auto"/>
            </w:tcBorders>
          </w:tcPr>
          <w:p w14:paraId="18C80A2A" w14:textId="77777777" w:rsidR="00773F7B" w:rsidRPr="00BD5B9E" w:rsidRDefault="00773F7B" w:rsidP="00773F7B">
            <w:pPr>
              <w:pStyle w:val="T2"/>
              <w:jc w:val="right"/>
              <w:rPr>
                <w:bCs/>
              </w:rPr>
            </w:pPr>
            <w:r w:rsidRPr="00BE7FD5">
              <w:rPr>
                <w:bCs/>
              </w:rPr>
              <w:t>271.8</w:t>
            </w:r>
          </w:p>
        </w:tc>
      </w:tr>
      <w:tr w:rsidR="00773F7B" w14:paraId="0AFBB104" w14:textId="77777777" w:rsidTr="00B52070">
        <w:trPr>
          <w:jc w:val="center"/>
        </w:trPr>
        <w:tc>
          <w:tcPr>
            <w:tcW w:w="4395" w:type="dxa"/>
            <w:tcBorders>
              <w:top w:val="single" w:sz="8" w:space="0" w:color="auto"/>
            </w:tcBorders>
            <w:vAlign w:val="bottom"/>
          </w:tcPr>
          <w:p w14:paraId="60D59432" w14:textId="77777777" w:rsidR="00773F7B" w:rsidRDefault="00773F7B" w:rsidP="00773F7B">
            <w:pPr>
              <w:pStyle w:val="T2"/>
              <w:jc w:val="left"/>
            </w:pPr>
          </w:p>
        </w:tc>
        <w:tc>
          <w:tcPr>
            <w:tcW w:w="709" w:type="dxa"/>
            <w:tcBorders>
              <w:top w:val="single" w:sz="8" w:space="0" w:color="auto"/>
            </w:tcBorders>
          </w:tcPr>
          <w:p w14:paraId="7CA3272A" w14:textId="77777777" w:rsidR="00773F7B" w:rsidRDefault="00773F7B" w:rsidP="00773F7B">
            <w:pPr>
              <w:pStyle w:val="T2"/>
            </w:pPr>
          </w:p>
        </w:tc>
        <w:tc>
          <w:tcPr>
            <w:tcW w:w="992" w:type="dxa"/>
            <w:tcBorders>
              <w:top w:val="single" w:sz="8" w:space="0" w:color="auto"/>
            </w:tcBorders>
          </w:tcPr>
          <w:p w14:paraId="1A2270C5" w14:textId="77777777" w:rsidR="00773F7B" w:rsidRDefault="00773F7B" w:rsidP="00773F7B">
            <w:pPr>
              <w:pStyle w:val="T2"/>
            </w:pPr>
          </w:p>
        </w:tc>
        <w:tc>
          <w:tcPr>
            <w:tcW w:w="850" w:type="dxa"/>
            <w:tcBorders>
              <w:top w:val="single" w:sz="8" w:space="0" w:color="auto"/>
            </w:tcBorders>
          </w:tcPr>
          <w:p w14:paraId="364CE872" w14:textId="77777777" w:rsidR="00773F7B" w:rsidRDefault="00773F7B" w:rsidP="00773F7B">
            <w:pPr>
              <w:pStyle w:val="T2"/>
            </w:pPr>
          </w:p>
        </w:tc>
        <w:tc>
          <w:tcPr>
            <w:tcW w:w="992" w:type="dxa"/>
            <w:tcBorders>
              <w:top w:val="single" w:sz="8" w:space="0" w:color="auto"/>
            </w:tcBorders>
          </w:tcPr>
          <w:p w14:paraId="3F7E1DB4" w14:textId="77777777" w:rsidR="00773F7B" w:rsidRDefault="00773F7B" w:rsidP="00773F7B">
            <w:pPr>
              <w:pStyle w:val="T2"/>
            </w:pPr>
          </w:p>
        </w:tc>
        <w:tc>
          <w:tcPr>
            <w:tcW w:w="826" w:type="dxa"/>
            <w:tcBorders>
              <w:top w:val="single" w:sz="8" w:space="0" w:color="auto"/>
            </w:tcBorders>
          </w:tcPr>
          <w:p w14:paraId="64465662" w14:textId="77777777" w:rsidR="00773F7B" w:rsidRDefault="00773F7B" w:rsidP="00773F7B">
            <w:pPr>
              <w:pStyle w:val="T2"/>
            </w:pPr>
          </w:p>
        </w:tc>
        <w:tc>
          <w:tcPr>
            <w:tcW w:w="1020" w:type="dxa"/>
            <w:tcBorders>
              <w:top w:val="single" w:sz="8" w:space="0" w:color="auto"/>
            </w:tcBorders>
          </w:tcPr>
          <w:p w14:paraId="796CDF31" w14:textId="77777777" w:rsidR="00773F7B" w:rsidRDefault="00773F7B" w:rsidP="00773F7B">
            <w:pPr>
              <w:pStyle w:val="T2"/>
            </w:pPr>
          </w:p>
        </w:tc>
        <w:tc>
          <w:tcPr>
            <w:tcW w:w="847" w:type="dxa"/>
            <w:tcBorders>
              <w:top w:val="single" w:sz="8" w:space="0" w:color="auto"/>
            </w:tcBorders>
          </w:tcPr>
          <w:p w14:paraId="60BB42BA" w14:textId="77777777" w:rsidR="00773F7B" w:rsidRDefault="00773F7B" w:rsidP="00773F7B">
            <w:pPr>
              <w:pStyle w:val="T2"/>
            </w:pPr>
          </w:p>
        </w:tc>
      </w:tr>
    </w:tbl>
    <w:p w14:paraId="74C298F4" w14:textId="77777777" w:rsidR="00773F7B" w:rsidRDefault="00773F7B" w:rsidP="00773F7B">
      <w:pPr>
        <w:tabs>
          <w:tab w:val="left" w:pos="3969"/>
        </w:tabs>
        <w:jc w:val="right"/>
        <w:sectPr w:rsidR="00773F7B" w:rsidSect="005362D7">
          <w:headerReference w:type="default" r:id="rId12"/>
          <w:pgSz w:w="11906" w:h="16838"/>
          <w:pgMar w:top="1440" w:right="1080" w:bottom="1440" w:left="1080" w:header="708" w:footer="708" w:gutter="0"/>
          <w:cols w:space="708"/>
          <w:docGrid w:linePitch="360"/>
        </w:sectPr>
      </w:pPr>
    </w:p>
    <w:p w14:paraId="6872B2D0" w14:textId="77777777" w:rsidR="00773F7B" w:rsidRDefault="00773F7B" w:rsidP="005B3BEE">
      <w:pPr>
        <w:pStyle w:val="SectionH3"/>
      </w:pPr>
      <w:r>
        <w:lastRenderedPageBreak/>
        <w:t>OTHER RESERVES</w:t>
      </w:r>
    </w:p>
    <w:tbl>
      <w:tblPr>
        <w:tblStyle w:val="TableGrid"/>
        <w:tblW w:w="104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907"/>
        <w:gridCol w:w="907"/>
        <w:gridCol w:w="1437"/>
        <w:gridCol w:w="904"/>
        <w:gridCol w:w="1033"/>
        <w:gridCol w:w="907"/>
      </w:tblGrid>
      <w:tr w:rsidR="00834013" w:rsidRPr="00EC0196" w14:paraId="42228461" w14:textId="77777777" w:rsidTr="005B3BEE">
        <w:trPr>
          <w:jc w:val="center"/>
        </w:trPr>
        <w:tc>
          <w:tcPr>
            <w:tcW w:w="4394" w:type="dxa"/>
          </w:tcPr>
          <w:p w14:paraId="1342BE3E" w14:textId="77777777" w:rsidR="00773F7B" w:rsidRPr="00EC0196" w:rsidRDefault="00773F7B" w:rsidP="00773F7B">
            <w:pPr>
              <w:pStyle w:val="T2"/>
              <w:rPr>
                <w:b/>
              </w:rPr>
            </w:pPr>
          </w:p>
        </w:tc>
        <w:tc>
          <w:tcPr>
            <w:tcW w:w="907" w:type="dxa"/>
            <w:vAlign w:val="bottom"/>
          </w:tcPr>
          <w:p w14:paraId="0288FA7D" w14:textId="77777777" w:rsidR="00773F7B" w:rsidRPr="00EC0196" w:rsidRDefault="00773F7B" w:rsidP="00773F7B">
            <w:pPr>
              <w:pStyle w:val="T2"/>
              <w:jc w:val="right"/>
              <w:rPr>
                <w:b/>
              </w:rPr>
            </w:pPr>
            <w:r w:rsidRPr="00EC0196">
              <w:rPr>
                <w:b/>
              </w:rPr>
              <w:t xml:space="preserve">Share </w:t>
            </w:r>
          </w:p>
          <w:p w14:paraId="5BFE3618" w14:textId="77777777" w:rsidR="00773F7B" w:rsidRPr="00EC0196" w:rsidRDefault="00773F7B" w:rsidP="00773F7B">
            <w:pPr>
              <w:pStyle w:val="T2"/>
              <w:jc w:val="right"/>
              <w:rPr>
                <w:b/>
              </w:rPr>
            </w:pPr>
            <w:r w:rsidRPr="00EC0196">
              <w:rPr>
                <w:b/>
              </w:rPr>
              <w:t>options</w:t>
            </w:r>
          </w:p>
        </w:tc>
        <w:tc>
          <w:tcPr>
            <w:tcW w:w="907" w:type="dxa"/>
            <w:vAlign w:val="bottom"/>
          </w:tcPr>
          <w:p w14:paraId="426E28C3" w14:textId="77777777" w:rsidR="00773F7B" w:rsidRPr="00EC0196" w:rsidRDefault="00773F7B" w:rsidP="00773F7B">
            <w:pPr>
              <w:pStyle w:val="T2"/>
              <w:jc w:val="right"/>
              <w:rPr>
                <w:b/>
              </w:rPr>
            </w:pPr>
            <w:r w:rsidRPr="00EC0196">
              <w:rPr>
                <w:b/>
              </w:rPr>
              <w:t xml:space="preserve">Own </w:t>
            </w:r>
          </w:p>
          <w:p w14:paraId="171E9CDB" w14:textId="77777777" w:rsidR="00773F7B" w:rsidRPr="00EC0196" w:rsidRDefault="00773F7B" w:rsidP="00773F7B">
            <w:pPr>
              <w:pStyle w:val="T2"/>
              <w:jc w:val="right"/>
              <w:rPr>
                <w:b/>
              </w:rPr>
            </w:pPr>
            <w:r w:rsidRPr="00EC0196">
              <w:rPr>
                <w:b/>
              </w:rPr>
              <w:t>shares</w:t>
            </w:r>
          </w:p>
        </w:tc>
        <w:tc>
          <w:tcPr>
            <w:tcW w:w="1437" w:type="dxa"/>
            <w:vAlign w:val="bottom"/>
          </w:tcPr>
          <w:p w14:paraId="0C743323" w14:textId="77777777" w:rsidR="00773F7B" w:rsidRPr="00EC0196" w:rsidRDefault="00773F7B" w:rsidP="00773F7B">
            <w:pPr>
              <w:pStyle w:val="T2"/>
              <w:jc w:val="right"/>
              <w:rPr>
                <w:b/>
              </w:rPr>
            </w:pPr>
            <w:proofErr w:type="spellStart"/>
            <w:r w:rsidRPr="00EC0196">
              <w:rPr>
                <w:b/>
              </w:rPr>
              <w:t>Undenominated</w:t>
            </w:r>
            <w:proofErr w:type="spellEnd"/>
            <w:r w:rsidRPr="00EC0196">
              <w:rPr>
                <w:b/>
              </w:rPr>
              <w:t xml:space="preserve"> capital reserve</w:t>
            </w:r>
          </w:p>
        </w:tc>
        <w:tc>
          <w:tcPr>
            <w:tcW w:w="904" w:type="dxa"/>
            <w:vAlign w:val="bottom"/>
          </w:tcPr>
          <w:p w14:paraId="60DA7452" w14:textId="77777777" w:rsidR="00773F7B" w:rsidRPr="00EC0196" w:rsidRDefault="00773F7B" w:rsidP="00773F7B">
            <w:pPr>
              <w:pStyle w:val="T2"/>
              <w:jc w:val="right"/>
              <w:rPr>
                <w:b/>
              </w:rPr>
            </w:pPr>
            <w:r w:rsidRPr="00EC0196">
              <w:rPr>
                <w:b/>
              </w:rPr>
              <w:t>Hedging reserve</w:t>
            </w:r>
          </w:p>
        </w:tc>
        <w:tc>
          <w:tcPr>
            <w:tcW w:w="1033" w:type="dxa"/>
            <w:vAlign w:val="bottom"/>
          </w:tcPr>
          <w:p w14:paraId="37AD46E1" w14:textId="77777777" w:rsidR="00773F7B" w:rsidRPr="00EC0196" w:rsidRDefault="00773F7B" w:rsidP="00773F7B">
            <w:pPr>
              <w:pStyle w:val="T2"/>
              <w:jc w:val="right"/>
              <w:rPr>
                <w:b/>
              </w:rPr>
            </w:pPr>
            <w:r w:rsidRPr="00EC0196">
              <w:rPr>
                <w:b/>
              </w:rPr>
              <w:t>Foreign currency translation reserve</w:t>
            </w:r>
          </w:p>
        </w:tc>
        <w:tc>
          <w:tcPr>
            <w:tcW w:w="907" w:type="dxa"/>
            <w:vAlign w:val="bottom"/>
          </w:tcPr>
          <w:p w14:paraId="0D84FE75" w14:textId="77777777" w:rsidR="00773F7B" w:rsidRPr="00EC0196" w:rsidRDefault="00773F7B" w:rsidP="00773F7B">
            <w:pPr>
              <w:pStyle w:val="T2"/>
              <w:jc w:val="right"/>
              <w:rPr>
                <w:b/>
              </w:rPr>
            </w:pPr>
            <w:r w:rsidRPr="00EC0196">
              <w:rPr>
                <w:b/>
              </w:rPr>
              <w:t>Total</w:t>
            </w:r>
          </w:p>
        </w:tc>
      </w:tr>
      <w:tr w:rsidR="00834013" w:rsidRPr="00C75824" w14:paraId="444A04CF" w14:textId="77777777" w:rsidTr="005B3BEE">
        <w:trPr>
          <w:jc w:val="center"/>
        </w:trPr>
        <w:tc>
          <w:tcPr>
            <w:tcW w:w="4394" w:type="dxa"/>
            <w:tcBorders>
              <w:bottom w:val="single" w:sz="2" w:space="0" w:color="auto"/>
            </w:tcBorders>
          </w:tcPr>
          <w:p w14:paraId="413D47B8" w14:textId="77777777" w:rsidR="00773F7B" w:rsidRPr="00C75824" w:rsidRDefault="00773F7B" w:rsidP="00773F7B">
            <w:pPr>
              <w:pStyle w:val="T2"/>
            </w:pPr>
          </w:p>
        </w:tc>
        <w:tc>
          <w:tcPr>
            <w:tcW w:w="907" w:type="dxa"/>
            <w:tcBorders>
              <w:bottom w:val="single" w:sz="2" w:space="0" w:color="auto"/>
            </w:tcBorders>
            <w:vAlign w:val="bottom"/>
          </w:tcPr>
          <w:p w14:paraId="66F52672" w14:textId="77777777" w:rsidR="00773F7B" w:rsidRPr="00377178" w:rsidRDefault="00773F7B" w:rsidP="00773F7B">
            <w:pPr>
              <w:pStyle w:val="T2"/>
              <w:jc w:val="right"/>
              <w:rPr>
                <w:b/>
              </w:rPr>
            </w:pPr>
            <w:r w:rsidRPr="00377178">
              <w:rPr>
                <w:b/>
              </w:rPr>
              <w:t>£m</w:t>
            </w:r>
          </w:p>
        </w:tc>
        <w:tc>
          <w:tcPr>
            <w:tcW w:w="907" w:type="dxa"/>
            <w:tcBorders>
              <w:bottom w:val="single" w:sz="2" w:space="0" w:color="auto"/>
            </w:tcBorders>
            <w:vAlign w:val="bottom"/>
          </w:tcPr>
          <w:p w14:paraId="65D0E3FD" w14:textId="77777777" w:rsidR="00773F7B" w:rsidRPr="00377178" w:rsidRDefault="00773F7B" w:rsidP="00773F7B">
            <w:pPr>
              <w:pStyle w:val="T2"/>
              <w:jc w:val="right"/>
              <w:rPr>
                <w:b/>
              </w:rPr>
            </w:pPr>
            <w:r w:rsidRPr="00377178">
              <w:rPr>
                <w:b/>
              </w:rPr>
              <w:t>£m</w:t>
            </w:r>
          </w:p>
        </w:tc>
        <w:tc>
          <w:tcPr>
            <w:tcW w:w="1437" w:type="dxa"/>
            <w:tcBorders>
              <w:bottom w:val="single" w:sz="2" w:space="0" w:color="auto"/>
            </w:tcBorders>
            <w:vAlign w:val="bottom"/>
          </w:tcPr>
          <w:p w14:paraId="19C7556D" w14:textId="77777777" w:rsidR="00773F7B" w:rsidRPr="00377178" w:rsidRDefault="00773F7B" w:rsidP="00773F7B">
            <w:pPr>
              <w:pStyle w:val="T2"/>
              <w:jc w:val="right"/>
              <w:rPr>
                <w:b/>
              </w:rPr>
            </w:pPr>
            <w:r w:rsidRPr="00377178">
              <w:rPr>
                <w:b/>
              </w:rPr>
              <w:t>£m</w:t>
            </w:r>
          </w:p>
        </w:tc>
        <w:tc>
          <w:tcPr>
            <w:tcW w:w="904" w:type="dxa"/>
            <w:tcBorders>
              <w:bottom w:val="single" w:sz="2" w:space="0" w:color="auto"/>
            </w:tcBorders>
            <w:vAlign w:val="bottom"/>
          </w:tcPr>
          <w:p w14:paraId="0F24FB63" w14:textId="77777777" w:rsidR="00773F7B" w:rsidRPr="00377178" w:rsidRDefault="00773F7B" w:rsidP="00773F7B">
            <w:pPr>
              <w:pStyle w:val="T2"/>
              <w:jc w:val="right"/>
              <w:rPr>
                <w:b/>
              </w:rPr>
            </w:pPr>
            <w:r w:rsidRPr="00377178">
              <w:rPr>
                <w:b/>
              </w:rPr>
              <w:t>£m</w:t>
            </w:r>
          </w:p>
        </w:tc>
        <w:tc>
          <w:tcPr>
            <w:tcW w:w="1033" w:type="dxa"/>
            <w:tcBorders>
              <w:bottom w:val="single" w:sz="2" w:space="0" w:color="auto"/>
            </w:tcBorders>
            <w:vAlign w:val="bottom"/>
          </w:tcPr>
          <w:p w14:paraId="18CCAEB4" w14:textId="77777777" w:rsidR="00773F7B" w:rsidRPr="00377178" w:rsidRDefault="00773F7B" w:rsidP="00773F7B">
            <w:pPr>
              <w:pStyle w:val="T2"/>
              <w:jc w:val="right"/>
              <w:rPr>
                <w:b/>
              </w:rPr>
            </w:pPr>
            <w:r w:rsidRPr="00377178">
              <w:rPr>
                <w:b/>
              </w:rPr>
              <w:t>£m</w:t>
            </w:r>
          </w:p>
        </w:tc>
        <w:tc>
          <w:tcPr>
            <w:tcW w:w="907" w:type="dxa"/>
            <w:tcBorders>
              <w:bottom w:val="single" w:sz="2" w:space="0" w:color="auto"/>
            </w:tcBorders>
            <w:vAlign w:val="bottom"/>
          </w:tcPr>
          <w:p w14:paraId="7F56E988" w14:textId="77777777" w:rsidR="00773F7B" w:rsidRPr="00377178" w:rsidRDefault="00773F7B" w:rsidP="00773F7B">
            <w:pPr>
              <w:pStyle w:val="T2"/>
              <w:jc w:val="right"/>
              <w:rPr>
                <w:b/>
              </w:rPr>
            </w:pPr>
            <w:r w:rsidRPr="00377178">
              <w:rPr>
                <w:b/>
              </w:rPr>
              <w:t>£m</w:t>
            </w:r>
          </w:p>
        </w:tc>
      </w:tr>
      <w:tr w:rsidR="00834013" w:rsidRPr="00C75824" w14:paraId="08C2AE63" w14:textId="77777777" w:rsidTr="005B3BEE">
        <w:trPr>
          <w:jc w:val="center"/>
        </w:trPr>
        <w:tc>
          <w:tcPr>
            <w:tcW w:w="4394" w:type="dxa"/>
            <w:tcBorders>
              <w:top w:val="single" w:sz="2" w:space="0" w:color="auto"/>
              <w:bottom w:val="single" w:sz="2" w:space="0" w:color="auto"/>
            </w:tcBorders>
            <w:vAlign w:val="bottom"/>
          </w:tcPr>
          <w:p w14:paraId="66A76385" w14:textId="77777777" w:rsidR="00773F7B" w:rsidRPr="008A2EFB" w:rsidRDefault="00773F7B" w:rsidP="00773F7B">
            <w:pPr>
              <w:pStyle w:val="T2"/>
              <w:jc w:val="left"/>
              <w:rPr>
                <w:b/>
              </w:rPr>
            </w:pPr>
            <w:r w:rsidRPr="008A2EFB">
              <w:rPr>
                <w:b/>
              </w:rPr>
              <w:t>At 2</w:t>
            </w:r>
            <w:r>
              <w:rPr>
                <w:b/>
              </w:rPr>
              <w:t>7</w:t>
            </w:r>
            <w:r w:rsidRPr="008A2EFB">
              <w:rPr>
                <w:b/>
              </w:rPr>
              <w:t xml:space="preserve"> September 201</w:t>
            </w:r>
            <w:r>
              <w:rPr>
                <w:b/>
              </w:rPr>
              <w:t>9</w:t>
            </w:r>
          </w:p>
        </w:tc>
        <w:tc>
          <w:tcPr>
            <w:tcW w:w="907" w:type="dxa"/>
            <w:tcBorders>
              <w:top w:val="single" w:sz="2" w:space="0" w:color="auto"/>
              <w:bottom w:val="single" w:sz="2" w:space="0" w:color="auto"/>
            </w:tcBorders>
            <w:vAlign w:val="bottom"/>
          </w:tcPr>
          <w:p w14:paraId="3EA1DBDA" w14:textId="77777777" w:rsidR="00773F7B" w:rsidRPr="003313E6" w:rsidRDefault="00773F7B" w:rsidP="00773F7B">
            <w:pPr>
              <w:pStyle w:val="T2"/>
              <w:jc w:val="right"/>
              <w:rPr>
                <w:b/>
                <w:bCs/>
              </w:rPr>
            </w:pPr>
            <w:r w:rsidRPr="003313E6">
              <w:rPr>
                <w:b/>
                <w:bCs/>
              </w:rPr>
              <w:t>4.8</w:t>
            </w:r>
          </w:p>
        </w:tc>
        <w:tc>
          <w:tcPr>
            <w:tcW w:w="907" w:type="dxa"/>
            <w:tcBorders>
              <w:top w:val="single" w:sz="2" w:space="0" w:color="auto"/>
              <w:bottom w:val="single" w:sz="2" w:space="0" w:color="auto"/>
            </w:tcBorders>
            <w:vAlign w:val="bottom"/>
          </w:tcPr>
          <w:p w14:paraId="627C21AB" w14:textId="77777777" w:rsidR="00773F7B" w:rsidRPr="003313E6" w:rsidRDefault="00773F7B" w:rsidP="00773F7B">
            <w:pPr>
              <w:pStyle w:val="T2"/>
              <w:jc w:val="right"/>
              <w:rPr>
                <w:b/>
                <w:bCs/>
              </w:rPr>
            </w:pPr>
            <w:r w:rsidRPr="003313E6">
              <w:rPr>
                <w:b/>
                <w:bCs/>
              </w:rPr>
              <w:t>(8.2)</w:t>
            </w:r>
          </w:p>
        </w:tc>
        <w:tc>
          <w:tcPr>
            <w:tcW w:w="1437" w:type="dxa"/>
            <w:tcBorders>
              <w:top w:val="single" w:sz="2" w:space="0" w:color="auto"/>
              <w:bottom w:val="single" w:sz="2" w:space="0" w:color="auto"/>
            </w:tcBorders>
            <w:vAlign w:val="bottom"/>
          </w:tcPr>
          <w:p w14:paraId="4F249767" w14:textId="77777777" w:rsidR="00773F7B" w:rsidRPr="003313E6" w:rsidRDefault="00773F7B" w:rsidP="00773F7B">
            <w:pPr>
              <w:pStyle w:val="T2"/>
              <w:jc w:val="right"/>
              <w:rPr>
                <w:b/>
                <w:bCs/>
              </w:rPr>
            </w:pPr>
            <w:r w:rsidRPr="003313E6">
              <w:rPr>
                <w:b/>
                <w:bCs/>
              </w:rPr>
              <w:t>120.4</w:t>
            </w:r>
          </w:p>
        </w:tc>
        <w:tc>
          <w:tcPr>
            <w:tcW w:w="904" w:type="dxa"/>
            <w:tcBorders>
              <w:top w:val="single" w:sz="2" w:space="0" w:color="auto"/>
              <w:bottom w:val="single" w:sz="2" w:space="0" w:color="auto"/>
            </w:tcBorders>
            <w:vAlign w:val="bottom"/>
          </w:tcPr>
          <w:p w14:paraId="49D1350A" w14:textId="77777777" w:rsidR="00773F7B" w:rsidRPr="003313E6" w:rsidRDefault="00773F7B" w:rsidP="00773F7B">
            <w:pPr>
              <w:pStyle w:val="T2"/>
              <w:jc w:val="right"/>
              <w:rPr>
                <w:b/>
                <w:bCs/>
              </w:rPr>
            </w:pPr>
            <w:r w:rsidRPr="003313E6">
              <w:rPr>
                <w:b/>
                <w:bCs/>
              </w:rPr>
              <w:t>(1.0)</w:t>
            </w:r>
          </w:p>
        </w:tc>
        <w:tc>
          <w:tcPr>
            <w:tcW w:w="1033" w:type="dxa"/>
            <w:tcBorders>
              <w:top w:val="single" w:sz="2" w:space="0" w:color="auto"/>
              <w:bottom w:val="single" w:sz="2" w:space="0" w:color="auto"/>
            </w:tcBorders>
            <w:vAlign w:val="bottom"/>
          </w:tcPr>
          <w:p w14:paraId="79ECACAD" w14:textId="77777777" w:rsidR="00773F7B" w:rsidRPr="003313E6" w:rsidRDefault="00773F7B" w:rsidP="00773F7B">
            <w:pPr>
              <w:pStyle w:val="T2"/>
              <w:jc w:val="right"/>
              <w:rPr>
                <w:b/>
                <w:bCs/>
              </w:rPr>
            </w:pPr>
            <w:r w:rsidRPr="003313E6">
              <w:rPr>
                <w:b/>
                <w:bCs/>
              </w:rPr>
              <w:t>0.8</w:t>
            </w:r>
          </w:p>
        </w:tc>
        <w:tc>
          <w:tcPr>
            <w:tcW w:w="907" w:type="dxa"/>
            <w:tcBorders>
              <w:top w:val="single" w:sz="2" w:space="0" w:color="auto"/>
              <w:bottom w:val="single" w:sz="2" w:space="0" w:color="auto"/>
            </w:tcBorders>
            <w:vAlign w:val="bottom"/>
          </w:tcPr>
          <w:p w14:paraId="07A96635" w14:textId="77777777" w:rsidR="00773F7B" w:rsidRPr="003313E6" w:rsidRDefault="00773F7B" w:rsidP="00773F7B">
            <w:pPr>
              <w:pStyle w:val="T2"/>
              <w:jc w:val="right"/>
              <w:rPr>
                <w:b/>
                <w:bCs/>
              </w:rPr>
            </w:pPr>
            <w:r w:rsidRPr="003313E6">
              <w:rPr>
                <w:b/>
                <w:bCs/>
              </w:rPr>
              <w:t>116.8</w:t>
            </w:r>
          </w:p>
        </w:tc>
      </w:tr>
      <w:tr w:rsidR="00834013" w:rsidRPr="00C75824" w14:paraId="0ACFE2B3" w14:textId="77777777" w:rsidTr="005B3BEE">
        <w:trPr>
          <w:jc w:val="center"/>
        </w:trPr>
        <w:tc>
          <w:tcPr>
            <w:tcW w:w="4394" w:type="dxa"/>
            <w:tcBorders>
              <w:top w:val="single" w:sz="2" w:space="0" w:color="auto"/>
            </w:tcBorders>
            <w:vAlign w:val="bottom"/>
          </w:tcPr>
          <w:p w14:paraId="2FA8C91C" w14:textId="77777777" w:rsidR="00773F7B" w:rsidRPr="008A2EFB" w:rsidRDefault="00773F7B" w:rsidP="00773F7B">
            <w:pPr>
              <w:pStyle w:val="T2"/>
              <w:jc w:val="left"/>
              <w:rPr>
                <w:b/>
              </w:rPr>
            </w:pPr>
            <w:r w:rsidRPr="008A2EFB">
              <w:rPr>
                <w:b/>
              </w:rPr>
              <w:t>Items of income and expense taken directly to equity</w:t>
            </w:r>
          </w:p>
        </w:tc>
        <w:tc>
          <w:tcPr>
            <w:tcW w:w="907" w:type="dxa"/>
            <w:tcBorders>
              <w:top w:val="single" w:sz="2" w:space="0" w:color="auto"/>
            </w:tcBorders>
            <w:vAlign w:val="bottom"/>
          </w:tcPr>
          <w:p w14:paraId="7937F309" w14:textId="77777777" w:rsidR="00773F7B" w:rsidRPr="003313E6" w:rsidRDefault="00773F7B" w:rsidP="00773F7B">
            <w:pPr>
              <w:pStyle w:val="T2"/>
              <w:jc w:val="right"/>
              <w:rPr>
                <w:b/>
                <w:bCs/>
              </w:rPr>
            </w:pPr>
          </w:p>
        </w:tc>
        <w:tc>
          <w:tcPr>
            <w:tcW w:w="907" w:type="dxa"/>
            <w:tcBorders>
              <w:top w:val="single" w:sz="2" w:space="0" w:color="auto"/>
            </w:tcBorders>
            <w:vAlign w:val="bottom"/>
          </w:tcPr>
          <w:p w14:paraId="7273A57D" w14:textId="77777777" w:rsidR="00773F7B" w:rsidRPr="003313E6" w:rsidRDefault="00773F7B" w:rsidP="00773F7B">
            <w:pPr>
              <w:pStyle w:val="T2"/>
              <w:jc w:val="right"/>
              <w:rPr>
                <w:b/>
                <w:bCs/>
              </w:rPr>
            </w:pPr>
          </w:p>
        </w:tc>
        <w:tc>
          <w:tcPr>
            <w:tcW w:w="1437" w:type="dxa"/>
            <w:tcBorders>
              <w:top w:val="single" w:sz="2" w:space="0" w:color="auto"/>
            </w:tcBorders>
            <w:vAlign w:val="bottom"/>
          </w:tcPr>
          <w:p w14:paraId="59A0AB1D" w14:textId="77777777" w:rsidR="00773F7B" w:rsidRPr="003313E6" w:rsidRDefault="00773F7B" w:rsidP="00773F7B">
            <w:pPr>
              <w:pStyle w:val="T2"/>
              <w:jc w:val="right"/>
              <w:rPr>
                <w:b/>
                <w:bCs/>
              </w:rPr>
            </w:pPr>
          </w:p>
        </w:tc>
        <w:tc>
          <w:tcPr>
            <w:tcW w:w="904" w:type="dxa"/>
            <w:tcBorders>
              <w:top w:val="single" w:sz="2" w:space="0" w:color="auto"/>
            </w:tcBorders>
            <w:vAlign w:val="bottom"/>
          </w:tcPr>
          <w:p w14:paraId="03D1575F" w14:textId="77777777" w:rsidR="00773F7B" w:rsidRPr="003313E6" w:rsidRDefault="00773F7B" w:rsidP="00773F7B">
            <w:pPr>
              <w:pStyle w:val="T2"/>
              <w:jc w:val="right"/>
              <w:rPr>
                <w:b/>
                <w:bCs/>
              </w:rPr>
            </w:pPr>
          </w:p>
        </w:tc>
        <w:tc>
          <w:tcPr>
            <w:tcW w:w="1033" w:type="dxa"/>
            <w:tcBorders>
              <w:top w:val="single" w:sz="2" w:space="0" w:color="auto"/>
            </w:tcBorders>
            <w:vAlign w:val="bottom"/>
          </w:tcPr>
          <w:p w14:paraId="11119734" w14:textId="77777777" w:rsidR="00773F7B" w:rsidRPr="003313E6" w:rsidRDefault="00773F7B" w:rsidP="00773F7B">
            <w:pPr>
              <w:pStyle w:val="T2"/>
              <w:jc w:val="right"/>
              <w:rPr>
                <w:b/>
                <w:bCs/>
              </w:rPr>
            </w:pPr>
          </w:p>
        </w:tc>
        <w:tc>
          <w:tcPr>
            <w:tcW w:w="907" w:type="dxa"/>
            <w:tcBorders>
              <w:top w:val="single" w:sz="2" w:space="0" w:color="auto"/>
            </w:tcBorders>
            <w:vAlign w:val="bottom"/>
          </w:tcPr>
          <w:p w14:paraId="6AE26880" w14:textId="77777777" w:rsidR="00773F7B" w:rsidRPr="003313E6" w:rsidRDefault="00773F7B" w:rsidP="00773F7B">
            <w:pPr>
              <w:pStyle w:val="T2"/>
              <w:jc w:val="right"/>
              <w:rPr>
                <w:b/>
                <w:bCs/>
              </w:rPr>
            </w:pPr>
          </w:p>
        </w:tc>
      </w:tr>
      <w:tr w:rsidR="00834013" w:rsidRPr="00C75824" w14:paraId="6150D6D8" w14:textId="77777777" w:rsidTr="005B3BEE">
        <w:trPr>
          <w:jc w:val="center"/>
        </w:trPr>
        <w:tc>
          <w:tcPr>
            <w:tcW w:w="4394" w:type="dxa"/>
            <w:vAlign w:val="bottom"/>
          </w:tcPr>
          <w:p w14:paraId="6438AB97" w14:textId="77777777" w:rsidR="00773F7B" w:rsidRPr="008A2EFB" w:rsidRDefault="00773F7B" w:rsidP="00773F7B">
            <w:pPr>
              <w:pStyle w:val="T2"/>
              <w:jc w:val="left"/>
            </w:pPr>
            <w:r w:rsidRPr="008A2EFB">
              <w:t>Currency translation adjustment</w:t>
            </w:r>
          </w:p>
        </w:tc>
        <w:tc>
          <w:tcPr>
            <w:tcW w:w="907" w:type="dxa"/>
            <w:vAlign w:val="bottom"/>
          </w:tcPr>
          <w:p w14:paraId="6D1BB364" w14:textId="77777777" w:rsidR="00773F7B" w:rsidRPr="003313E6" w:rsidRDefault="00773F7B" w:rsidP="00773F7B">
            <w:pPr>
              <w:pStyle w:val="T2"/>
              <w:jc w:val="right"/>
              <w:rPr>
                <w:b/>
                <w:bCs/>
              </w:rPr>
            </w:pPr>
            <w:r>
              <w:rPr>
                <w:b/>
                <w:bCs/>
              </w:rPr>
              <w:t>–</w:t>
            </w:r>
          </w:p>
        </w:tc>
        <w:tc>
          <w:tcPr>
            <w:tcW w:w="907" w:type="dxa"/>
            <w:vAlign w:val="bottom"/>
          </w:tcPr>
          <w:p w14:paraId="5ABE06FA" w14:textId="77777777" w:rsidR="00773F7B" w:rsidRPr="003313E6" w:rsidRDefault="00773F7B" w:rsidP="00773F7B">
            <w:pPr>
              <w:pStyle w:val="T2"/>
              <w:jc w:val="right"/>
              <w:rPr>
                <w:b/>
                <w:bCs/>
              </w:rPr>
            </w:pPr>
            <w:r>
              <w:rPr>
                <w:b/>
                <w:bCs/>
              </w:rPr>
              <w:t>–</w:t>
            </w:r>
          </w:p>
        </w:tc>
        <w:tc>
          <w:tcPr>
            <w:tcW w:w="1437" w:type="dxa"/>
            <w:vAlign w:val="bottom"/>
          </w:tcPr>
          <w:p w14:paraId="471E8434" w14:textId="77777777" w:rsidR="00773F7B" w:rsidRPr="003313E6" w:rsidRDefault="00773F7B" w:rsidP="00773F7B">
            <w:pPr>
              <w:pStyle w:val="T2"/>
              <w:jc w:val="right"/>
              <w:rPr>
                <w:b/>
                <w:bCs/>
              </w:rPr>
            </w:pPr>
            <w:r>
              <w:rPr>
                <w:b/>
                <w:bCs/>
              </w:rPr>
              <w:t>–</w:t>
            </w:r>
          </w:p>
        </w:tc>
        <w:tc>
          <w:tcPr>
            <w:tcW w:w="904" w:type="dxa"/>
            <w:vAlign w:val="bottom"/>
          </w:tcPr>
          <w:p w14:paraId="78C2A17E" w14:textId="77777777" w:rsidR="00773F7B" w:rsidRPr="003313E6" w:rsidRDefault="00773F7B" w:rsidP="00773F7B">
            <w:pPr>
              <w:pStyle w:val="T2"/>
              <w:jc w:val="right"/>
              <w:rPr>
                <w:b/>
                <w:bCs/>
              </w:rPr>
            </w:pPr>
            <w:r>
              <w:rPr>
                <w:b/>
                <w:bCs/>
              </w:rPr>
              <w:t>–</w:t>
            </w:r>
          </w:p>
        </w:tc>
        <w:tc>
          <w:tcPr>
            <w:tcW w:w="1033" w:type="dxa"/>
            <w:vAlign w:val="bottom"/>
          </w:tcPr>
          <w:p w14:paraId="5DBA6079" w14:textId="77777777" w:rsidR="00773F7B" w:rsidRPr="003313E6" w:rsidRDefault="00773F7B" w:rsidP="00773F7B">
            <w:pPr>
              <w:pStyle w:val="T2"/>
              <w:jc w:val="right"/>
              <w:rPr>
                <w:b/>
                <w:bCs/>
              </w:rPr>
            </w:pPr>
            <w:r>
              <w:rPr>
                <w:b/>
                <w:bCs/>
              </w:rPr>
              <w:t>1.0</w:t>
            </w:r>
          </w:p>
        </w:tc>
        <w:tc>
          <w:tcPr>
            <w:tcW w:w="907" w:type="dxa"/>
            <w:vAlign w:val="bottom"/>
          </w:tcPr>
          <w:p w14:paraId="5213EBFB" w14:textId="77777777" w:rsidR="00773F7B" w:rsidRPr="003313E6" w:rsidRDefault="00773F7B" w:rsidP="00773F7B">
            <w:pPr>
              <w:pStyle w:val="T2"/>
              <w:jc w:val="right"/>
              <w:rPr>
                <w:b/>
                <w:bCs/>
              </w:rPr>
            </w:pPr>
            <w:r>
              <w:rPr>
                <w:b/>
                <w:bCs/>
              </w:rPr>
              <w:t>1.0</w:t>
            </w:r>
          </w:p>
        </w:tc>
      </w:tr>
      <w:tr w:rsidR="00834013" w:rsidRPr="00C75824" w14:paraId="0B2E0538" w14:textId="77777777" w:rsidTr="005B3BEE">
        <w:trPr>
          <w:jc w:val="center"/>
        </w:trPr>
        <w:tc>
          <w:tcPr>
            <w:tcW w:w="4394" w:type="dxa"/>
            <w:vAlign w:val="bottom"/>
          </w:tcPr>
          <w:p w14:paraId="754F146D" w14:textId="77777777" w:rsidR="00773F7B" w:rsidRPr="008A2EFB" w:rsidRDefault="00773F7B" w:rsidP="00773F7B">
            <w:pPr>
              <w:pStyle w:val="T2"/>
              <w:jc w:val="left"/>
            </w:pPr>
            <w:r w:rsidRPr="008A2EFB">
              <w:t>Cash flow hedge fair value movement taken to equity</w:t>
            </w:r>
          </w:p>
        </w:tc>
        <w:tc>
          <w:tcPr>
            <w:tcW w:w="907" w:type="dxa"/>
            <w:vAlign w:val="bottom"/>
          </w:tcPr>
          <w:p w14:paraId="75CF9261" w14:textId="77777777" w:rsidR="00773F7B" w:rsidRPr="003313E6" w:rsidRDefault="00773F7B" w:rsidP="00773F7B">
            <w:pPr>
              <w:pStyle w:val="T2"/>
              <w:jc w:val="right"/>
              <w:rPr>
                <w:b/>
                <w:bCs/>
              </w:rPr>
            </w:pPr>
            <w:r>
              <w:rPr>
                <w:b/>
                <w:bCs/>
              </w:rPr>
              <w:t>–</w:t>
            </w:r>
          </w:p>
        </w:tc>
        <w:tc>
          <w:tcPr>
            <w:tcW w:w="907" w:type="dxa"/>
            <w:vAlign w:val="bottom"/>
          </w:tcPr>
          <w:p w14:paraId="372F8BF3" w14:textId="77777777" w:rsidR="00773F7B" w:rsidRPr="003313E6" w:rsidRDefault="00773F7B" w:rsidP="00773F7B">
            <w:pPr>
              <w:pStyle w:val="T2"/>
              <w:jc w:val="right"/>
              <w:rPr>
                <w:b/>
                <w:bCs/>
              </w:rPr>
            </w:pPr>
            <w:r>
              <w:rPr>
                <w:b/>
                <w:bCs/>
              </w:rPr>
              <w:t>–</w:t>
            </w:r>
          </w:p>
        </w:tc>
        <w:tc>
          <w:tcPr>
            <w:tcW w:w="1437" w:type="dxa"/>
            <w:vAlign w:val="bottom"/>
          </w:tcPr>
          <w:p w14:paraId="3618B4BB" w14:textId="77777777" w:rsidR="00773F7B" w:rsidRPr="003313E6" w:rsidRDefault="00773F7B" w:rsidP="00773F7B">
            <w:pPr>
              <w:pStyle w:val="T2"/>
              <w:jc w:val="right"/>
              <w:rPr>
                <w:b/>
                <w:bCs/>
              </w:rPr>
            </w:pPr>
            <w:r>
              <w:rPr>
                <w:b/>
                <w:bCs/>
              </w:rPr>
              <w:t>–</w:t>
            </w:r>
          </w:p>
        </w:tc>
        <w:tc>
          <w:tcPr>
            <w:tcW w:w="904" w:type="dxa"/>
            <w:vAlign w:val="bottom"/>
          </w:tcPr>
          <w:p w14:paraId="6CDA4066" w14:textId="77777777" w:rsidR="00773F7B" w:rsidRPr="003313E6" w:rsidRDefault="00773F7B" w:rsidP="00773F7B">
            <w:pPr>
              <w:pStyle w:val="T2"/>
              <w:jc w:val="right"/>
              <w:rPr>
                <w:b/>
                <w:bCs/>
              </w:rPr>
            </w:pPr>
            <w:r w:rsidRPr="003313E6">
              <w:rPr>
                <w:b/>
                <w:bCs/>
              </w:rPr>
              <w:t>2.</w:t>
            </w:r>
            <w:r>
              <w:rPr>
                <w:b/>
                <w:bCs/>
              </w:rPr>
              <w:t>4</w:t>
            </w:r>
          </w:p>
        </w:tc>
        <w:tc>
          <w:tcPr>
            <w:tcW w:w="1033" w:type="dxa"/>
            <w:vAlign w:val="bottom"/>
          </w:tcPr>
          <w:p w14:paraId="0BE57A6D" w14:textId="77777777" w:rsidR="00773F7B" w:rsidRPr="003313E6" w:rsidRDefault="00773F7B" w:rsidP="00773F7B">
            <w:pPr>
              <w:pStyle w:val="T2"/>
              <w:jc w:val="right"/>
              <w:rPr>
                <w:b/>
                <w:bCs/>
              </w:rPr>
            </w:pPr>
            <w:r>
              <w:rPr>
                <w:b/>
                <w:bCs/>
              </w:rPr>
              <w:t>–</w:t>
            </w:r>
          </w:p>
        </w:tc>
        <w:tc>
          <w:tcPr>
            <w:tcW w:w="907" w:type="dxa"/>
            <w:vAlign w:val="bottom"/>
          </w:tcPr>
          <w:p w14:paraId="7D965454" w14:textId="77777777" w:rsidR="00773F7B" w:rsidRPr="003313E6" w:rsidRDefault="00773F7B" w:rsidP="00773F7B">
            <w:pPr>
              <w:pStyle w:val="T2"/>
              <w:jc w:val="right"/>
              <w:rPr>
                <w:b/>
                <w:bCs/>
              </w:rPr>
            </w:pPr>
            <w:r w:rsidRPr="003313E6">
              <w:rPr>
                <w:b/>
                <w:bCs/>
              </w:rPr>
              <w:t>2.</w:t>
            </w:r>
            <w:r>
              <w:rPr>
                <w:b/>
                <w:bCs/>
              </w:rPr>
              <w:t>4</w:t>
            </w:r>
          </w:p>
        </w:tc>
      </w:tr>
      <w:tr w:rsidR="00834013" w:rsidRPr="00C75824" w14:paraId="2F33B7FB" w14:textId="77777777" w:rsidTr="005B3BEE">
        <w:trPr>
          <w:jc w:val="center"/>
        </w:trPr>
        <w:tc>
          <w:tcPr>
            <w:tcW w:w="4394" w:type="dxa"/>
            <w:tcBorders>
              <w:bottom w:val="single" w:sz="2" w:space="0" w:color="auto"/>
            </w:tcBorders>
            <w:vAlign w:val="bottom"/>
          </w:tcPr>
          <w:p w14:paraId="7F8ADBA1" w14:textId="77777777" w:rsidR="00773F7B" w:rsidRPr="008A2EFB" w:rsidRDefault="00773F7B" w:rsidP="00773F7B">
            <w:pPr>
              <w:pStyle w:val="T2"/>
              <w:jc w:val="left"/>
            </w:pPr>
            <w:r w:rsidRPr="008A2EFB">
              <w:t>Cash flow hedge transferred to Income Statement</w:t>
            </w:r>
          </w:p>
        </w:tc>
        <w:tc>
          <w:tcPr>
            <w:tcW w:w="907" w:type="dxa"/>
            <w:tcBorders>
              <w:bottom w:val="single" w:sz="2" w:space="0" w:color="auto"/>
            </w:tcBorders>
            <w:vAlign w:val="bottom"/>
          </w:tcPr>
          <w:p w14:paraId="0D18A8BA" w14:textId="77777777" w:rsidR="00773F7B" w:rsidRPr="003313E6" w:rsidRDefault="00773F7B" w:rsidP="00773F7B">
            <w:pPr>
              <w:pStyle w:val="T2"/>
              <w:jc w:val="right"/>
              <w:rPr>
                <w:b/>
                <w:bCs/>
              </w:rPr>
            </w:pPr>
            <w:r>
              <w:rPr>
                <w:b/>
                <w:bCs/>
              </w:rPr>
              <w:t>–</w:t>
            </w:r>
          </w:p>
        </w:tc>
        <w:tc>
          <w:tcPr>
            <w:tcW w:w="907" w:type="dxa"/>
            <w:tcBorders>
              <w:bottom w:val="single" w:sz="2" w:space="0" w:color="auto"/>
            </w:tcBorders>
            <w:vAlign w:val="bottom"/>
          </w:tcPr>
          <w:p w14:paraId="060D9727" w14:textId="77777777" w:rsidR="00773F7B" w:rsidRPr="003313E6" w:rsidRDefault="00773F7B" w:rsidP="00773F7B">
            <w:pPr>
              <w:pStyle w:val="T2"/>
              <w:jc w:val="right"/>
              <w:rPr>
                <w:b/>
                <w:bCs/>
              </w:rPr>
            </w:pPr>
            <w:r>
              <w:rPr>
                <w:b/>
                <w:bCs/>
              </w:rPr>
              <w:t>–</w:t>
            </w:r>
          </w:p>
        </w:tc>
        <w:tc>
          <w:tcPr>
            <w:tcW w:w="1437" w:type="dxa"/>
            <w:tcBorders>
              <w:bottom w:val="single" w:sz="2" w:space="0" w:color="auto"/>
            </w:tcBorders>
            <w:vAlign w:val="bottom"/>
          </w:tcPr>
          <w:p w14:paraId="526C73C1" w14:textId="77777777" w:rsidR="00773F7B" w:rsidRPr="003313E6" w:rsidRDefault="00773F7B" w:rsidP="00773F7B">
            <w:pPr>
              <w:pStyle w:val="T2"/>
              <w:jc w:val="right"/>
              <w:rPr>
                <w:b/>
                <w:bCs/>
              </w:rPr>
            </w:pPr>
            <w:r>
              <w:rPr>
                <w:b/>
                <w:bCs/>
              </w:rPr>
              <w:t>–</w:t>
            </w:r>
          </w:p>
        </w:tc>
        <w:tc>
          <w:tcPr>
            <w:tcW w:w="904" w:type="dxa"/>
            <w:tcBorders>
              <w:bottom w:val="single" w:sz="2" w:space="0" w:color="auto"/>
            </w:tcBorders>
            <w:vAlign w:val="bottom"/>
          </w:tcPr>
          <w:p w14:paraId="25A1A2FC" w14:textId="77777777" w:rsidR="00773F7B" w:rsidRPr="003313E6" w:rsidRDefault="00773F7B" w:rsidP="00773F7B">
            <w:pPr>
              <w:pStyle w:val="T2"/>
              <w:jc w:val="right"/>
              <w:rPr>
                <w:b/>
                <w:bCs/>
              </w:rPr>
            </w:pPr>
            <w:r w:rsidRPr="003313E6">
              <w:rPr>
                <w:b/>
                <w:bCs/>
              </w:rPr>
              <w:t>0.1</w:t>
            </w:r>
          </w:p>
        </w:tc>
        <w:tc>
          <w:tcPr>
            <w:tcW w:w="1033" w:type="dxa"/>
            <w:tcBorders>
              <w:bottom w:val="single" w:sz="2" w:space="0" w:color="auto"/>
            </w:tcBorders>
            <w:vAlign w:val="bottom"/>
          </w:tcPr>
          <w:p w14:paraId="44F6584A" w14:textId="77777777" w:rsidR="00773F7B" w:rsidRPr="003313E6" w:rsidRDefault="00773F7B" w:rsidP="00773F7B">
            <w:pPr>
              <w:pStyle w:val="T2"/>
              <w:jc w:val="right"/>
              <w:rPr>
                <w:b/>
                <w:bCs/>
              </w:rPr>
            </w:pPr>
            <w:r>
              <w:rPr>
                <w:b/>
                <w:bCs/>
              </w:rPr>
              <w:t>–</w:t>
            </w:r>
          </w:p>
        </w:tc>
        <w:tc>
          <w:tcPr>
            <w:tcW w:w="907" w:type="dxa"/>
            <w:tcBorders>
              <w:bottom w:val="single" w:sz="2" w:space="0" w:color="auto"/>
            </w:tcBorders>
            <w:vAlign w:val="bottom"/>
          </w:tcPr>
          <w:p w14:paraId="39A5F84F" w14:textId="77777777" w:rsidR="00773F7B" w:rsidRPr="003313E6" w:rsidRDefault="00773F7B" w:rsidP="00773F7B">
            <w:pPr>
              <w:pStyle w:val="T2"/>
              <w:jc w:val="right"/>
              <w:rPr>
                <w:b/>
                <w:bCs/>
              </w:rPr>
            </w:pPr>
            <w:r w:rsidRPr="003313E6">
              <w:rPr>
                <w:b/>
                <w:bCs/>
              </w:rPr>
              <w:t>0.</w:t>
            </w:r>
            <w:r>
              <w:rPr>
                <w:b/>
                <w:bCs/>
              </w:rPr>
              <w:t>1</w:t>
            </w:r>
          </w:p>
        </w:tc>
      </w:tr>
      <w:tr w:rsidR="00834013" w:rsidRPr="00C75824" w14:paraId="3497F1E5" w14:textId="77777777" w:rsidTr="005B3BEE">
        <w:trPr>
          <w:jc w:val="center"/>
        </w:trPr>
        <w:tc>
          <w:tcPr>
            <w:tcW w:w="4394" w:type="dxa"/>
            <w:tcBorders>
              <w:top w:val="single" w:sz="2" w:space="0" w:color="auto"/>
              <w:bottom w:val="single" w:sz="2" w:space="0" w:color="auto"/>
            </w:tcBorders>
            <w:vAlign w:val="bottom"/>
          </w:tcPr>
          <w:p w14:paraId="6E25E462" w14:textId="77777777" w:rsidR="00773F7B" w:rsidRPr="008A2EFB" w:rsidRDefault="00773F7B" w:rsidP="00773F7B">
            <w:pPr>
              <w:pStyle w:val="T2"/>
              <w:jc w:val="left"/>
              <w:rPr>
                <w:b/>
              </w:rPr>
            </w:pPr>
            <w:r w:rsidRPr="008A2EFB">
              <w:rPr>
                <w:b/>
              </w:rPr>
              <w:t>Total recognised income and expense for the financial period</w:t>
            </w:r>
          </w:p>
        </w:tc>
        <w:tc>
          <w:tcPr>
            <w:tcW w:w="907" w:type="dxa"/>
            <w:tcBorders>
              <w:top w:val="single" w:sz="2" w:space="0" w:color="auto"/>
              <w:bottom w:val="single" w:sz="2" w:space="0" w:color="auto"/>
            </w:tcBorders>
            <w:vAlign w:val="bottom"/>
          </w:tcPr>
          <w:p w14:paraId="3EB77964" w14:textId="77777777" w:rsidR="00773F7B" w:rsidRPr="003313E6" w:rsidRDefault="00773F7B" w:rsidP="00773F7B">
            <w:pPr>
              <w:pStyle w:val="T2"/>
              <w:jc w:val="right"/>
              <w:rPr>
                <w:rFonts w:ascii="Calibri" w:hAnsi="Calibri" w:cs="Calibri"/>
                <w:b/>
                <w:bCs/>
              </w:rPr>
            </w:pPr>
            <w:r>
              <w:rPr>
                <w:b/>
                <w:bCs/>
              </w:rPr>
              <w:t>–</w:t>
            </w:r>
          </w:p>
        </w:tc>
        <w:tc>
          <w:tcPr>
            <w:tcW w:w="907" w:type="dxa"/>
            <w:tcBorders>
              <w:top w:val="single" w:sz="2" w:space="0" w:color="auto"/>
              <w:bottom w:val="single" w:sz="2" w:space="0" w:color="auto"/>
            </w:tcBorders>
            <w:vAlign w:val="bottom"/>
          </w:tcPr>
          <w:p w14:paraId="1FB8B97D" w14:textId="77777777" w:rsidR="00773F7B" w:rsidRPr="003313E6" w:rsidRDefault="00773F7B" w:rsidP="00773F7B">
            <w:pPr>
              <w:pStyle w:val="T2"/>
              <w:jc w:val="right"/>
              <w:rPr>
                <w:rFonts w:ascii="Calibri" w:hAnsi="Calibri" w:cs="Calibri"/>
                <w:b/>
                <w:bCs/>
              </w:rPr>
            </w:pPr>
            <w:r>
              <w:rPr>
                <w:b/>
                <w:bCs/>
              </w:rPr>
              <w:t>–</w:t>
            </w:r>
          </w:p>
        </w:tc>
        <w:tc>
          <w:tcPr>
            <w:tcW w:w="1437" w:type="dxa"/>
            <w:tcBorders>
              <w:top w:val="single" w:sz="2" w:space="0" w:color="auto"/>
              <w:bottom w:val="single" w:sz="2" w:space="0" w:color="auto"/>
            </w:tcBorders>
            <w:vAlign w:val="bottom"/>
          </w:tcPr>
          <w:p w14:paraId="0CB0A0D1" w14:textId="77777777" w:rsidR="00773F7B" w:rsidRPr="003313E6" w:rsidRDefault="00773F7B" w:rsidP="00773F7B">
            <w:pPr>
              <w:pStyle w:val="T2"/>
              <w:jc w:val="right"/>
              <w:rPr>
                <w:rFonts w:ascii="Calibri" w:hAnsi="Calibri" w:cs="Calibri"/>
                <w:b/>
                <w:bCs/>
              </w:rPr>
            </w:pPr>
            <w:r>
              <w:rPr>
                <w:b/>
                <w:bCs/>
              </w:rPr>
              <w:t>–</w:t>
            </w:r>
          </w:p>
        </w:tc>
        <w:tc>
          <w:tcPr>
            <w:tcW w:w="904" w:type="dxa"/>
            <w:tcBorders>
              <w:top w:val="single" w:sz="2" w:space="0" w:color="auto"/>
              <w:bottom w:val="single" w:sz="2" w:space="0" w:color="auto"/>
            </w:tcBorders>
            <w:vAlign w:val="bottom"/>
          </w:tcPr>
          <w:p w14:paraId="6F163270" w14:textId="77777777" w:rsidR="00773F7B" w:rsidRPr="003313E6" w:rsidRDefault="00773F7B" w:rsidP="00773F7B">
            <w:pPr>
              <w:pStyle w:val="T2"/>
              <w:jc w:val="right"/>
              <w:rPr>
                <w:rFonts w:ascii="Calibri" w:hAnsi="Calibri" w:cs="Calibri"/>
                <w:b/>
                <w:bCs/>
              </w:rPr>
            </w:pPr>
            <w:r>
              <w:rPr>
                <w:b/>
                <w:bCs/>
              </w:rPr>
              <w:t>2</w:t>
            </w:r>
            <w:r w:rsidRPr="003313E6">
              <w:rPr>
                <w:b/>
                <w:bCs/>
              </w:rPr>
              <w:t>.5</w:t>
            </w:r>
          </w:p>
        </w:tc>
        <w:tc>
          <w:tcPr>
            <w:tcW w:w="1033" w:type="dxa"/>
            <w:tcBorders>
              <w:top w:val="single" w:sz="2" w:space="0" w:color="auto"/>
              <w:bottom w:val="single" w:sz="2" w:space="0" w:color="auto"/>
            </w:tcBorders>
            <w:vAlign w:val="bottom"/>
          </w:tcPr>
          <w:p w14:paraId="4199DB96" w14:textId="77777777" w:rsidR="00773F7B" w:rsidRPr="003313E6" w:rsidRDefault="00773F7B" w:rsidP="00773F7B">
            <w:pPr>
              <w:pStyle w:val="T2"/>
              <w:jc w:val="right"/>
              <w:rPr>
                <w:rFonts w:ascii="Calibri" w:hAnsi="Calibri" w:cs="Calibri"/>
                <w:b/>
                <w:bCs/>
              </w:rPr>
            </w:pPr>
            <w:r>
              <w:rPr>
                <w:b/>
                <w:bCs/>
              </w:rPr>
              <w:t>1.0</w:t>
            </w:r>
          </w:p>
        </w:tc>
        <w:tc>
          <w:tcPr>
            <w:tcW w:w="907" w:type="dxa"/>
            <w:tcBorders>
              <w:top w:val="single" w:sz="2" w:space="0" w:color="auto"/>
              <w:bottom w:val="single" w:sz="2" w:space="0" w:color="auto"/>
            </w:tcBorders>
            <w:vAlign w:val="bottom"/>
          </w:tcPr>
          <w:p w14:paraId="4689EEB8" w14:textId="77777777" w:rsidR="00773F7B" w:rsidRPr="003313E6" w:rsidRDefault="00773F7B" w:rsidP="00773F7B">
            <w:pPr>
              <w:pStyle w:val="T2"/>
              <w:jc w:val="right"/>
              <w:rPr>
                <w:rFonts w:ascii="Calibri" w:hAnsi="Calibri" w:cs="Calibri"/>
                <w:b/>
                <w:bCs/>
              </w:rPr>
            </w:pPr>
            <w:r w:rsidRPr="003313E6">
              <w:rPr>
                <w:b/>
                <w:bCs/>
              </w:rPr>
              <w:t>3.</w:t>
            </w:r>
            <w:r>
              <w:rPr>
                <w:b/>
                <w:bCs/>
              </w:rPr>
              <w:t>5</w:t>
            </w:r>
          </w:p>
        </w:tc>
      </w:tr>
      <w:tr w:rsidR="00834013" w:rsidRPr="00C75824" w14:paraId="7A553570" w14:textId="77777777" w:rsidTr="005B3BEE">
        <w:trPr>
          <w:jc w:val="center"/>
        </w:trPr>
        <w:tc>
          <w:tcPr>
            <w:tcW w:w="4394" w:type="dxa"/>
            <w:tcBorders>
              <w:top w:val="single" w:sz="2" w:space="0" w:color="auto"/>
            </w:tcBorders>
            <w:vAlign w:val="bottom"/>
          </w:tcPr>
          <w:p w14:paraId="4427AAFE" w14:textId="77777777" w:rsidR="00773F7B" w:rsidRPr="008A2EFB" w:rsidRDefault="00773F7B" w:rsidP="00773F7B">
            <w:pPr>
              <w:pStyle w:val="T2"/>
              <w:jc w:val="left"/>
            </w:pPr>
            <w:r w:rsidRPr="008A2EFB">
              <w:t>Employee share</w:t>
            </w:r>
            <w:r>
              <w:t>–</w:t>
            </w:r>
            <w:r w:rsidRPr="008A2EFB">
              <w:t>based payment expense</w:t>
            </w:r>
          </w:p>
        </w:tc>
        <w:tc>
          <w:tcPr>
            <w:tcW w:w="907" w:type="dxa"/>
            <w:tcBorders>
              <w:top w:val="single" w:sz="2" w:space="0" w:color="auto"/>
            </w:tcBorders>
            <w:vAlign w:val="bottom"/>
          </w:tcPr>
          <w:p w14:paraId="40D7B315" w14:textId="77777777" w:rsidR="00773F7B" w:rsidRPr="003313E6" w:rsidRDefault="00773F7B" w:rsidP="00773F7B">
            <w:pPr>
              <w:pStyle w:val="T2"/>
              <w:jc w:val="right"/>
              <w:rPr>
                <w:b/>
                <w:bCs/>
              </w:rPr>
            </w:pPr>
            <w:r>
              <w:rPr>
                <w:b/>
                <w:bCs/>
              </w:rPr>
              <w:t>0.9</w:t>
            </w:r>
          </w:p>
        </w:tc>
        <w:tc>
          <w:tcPr>
            <w:tcW w:w="907" w:type="dxa"/>
            <w:tcBorders>
              <w:top w:val="single" w:sz="2" w:space="0" w:color="auto"/>
            </w:tcBorders>
            <w:vAlign w:val="bottom"/>
          </w:tcPr>
          <w:p w14:paraId="2DFDFA2E" w14:textId="77777777" w:rsidR="00773F7B" w:rsidRPr="003313E6" w:rsidRDefault="00773F7B" w:rsidP="00773F7B">
            <w:pPr>
              <w:pStyle w:val="T2"/>
              <w:jc w:val="right"/>
              <w:rPr>
                <w:b/>
                <w:bCs/>
              </w:rPr>
            </w:pPr>
            <w:r>
              <w:rPr>
                <w:b/>
                <w:bCs/>
              </w:rPr>
              <w:t>–</w:t>
            </w:r>
          </w:p>
        </w:tc>
        <w:tc>
          <w:tcPr>
            <w:tcW w:w="1437" w:type="dxa"/>
            <w:tcBorders>
              <w:top w:val="single" w:sz="2" w:space="0" w:color="auto"/>
            </w:tcBorders>
            <w:vAlign w:val="bottom"/>
          </w:tcPr>
          <w:p w14:paraId="0373907B" w14:textId="77777777" w:rsidR="00773F7B" w:rsidRPr="003313E6" w:rsidRDefault="00773F7B" w:rsidP="00773F7B">
            <w:pPr>
              <w:pStyle w:val="T2"/>
              <w:jc w:val="right"/>
              <w:rPr>
                <w:b/>
                <w:bCs/>
              </w:rPr>
            </w:pPr>
            <w:r>
              <w:rPr>
                <w:b/>
                <w:bCs/>
              </w:rPr>
              <w:t>–</w:t>
            </w:r>
          </w:p>
        </w:tc>
        <w:tc>
          <w:tcPr>
            <w:tcW w:w="904" w:type="dxa"/>
            <w:tcBorders>
              <w:top w:val="single" w:sz="2" w:space="0" w:color="auto"/>
            </w:tcBorders>
            <w:vAlign w:val="bottom"/>
          </w:tcPr>
          <w:p w14:paraId="037A6307" w14:textId="77777777" w:rsidR="00773F7B" w:rsidRPr="003313E6" w:rsidRDefault="00773F7B" w:rsidP="00773F7B">
            <w:pPr>
              <w:pStyle w:val="T2"/>
              <w:jc w:val="right"/>
              <w:rPr>
                <w:b/>
                <w:bCs/>
              </w:rPr>
            </w:pPr>
            <w:r>
              <w:rPr>
                <w:b/>
                <w:bCs/>
              </w:rPr>
              <w:t>–</w:t>
            </w:r>
          </w:p>
        </w:tc>
        <w:tc>
          <w:tcPr>
            <w:tcW w:w="1033" w:type="dxa"/>
            <w:tcBorders>
              <w:top w:val="single" w:sz="2" w:space="0" w:color="auto"/>
            </w:tcBorders>
            <w:vAlign w:val="bottom"/>
          </w:tcPr>
          <w:p w14:paraId="0935BAB2" w14:textId="77777777" w:rsidR="00773F7B" w:rsidRPr="003313E6" w:rsidRDefault="00773F7B" w:rsidP="00773F7B">
            <w:pPr>
              <w:pStyle w:val="T2"/>
              <w:jc w:val="right"/>
              <w:rPr>
                <w:b/>
                <w:bCs/>
              </w:rPr>
            </w:pPr>
            <w:r>
              <w:rPr>
                <w:b/>
                <w:bCs/>
              </w:rPr>
              <w:t>–</w:t>
            </w:r>
          </w:p>
        </w:tc>
        <w:tc>
          <w:tcPr>
            <w:tcW w:w="907" w:type="dxa"/>
            <w:tcBorders>
              <w:top w:val="single" w:sz="2" w:space="0" w:color="auto"/>
            </w:tcBorders>
            <w:vAlign w:val="bottom"/>
          </w:tcPr>
          <w:p w14:paraId="6D47E626" w14:textId="77777777" w:rsidR="00773F7B" w:rsidRPr="003313E6" w:rsidRDefault="00773F7B" w:rsidP="00773F7B">
            <w:pPr>
              <w:pStyle w:val="T2"/>
              <w:jc w:val="right"/>
              <w:rPr>
                <w:b/>
                <w:bCs/>
              </w:rPr>
            </w:pPr>
            <w:r>
              <w:rPr>
                <w:b/>
                <w:bCs/>
              </w:rPr>
              <w:t>0.9</w:t>
            </w:r>
          </w:p>
        </w:tc>
      </w:tr>
      <w:tr w:rsidR="00834013" w:rsidRPr="00C75824" w14:paraId="70681E0F" w14:textId="77777777" w:rsidTr="005B3BEE">
        <w:trPr>
          <w:jc w:val="center"/>
        </w:trPr>
        <w:tc>
          <w:tcPr>
            <w:tcW w:w="4394" w:type="dxa"/>
            <w:vAlign w:val="bottom"/>
          </w:tcPr>
          <w:p w14:paraId="31F010C9" w14:textId="77777777" w:rsidR="00773F7B" w:rsidRPr="008A2EFB" w:rsidRDefault="00773F7B" w:rsidP="00773F7B">
            <w:pPr>
              <w:pStyle w:val="T2"/>
              <w:jc w:val="left"/>
            </w:pPr>
            <w:r w:rsidRPr="008A2EFB">
              <w:t>Exercise, lapse or forfeit of share</w:t>
            </w:r>
            <w:r>
              <w:t>–</w:t>
            </w:r>
            <w:r w:rsidRPr="008A2EFB">
              <w:t>based payments</w:t>
            </w:r>
          </w:p>
        </w:tc>
        <w:tc>
          <w:tcPr>
            <w:tcW w:w="907" w:type="dxa"/>
            <w:vAlign w:val="bottom"/>
          </w:tcPr>
          <w:p w14:paraId="61C0B5AD" w14:textId="77777777" w:rsidR="00773F7B" w:rsidRPr="003313E6" w:rsidRDefault="00773F7B" w:rsidP="00773F7B">
            <w:pPr>
              <w:pStyle w:val="T2"/>
              <w:jc w:val="right"/>
              <w:rPr>
                <w:b/>
                <w:bCs/>
              </w:rPr>
            </w:pPr>
            <w:r>
              <w:rPr>
                <w:b/>
                <w:bCs/>
              </w:rPr>
              <w:t>(2.6)</w:t>
            </w:r>
          </w:p>
        </w:tc>
        <w:tc>
          <w:tcPr>
            <w:tcW w:w="907" w:type="dxa"/>
            <w:vAlign w:val="bottom"/>
          </w:tcPr>
          <w:p w14:paraId="390692B4" w14:textId="77777777" w:rsidR="00773F7B" w:rsidRPr="003313E6" w:rsidRDefault="00773F7B" w:rsidP="00773F7B">
            <w:pPr>
              <w:pStyle w:val="T2"/>
              <w:jc w:val="right"/>
              <w:rPr>
                <w:b/>
                <w:bCs/>
              </w:rPr>
            </w:pPr>
            <w:r>
              <w:rPr>
                <w:b/>
                <w:bCs/>
              </w:rPr>
              <w:t>–</w:t>
            </w:r>
          </w:p>
        </w:tc>
        <w:tc>
          <w:tcPr>
            <w:tcW w:w="1437" w:type="dxa"/>
            <w:vAlign w:val="bottom"/>
          </w:tcPr>
          <w:p w14:paraId="4C36C999" w14:textId="77777777" w:rsidR="00773F7B" w:rsidRPr="003313E6" w:rsidRDefault="00773F7B" w:rsidP="00773F7B">
            <w:pPr>
              <w:pStyle w:val="T2"/>
              <w:jc w:val="right"/>
              <w:rPr>
                <w:b/>
                <w:bCs/>
              </w:rPr>
            </w:pPr>
            <w:r>
              <w:rPr>
                <w:b/>
                <w:bCs/>
              </w:rPr>
              <w:t>–</w:t>
            </w:r>
          </w:p>
        </w:tc>
        <w:tc>
          <w:tcPr>
            <w:tcW w:w="904" w:type="dxa"/>
            <w:vAlign w:val="bottom"/>
          </w:tcPr>
          <w:p w14:paraId="6CE0D3FD" w14:textId="77777777" w:rsidR="00773F7B" w:rsidRPr="003313E6" w:rsidRDefault="00773F7B" w:rsidP="00773F7B">
            <w:pPr>
              <w:pStyle w:val="T2"/>
              <w:jc w:val="right"/>
              <w:rPr>
                <w:b/>
                <w:bCs/>
              </w:rPr>
            </w:pPr>
            <w:r>
              <w:rPr>
                <w:b/>
                <w:bCs/>
              </w:rPr>
              <w:t>–</w:t>
            </w:r>
          </w:p>
        </w:tc>
        <w:tc>
          <w:tcPr>
            <w:tcW w:w="1033" w:type="dxa"/>
            <w:vAlign w:val="bottom"/>
          </w:tcPr>
          <w:p w14:paraId="08316FD9" w14:textId="77777777" w:rsidR="00773F7B" w:rsidRPr="003313E6" w:rsidRDefault="00773F7B" w:rsidP="00773F7B">
            <w:pPr>
              <w:pStyle w:val="T2"/>
              <w:jc w:val="right"/>
              <w:rPr>
                <w:b/>
                <w:bCs/>
              </w:rPr>
            </w:pPr>
            <w:r>
              <w:rPr>
                <w:b/>
                <w:bCs/>
              </w:rPr>
              <w:t>–</w:t>
            </w:r>
          </w:p>
        </w:tc>
        <w:tc>
          <w:tcPr>
            <w:tcW w:w="907" w:type="dxa"/>
            <w:vAlign w:val="bottom"/>
          </w:tcPr>
          <w:p w14:paraId="6B9C90B3" w14:textId="77777777" w:rsidR="00773F7B" w:rsidRPr="003313E6" w:rsidRDefault="00773F7B" w:rsidP="00773F7B">
            <w:pPr>
              <w:pStyle w:val="T2"/>
              <w:jc w:val="right"/>
              <w:rPr>
                <w:b/>
                <w:bCs/>
              </w:rPr>
            </w:pPr>
            <w:r>
              <w:rPr>
                <w:b/>
                <w:bCs/>
              </w:rPr>
              <w:t>(2.6)</w:t>
            </w:r>
          </w:p>
        </w:tc>
      </w:tr>
      <w:tr w:rsidR="00834013" w:rsidRPr="00C75824" w14:paraId="61EFDEA1" w14:textId="77777777" w:rsidTr="005B3BEE">
        <w:trPr>
          <w:jc w:val="center"/>
        </w:trPr>
        <w:tc>
          <w:tcPr>
            <w:tcW w:w="4394" w:type="dxa"/>
            <w:vAlign w:val="bottom"/>
          </w:tcPr>
          <w:p w14:paraId="6556092D" w14:textId="77777777" w:rsidR="00773F7B" w:rsidRPr="008A2EFB" w:rsidRDefault="00773F7B" w:rsidP="00773F7B">
            <w:pPr>
              <w:pStyle w:val="T2"/>
              <w:jc w:val="left"/>
            </w:pPr>
            <w:r w:rsidRPr="008A2EFB">
              <w:t>Shares acquired by Employee Benefit Trust</w:t>
            </w:r>
          </w:p>
        </w:tc>
        <w:tc>
          <w:tcPr>
            <w:tcW w:w="907" w:type="dxa"/>
            <w:vAlign w:val="bottom"/>
          </w:tcPr>
          <w:p w14:paraId="30AAFA8F" w14:textId="77777777" w:rsidR="00773F7B" w:rsidRPr="003313E6" w:rsidRDefault="00773F7B" w:rsidP="00773F7B">
            <w:pPr>
              <w:pStyle w:val="T2"/>
              <w:jc w:val="right"/>
              <w:rPr>
                <w:b/>
                <w:bCs/>
              </w:rPr>
            </w:pPr>
            <w:r>
              <w:rPr>
                <w:b/>
                <w:bCs/>
              </w:rPr>
              <w:t>–</w:t>
            </w:r>
          </w:p>
        </w:tc>
        <w:tc>
          <w:tcPr>
            <w:tcW w:w="907" w:type="dxa"/>
            <w:vAlign w:val="bottom"/>
          </w:tcPr>
          <w:p w14:paraId="2A5B196A" w14:textId="77777777" w:rsidR="00773F7B" w:rsidRPr="003313E6" w:rsidRDefault="00773F7B" w:rsidP="00773F7B">
            <w:pPr>
              <w:pStyle w:val="T2"/>
              <w:jc w:val="right"/>
              <w:rPr>
                <w:b/>
                <w:bCs/>
              </w:rPr>
            </w:pPr>
            <w:r>
              <w:rPr>
                <w:b/>
                <w:bCs/>
              </w:rPr>
              <w:t>(0.1)</w:t>
            </w:r>
          </w:p>
        </w:tc>
        <w:tc>
          <w:tcPr>
            <w:tcW w:w="1437" w:type="dxa"/>
            <w:vAlign w:val="bottom"/>
          </w:tcPr>
          <w:p w14:paraId="03EACCB5" w14:textId="77777777" w:rsidR="00773F7B" w:rsidRPr="003313E6" w:rsidRDefault="00773F7B" w:rsidP="00773F7B">
            <w:pPr>
              <w:pStyle w:val="T2"/>
              <w:jc w:val="right"/>
              <w:rPr>
                <w:b/>
                <w:bCs/>
              </w:rPr>
            </w:pPr>
            <w:r>
              <w:rPr>
                <w:b/>
                <w:bCs/>
              </w:rPr>
              <w:t>–</w:t>
            </w:r>
          </w:p>
        </w:tc>
        <w:tc>
          <w:tcPr>
            <w:tcW w:w="904" w:type="dxa"/>
            <w:vAlign w:val="bottom"/>
          </w:tcPr>
          <w:p w14:paraId="61BBDD05" w14:textId="77777777" w:rsidR="00773F7B" w:rsidRPr="003313E6" w:rsidRDefault="00773F7B" w:rsidP="00773F7B">
            <w:pPr>
              <w:pStyle w:val="T2"/>
              <w:jc w:val="right"/>
              <w:rPr>
                <w:b/>
                <w:bCs/>
              </w:rPr>
            </w:pPr>
            <w:r>
              <w:rPr>
                <w:b/>
                <w:bCs/>
              </w:rPr>
              <w:t>–</w:t>
            </w:r>
          </w:p>
        </w:tc>
        <w:tc>
          <w:tcPr>
            <w:tcW w:w="1033" w:type="dxa"/>
            <w:vAlign w:val="bottom"/>
          </w:tcPr>
          <w:p w14:paraId="7F1AFB87" w14:textId="77777777" w:rsidR="00773F7B" w:rsidRPr="003313E6" w:rsidRDefault="00773F7B" w:rsidP="00773F7B">
            <w:pPr>
              <w:pStyle w:val="T2"/>
              <w:jc w:val="right"/>
              <w:rPr>
                <w:b/>
                <w:bCs/>
              </w:rPr>
            </w:pPr>
            <w:r>
              <w:rPr>
                <w:b/>
                <w:bCs/>
              </w:rPr>
              <w:t>–</w:t>
            </w:r>
          </w:p>
        </w:tc>
        <w:tc>
          <w:tcPr>
            <w:tcW w:w="907" w:type="dxa"/>
            <w:vAlign w:val="bottom"/>
          </w:tcPr>
          <w:p w14:paraId="49306DC4" w14:textId="77777777" w:rsidR="00773F7B" w:rsidRPr="003313E6" w:rsidRDefault="00773F7B" w:rsidP="00773F7B">
            <w:pPr>
              <w:pStyle w:val="T2"/>
              <w:jc w:val="right"/>
              <w:rPr>
                <w:b/>
                <w:bCs/>
              </w:rPr>
            </w:pPr>
            <w:r>
              <w:rPr>
                <w:b/>
                <w:bCs/>
              </w:rPr>
              <w:t>(0.1)</w:t>
            </w:r>
          </w:p>
        </w:tc>
      </w:tr>
      <w:tr w:rsidR="00834013" w:rsidRPr="00C75824" w14:paraId="36E0F361" w14:textId="77777777" w:rsidTr="005B3BEE">
        <w:trPr>
          <w:jc w:val="center"/>
        </w:trPr>
        <w:tc>
          <w:tcPr>
            <w:tcW w:w="4394" w:type="dxa"/>
            <w:vAlign w:val="bottom"/>
          </w:tcPr>
          <w:p w14:paraId="4A3CABF1" w14:textId="77777777" w:rsidR="00773F7B" w:rsidRPr="008A2EFB" w:rsidRDefault="00773F7B" w:rsidP="00773F7B">
            <w:pPr>
              <w:pStyle w:val="T2"/>
              <w:jc w:val="left"/>
            </w:pPr>
            <w:r w:rsidRPr="008A2EFB">
              <w:t xml:space="preserve">Transfer to </w:t>
            </w:r>
            <w:r>
              <w:t>R</w:t>
            </w:r>
            <w:r w:rsidRPr="008A2EFB">
              <w:t xml:space="preserve">etained </w:t>
            </w:r>
            <w:r>
              <w:t>E</w:t>
            </w:r>
            <w:r w:rsidRPr="008A2EFB">
              <w:t>arnings on grant of shares to beneficiaries of the Employee Benefit Trust</w:t>
            </w:r>
          </w:p>
        </w:tc>
        <w:tc>
          <w:tcPr>
            <w:tcW w:w="907" w:type="dxa"/>
            <w:vAlign w:val="bottom"/>
          </w:tcPr>
          <w:p w14:paraId="149D1425" w14:textId="77777777" w:rsidR="00773F7B" w:rsidRPr="003313E6" w:rsidRDefault="00773F7B" w:rsidP="00773F7B">
            <w:pPr>
              <w:pStyle w:val="T2"/>
              <w:jc w:val="right"/>
              <w:rPr>
                <w:b/>
                <w:bCs/>
              </w:rPr>
            </w:pPr>
            <w:r>
              <w:rPr>
                <w:b/>
                <w:bCs/>
              </w:rPr>
              <w:t>–</w:t>
            </w:r>
          </w:p>
        </w:tc>
        <w:tc>
          <w:tcPr>
            <w:tcW w:w="907" w:type="dxa"/>
            <w:vAlign w:val="bottom"/>
          </w:tcPr>
          <w:p w14:paraId="691A8FE1" w14:textId="77777777" w:rsidR="00773F7B" w:rsidRPr="003313E6" w:rsidRDefault="00773F7B" w:rsidP="00773F7B">
            <w:pPr>
              <w:pStyle w:val="T2"/>
              <w:jc w:val="right"/>
              <w:rPr>
                <w:b/>
                <w:bCs/>
              </w:rPr>
            </w:pPr>
            <w:r>
              <w:rPr>
                <w:b/>
                <w:bCs/>
              </w:rPr>
              <w:t>5.0</w:t>
            </w:r>
          </w:p>
        </w:tc>
        <w:tc>
          <w:tcPr>
            <w:tcW w:w="1437" w:type="dxa"/>
            <w:vAlign w:val="bottom"/>
          </w:tcPr>
          <w:p w14:paraId="3B0E8CAC" w14:textId="77777777" w:rsidR="00773F7B" w:rsidRPr="003313E6" w:rsidRDefault="00773F7B" w:rsidP="00773F7B">
            <w:pPr>
              <w:pStyle w:val="T2"/>
              <w:jc w:val="right"/>
              <w:rPr>
                <w:b/>
                <w:bCs/>
              </w:rPr>
            </w:pPr>
            <w:r>
              <w:rPr>
                <w:b/>
                <w:bCs/>
              </w:rPr>
              <w:t>–</w:t>
            </w:r>
          </w:p>
        </w:tc>
        <w:tc>
          <w:tcPr>
            <w:tcW w:w="904" w:type="dxa"/>
            <w:vAlign w:val="bottom"/>
          </w:tcPr>
          <w:p w14:paraId="38376579" w14:textId="77777777" w:rsidR="00773F7B" w:rsidRPr="003313E6" w:rsidRDefault="00773F7B" w:rsidP="00773F7B">
            <w:pPr>
              <w:pStyle w:val="T2"/>
              <w:jc w:val="right"/>
              <w:rPr>
                <w:b/>
                <w:bCs/>
              </w:rPr>
            </w:pPr>
            <w:r>
              <w:rPr>
                <w:b/>
                <w:bCs/>
              </w:rPr>
              <w:t>–</w:t>
            </w:r>
          </w:p>
        </w:tc>
        <w:tc>
          <w:tcPr>
            <w:tcW w:w="1033" w:type="dxa"/>
            <w:vAlign w:val="bottom"/>
          </w:tcPr>
          <w:p w14:paraId="403C9545" w14:textId="77777777" w:rsidR="00773F7B" w:rsidRPr="003313E6" w:rsidRDefault="00773F7B" w:rsidP="00773F7B">
            <w:pPr>
              <w:pStyle w:val="T2"/>
              <w:jc w:val="right"/>
              <w:rPr>
                <w:b/>
                <w:bCs/>
              </w:rPr>
            </w:pPr>
            <w:r>
              <w:rPr>
                <w:b/>
                <w:bCs/>
              </w:rPr>
              <w:t>–</w:t>
            </w:r>
          </w:p>
        </w:tc>
        <w:tc>
          <w:tcPr>
            <w:tcW w:w="907" w:type="dxa"/>
            <w:vAlign w:val="bottom"/>
          </w:tcPr>
          <w:p w14:paraId="6F374863" w14:textId="77777777" w:rsidR="00773F7B" w:rsidRPr="003313E6" w:rsidRDefault="00773F7B" w:rsidP="00773F7B">
            <w:pPr>
              <w:pStyle w:val="T2"/>
              <w:jc w:val="right"/>
              <w:rPr>
                <w:b/>
                <w:bCs/>
              </w:rPr>
            </w:pPr>
            <w:r>
              <w:rPr>
                <w:b/>
                <w:bCs/>
              </w:rPr>
              <w:t>5.0</w:t>
            </w:r>
          </w:p>
        </w:tc>
      </w:tr>
      <w:tr w:rsidR="00834013" w:rsidRPr="00C75824" w14:paraId="082DACB0" w14:textId="77777777" w:rsidTr="005B3BEE">
        <w:trPr>
          <w:trHeight w:val="51"/>
          <w:jc w:val="center"/>
        </w:trPr>
        <w:tc>
          <w:tcPr>
            <w:tcW w:w="4394" w:type="dxa"/>
            <w:tcBorders>
              <w:top w:val="single" w:sz="2" w:space="0" w:color="auto"/>
              <w:bottom w:val="single" w:sz="8" w:space="0" w:color="auto"/>
            </w:tcBorders>
            <w:vAlign w:val="bottom"/>
          </w:tcPr>
          <w:p w14:paraId="6EE59BFD" w14:textId="77777777" w:rsidR="00773F7B" w:rsidRPr="008A2EFB" w:rsidRDefault="00773F7B" w:rsidP="00773F7B">
            <w:pPr>
              <w:pStyle w:val="T2"/>
              <w:jc w:val="left"/>
              <w:rPr>
                <w:b/>
              </w:rPr>
            </w:pPr>
            <w:r w:rsidRPr="008A2EFB">
              <w:rPr>
                <w:b/>
              </w:rPr>
              <w:t xml:space="preserve">At </w:t>
            </w:r>
            <w:r>
              <w:rPr>
                <w:b/>
              </w:rPr>
              <w:t>27</w:t>
            </w:r>
            <w:r w:rsidRPr="008A2EFB">
              <w:rPr>
                <w:b/>
              </w:rPr>
              <w:t xml:space="preserve"> March 20</w:t>
            </w:r>
            <w:r>
              <w:rPr>
                <w:b/>
              </w:rPr>
              <w:t>20</w:t>
            </w:r>
          </w:p>
        </w:tc>
        <w:tc>
          <w:tcPr>
            <w:tcW w:w="907" w:type="dxa"/>
            <w:tcBorders>
              <w:top w:val="single" w:sz="2" w:space="0" w:color="auto"/>
              <w:bottom w:val="single" w:sz="8" w:space="0" w:color="auto"/>
            </w:tcBorders>
            <w:vAlign w:val="bottom"/>
          </w:tcPr>
          <w:p w14:paraId="799E2B3F" w14:textId="77777777" w:rsidR="00773F7B" w:rsidRPr="003313E6" w:rsidRDefault="00773F7B" w:rsidP="00773F7B">
            <w:pPr>
              <w:pStyle w:val="T2"/>
              <w:jc w:val="right"/>
              <w:rPr>
                <w:b/>
                <w:bCs/>
              </w:rPr>
            </w:pPr>
            <w:r>
              <w:rPr>
                <w:b/>
                <w:bCs/>
              </w:rPr>
              <w:t>3.1</w:t>
            </w:r>
          </w:p>
        </w:tc>
        <w:tc>
          <w:tcPr>
            <w:tcW w:w="907" w:type="dxa"/>
            <w:tcBorders>
              <w:top w:val="single" w:sz="2" w:space="0" w:color="auto"/>
              <w:bottom w:val="single" w:sz="8" w:space="0" w:color="auto"/>
            </w:tcBorders>
            <w:vAlign w:val="bottom"/>
          </w:tcPr>
          <w:p w14:paraId="43EE1748" w14:textId="77777777" w:rsidR="00773F7B" w:rsidRPr="003313E6" w:rsidRDefault="00773F7B" w:rsidP="00773F7B">
            <w:pPr>
              <w:pStyle w:val="T2"/>
              <w:jc w:val="right"/>
              <w:rPr>
                <w:b/>
                <w:bCs/>
              </w:rPr>
            </w:pPr>
            <w:r>
              <w:rPr>
                <w:b/>
                <w:bCs/>
              </w:rPr>
              <w:t>(3.3)</w:t>
            </w:r>
          </w:p>
        </w:tc>
        <w:tc>
          <w:tcPr>
            <w:tcW w:w="1437" w:type="dxa"/>
            <w:tcBorders>
              <w:top w:val="single" w:sz="2" w:space="0" w:color="auto"/>
              <w:bottom w:val="single" w:sz="8" w:space="0" w:color="auto"/>
            </w:tcBorders>
            <w:vAlign w:val="bottom"/>
          </w:tcPr>
          <w:p w14:paraId="200007B0" w14:textId="77777777" w:rsidR="00773F7B" w:rsidRPr="003313E6" w:rsidRDefault="00773F7B" w:rsidP="00773F7B">
            <w:pPr>
              <w:pStyle w:val="T2"/>
              <w:jc w:val="right"/>
              <w:rPr>
                <w:b/>
                <w:bCs/>
              </w:rPr>
            </w:pPr>
            <w:r>
              <w:rPr>
                <w:b/>
                <w:bCs/>
              </w:rPr>
              <w:t>120.4</w:t>
            </w:r>
          </w:p>
        </w:tc>
        <w:tc>
          <w:tcPr>
            <w:tcW w:w="904" w:type="dxa"/>
            <w:tcBorders>
              <w:top w:val="single" w:sz="2" w:space="0" w:color="auto"/>
              <w:bottom w:val="single" w:sz="8" w:space="0" w:color="auto"/>
            </w:tcBorders>
            <w:vAlign w:val="bottom"/>
          </w:tcPr>
          <w:p w14:paraId="3C33BF4F" w14:textId="77777777" w:rsidR="00773F7B" w:rsidRPr="003313E6" w:rsidRDefault="00773F7B" w:rsidP="00773F7B">
            <w:pPr>
              <w:pStyle w:val="T2"/>
              <w:jc w:val="right"/>
              <w:rPr>
                <w:b/>
                <w:bCs/>
              </w:rPr>
            </w:pPr>
            <w:r>
              <w:rPr>
                <w:b/>
                <w:bCs/>
              </w:rPr>
              <w:t>1.5</w:t>
            </w:r>
          </w:p>
        </w:tc>
        <w:tc>
          <w:tcPr>
            <w:tcW w:w="1033" w:type="dxa"/>
            <w:tcBorders>
              <w:top w:val="single" w:sz="2" w:space="0" w:color="auto"/>
              <w:bottom w:val="single" w:sz="8" w:space="0" w:color="auto"/>
            </w:tcBorders>
            <w:vAlign w:val="bottom"/>
          </w:tcPr>
          <w:p w14:paraId="283F0168" w14:textId="77777777" w:rsidR="00773F7B" w:rsidRPr="003313E6" w:rsidRDefault="00773F7B" w:rsidP="00773F7B">
            <w:pPr>
              <w:pStyle w:val="T2"/>
              <w:jc w:val="right"/>
              <w:rPr>
                <w:b/>
                <w:bCs/>
              </w:rPr>
            </w:pPr>
            <w:r>
              <w:rPr>
                <w:b/>
                <w:bCs/>
              </w:rPr>
              <w:t>1.8</w:t>
            </w:r>
          </w:p>
        </w:tc>
        <w:tc>
          <w:tcPr>
            <w:tcW w:w="907" w:type="dxa"/>
            <w:tcBorders>
              <w:top w:val="single" w:sz="2" w:space="0" w:color="auto"/>
              <w:bottom w:val="single" w:sz="8" w:space="0" w:color="auto"/>
            </w:tcBorders>
            <w:vAlign w:val="bottom"/>
          </w:tcPr>
          <w:p w14:paraId="1425C61B" w14:textId="77777777" w:rsidR="00773F7B" w:rsidRPr="003313E6" w:rsidRDefault="00773F7B" w:rsidP="00773F7B">
            <w:pPr>
              <w:pStyle w:val="T2"/>
              <w:jc w:val="right"/>
              <w:rPr>
                <w:b/>
                <w:bCs/>
              </w:rPr>
            </w:pPr>
            <w:r>
              <w:rPr>
                <w:b/>
                <w:bCs/>
              </w:rPr>
              <w:t>123.5</w:t>
            </w:r>
          </w:p>
        </w:tc>
      </w:tr>
      <w:tr w:rsidR="00834013" w:rsidRPr="00C75824" w14:paraId="6F7428F3" w14:textId="77777777" w:rsidTr="005B3BEE">
        <w:trPr>
          <w:jc w:val="center"/>
        </w:trPr>
        <w:tc>
          <w:tcPr>
            <w:tcW w:w="4394" w:type="dxa"/>
            <w:tcBorders>
              <w:top w:val="single" w:sz="8" w:space="0" w:color="auto"/>
            </w:tcBorders>
          </w:tcPr>
          <w:p w14:paraId="5B469C3A" w14:textId="77777777" w:rsidR="00773F7B" w:rsidRPr="00C75824" w:rsidRDefault="00773F7B" w:rsidP="00773F7B">
            <w:pPr>
              <w:pStyle w:val="T2"/>
            </w:pPr>
          </w:p>
        </w:tc>
        <w:tc>
          <w:tcPr>
            <w:tcW w:w="907" w:type="dxa"/>
            <w:tcBorders>
              <w:top w:val="single" w:sz="8" w:space="0" w:color="auto"/>
            </w:tcBorders>
          </w:tcPr>
          <w:p w14:paraId="3EE43111" w14:textId="77777777" w:rsidR="00773F7B" w:rsidRPr="007573FA" w:rsidRDefault="00773F7B" w:rsidP="00773F7B">
            <w:pPr>
              <w:pStyle w:val="T2"/>
            </w:pPr>
          </w:p>
        </w:tc>
        <w:tc>
          <w:tcPr>
            <w:tcW w:w="907" w:type="dxa"/>
            <w:tcBorders>
              <w:top w:val="single" w:sz="8" w:space="0" w:color="auto"/>
            </w:tcBorders>
          </w:tcPr>
          <w:p w14:paraId="533B2467" w14:textId="77777777" w:rsidR="00773F7B" w:rsidRPr="007573FA" w:rsidRDefault="00773F7B" w:rsidP="00773F7B">
            <w:pPr>
              <w:pStyle w:val="T2"/>
            </w:pPr>
          </w:p>
        </w:tc>
        <w:tc>
          <w:tcPr>
            <w:tcW w:w="1437" w:type="dxa"/>
            <w:tcBorders>
              <w:top w:val="single" w:sz="8" w:space="0" w:color="auto"/>
            </w:tcBorders>
          </w:tcPr>
          <w:p w14:paraId="1EF06B59" w14:textId="77777777" w:rsidR="00773F7B" w:rsidRPr="007573FA" w:rsidRDefault="00773F7B" w:rsidP="00773F7B">
            <w:pPr>
              <w:pStyle w:val="T2"/>
            </w:pPr>
          </w:p>
        </w:tc>
        <w:tc>
          <w:tcPr>
            <w:tcW w:w="904" w:type="dxa"/>
            <w:tcBorders>
              <w:top w:val="single" w:sz="8" w:space="0" w:color="auto"/>
            </w:tcBorders>
          </w:tcPr>
          <w:p w14:paraId="0852E657" w14:textId="77777777" w:rsidR="00773F7B" w:rsidRPr="007573FA" w:rsidRDefault="00773F7B" w:rsidP="00773F7B">
            <w:pPr>
              <w:pStyle w:val="T2"/>
            </w:pPr>
          </w:p>
        </w:tc>
        <w:tc>
          <w:tcPr>
            <w:tcW w:w="1033" w:type="dxa"/>
            <w:tcBorders>
              <w:top w:val="single" w:sz="8" w:space="0" w:color="auto"/>
            </w:tcBorders>
          </w:tcPr>
          <w:p w14:paraId="6F5B4323" w14:textId="77777777" w:rsidR="00773F7B" w:rsidRPr="007573FA" w:rsidRDefault="00773F7B" w:rsidP="00773F7B">
            <w:pPr>
              <w:pStyle w:val="T2"/>
            </w:pPr>
          </w:p>
        </w:tc>
        <w:tc>
          <w:tcPr>
            <w:tcW w:w="907" w:type="dxa"/>
            <w:tcBorders>
              <w:top w:val="single" w:sz="8" w:space="0" w:color="auto"/>
            </w:tcBorders>
          </w:tcPr>
          <w:p w14:paraId="1B2B8403" w14:textId="77777777" w:rsidR="00773F7B" w:rsidRPr="007573FA" w:rsidRDefault="00773F7B" w:rsidP="00773F7B">
            <w:pPr>
              <w:pStyle w:val="T2"/>
            </w:pPr>
          </w:p>
        </w:tc>
      </w:tr>
      <w:tr w:rsidR="00834013" w:rsidRPr="00C75824" w14:paraId="6FAF46B7" w14:textId="77777777" w:rsidTr="005B3BEE">
        <w:trPr>
          <w:jc w:val="center"/>
        </w:trPr>
        <w:tc>
          <w:tcPr>
            <w:tcW w:w="4394" w:type="dxa"/>
          </w:tcPr>
          <w:p w14:paraId="5653E584" w14:textId="77777777" w:rsidR="00773F7B" w:rsidRPr="00C75824" w:rsidRDefault="00773F7B" w:rsidP="00773F7B">
            <w:pPr>
              <w:pStyle w:val="T2"/>
            </w:pPr>
          </w:p>
        </w:tc>
        <w:tc>
          <w:tcPr>
            <w:tcW w:w="907" w:type="dxa"/>
            <w:vAlign w:val="bottom"/>
          </w:tcPr>
          <w:p w14:paraId="6B98E0E0" w14:textId="77777777" w:rsidR="00773F7B" w:rsidRPr="007573FA" w:rsidRDefault="00773F7B" w:rsidP="00773F7B">
            <w:pPr>
              <w:pStyle w:val="T2"/>
              <w:jc w:val="right"/>
            </w:pPr>
            <w:r w:rsidRPr="007573FA">
              <w:t xml:space="preserve">Share </w:t>
            </w:r>
          </w:p>
          <w:p w14:paraId="62F7EF1A" w14:textId="77777777" w:rsidR="00773F7B" w:rsidRPr="007573FA" w:rsidRDefault="00773F7B" w:rsidP="00773F7B">
            <w:pPr>
              <w:pStyle w:val="T2"/>
              <w:jc w:val="right"/>
            </w:pPr>
            <w:r w:rsidRPr="007573FA">
              <w:t>options</w:t>
            </w:r>
          </w:p>
        </w:tc>
        <w:tc>
          <w:tcPr>
            <w:tcW w:w="907" w:type="dxa"/>
            <w:vAlign w:val="bottom"/>
          </w:tcPr>
          <w:p w14:paraId="5C9CB0DB" w14:textId="77777777" w:rsidR="00773F7B" w:rsidRPr="007573FA" w:rsidRDefault="00773F7B" w:rsidP="00773F7B">
            <w:pPr>
              <w:pStyle w:val="T2"/>
              <w:jc w:val="right"/>
            </w:pPr>
            <w:r w:rsidRPr="007573FA">
              <w:t xml:space="preserve">Own </w:t>
            </w:r>
          </w:p>
          <w:p w14:paraId="0239976E" w14:textId="77777777" w:rsidR="00773F7B" w:rsidRPr="007573FA" w:rsidRDefault="00773F7B" w:rsidP="00773F7B">
            <w:pPr>
              <w:pStyle w:val="T2"/>
              <w:jc w:val="right"/>
            </w:pPr>
            <w:r w:rsidRPr="007573FA">
              <w:t>shares</w:t>
            </w:r>
          </w:p>
        </w:tc>
        <w:tc>
          <w:tcPr>
            <w:tcW w:w="1437" w:type="dxa"/>
            <w:vAlign w:val="bottom"/>
          </w:tcPr>
          <w:p w14:paraId="76731094" w14:textId="77777777" w:rsidR="00773F7B" w:rsidRPr="007573FA" w:rsidRDefault="00773F7B" w:rsidP="00773F7B">
            <w:pPr>
              <w:pStyle w:val="T2"/>
              <w:jc w:val="right"/>
            </w:pPr>
            <w:proofErr w:type="spellStart"/>
            <w:r w:rsidRPr="007573FA">
              <w:t>Undenominated</w:t>
            </w:r>
            <w:proofErr w:type="spellEnd"/>
            <w:r w:rsidRPr="007573FA">
              <w:t xml:space="preserve"> capital reserve</w:t>
            </w:r>
          </w:p>
        </w:tc>
        <w:tc>
          <w:tcPr>
            <w:tcW w:w="904" w:type="dxa"/>
            <w:vAlign w:val="bottom"/>
          </w:tcPr>
          <w:p w14:paraId="374FF1C2" w14:textId="77777777" w:rsidR="00773F7B" w:rsidRPr="007573FA" w:rsidRDefault="00773F7B" w:rsidP="00773F7B">
            <w:pPr>
              <w:pStyle w:val="T2"/>
              <w:jc w:val="right"/>
            </w:pPr>
            <w:r w:rsidRPr="007573FA">
              <w:t>Hedging reserve</w:t>
            </w:r>
          </w:p>
        </w:tc>
        <w:tc>
          <w:tcPr>
            <w:tcW w:w="1033" w:type="dxa"/>
            <w:shd w:val="clear" w:color="auto" w:fill="auto"/>
            <w:vAlign w:val="bottom"/>
          </w:tcPr>
          <w:p w14:paraId="10FA70ED" w14:textId="77777777" w:rsidR="00773F7B" w:rsidRPr="007573FA" w:rsidRDefault="00773F7B" w:rsidP="00773F7B">
            <w:pPr>
              <w:pStyle w:val="T2"/>
              <w:jc w:val="right"/>
            </w:pPr>
            <w:r w:rsidRPr="007573FA">
              <w:t>Foreign currency translation reserve</w:t>
            </w:r>
          </w:p>
        </w:tc>
        <w:tc>
          <w:tcPr>
            <w:tcW w:w="907" w:type="dxa"/>
            <w:vAlign w:val="bottom"/>
          </w:tcPr>
          <w:p w14:paraId="72CAF894" w14:textId="77777777" w:rsidR="00773F7B" w:rsidRPr="007573FA" w:rsidRDefault="00773F7B" w:rsidP="00773F7B">
            <w:pPr>
              <w:pStyle w:val="T2"/>
              <w:jc w:val="right"/>
            </w:pPr>
            <w:r w:rsidRPr="007573FA">
              <w:t>Total</w:t>
            </w:r>
          </w:p>
        </w:tc>
      </w:tr>
      <w:tr w:rsidR="00834013" w:rsidRPr="00C75824" w14:paraId="26BEE4BF" w14:textId="77777777" w:rsidTr="005B3BEE">
        <w:trPr>
          <w:jc w:val="center"/>
        </w:trPr>
        <w:tc>
          <w:tcPr>
            <w:tcW w:w="4394" w:type="dxa"/>
            <w:tcBorders>
              <w:bottom w:val="single" w:sz="2" w:space="0" w:color="auto"/>
            </w:tcBorders>
          </w:tcPr>
          <w:p w14:paraId="3238CB8C" w14:textId="77777777" w:rsidR="00773F7B" w:rsidRPr="00C75824" w:rsidRDefault="00773F7B" w:rsidP="00773F7B">
            <w:pPr>
              <w:pStyle w:val="T2"/>
            </w:pPr>
          </w:p>
        </w:tc>
        <w:tc>
          <w:tcPr>
            <w:tcW w:w="907" w:type="dxa"/>
            <w:tcBorders>
              <w:bottom w:val="single" w:sz="2" w:space="0" w:color="auto"/>
            </w:tcBorders>
            <w:vAlign w:val="bottom"/>
          </w:tcPr>
          <w:p w14:paraId="47E59772" w14:textId="77777777" w:rsidR="00773F7B" w:rsidRPr="007573FA" w:rsidRDefault="00773F7B" w:rsidP="00773F7B">
            <w:pPr>
              <w:pStyle w:val="T2"/>
              <w:jc w:val="right"/>
            </w:pPr>
            <w:r w:rsidRPr="007573FA">
              <w:t>£m</w:t>
            </w:r>
          </w:p>
        </w:tc>
        <w:tc>
          <w:tcPr>
            <w:tcW w:w="907" w:type="dxa"/>
            <w:tcBorders>
              <w:bottom w:val="single" w:sz="2" w:space="0" w:color="auto"/>
            </w:tcBorders>
            <w:vAlign w:val="bottom"/>
          </w:tcPr>
          <w:p w14:paraId="4DEFC53B" w14:textId="77777777" w:rsidR="00773F7B" w:rsidRPr="007573FA" w:rsidRDefault="00773F7B" w:rsidP="00773F7B">
            <w:pPr>
              <w:pStyle w:val="T2"/>
              <w:jc w:val="right"/>
            </w:pPr>
            <w:r w:rsidRPr="007573FA">
              <w:t>£m</w:t>
            </w:r>
          </w:p>
        </w:tc>
        <w:tc>
          <w:tcPr>
            <w:tcW w:w="1437" w:type="dxa"/>
            <w:tcBorders>
              <w:bottom w:val="single" w:sz="2" w:space="0" w:color="auto"/>
            </w:tcBorders>
            <w:vAlign w:val="bottom"/>
          </w:tcPr>
          <w:p w14:paraId="026E59F4" w14:textId="77777777" w:rsidR="00773F7B" w:rsidRPr="007573FA" w:rsidRDefault="00773F7B" w:rsidP="00773F7B">
            <w:pPr>
              <w:pStyle w:val="T2"/>
              <w:jc w:val="right"/>
            </w:pPr>
            <w:r w:rsidRPr="007573FA">
              <w:t>£m</w:t>
            </w:r>
          </w:p>
        </w:tc>
        <w:tc>
          <w:tcPr>
            <w:tcW w:w="904" w:type="dxa"/>
            <w:tcBorders>
              <w:bottom w:val="single" w:sz="2" w:space="0" w:color="auto"/>
            </w:tcBorders>
            <w:vAlign w:val="bottom"/>
          </w:tcPr>
          <w:p w14:paraId="5E7DA03C" w14:textId="77777777" w:rsidR="00773F7B" w:rsidRPr="007573FA" w:rsidRDefault="00773F7B" w:rsidP="00773F7B">
            <w:pPr>
              <w:pStyle w:val="T2"/>
              <w:jc w:val="right"/>
            </w:pPr>
            <w:r w:rsidRPr="007573FA">
              <w:t>£m</w:t>
            </w:r>
          </w:p>
        </w:tc>
        <w:tc>
          <w:tcPr>
            <w:tcW w:w="1033" w:type="dxa"/>
            <w:tcBorders>
              <w:bottom w:val="single" w:sz="2" w:space="0" w:color="auto"/>
            </w:tcBorders>
            <w:vAlign w:val="bottom"/>
          </w:tcPr>
          <w:p w14:paraId="1478F94A" w14:textId="77777777" w:rsidR="00773F7B" w:rsidRPr="007573FA" w:rsidRDefault="00773F7B" w:rsidP="00773F7B">
            <w:pPr>
              <w:pStyle w:val="T2"/>
              <w:jc w:val="right"/>
            </w:pPr>
            <w:r w:rsidRPr="007573FA">
              <w:t>£m</w:t>
            </w:r>
          </w:p>
        </w:tc>
        <w:tc>
          <w:tcPr>
            <w:tcW w:w="907" w:type="dxa"/>
            <w:tcBorders>
              <w:bottom w:val="single" w:sz="2" w:space="0" w:color="auto"/>
            </w:tcBorders>
            <w:vAlign w:val="bottom"/>
          </w:tcPr>
          <w:p w14:paraId="00004E0C" w14:textId="77777777" w:rsidR="00773F7B" w:rsidRPr="007573FA" w:rsidRDefault="00773F7B" w:rsidP="00773F7B">
            <w:pPr>
              <w:pStyle w:val="T2"/>
              <w:jc w:val="right"/>
            </w:pPr>
            <w:r w:rsidRPr="007573FA">
              <w:t>£m</w:t>
            </w:r>
          </w:p>
        </w:tc>
      </w:tr>
      <w:tr w:rsidR="00834013" w:rsidRPr="00C75824" w14:paraId="79028E32" w14:textId="77777777" w:rsidTr="005B3BEE">
        <w:trPr>
          <w:jc w:val="center"/>
        </w:trPr>
        <w:tc>
          <w:tcPr>
            <w:tcW w:w="4394" w:type="dxa"/>
            <w:tcBorders>
              <w:top w:val="single" w:sz="2" w:space="0" w:color="auto"/>
              <w:bottom w:val="single" w:sz="2" w:space="0" w:color="auto"/>
            </w:tcBorders>
            <w:vAlign w:val="bottom"/>
          </w:tcPr>
          <w:p w14:paraId="045A4AAF" w14:textId="77777777" w:rsidR="00773F7B" w:rsidRPr="00E02FFC" w:rsidRDefault="00773F7B" w:rsidP="00773F7B">
            <w:pPr>
              <w:pStyle w:val="T2"/>
              <w:jc w:val="left"/>
              <w:rPr>
                <w:b/>
              </w:rPr>
            </w:pPr>
            <w:r w:rsidRPr="00E02FFC">
              <w:rPr>
                <w:b/>
              </w:rPr>
              <w:t>At 2</w:t>
            </w:r>
            <w:r>
              <w:rPr>
                <w:b/>
              </w:rPr>
              <w:t>8</w:t>
            </w:r>
            <w:r w:rsidRPr="00E02FFC">
              <w:rPr>
                <w:b/>
              </w:rPr>
              <w:t xml:space="preserve"> September 201</w:t>
            </w:r>
            <w:r>
              <w:rPr>
                <w:b/>
              </w:rPr>
              <w:t>8</w:t>
            </w:r>
            <w:r w:rsidRPr="00E02FFC">
              <w:rPr>
                <w:b/>
              </w:rPr>
              <w:tab/>
            </w:r>
            <w:r w:rsidRPr="00E02FFC">
              <w:rPr>
                <w:b/>
              </w:rPr>
              <w:tab/>
            </w:r>
          </w:p>
        </w:tc>
        <w:tc>
          <w:tcPr>
            <w:tcW w:w="907" w:type="dxa"/>
            <w:tcBorders>
              <w:top w:val="single" w:sz="2" w:space="0" w:color="auto"/>
              <w:bottom w:val="single" w:sz="2" w:space="0" w:color="auto"/>
            </w:tcBorders>
            <w:vAlign w:val="bottom"/>
          </w:tcPr>
          <w:p w14:paraId="16EFCDEE" w14:textId="77777777" w:rsidR="00773F7B" w:rsidRPr="000606CD" w:rsidRDefault="00773F7B" w:rsidP="00773F7B">
            <w:pPr>
              <w:pStyle w:val="T2"/>
              <w:jc w:val="right"/>
              <w:rPr>
                <w:rFonts w:cs="Calibri"/>
              </w:rPr>
            </w:pPr>
            <w:r w:rsidRPr="0096767F">
              <w:rPr>
                <w:bCs/>
              </w:rPr>
              <w:t>4.2</w:t>
            </w:r>
          </w:p>
        </w:tc>
        <w:tc>
          <w:tcPr>
            <w:tcW w:w="907" w:type="dxa"/>
            <w:tcBorders>
              <w:top w:val="single" w:sz="2" w:space="0" w:color="auto"/>
              <w:bottom w:val="single" w:sz="2" w:space="0" w:color="auto"/>
            </w:tcBorders>
            <w:vAlign w:val="bottom"/>
          </w:tcPr>
          <w:p w14:paraId="08BBD957" w14:textId="77777777" w:rsidR="00773F7B" w:rsidRPr="000606CD" w:rsidRDefault="00773F7B" w:rsidP="00773F7B">
            <w:pPr>
              <w:pStyle w:val="T2"/>
              <w:jc w:val="right"/>
              <w:rPr>
                <w:rFonts w:cs="Calibri"/>
              </w:rPr>
            </w:pPr>
            <w:r w:rsidRPr="0096767F">
              <w:rPr>
                <w:bCs/>
              </w:rPr>
              <w:t>(8.1)</w:t>
            </w:r>
          </w:p>
        </w:tc>
        <w:tc>
          <w:tcPr>
            <w:tcW w:w="1437" w:type="dxa"/>
            <w:tcBorders>
              <w:top w:val="single" w:sz="2" w:space="0" w:color="auto"/>
              <w:bottom w:val="single" w:sz="2" w:space="0" w:color="auto"/>
            </w:tcBorders>
            <w:vAlign w:val="bottom"/>
          </w:tcPr>
          <w:p w14:paraId="298D82B9" w14:textId="77777777" w:rsidR="00773F7B" w:rsidRPr="000606CD" w:rsidRDefault="00773F7B" w:rsidP="00773F7B">
            <w:pPr>
              <w:pStyle w:val="T2"/>
              <w:jc w:val="right"/>
              <w:rPr>
                <w:rFonts w:cs="Calibri"/>
              </w:rPr>
            </w:pPr>
            <w:r w:rsidRPr="0096767F">
              <w:rPr>
                <w:bCs/>
              </w:rPr>
              <w:t>117.8</w:t>
            </w:r>
          </w:p>
        </w:tc>
        <w:tc>
          <w:tcPr>
            <w:tcW w:w="904" w:type="dxa"/>
            <w:tcBorders>
              <w:top w:val="single" w:sz="2" w:space="0" w:color="auto"/>
              <w:bottom w:val="single" w:sz="2" w:space="0" w:color="auto"/>
            </w:tcBorders>
            <w:vAlign w:val="bottom"/>
          </w:tcPr>
          <w:p w14:paraId="34DCBBD0" w14:textId="77777777" w:rsidR="00773F7B" w:rsidRPr="000606CD" w:rsidRDefault="00773F7B" w:rsidP="00773F7B">
            <w:pPr>
              <w:pStyle w:val="T2"/>
              <w:jc w:val="right"/>
              <w:rPr>
                <w:rFonts w:cs="Calibri"/>
              </w:rPr>
            </w:pPr>
            <w:r w:rsidRPr="0096767F">
              <w:rPr>
                <w:bCs/>
              </w:rPr>
              <w:t>(1.5)</w:t>
            </w:r>
          </w:p>
        </w:tc>
        <w:tc>
          <w:tcPr>
            <w:tcW w:w="1033" w:type="dxa"/>
            <w:tcBorders>
              <w:top w:val="single" w:sz="2" w:space="0" w:color="auto"/>
              <w:bottom w:val="single" w:sz="2" w:space="0" w:color="auto"/>
            </w:tcBorders>
            <w:vAlign w:val="bottom"/>
          </w:tcPr>
          <w:p w14:paraId="131DF4C7" w14:textId="77777777" w:rsidR="00773F7B" w:rsidRPr="000606CD" w:rsidRDefault="00773F7B" w:rsidP="00773F7B">
            <w:pPr>
              <w:pStyle w:val="T2"/>
              <w:jc w:val="right"/>
              <w:rPr>
                <w:rFonts w:cs="Calibri"/>
              </w:rPr>
            </w:pPr>
            <w:r w:rsidRPr="0096767F">
              <w:rPr>
                <w:bCs/>
              </w:rPr>
              <w:t>(7.3)</w:t>
            </w:r>
          </w:p>
        </w:tc>
        <w:tc>
          <w:tcPr>
            <w:tcW w:w="907" w:type="dxa"/>
            <w:tcBorders>
              <w:top w:val="single" w:sz="2" w:space="0" w:color="auto"/>
              <w:bottom w:val="single" w:sz="2" w:space="0" w:color="auto"/>
            </w:tcBorders>
            <w:vAlign w:val="bottom"/>
          </w:tcPr>
          <w:p w14:paraId="7F444471" w14:textId="77777777" w:rsidR="00773F7B" w:rsidRPr="000606CD" w:rsidRDefault="00773F7B" w:rsidP="00773F7B">
            <w:pPr>
              <w:pStyle w:val="T2"/>
              <w:jc w:val="right"/>
              <w:rPr>
                <w:rFonts w:cs="Calibri"/>
              </w:rPr>
            </w:pPr>
            <w:r w:rsidRPr="0096767F">
              <w:rPr>
                <w:bCs/>
              </w:rPr>
              <w:t>105.1</w:t>
            </w:r>
          </w:p>
        </w:tc>
      </w:tr>
      <w:tr w:rsidR="00834013" w:rsidRPr="00C75824" w14:paraId="7EAD6804" w14:textId="77777777" w:rsidTr="005B3BEE">
        <w:trPr>
          <w:jc w:val="center"/>
        </w:trPr>
        <w:tc>
          <w:tcPr>
            <w:tcW w:w="4394" w:type="dxa"/>
            <w:tcBorders>
              <w:top w:val="single" w:sz="2" w:space="0" w:color="auto"/>
            </w:tcBorders>
            <w:vAlign w:val="bottom"/>
          </w:tcPr>
          <w:p w14:paraId="72160AC6" w14:textId="1159B734" w:rsidR="00773F7B" w:rsidRPr="00E02FFC" w:rsidRDefault="00773F7B" w:rsidP="00773F7B">
            <w:pPr>
              <w:pStyle w:val="T2"/>
              <w:jc w:val="left"/>
              <w:rPr>
                <w:b/>
              </w:rPr>
            </w:pPr>
            <w:r w:rsidRPr="00E02FFC">
              <w:rPr>
                <w:b/>
              </w:rPr>
              <w:t>Items of income and expense taken directly to equity</w:t>
            </w:r>
          </w:p>
        </w:tc>
        <w:tc>
          <w:tcPr>
            <w:tcW w:w="907" w:type="dxa"/>
            <w:tcBorders>
              <w:top w:val="single" w:sz="2" w:space="0" w:color="auto"/>
            </w:tcBorders>
            <w:vAlign w:val="bottom"/>
          </w:tcPr>
          <w:p w14:paraId="52A83C73" w14:textId="0602EACC" w:rsidR="00773F7B" w:rsidRPr="000606CD" w:rsidRDefault="00773F7B" w:rsidP="00773F7B">
            <w:pPr>
              <w:pStyle w:val="T2"/>
            </w:pPr>
          </w:p>
        </w:tc>
        <w:tc>
          <w:tcPr>
            <w:tcW w:w="907" w:type="dxa"/>
            <w:tcBorders>
              <w:top w:val="single" w:sz="2" w:space="0" w:color="auto"/>
            </w:tcBorders>
            <w:vAlign w:val="bottom"/>
          </w:tcPr>
          <w:p w14:paraId="1B23DE9F" w14:textId="77777777" w:rsidR="00773F7B" w:rsidRPr="000606CD" w:rsidRDefault="00773F7B" w:rsidP="00773F7B">
            <w:pPr>
              <w:pStyle w:val="T2"/>
              <w:jc w:val="right"/>
            </w:pPr>
          </w:p>
        </w:tc>
        <w:tc>
          <w:tcPr>
            <w:tcW w:w="1437" w:type="dxa"/>
            <w:tcBorders>
              <w:top w:val="single" w:sz="2" w:space="0" w:color="auto"/>
            </w:tcBorders>
            <w:vAlign w:val="bottom"/>
          </w:tcPr>
          <w:p w14:paraId="4A20413E" w14:textId="77777777" w:rsidR="00773F7B" w:rsidRPr="000606CD" w:rsidRDefault="00773F7B" w:rsidP="00773F7B">
            <w:pPr>
              <w:pStyle w:val="T2"/>
              <w:jc w:val="right"/>
            </w:pPr>
          </w:p>
        </w:tc>
        <w:tc>
          <w:tcPr>
            <w:tcW w:w="904" w:type="dxa"/>
            <w:tcBorders>
              <w:top w:val="single" w:sz="2" w:space="0" w:color="auto"/>
            </w:tcBorders>
            <w:vAlign w:val="bottom"/>
          </w:tcPr>
          <w:p w14:paraId="5273CC4D" w14:textId="77777777" w:rsidR="00773F7B" w:rsidRPr="000606CD" w:rsidRDefault="00773F7B" w:rsidP="00773F7B">
            <w:pPr>
              <w:pStyle w:val="T2"/>
              <w:jc w:val="right"/>
            </w:pPr>
          </w:p>
        </w:tc>
        <w:tc>
          <w:tcPr>
            <w:tcW w:w="1033" w:type="dxa"/>
            <w:tcBorders>
              <w:top w:val="single" w:sz="2" w:space="0" w:color="auto"/>
            </w:tcBorders>
            <w:vAlign w:val="bottom"/>
          </w:tcPr>
          <w:p w14:paraId="3F718B93" w14:textId="77777777" w:rsidR="00773F7B" w:rsidRPr="000606CD" w:rsidRDefault="00773F7B" w:rsidP="00773F7B">
            <w:pPr>
              <w:pStyle w:val="T2"/>
              <w:jc w:val="right"/>
            </w:pPr>
          </w:p>
        </w:tc>
        <w:tc>
          <w:tcPr>
            <w:tcW w:w="907" w:type="dxa"/>
            <w:tcBorders>
              <w:top w:val="single" w:sz="2" w:space="0" w:color="auto"/>
            </w:tcBorders>
            <w:vAlign w:val="bottom"/>
          </w:tcPr>
          <w:p w14:paraId="02046BEF" w14:textId="77777777" w:rsidR="00773F7B" w:rsidRPr="000606CD" w:rsidRDefault="00773F7B" w:rsidP="00773F7B">
            <w:pPr>
              <w:pStyle w:val="T2"/>
              <w:jc w:val="right"/>
            </w:pPr>
          </w:p>
        </w:tc>
      </w:tr>
      <w:tr w:rsidR="00834013" w:rsidRPr="00C75824" w14:paraId="56632C88" w14:textId="77777777" w:rsidTr="005B3BEE">
        <w:trPr>
          <w:jc w:val="center"/>
        </w:trPr>
        <w:tc>
          <w:tcPr>
            <w:tcW w:w="4394" w:type="dxa"/>
            <w:vAlign w:val="bottom"/>
          </w:tcPr>
          <w:p w14:paraId="5D7C6A7F" w14:textId="77777777" w:rsidR="00773F7B" w:rsidRPr="00172EC0" w:rsidRDefault="00773F7B" w:rsidP="00773F7B">
            <w:pPr>
              <w:pStyle w:val="T2"/>
              <w:jc w:val="left"/>
            </w:pPr>
            <w:r w:rsidRPr="00172EC0">
              <w:t>Currency translation adjustment</w:t>
            </w:r>
          </w:p>
        </w:tc>
        <w:tc>
          <w:tcPr>
            <w:tcW w:w="907" w:type="dxa"/>
            <w:vAlign w:val="bottom"/>
          </w:tcPr>
          <w:p w14:paraId="090E8373" w14:textId="77777777" w:rsidR="00773F7B" w:rsidRPr="002C46B4" w:rsidRDefault="00773F7B" w:rsidP="00773F7B">
            <w:pPr>
              <w:pStyle w:val="T2"/>
              <w:jc w:val="right"/>
            </w:pPr>
            <w:r w:rsidRPr="0096767F">
              <w:rPr>
                <w:bCs/>
              </w:rPr>
              <w:t>–</w:t>
            </w:r>
          </w:p>
        </w:tc>
        <w:tc>
          <w:tcPr>
            <w:tcW w:w="907" w:type="dxa"/>
            <w:vAlign w:val="bottom"/>
          </w:tcPr>
          <w:p w14:paraId="0CD5892E" w14:textId="77777777" w:rsidR="00773F7B" w:rsidRPr="002C46B4" w:rsidRDefault="00773F7B" w:rsidP="00773F7B">
            <w:pPr>
              <w:pStyle w:val="T2"/>
              <w:jc w:val="right"/>
            </w:pPr>
            <w:r w:rsidRPr="0096767F">
              <w:rPr>
                <w:bCs/>
              </w:rPr>
              <w:t>–</w:t>
            </w:r>
          </w:p>
        </w:tc>
        <w:tc>
          <w:tcPr>
            <w:tcW w:w="1437" w:type="dxa"/>
            <w:vAlign w:val="bottom"/>
          </w:tcPr>
          <w:p w14:paraId="76FC583D" w14:textId="77777777" w:rsidR="00773F7B" w:rsidRPr="002C46B4" w:rsidRDefault="00773F7B" w:rsidP="00773F7B">
            <w:pPr>
              <w:pStyle w:val="T2"/>
              <w:jc w:val="right"/>
            </w:pPr>
            <w:r w:rsidRPr="0096767F">
              <w:rPr>
                <w:bCs/>
              </w:rPr>
              <w:t>–</w:t>
            </w:r>
          </w:p>
        </w:tc>
        <w:tc>
          <w:tcPr>
            <w:tcW w:w="904" w:type="dxa"/>
            <w:vAlign w:val="bottom"/>
          </w:tcPr>
          <w:p w14:paraId="49D214A5" w14:textId="77777777" w:rsidR="00773F7B" w:rsidRPr="002C46B4" w:rsidRDefault="00773F7B" w:rsidP="00773F7B">
            <w:pPr>
              <w:pStyle w:val="T2"/>
              <w:jc w:val="right"/>
            </w:pPr>
            <w:r w:rsidRPr="0096767F">
              <w:rPr>
                <w:bCs/>
              </w:rPr>
              <w:t>–</w:t>
            </w:r>
          </w:p>
        </w:tc>
        <w:tc>
          <w:tcPr>
            <w:tcW w:w="1033" w:type="dxa"/>
            <w:vAlign w:val="bottom"/>
          </w:tcPr>
          <w:p w14:paraId="1B6EDAC8" w14:textId="77777777" w:rsidR="00773F7B" w:rsidRPr="000606CD" w:rsidRDefault="00773F7B" w:rsidP="00773F7B">
            <w:pPr>
              <w:pStyle w:val="T2"/>
              <w:jc w:val="right"/>
            </w:pPr>
            <w:r w:rsidRPr="0096767F">
              <w:rPr>
                <w:bCs/>
              </w:rPr>
              <w:t>9.6</w:t>
            </w:r>
          </w:p>
        </w:tc>
        <w:tc>
          <w:tcPr>
            <w:tcW w:w="907" w:type="dxa"/>
            <w:vAlign w:val="bottom"/>
          </w:tcPr>
          <w:p w14:paraId="06CBE029" w14:textId="77777777" w:rsidR="00773F7B" w:rsidRPr="000606CD" w:rsidRDefault="00773F7B" w:rsidP="00773F7B">
            <w:pPr>
              <w:pStyle w:val="T2"/>
              <w:jc w:val="right"/>
            </w:pPr>
            <w:r w:rsidRPr="0096767F">
              <w:rPr>
                <w:bCs/>
              </w:rPr>
              <w:t>9.6</w:t>
            </w:r>
          </w:p>
        </w:tc>
      </w:tr>
      <w:tr w:rsidR="00834013" w:rsidRPr="00C75824" w14:paraId="0DFEDC52" w14:textId="77777777" w:rsidTr="005B3BEE">
        <w:trPr>
          <w:jc w:val="center"/>
        </w:trPr>
        <w:tc>
          <w:tcPr>
            <w:tcW w:w="4394" w:type="dxa"/>
            <w:vAlign w:val="bottom"/>
          </w:tcPr>
          <w:p w14:paraId="35B03A9E" w14:textId="77777777" w:rsidR="00773F7B" w:rsidRPr="00172EC0" w:rsidRDefault="00773F7B" w:rsidP="00773F7B">
            <w:pPr>
              <w:pStyle w:val="T2"/>
              <w:jc w:val="left"/>
            </w:pPr>
            <w:r w:rsidRPr="008A2EFB">
              <w:t xml:space="preserve">Translation reserve transferred to </w:t>
            </w:r>
            <w:r>
              <w:t>I</w:t>
            </w:r>
            <w:r w:rsidRPr="008A2EFB">
              <w:t xml:space="preserve">ncome </w:t>
            </w:r>
            <w:r>
              <w:t>S</w:t>
            </w:r>
            <w:r w:rsidRPr="008A2EFB">
              <w:t>tatement on discontinued operation</w:t>
            </w:r>
            <w:r>
              <w:t>s</w:t>
            </w:r>
          </w:p>
        </w:tc>
        <w:tc>
          <w:tcPr>
            <w:tcW w:w="907" w:type="dxa"/>
            <w:vAlign w:val="bottom"/>
          </w:tcPr>
          <w:p w14:paraId="44C597BD" w14:textId="77777777" w:rsidR="00773F7B" w:rsidRPr="00C062B6" w:rsidRDefault="00773F7B" w:rsidP="00773F7B">
            <w:pPr>
              <w:pStyle w:val="T2"/>
              <w:jc w:val="right"/>
            </w:pPr>
            <w:r w:rsidRPr="0096767F">
              <w:rPr>
                <w:bCs/>
              </w:rPr>
              <w:t>–</w:t>
            </w:r>
          </w:p>
        </w:tc>
        <w:tc>
          <w:tcPr>
            <w:tcW w:w="907" w:type="dxa"/>
            <w:vAlign w:val="bottom"/>
          </w:tcPr>
          <w:p w14:paraId="6B5B0D6B" w14:textId="77777777" w:rsidR="00773F7B" w:rsidRPr="00C062B6" w:rsidRDefault="00773F7B" w:rsidP="00773F7B">
            <w:pPr>
              <w:pStyle w:val="T2"/>
              <w:jc w:val="right"/>
            </w:pPr>
            <w:r w:rsidRPr="0096767F">
              <w:rPr>
                <w:bCs/>
              </w:rPr>
              <w:t>–</w:t>
            </w:r>
          </w:p>
        </w:tc>
        <w:tc>
          <w:tcPr>
            <w:tcW w:w="1437" w:type="dxa"/>
            <w:vAlign w:val="bottom"/>
          </w:tcPr>
          <w:p w14:paraId="1F1EA0F5" w14:textId="77777777" w:rsidR="00773F7B" w:rsidRPr="00C062B6" w:rsidRDefault="00773F7B" w:rsidP="00773F7B">
            <w:pPr>
              <w:pStyle w:val="T2"/>
              <w:jc w:val="right"/>
            </w:pPr>
            <w:r w:rsidRPr="0096767F">
              <w:rPr>
                <w:bCs/>
              </w:rPr>
              <w:t>–</w:t>
            </w:r>
          </w:p>
        </w:tc>
        <w:tc>
          <w:tcPr>
            <w:tcW w:w="904" w:type="dxa"/>
            <w:vAlign w:val="bottom"/>
          </w:tcPr>
          <w:p w14:paraId="75119DCF" w14:textId="77777777" w:rsidR="00773F7B" w:rsidRPr="00C062B6" w:rsidRDefault="00773F7B" w:rsidP="00773F7B">
            <w:pPr>
              <w:pStyle w:val="T2"/>
              <w:jc w:val="right"/>
            </w:pPr>
            <w:r w:rsidRPr="0096767F">
              <w:rPr>
                <w:bCs/>
              </w:rPr>
              <w:t>–</w:t>
            </w:r>
          </w:p>
        </w:tc>
        <w:tc>
          <w:tcPr>
            <w:tcW w:w="1033" w:type="dxa"/>
            <w:vAlign w:val="bottom"/>
          </w:tcPr>
          <w:p w14:paraId="3FE000FD" w14:textId="77777777" w:rsidR="00773F7B" w:rsidRPr="000606CD" w:rsidRDefault="00773F7B" w:rsidP="00773F7B">
            <w:pPr>
              <w:pStyle w:val="T2"/>
              <w:jc w:val="right"/>
            </w:pPr>
            <w:r w:rsidRPr="0096767F">
              <w:rPr>
                <w:bCs/>
              </w:rPr>
              <w:t>(24.5)</w:t>
            </w:r>
          </w:p>
        </w:tc>
        <w:tc>
          <w:tcPr>
            <w:tcW w:w="907" w:type="dxa"/>
            <w:vAlign w:val="bottom"/>
          </w:tcPr>
          <w:p w14:paraId="0F92CE3E" w14:textId="77777777" w:rsidR="00773F7B" w:rsidRPr="000606CD" w:rsidRDefault="00773F7B" w:rsidP="00773F7B">
            <w:pPr>
              <w:pStyle w:val="T2"/>
              <w:jc w:val="right"/>
            </w:pPr>
            <w:r w:rsidRPr="0096767F">
              <w:rPr>
                <w:bCs/>
              </w:rPr>
              <w:t>(24.5)</w:t>
            </w:r>
          </w:p>
        </w:tc>
      </w:tr>
      <w:tr w:rsidR="00834013" w:rsidRPr="00C75824" w14:paraId="65A64701" w14:textId="77777777" w:rsidTr="005B3BEE">
        <w:trPr>
          <w:jc w:val="center"/>
        </w:trPr>
        <w:tc>
          <w:tcPr>
            <w:tcW w:w="4394" w:type="dxa"/>
            <w:vAlign w:val="bottom"/>
          </w:tcPr>
          <w:p w14:paraId="0556E752" w14:textId="77777777" w:rsidR="00773F7B" w:rsidRPr="00172EC0" w:rsidRDefault="00773F7B" w:rsidP="00773F7B">
            <w:pPr>
              <w:pStyle w:val="T2"/>
              <w:jc w:val="left"/>
            </w:pPr>
            <w:r w:rsidRPr="00172EC0">
              <w:t>Net investment hedge</w:t>
            </w:r>
          </w:p>
        </w:tc>
        <w:tc>
          <w:tcPr>
            <w:tcW w:w="907" w:type="dxa"/>
            <w:vAlign w:val="bottom"/>
          </w:tcPr>
          <w:p w14:paraId="71F4EABC" w14:textId="77777777" w:rsidR="00773F7B" w:rsidRPr="002C46B4" w:rsidRDefault="00773F7B" w:rsidP="00773F7B">
            <w:pPr>
              <w:pStyle w:val="T2"/>
              <w:jc w:val="right"/>
            </w:pPr>
            <w:r w:rsidRPr="0096767F">
              <w:rPr>
                <w:bCs/>
              </w:rPr>
              <w:t>–</w:t>
            </w:r>
          </w:p>
        </w:tc>
        <w:tc>
          <w:tcPr>
            <w:tcW w:w="907" w:type="dxa"/>
            <w:vAlign w:val="bottom"/>
          </w:tcPr>
          <w:p w14:paraId="5BDE261B" w14:textId="77777777" w:rsidR="00773F7B" w:rsidRPr="002C46B4" w:rsidRDefault="00773F7B" w:rsidP="00773F7B">
            <w:pPr>
              <w:pStyle w:val="T2"/>
              <w:jc w:val="right"/>
            </w:pPr>
            <w:r w:rsidRPr="0096767F">
              <w:rPr>
                <w:bCs/>
              </w:rPr>
              <w:t>–</w:t>
            </w:r>
          </w:p>
        </w:tc>
        <w:tc>
          <w:tcPr>
            <w:tcW w:w="1437" w:type="dxa"/>
            <w:vAlign w:val="bottom"/>
          </w:tcPr>
          <w:p w14:paraId="7468C4BA" w14:textId="77777777" w:rsidR="00773F7B" w:rsidRPr="002C46B4" w:rsidRDefault="00773F7B" w:rsidP="00773F7B">
            <w:pPr>
              <w:pStyle w:val="T2"/>
              <w:jc w:val="right"/>
            </w:pPr>
            <w:r w:rsidRPr="0096767F">
              <w:rPr>
                <w:bCs/>
              </w:rPr>
              <w:t>–</w:t>
            </w:r>
          </w:p>
        </w:tc>
        <w:tc>
          <w:tcPr>
            <w:tcW w:w="904" w:type="dxa"/>
            <w:vAlign w:val="bottom"/>
          </w:tcPr>
          <w:p w14:paraId="72501B7D" w14:textId="77777777" w:rsidR="00773F7B" w:rsidRPr="002C46B4" w:rsidRDefault="00773F7B" w:rsidP="00773F7B">
            <w:pPr>
              <w:pStyle w:val="T2"/>
              <w:jc w:val="right"/>
            </w:pPr>
            <w:r w:rsidRPr="0096767F">
              <w:rPr>
                <w:bCs/>
              </w:rPr>
              <w:t>–</w:t>
            </w:r>
          </w:p>
        </w:tc>
        <w:tc>
          <w:tcPr>
            <w:tcW w:w="1033" w:type="dxa"/>
            <w:vAlign w:val="bottom"/>
          </w:tcPr>
          <w:p w14:paraId="063B776F" w14:textId="77777777" w:rsidR="00773F7B" w:rsidRPr="000606CD" w:rsidRDefault="00773F7B" w:rsidP="00773F7B">
            <w:pPr>
              <w:pStyle w:val="T2"/>
              <w:jc w:val="right"/>
            </w:pPr>
            <w:r w:rsidRPr="0096767F">
              <w:rPr>
                <w:bCs/>
              </w:rPr>
              <w:t>22.3</w:t>
            </w:r>
          </w:p>
        </w:tc>
        <w:tc>
          <w:tcPr>
            <w:tcW w:w="907" w:type="dxa"/>
            <w:vAlign w:val="bottom"/>
          </w:tcPr>
          <w:p w14:paraId="32619BE4" w14:textId="77777777" w:rsidR="00773F7B" w:rsidRPr="000606CD" w:rsidRDefault="00773F7B" w:rsidP="00773F7B">
            <w:pPr>
              <w:pStyle w:val="T2"/>
              <w:jc w:val="right"/>
            </w:pPr>
            <w:r w:rsidRPr="0096767F">
              <w:rPr>
                <w:bCs/>
              </w:rPr>
              <w:t>22.3</w:t>
            </w:r>
          </w:p>
        </w:tc>
      </w:tr>
      <w:tr w:rsidR="00834013" w:rsidRPr="00C75824" w14:paraId="56A36106" w14:textId="77777777" w:rsidTr="005B3BEE">
        <w:trPr>
          <w:jc w:val="center"/>
        </w:trPr>
        <w:tc>
          <w:tcPr>
            <w:tcW w:w="4394" w:type="dxa"/>
            <w:vAlign w:val="bottom"/>
          </w:tcPr>
          <w:p w14:paraId="36FECEA6" w14:textId="77777777" w:rsidR="00773F7B" w:rsidRPr="00172EC0" w:rsidRDefault="00773F7B" w:rsidP="00773F7B">
            <w:pPr>
              <w:pStyle w:val="T2"/>
              <w:jc w:val="left"/>
            </w:pPr>
            <w:r w:rsidRPr="00172EC0">
              <w:t>Cash flow hedge fair value movement taken to equity</w:t>
            </w:r>
          </w:p>
        </w:tc>
        <w:tc>
          <w:tcPr>
            <w:tcW w:w="907" w:type="dxa"/>
            <w:vAlign w:val="bottom"/>
          </w:tcPr>
          <w:p w14:paraId="684A959D" w14:textId="77777777" w:rsidR="00773F7B" w:rsidRPr="002C46B4" w:rsidRDefault="00773F7B" w:rsidP="00773F7B">
            <w:pPr>
              <w:pStyle w:val="T2"/>
              <w:jc w:val="right"/>
            </w:pPr>
            <w:r w:rsidRPr="0096767F">
              <w:rPr>
                <w:bCs/>
              </w:rPr>
              <w:t>–</w:t>
            </w:r>
          </w:p>
        </w:tc>
        <w:tc>
          <w:tcPr>
            <w:tcW w:w="907" w:type="dxa"/>
            <w:vAlign w:val="bottom"/>
          </w:tcPr>
          <w:p w14:paraId="105A83AD" w14:textId="77777777" w:rsidR="00773F7B" w:rsidRPr="002C46B4" w:rsidRDefault="00773F7B" w:rsidP="00773F7B">
            <w:pPr>
              <w:pStyle w:val="T2"/>
              <w:jc w:val="right"/>
            </w:pPr>
            <w:r w:rsidRPr="0096767F">
              <w:rPr>
                <w:bCs/>
              </w:rPr>
              <w:t>–</w:t>
            </w:r>
          </w:p>
        </w:tc>
        <w:tc>
          <w:tcPr>
            <w:tcW w:w="1437" w:type="dxa"/>
            <w:vAlign w:val="bottom"/>
          </w:tcPr>
          <w:p w14:paraId="7B7A3CF1" w14:textId="77777777" w:rsidR="00773F7B" w:rsidRPr="002C46B4" w:rsidRDefault="00773F7B" w:rsidP="00773F7B">
            <w:pPr>
              <w:pStyle w:val="T2"/>
              <w:jc w:val="right"/>
            </w:pPr>
            <w:r w:rsidRPr="0096767F">
              <w:rPr>
                <w:bCs/>
              </w:rPr>
              <w:t>–</w:t>
            </w:r>
          </w:p>
        </w:tc>
        <w:tc>
          <w:tcPr>
            <w:tcW w:w="904" w:type="dxa"/>
            <w:vAlign w:val="bottom"/>
          </w:tcPr>
          <w:p w14:paraId="1B80D321" w14:textId="77777777" w:rsidR="00773F7B" w:rsidRPr="000606CD" w:rsidRDefault="00773F7B" w:rsidP="00773F7B">
            <w:pPr>
              <w:pStyle w:val="T2"/>
              <w:jc w:val="right"/>
            </w:pPr>
            <w:r w:rsidRPr="0096767F">
              <w:rPr>
                <w:bCs/>
              </w:rPr>
              <w:t>(2.2)</w:t>
            </w:r>
          </w:p>
        </w:tc>
        <w:tc>
          <w:tcPr>
            <w:tcW w:w="1033" w:type="dxa"/>
            <w:vAlign w:val="bottom"/>
          </w:tcPr>
          <w:p w14:paraId="383049EB" w14:textId="77777777" w:rsidR="00773F7B" w:rsidRPr="002C46B4" w:rsidRDefault="00773F7B" w:rsidP="00773F7B">
            <w:pPr>
              <w:pStyle w:val="T2"/>
              <w:jc w:val="right"/>
            </w:pPr>
            <w:r w:rsidRPr="0096767F">
              <w:rPr>
                <w:bCs/>
              </w:rPr>
              <w:t>–</w:t>
            </w:r>
          </w:p>
        </w:tc>
        <w:tc>
          <w:tcPr>
            <w:tcW w:w="907" w:type="dxa"/>
            <w:vAlign w:val="bottom"/>
          </w:tcPr>
          <w:p w14:paraId="2F90874D" w14:textId="77777777" w:rsidR="00773F7B" w:rsidRPr="000606CD" w:rsidRDefault="00773F7B" w:rsidP="00773F7B">
            <w:pPr>
              <w:pStyle w:val="T2"/>
              <w:jc w:val="right"/>
            </w:pPr>
            <w:r w:rsidRPr="0096767F">
              <w:rPr>
                <w:bCs/>
              </w:rPr>
              <w:t>(2.2)</w:t>
            </w:r>
          </w:p>
        </w:tc>
      </w:tr>
      <w:tr w:rsidR="00834013" w:rsidRPr="00C75824" w14:paraId="072A1AA5" w14:textId="77777777" w:rsidTr="005B3BEE">
        <w:trPr>
          <w:jc w:val="center"/>
        </w:trPr>
        <w:tc>
          <w:tcPr>
            <w:tcW w:w="4394" w:type="dxa"/>
            <w:tcBorders>
              <w:bottom w:val="single" w:sz="2" w:space="0" w:color="auto"/>
            </w:tcBorders>
            <w:vAlign w:val="bottom"/>
          </w:tcPr>
          <w:p w14:paraId="54CE0B08" w14:textId="77777777" w:rsidR="00773F7B" w:rsidRPr="00172EC0" w:rsidRDefault="00773F7B" w:rsidP="00773F7B">
            <w:pPr>
              <w:pStyle w:val="T2"/>
              <w:jc w:val="left"/>
            </w:pPr>
            <w:r w:rsidRPr="00172EC0">
              <w:t>Cash flow hedge transferred to Income Statement</w:t>
            </w:r>
          </w:p>
        </w:tc>
        <w:tc>
          <w:tcPr>
            <w:tcW w:w="907" w:type="dxa"/>
            <w:tcBorders>
              <w:bottom w:val="single" w:sz="2" w:space="0" w:color="auto"/>
            </w:tcBorders>
            <w:vAlign w:val="bottom"/>
          </w:tcPr>
          <w:p w14:paraId="7F8A024D" w14:textId="77777777" w:rsidR="00773F7B" w:rsidRPr="002C46B4" w:rsidRDefault="00773F7B" w:rsidP="00773F7B">
            <w:pPr>
              <w:pStyle w:val="T2"/>
              <w:jc w:val="right"/>
            </w:pPr>
            <w:r w:rsidRPr="0096767F">
              <w:rPr>
                <w:bCs/>
              </w:rPr>
              <w:t>–</w:t>
            </w:r>
          </w:p>
        </w:tc>
        <w:tc>
          <w:tcPr>
            <w:tcW w:w="907" w:type="dxa"/>
            <w:tcBorders>
              <w:bottom w:val="single" w:sz="2" w:space="0" w:color="auto"/>
            </w:tcBorders>
            <w:vAlign w:val="bottom"/>
          </w:tcPr>
          <w:p w14:paraId="6C87405A" w14:textId="77777777" w:rsidR="00773F7B" w:rsidRPr="002C46B4" w:rsidRDefault="00773F7B" w:rsidP="00773F7B">
            <w:pPr>
              <w:pStyle w:val="T2"/>
              <w:jc w:val="right"/>
            </w:pPr>
            <w:r w:rsidRPr="0096767F">
              <w:rPr>
                <w:bCs/>
              </w:rPr>
              <w:t>–</w:t>
            </w:r>
          </w:p>
        </w:tc>
        <w:tc>
          <w:tcPr>
            <w:tcW w:w="1437" w:type="dxa"/>
            <w:tcBorders>
              <w:bottom w:val="single" w:sz="2" w:space="0" w:color="auto"/>
            </w:tcBorders>
            <w:vAlign w:val="bottom"/>
          </w:tcPr>
          <w:p w14:paraId="1BBCAA9E" w14:textId="77777777" w:rsidR="00773F7B" w:rsidRPr="002C46B4" w:rsidRDefault="00773F7B" w:rsidP="00773F7B">
            <w:pPr>
              <w:pStyle w:val="T2"/>
              <w:jc w:val="right"/>
            </w:pPr>
            <w:r w:rsidRPr="0096767F">
              <w:rPr>
                <w:bCs/>
              </w:rPr>
              <w:t>–</w:t>
            </w:r>
          </w:p>
        </w:tc>
        <w:tc>
          <w:tcPr>
            <w:tcW w:w="904" w:type="dxa"/>
            <w:tcBorders>
              <w:bottom w:val="single" w:sz="2" w:space="0" w:color="auto"/>
            </w:tcBorders>
            <w:vAlign w:val="bottom"/>
          </w:tcPr>
          <w:p w14:paraId="2FEA34DC" w14:textId="77777777" w:rsidR="00773F7B" w:rsidRPr="000606CD" w:rsidRDefault="00773F7B" w:rsidP="00773F7B">
            <w:pPr>
              <w:pStyle w:val="T2"/>
              <w:jc w:val="right"/>
            </w:pPr>
            <w:r w:rsidRPr="0096767F">
              <w:rPr>
                <w:bCs/>
              </w:rPr>
              <w:t>1.6</w:t>
            </w:r>
          </w:p>
        </w:tc>
        <w:tc>
          <w:tcPr>
            <w:tcW w:w="1033" w:type="dxa"/>
            <w:tcBorders>
              <w:bottom w:val="single" w:sz="2" w:space="0" w:color="auto"/>
            </w:tcBorders>
            <w:vAlign w:val="bottom"/>
          </w:tcPr>
          <w:p w14:paraId="46FA9E02" w14:textId="77777777" w:rsidR="00773F7B" w:rsidRPr="002C46B4" w:rsidRDefault="00773F7B" w:rsidP="00773F7B">
            <w:pPr>
              <w:pStyle w:val="T2"/>
              <w:jc w:val="right"/>
            </w:pPr>
            <w:r w:rsidRPr="0096767F">
              <w:rPr>
                <w:bCs/>
              </w:rPr>
              <w:t>–</w:t>
            </w:r>
          </w:p>
        </w:tc>
        <w:tc>
          <w:tcPr>
            <w:tcW w:w="907" w:type="dxa"/>
            <w:tcBorders>
              <w:bottom w:val="single" w:sz="2" w:space="0" w:color="auto"/>
            </w:tcBorders>
            <w:vAlign w:val="bottom"/>
          </w:tcPr>
          <w:p w14:paraId="178C9483" w14:textId="77777777" w:rsidR="00773F7B" w:rsidRPr="000606CD" w:rsidRDefault="00773F7B" w:rsidP="00773F7B">
            <w:pPr>
              <w:pStyle w:val="T2"/>
              <w:jc w:val="right"/>
            </w:pPr>
            <w:r w:rsidRPr="0096767F">
              <w:rPr>
                <w:bCs/>
              </w:rPr>
              <w:t>1.6</w:t>
            </w:r>
          </w:p>
        </w:tc>
      </w:tr>
      <w:tr w:rsidR="00834013" w:rsidRPr="00C75824" w14:paraId="4AFF3FAF" w14:textId="77777777" w:rsidTr="005B3BEE">
        <w:trPr>
          <w:jc w:val="center"/>
        </w:trPr>
        <w:tc>
          <w:tcPr>
            <w:tcW w:w="4394" w:type="dxa"/>
            <w:tcBorders>
              <w:top w:val="single" w:sz="2" w:space="0" w:color="auto"/>
              <w:bottom w:val="single" w:sz="2" w:space="0" w:color="auto"/>
            </w:tcBorders>
            <w:vAlign w:val="bottom"/>
          </w:tcPr>
          <w:p w14:paraId="754CD021" w14:textId="77777777" w:rsidR="00773F7B" w:rsidRPr="00E02FFC" w:rsidRDefault="00773F7B" w:rsidP="00773F7B">
            <w:pPr>
              <w:pStyle w:val="T2"/>
              <w:jc w:val="left"/>
              <w:rPr>
                <w:b/>
              </w:rPr>
            </w:pPr>
            <w:r w:rsidRPr="00E02FFC">
              <w:rPr>
                <w:b/>
              </w:rPr>
              <w:t>Total recognised income and expense for the financial period</w:t>
            </w:r>
          </w:p>
        </w:tc>
        <w:tc>
          <w:tcPr>
            <w:tcW w:w="907" w:type="dxa"/>
            <w:tcBorders>
              <w:top w:val="single" w:sz="2" w:space="0" w:color="auto"/>
              <w:bottom w:val="single" w:sz="2" w:space="0" w:color="auto"/>
            </w:tcBorders>
            <w:vAlign w:val="bottom"/>
          </w:tcPr>
          <w:p w14:paraId="1ED977EE" w14:textId="77777777" w:rsidR="00773F7B" w:rsidRPr="000606CD" w:rsidRDefault="00773F7B" w:rsidP="00773F7B">
            <w:pPr>
              <w:pStyle w:val="T2"/>
              <w:jc w:val="right"/>
            </w:pPr>
            <w:r w:rsidRPr="0096767F">
              <w:rPr>
                <w:rFonts w:ascii="Calibri" w:hAnsi="Calibri" w:cs="Calibri"/>
                <w:bCs/>
              </w:rPr>
              <w:t>–</w:t>
            </w:r>
          </w:p>
        </w:tc>
        <w:tc>
          <w:tcPr>
            <w:tcW w:w="907" w:type="dxa"/>
            <w:tcBorders>
              <w:top w:val="single" w:sz="2" w:space="0" w:color="auto"/>
              <w:bottom w:val="single" w:sz="2" w:space="0" w:color="auto"/>
            </w:tcBorders>
            <w:vAlign w:val="bottom"/>
          </w:tcPr>
          <w:p w14:paraId="17DA9558" w14:textId="77777777" w:rsidR="00773F7B" w:rsidRPr="000606CD" w:rsidRDefault="00773F7B" w:rsidP="00773F7B">
            <w:pPr>
              <w:pStyle w:val="T2"/>
              <w:jc w:val="right"/>
            </w:pPr>
            <w:r w:rsidRPr="0096767F">
              <w:rPr>
                <w:rFonts w:ascii="Calibri" w:hAnsi="Calibri" w:cs="Calibri"/>
                <w:bCs/>
              </w:rPr>
              <w:t>–</w:t>
            </w:r>
          </w:p>
        </w:tc>
        <w:tc>
          <w:tcPr>
            <w:tcW w:w="1437" w:type="dxa"/>
            <w:tcBorders>
              <w:top w:val="single" w:sz="2" w:space="0" w:color="auto"/>
              <w:bottom w:val="single" w:sz="2" w:space="0" w:color="auto"/>
            </w:tcBorders>
            <w:vAlign w:val="bottom"/>
          </w:tcPr>
          <w:p w14:paraId="37A00711" w14:textId="77777777" w:rsidR="00773F7B" w:rsidRPr="000606CD" w:rsidRDefault="00773F7B" w:rsidP="00773F7B">
            <w:pPr>
              <w:pStyle w:val="T2"/>
              <w:jc w:val="right"/>
            </w:pPr>
            <w:r w:rsidRPr="0096767F">
              <w:rPr>
                <w:rFonts w:ascii="Calibri" w:hAnsi="Calibri" w:cs="Calibri"/>
                <w:bCs/>
              </w:rPr>
              <w:t>–</w:t>
            </w:r>
          </w:p>
        </w:tc>
        <w:tc>
          <w:tcPr>
            <w:tcW w:w="904" w:type="dxa"/>
            <w:tcBorders>
              <w:top w:val="single" w:sz="2" w:space="0" w:color="auto"/>
              <w:bottom w:val="single" w:sz="2" w:space="0" w:color="auto"/>
            </w:tcBorders>
            <w:vAlign w:val="bottom"/>
          </w:tcPr>
          <w:p w14:paraId="113BF690" w14:textId="77777777" w:rsidR="00773F7B" w:rsidRPr="000606CD" w:rsidRDefault="00773F7B" w:rsidP="00773F7B">
            <w:pPr>
              <w:pStyle w:val="T2"/>
              <w:jc w:val="right"/>
            </w:pPr>
            <w:r w:rsidRPr="0096767F">
              <w:rPr>
                <w:rFonts w:ascii="Calibri" w:hAnsi="Calibri" w:cs="Calibri"/>
                <w:bCs/>
              </w:rPr>
              <w:t>(0.6)</w:t>
            </w:r>
          </w:p>
        </w:tc>
        <w:tc>
          <w:tcPr>
            <w:tcW w:w="1033" w:type="dxa"/>
            <w:tcBorders>
              <w:top w:val="single" w:sz="2" w:space="0" w:color="auto"/>
              <w:bottom w:val="single" w:sz="2" w:space="0" w:color="auto"/>
            </w:tcBorders>
            <w:vAlign w:val="bottom"/>
          </w:tcPr>
          <w:p w14:paraId="446EAE8E" w14:textId="77777777" w:rsidR="00773F7B" w:rsidRPr="000606CD" w:rsidRDefault="00773F7B" w:rsidP="00773F7B">
            <w:pPr>
              <w:pStyle w:val="T2"/>
              <w:jc w:val="right"/>
            </w:pPr>
            <w:r w:rsidRPr="0096767F">
              <w:rPr>
                <w:rFonts w:ascii="Calibri" w:hAnsi="Calibri" w:cs="Calibri"/>
                <w:bCs/>
              </w:rPr>
              <w:t>7.4</w:t>
            </w:r>
          </w:p>
        </w:tc>
        <w:tc>
          <w:tcPr>
            <w:tcW w:w="907" w:type="dxa"/>
            <w:tcBorders>
              <w:top w:val="single" w:sz="2" w:space="0" w:color="auto"/>
              <w:bottom w:val="single" w:sz="2" w:space="0" w:color="auto"/>
            </w:tcBorders>
            <w:vAlign w:val="bottom"/>
          </w:tcPr>
          <w:p w14:paraId="652B58EC" w14:textId="77777777" w:rsidR="00773F7B" w:rsidRPr="000606CD" w:rsidRDefault="00773F7B" w:rsidP="00773F7B">
            <w:pPr>
              <w:pStyle w:val="T2"/>
              <w:jc w:val="right"/>
            </w:pPr>
            <w:r w:rsidRPr="0096767F">
              <w:rPr>
                <w:rFonts w:ascii="Calibri" w:hAnsi="Calibri" w:cs="Calibri"/>
                <w:bCs/>
              </w:rPr>
              <w:t>6.8</w:t>
            </w:r>
          </w:p>
        </w:tc>
      </w:tr>
      <w:tr w:rsidR="00834013" w:rsidRPr="00C75824" w14:paraId="35CBB668" w14:textId="77777777" w:rsidTr="005B3BEE">
        <w:trPr>
          <w:jc w:val="center"/>
        </w:trPr>
        <w:tc>
          <w:tcPr>
            <w:tcW w:w="4394" w:type="dxa"/>
            <w:tcBorders>
              <w:top w:val="single" w:sz="2" w:space="0" w:color="auto"/>
            </w:tcBorders>
            <w:vAlign w:val="bottom"/>
          </w:tcPr>
          <w:p w14:paraId="3D3AF045" w14:textId="77777777" w:rsidR="00773F7B" w:rsidRPr="000606CD" w:rsidRDefault="00773F7B" w:rsidP="00773F7B">
            <w:pPr>
              <w:pStyle w:val="T2"/>
              <w:jc w:val="left"/>
              <w:rPr>
                <w:rFonts w:cs="Calibri"/>
              </w:rPr>
            </w:pPr>
            <w:r w:rsidRPr="000606CD">
              <w:rPr>
                <w:rFonts w:cs="Calibri"/>
              </w:rPr>
              <w:t>Employee share</w:t>
            </w:r>
            <w:r>
              <w:rPr>
                <w:rFonts w:cs="Calibri"/>
              </w:rPr>
              <w:t>–</w:t>
            </w:r>
            <w:r w:rsidRPr="000606CD">
              <w:rPr>
                <w:rFonts w:cs="Calibri"/>
              </w:rPr>
              <w:t>based payment expense</w:t>
            </w:r>
          </w:p>
        </w:tc>
        <w:tc>
          <w:tcPr>
            <w:tcW w:w="907" w:type="dxa"/>
            <w:tcBorders>
              <w:top w:val="single" w:sz="2" w:space="0" w:color="auto"/>
            </w:tcBorders>
            <w:vAlign w:val="bottom"/>
          </w:tcPr>
          <w:p w14:paraId="19205CC9" w14:textId="77777777" w:rsidR="00773F7B" w:rsidRPr="000606CD" w:rsidRDefault="00773F7B" w:rsidP="00773F7B">
            <w:pPr>
              <w:pStyle w:val="T2"/>
              <w:jc w:val="right"/>
              <w:rPr>
                <w:rFonts w:cs="Calibri"/>
              </w:rPr>
            </w:pPr>
            <w:r w:rsidRPr="0096767F">
              <w:rPr>
                <w:bCs/>
              </w:rPr>
              <w:t>1.5</w:t>
            </w:r>
          </w:p>
        </w:tc>
        <w:tc>
          <w:tcPr>
            <w:tcW w:w="907" w:type="dxa"/>
            <w:tcBorders>
              <w:top w:val="single" w:sz="2" w:space="0" w:color="auto"/>
            </w:tcBorders>
            <w:vAlign w:val="bottom"/>
          </w:tcPr>
          <w:p w14:paraId="09945D12" w14:textId="77777777" w:rsidR="00773F7B" w:rsidRPr="000606CD" w:rsidRDefault="00773F7B" w:rsidP="00773F7B">
            <w:pPr>
              <w:pStyle w:val="T2"/>
              <w:jc w:val="right"/>
              <w:rPr>
                <w:rFonts w:cs="Calibri"/>
              </w:rPr>
            </w:pPr>
            <w:r w:rsidRPr="0096767F">
              <w:rPr>
                <w:bCs/>
              </w:rPr>
              <w:t>–</w:t>
            </w:r>
          </w:p>
        </w:tc>
        <w:tc>
          <w:tcPr>
            <w:tcW w:w="1437" w:type="dxa"/>
            <w:tcBorders>
              <w:top w:val="single" w:sz="2" w:space="0" w:color="auto"/>
            </w:tcBorders>
            <w:vAlign w:val="bottom"/>
          </w:tcPr>
          <w:p w14:paraId="1BC32B0C" w14:textId="77777777" w:rsidR="00773F7B" w:rsidRPr="000606CD" w:rsidRDefault="00773F7B" w:rsidP="00773F7B">
            <w:pPr>
              <w:pStyle w:val="T2"/>
              <w:jc w:val="right"/>
              <w:rPr>
                <w:rFonts w:cs="Calibri"/>
              </w:rPr>
            </w:pPr>
            <w:r w:rsidRPr="0096767F">
              <w:rPr>
                <w:bCs/>
              </w:rPr>
              <w:t>–</w:t>
            </w:r>
          </w:p>
        </w:tc>
        <w:tc>
          <w:tcPr>
            <w:tcW w:w="904" w:type="dxa"/>
            <w:tcBorders>
              <w:top w:val="single" w:sz="2" w:space="0" w:color="auto"/>
            </w:tcBorders>
            <w:vAlign w:val="bottom"/>
          </w:tcPr>
          <w:p w14:paraId="295724FB" w14:textId="77777777" w:rsidR="00773F7B" w:rsidRPr="000606CD" w:rsidRDefault="00773F7B" w:rsidP="00773F7B">
            <w:pPr>
              <w:pStyle w:val="T2"/>
              <w:jc w:val="right"/>
              <w:rPr>
                <w:rFonts w:cs="Calibri"/>
              </w:rPr>
            </w:pPr>
            <w:r w:rsidRPr="0096767F">
              <w:rPr>
                <w:bCs/>
              </w:rPr>
              <w:t>–</w:t>
            </w:r>
          </w:p>
        </w:tc>
        <w:tc>
          <w:tcPr>
            <w:tcW w:w="1033" w:type="dxa"/>
            <w:tcBorders>
              <w:top w:val="single" w:sz="2" w:space="0" w:color="auto"/>
            </w:tcBorders>
            <w:vAlign w:val="bottom"/>
          </w:tcPr>
          <w:p w14:paraId="0F327ED0" w14:textId="77777777" w:rsidR="00773F7B" w:rsidRPr="000606CD" w:rsidRDefault="00773F7B" w:rsidP="00773F7B">
            <w:pPr>
              <w:pStyle w:val="T2"/>
              <w:jc w:val="right"/>
              <w:rPr>
                <w:rFonts w:cs="Calibri"/>
              </w:rPr>
            </w:pPr>
            <w:r w:rsidRPr="0096767F">
              <w:rPr>
                <w:bCs/>
              </w:rPr>
              <w:t>–</w:t>
            </w:r>
          </w:p>
        </w:tc>
        <w:tc>
          <w:tcPr>
            <w:tcW w:w="907" w:type="dxa"/>
            <w:tcBorders>
              <w:top w:val="single" w:sz="2" w:space="0" w:color="auto"/>
            </w:tcBorders>
            <w:vAlign w:val="bottom"/>
          </w:tcPr>
          <w:p w14:paraId="1F37ABEF" w14:textId="77777777" w:rsidR="00773F7B" w:rsidRPr="000606CD" w:rsidRDefault="00773F7B" w:rsidP="00773F7B">
            <w:pPr>
              <w:pStyle w:val="T2"/>
              <w:jc w:val="right"/>
              <w:rPr>
                <w:rFonts w:cs="Calibri"/>
              </w:rPr>
            </w:pPr>
            <w:r w:rsidRPr="0096767F">
              <w:rPr>
                <w:bCs/>
              </w:rPr>
              <w:t>1.5</w:t>
            </w:r>
          </w:p>
        </w:tc>
      </w:tr>
      <w:tr w:rsidR="00834013" w:rsidRPr="00C75824" w14:paraId="78CBF6B3" w14:textId="77777777" w:rsidTr="005B3BEE">
        <w:trPr>
          <w:jc w:val="center"/>
        </w:trPr>
        <w:tc>
          <w:tcPr>
            <w:tcW w:w="4394" w:type="dxa"/>
            <w:vAlign w:val="bottom"/>
          </w:tcPr>
          <w:p w14:paraId="632191AA" w14:textId="77777777" w:rsidR="00773F7B" w:rsidRPr="000606CD" w:rsidRDefault="00773F7B" w:rsidP="00773F7B">
            <w:pPr>
              <w:pStyle w:val="T2"/>
              <w:jc w:val="left"/>
              <w:rPr>
                <w:rFonts w:cs="Calibri"/>
              </w:rPr>
            </w:pPr>
            <w:r w:rsidRPr="000606CD">
              <w:rPr>
                <w:rFonts w:cs="Calibri"/>
              </w:rPr>
              <w:t>Exercise, lapse or forfeit of share</w:t>
            </w:r>
            <w:r>
              <w:rPr>
                <w:rFonts w:cs="Calibri"/>
              </w:rPr>
              <w:t>–</w:t>
            </w:r>
            <w:r w:rsidRPr="000606CD">
              <w:rPr>
                <w:rFonts w:cs="Calibri"/>
              </w:rPr>
              <w:t>based payments</w:t>
            </w:r>
          </w:p>
        </w:tc>
        <w:tc>
          <w:tcPr>
            <w:tcW w:w="907" w:type="dxa"/>
            <w:vAlign w:val="bottom"/>
          </w:tcPr>
          <w:p w14:paraId="19DE1774" w14:textId="77777777" w:rsidR="00773F7B" w:rsidRPr="000606CD" w:rsidRDefault="00773F7B" w:rsidP="00773F7B">
            <w:pPr>
              <w:pStyle w:val="T2"/>
              <w:jc w:val="right"/>
              <w:rPr>
                <w:rFonts w:cs="Calibri"/>
              </w:rPr>
            </w:pPr>
            <w:r w:rsidRPr="0096767F">
              <w:rPr>
                <w:bCs/>
              </w:rPr>
              <w:t>(1.5)</w:t>
            </w:r>
          </w:p>
        </w:tc>
        <w:tc>
          <w:tcPr>
            <w:tcW w:w="907" w:type="dxa"/>
            <w:vAlign w:val="bottom"/>
          </w:tcPr>
          <w:p w14:paraId="783677CE" w14:textId="77777777" w:rsidR="00773F7B" w:rsidRPr="000606CD" w:rsidRDefault="00773F7B" w:rsidP="00773F7B">
            <w:pPr>
              <w:pStyle w:val="T2"/>
              <w:jc w:val="right"/>
              <w:rPr>
                <w:rFonts w:cs="Calibri"/>
              </w:rPr>
            </w:pPr>
            <w:r w:rsidRPr="0096767F">
              <w:rPr>
                <w:bCs/>
              </w:rPr>
              <w:t>–</w:t>
            </w:r>
          </w:p>
        </w:tc>
        <w:tc>
          <w:tcPr>
            <w:tcW w:w="1437" w:type="dxa"/>
            <w:vAlign w:val="bottom"/>
          </w:tcPr>
          <w:p w14:paraId="5C9F22A7" w14:textId="77777777" w:rsidR="00773F7B" w:rsidRPr="000606CD" w:rsidRDefault="00773F7B" w:rsidP="00773F7B">
            <w:pPr>
              <w:pStyle w:val="T2"/>
              <w:jc w:val="right"/>
              <w:rPr>
                <w:rFonts w:cs="Calibri"/>
              </w:rPr>
            </w:pPr>
            <w:r w:rsidRPr="0096767F">
              <w:rPr>
                <w:bCs/>
              </w:rPr>
              <w:t>–</w:t>
            </w:r>
          </w:p>
        </w:tc>
        <w:tc>
          <w:tcPr>
            <w:tcW w:w="904" w:type="dxa"/>
            <w:vAlign w:val="bottom"/>
          </w:tcPr>
          <w:p w14:paraId="60015495" w14:textId="77777777" w:rsidR="00773F7B" w:rsidRPr="000606CD" w:rsidRDefault="00773F7B" w:rsidP="00773F7B">
            <w:pPr>
              <w:pStyle w:val="T2"/>
              <w:jc w:val="right"/>
              <w:rPr>
                <w:rFonts w:cs="Calibri"/>
              </w:rPr>
            </w:pPr>
            <w:r w:rsidRPr="0096767F">
              <w:rPr>
                <w:bCs/>
              </w:rPr>
              <w:t>–</w:t>
            </w:r>
          </w:p>
        </w:tc>
        <w:tc>
          <w:tcPr>
            <w:tcW w:w="1033" w:type="dxa"/>
            <w:vAlign w:val="bottom"/>
          </w:tcPr>
          <w:p w14:paraId="2E16B1E5" w14:textId="77777777" w:rsidR="00773F7B" w:rsidRPr="000606CD" w:rsidRDefault="00773F7B" w:rsidP="00773F7B">
            <w:pPr>
              <w:pStyle w:val="T2"/>
              <w:jc w:val="right"/>
              <w:rPr>
                <w:rFonts w:cs="Calibri"/>
              </w:rPr>
            </w:pPr>
            <w:r w:rsidRPr="0096767F">
              <w:rPr>
                <w:bCs/>
              </w:rPr>
              <w:t>–</w:t>
            </w:r>
          </w:p>
        </w:tc>
        <w:tc>
          <w:tcPr>
            <w:tcW w:w="907" w:type="dxa"/>
            <w:vAlign w:val="bottom"/>
          </w:tcPr>
          <w:p w14:paraId="37B368E5" w14:textId="77777777" w:rsidR="00773F7B" w:rsidRPr="000606CD" w:rsidRDefault="00773F7B" w:rsidP="00773F7B">
            <w:pPr>
              <w:pStyle w:val="T2"/>
              <w:jc w:val="right"/>
              <w:rPr>
                <w:rFonts w:cs="Calibri"/>
              </w:rPr>
            </w:pPr>
            <w:r w:rsidRPr="0096767F">
              <w:rPr>
                <w:bCs/>
              </w:rPr>
              <w:t>(1.5)</w:t>
            </w:r>
          </w:p>
        </w:tc>
      </w:tr>
      <w:tr w:rsidR="00834013" w:rsidRPr="00C75824" w14:paraId="160218B5" w14:textId="77777777" w:rsidTr="005B3BEE">
        <w:trPr>
          <w:jc w:val="center"/>
        </w:trPr>
        <w:tc>
          <w:tcPr>
            <w:tcW w:w="4394" w:type="dxa"/>
            <w:vAlign w:val="bottom"/>
          </w:tcPr>
          <w:p w14:paraId="43C4253E" w14:textId="77777777" w:rsidR="00773F7B" w:rsidRPr="000606CD" w:rsidRDefault="00773F7B" w:rsidP="00773F7B">
            <w:pPr>
              <w:pStyle w:val="T2"/>
              <w:jc w:val="left"/>
              <w:rPr>
                <w:rFonts w:cs="Calibri"/>
              </w:rPr>
            </w:pPr>
            <w:r w:rsidRPr="000606CD">
              <w:rPr>
                <w:rFonts w:cs="Calibri"/>
              </w:rPr>
              <w:t>Shares acquired by Employee Benefit Trust</w:t>
            </w:r>
          </w:p>
        </w:tc>
        <w:tc>
          <w:tcPr>
            <w:tcW w:w="907" w:type="dxa"/>
            <w:vAlign w:val="bottom"/>
          </w:tcPr>
          <w:p w14:paraId="56D58ADF" w14:textId="77777777" w:rsidR="00773F7B" w:rsidRPr="000606CD" w:rsidRDefault="00773F7B" w:rsidP="00773F7B">
            <w:pPr>
              <w:pStyle w:val="T2"/>
              <w:jc w:val="right"/>
              <w:rPr>
                <w:rFonts w:cs="Calibri"/>
              </w:rPr>
            </w:pPr>
            <w:r w:rsidRPr="0096767F">
              <w:rPr>
                <w:bCs/>
              </w:rPr>
              <w:t>–</w:t>
            </w:r>
          </w:p>
        </w:tc>
        <w:tc>
          <w:tcPr>
            <w:tcW w:w="907" w:type="dxa"/>
            <w:vAlign w:val="bottom"/>
          </w:tcPr>
          <w:p w14:paraId="593D7490" w14:textId="77777777" w:rsidR="00773F7B" w:rsidRPr="000606CD" w:rsidRDefault="00773F7B" w:rsidP="00773F7B">
            <w:pPr>
              <w:pStyle w:val="T2"/>
              <w:jc w:val="right"/>
              <w:rPr>
                <w:rFonts w:cs="Calibri"/>
              </w:rPr>
            </w:pPr>
            <w:r w:rsidRPr="0096767F">
              <w:rPr>
                <w:bCs/>
              </w:rPr>
              <w:t>(0.8)</w:t>
            </w:r>
          </w:p>
        </w:tc>
        <w:tc>
          <w:tcPr>
            <w:tcW w:w="1437" w:type="dxa"/>
            <w:vAlign w:val="bottom"/>
          </w:tcPr>
          <w:p w14:paraId="25AD9334" w14:textId="77777777" w:rsidR="00773F7B" w:rsidRPr="000606CD" w:rsidRDefault="00773F7B" w:rsidP="00773F7B">
            <w:pPr>
              <w:pStyle w:val="T2"/>
              <w:jc w:val="right"/>
              <w:rPr>
                <w:rFonts w:cs="Calibri"/>
              </w:rPr>
            </w:pPr>
            <w:r w:rsidRPr="0096767F">
              <w:rPr>
                <w:bCs/>
              </w:rPr>
              <w:t>–</w:t>
            </w:r>
          </w:p>
        </w:tc>
        <w:tc>
          <w:tcPr>
            <w:tcW w:w="904" w:type="dxa"/>
            <w:vAlign w:val="bottom"/>
          </w:tcPr>
          <w:p w14:paraId="0EF4F208" w14:textId="77777777" w:rsidR="00773F7B" w:rsidRPr="000606CD" w:rsidRDefault="00773F7B" w:rsidP="00773F7B">
            <w:pPr>
              <w:pStyle w:val="T2"/>
              <w:jc w:val="right"/>
              <w:rPr>
                <w:rFonts w:cs="Calibri"/>
              </w:rPr>
            </w:pPr>
            <w:r w:rsidRPr="0096767F">
              <w:rPr>
                <w:bCs/>
              </w:rPr>
              <w:t>–</w:t>
            </w:r>
          </w:p>
        </w:tc>
        <w:tc>
          <w:tcPr>
            <w:tcW w:w="1033" w:type="dxa"/>
            <w:vAlign w:val="bottom"/>
          </w:tcPr>
          <w:p w14:paraId="65F5E2F6" w14:textId="77777777" w:rsidR="00773F7B" w:rsidRPr="000606CD" w:rsidRDefault="00773F7B" w:rsidP="00773F7B">
            <w:pPr>
              <w:pStyle w:val="T2"/>
              <w:jc w:val="right"/>
              <w:rPr>
                <w:rFonts w:cs="Calibri"/>
              </w:rPr>
            </w:pPr>
            <w:r w:rsidRPr="0096767F">
              <w:rPr>
                <w:bCs/>
              </w:rPr>
              <w:t>–</w:t>
            </w:r>
          </w:p>
        </w:tc>
        <w:tc>
          <w:tcPr>
            <w:tcW w:w="907" w:type="dxa"/>
            <w:vAlign w:val="bottom"/>
          </w:tcPr>
          <w:p w14:paraId="2510F134" w14:textId="77777777" w:rsidR="00773F7B" w:rsidRPr="000606CD" w:rsidRDefault="00773F7B" w:rsidP="00773F7B">
            <w:pPr>
              <w:pStyle w:val="T2"/>
              <w:jc w:val="right"/>
              <w:rPr>
                <w:rFonts w:cs="Calibri"/>
              </w:rPr>
            </w:pPr>
            <w:r w:rsidRPr="0096767F">
              <w:rPr>
                <w:bCs/>
              </w:rPr>
              <w:t>(0.8)</w:t>
            </w:r>
          </w:p>
        </w:tc>
      </w:tr>
      <w:tr w:rsidR="00834013" w:rsidRPr="00C75824" w14:paraId="36C3BCA6" w14:textId="77777777" w:rsidTr="005B3BEE">
        <w:trPr>
          <w:jc w:val="center"/>
        </w:trPr>
        <w:tc>
          <w:tcPr>
            <w:tcW w:w="4394" w:type="dxa"/>
            <w:vAlign w:val="bottom"/>
          </w:tcPr>
          <w:p w14:paraId="697A8FCC" w14:textId="77777777" w:rsidR="00773F7B" w:rsidRPr="000606CD" w:rsidRDefault="00773F7B" w:rsidP="00773F7B">
            <w:pPr>
              <w:pStyle w:val="T2"/>
              <w:jc w:val="left"/>
              <w:rPr>
                <w:rFonts w:cs="Calibri"/>
              </w:rPr>
            </w:pPr>
            <w:r w:rsidRPr="000606CD">
              <w:rPr>
                <w:rFonts w:cs="Calibri"/>
              </w:rPr>
              <w:t>Transfer to Retained Earnings on grant of shares to beneficiaries of the Employee Benefit Trust</w:t>
            </w:r>
          </w:p>
        </w:tc>
        <w:tc>
          <w:tcPr>
            <w:tcW w:w="907" w:type="dxa"/>
            <w:vAlign w:val="bottom"/>
          </w:tcPr>
          <w:p w14:paraId="1DEB8038" w14:textId="77777777" w:rsidR="00773F7B" w:rsidRPr="000606CD" w:rsidRDefault="00773F7B" w:rsidP="00773F7B">
            <w:pPr>
              <w:pStyle w:val="T2"/>
              <w:jc w:val="right"/>
              <w:rPr>
                <w:rFonts w:cs="Calibri"/>
              </w:rPr>
            </w:pPr>
            <w:r w:rsidRPr="0096767F">
              <w:rPr>
                <w:bCs/>
              </w:rPr>
              <w:t>–</w:t>
            </w:r>
          </w:p>
        </w:tc>
        <w:tc>
          <w:tcPr>
            <w:tcW w:w="907" w:type="dxa"/>
            <w:vAlign w:val="bottom"/>
          </w:tcPr>
          <w:p w14:paraId="6EA2A887" w14:textId="77777777" w:rsidR="00773F7B" w:rsidRPr="000606CD" w:rsidRDefault="00773F7B" w:rsidP="00773F7B">
            <w:pPr>
              <w:pStyle w:val="T2"/>
              <w:jc w:val="right"/>
              <w:rPr>
                <w:rFonts w:cs="Calibri"/>
              </w:rPr>
            </w:pPr>
            <w:r w:rsidRPr="0096767F">
              <w:rPr>
                <w:bCs/>
              </w:rPr>
              <w:t>0.7</w:t>
            </w:r>
          </w:p>
        </w:tc>
        <w:tc>
          <w:tcPr>
            <w:tcW w:w="1437" w:type="dxa"/>
            <w:vAlign w:val="bottom"/>
          </w:tcPr>
          <w:p w14:paraId="7128281E" w14:textId="77777777" w:rsidR="00773F7B" w:rsidRPr="000606CD" w:rsidRDefault="00773F7B" w:rsidP="00773F7B">
            <w:pPr>
              <w:pStyle w:val="T2"/>
              <w:jc w:val="right"/>
              <w:rPr>
                <w:rFonts w:cs="Calibri"/>
              </w:rPr>
            </w:pPr>
            <w:r w:rsidRPr="0096767F">
              <w:rPr>
                <w:bCs/>
              </w:rPr>
              <w:t>–</w:t>
            </w:r>
          </w:p>
        </w:tc>
        <w:tc>
          <w:tcPr>
            <w:tcW w:w="904" w:type="dxa"/>
            <w:vAlign w:val="bottom"/>
          </w:tcPr>
          <w:p w14:paraId="2C980873" w14:textId="77777777" w:rsidR="00773F7B" w:rsidRPr="000606CD" w:rsidRDefault="00773F7B" w:rsidP="00773F7B">
            <w:pPr>
              <w:pStyle w:val="T2"/>
              <w:jc w:val="right"/>
              <w:rPr>
                <w:rFonts w:cs="Calibri"/>
              </w:rPr>
            </w:pPr>
            <w:r w:rsidRPr="0096767F">
              <w:rPr>
                <w:bCs/>
              </w:rPr>
              <w:t>–</w:t>
            </w:r>
          </w:p>
        </w:tc>
        <w:tc>
          <w:tcPr>
            <w:tcW w:w="1033" w:type="dxa"/>
            <w:vAlign w:val="bottom"/>
          </w:tcPr>
          <w:p w14:paraId="5F88FFDD" w14:textId="77777777" w:rsidR="00773F7B" w:rsidRPr="000606CD" w:rsidRDefault="00773F7B" w:rsidP="00773F7B">
            <w:pPr>
              <w:pStyle w:val="T2"/>
              <w:jc w:val="right"/>
              <w:rPr>
                <w:rFonts w:cs="Calibri"/>
              </w:rPr>
            </w:pPr>
            <w:r w:rsidRPr="0096767F">
              <w:rPr>
                <w:bCs/>
              </w:rPr>
              <w:t>–</w:t>
            </w:r>
          </w:p>
        </w:tc>
        <w:tc>
          <w:tcPr>
            <w:tcW w:w="907" w:type="dxa"/>
            <w:vAlign w:val="bottom"/>
          </w:tcPr>
          <w:p w14:paraId="25CCA431" w14:textId="77777777" w:rsidR="00773F7B" w:rsidRPr="000606CD" w:rsidRDefault="00773F7B" w:rsidP="00773F7B">
            <w:pPr>
              <w:pStyle w:val="T2"/>
              <w:jc w:val="right"/>
              <w:rPr>
                <w:rFonts w:cs="Calibri"/>
              </w:rPr>
            </w:pPr>
            <w:r w:rsidRPr="0096767F">
              <w:rPr>
                <w:bCs/>
              </w:rPr>
              <w:t>0.7</w:t>
            </w:r>
          </w:p>
        </w:tc>
      </w:tr>
      <w:tr w:rsidR="00834013" w:rsidRPr="00C75824" w14:paraId="3464B8D4" w14:textId="77777777" w:rsidTr="005B3BEE">
        <w:trPr>
          <w:jc w:val="center"/>
        </w:trPr>
        <w:tc>
          <w:tcPr>
            <w:tcW w:w="4394" w:type="dxa"/>
            <w:tcBorders>
              <w:bottom w:val="single" w:sz="4" w:space="0" w:color="auto"/>
            </w:tcBorders>
            <w:vAlign w:val="bottom"/>
          </w:tcPr>
          <w:p w14:paraId="0E2905C6" w14:textId="77777777" w:rsidR="00773F7B" w:rsidRPr="000606CD" w:rsidRDefault="00773F7B" w:rsidP="00773F7B">
            <w:pPr>
              <w:pStyle w:val="T2"/>
              <w:jc w:val="left"/>
              <w:rPr>
                <w:rFonts w:cs="Calibri"/>
              </w:rPr>
            </w:pPr>
            <w:r>
              <w:t>Capital return via tender offer</w:t>
            </w:r>
          </w:p>
        </w:tc>
        <w:tc>
          <w:tcPr>
            <w:tcW w:w="907" w:type="dxa"/>
            <w:tcBorders>
              <w:bottom w:val="single" w:sz="4" w:space="0" w:color="auto"/>
            </w:tcBorders>
            <w:vAlign w:val="bottom"/>
          </w:tcPr>
          <w:p w14:paraId="56CF2BC2" w14:textId="77777777" w:rsidR="00773F7B" w:rsidRPr="000606CD" w:rsidRDefault="00773F7B" w:rsidP="00773F7B">
            <w:pPr>
              <w:pStyle w:val="T2"/>
              <w:jc w:val="right"/>
              <w:rPr>
                <w:rFonts w:cs="Calibri"/>
              </w:rPr>
            </w:pPr>
            <w:r w:rsidRPr="0096767F">
              <w:rPr>
                <w:bCs/>
              </w:rPr>
              <w:t>–</w:t>
            </w:r>
          </w:p>
        </w:tc>
        <w:tc>
          <w:tcPr>
            <w:tcW w:w="907" w:type="dxa"/>
            <w:tcBorders>
              <w:bottom w:val="single" w:sz="4" w:space="0" w:color="auto"/>
            </w:tcBorders>
            <w:vAlign w:val="bottom"/>
          </w:tcPr>
          <w:p w14:paraId="64CE9F78" w14:textId="77777777" w:rsidR="00773F7B" w:rsidRPr="000606CD" w:rsidRDefault="00773F7B" w:rsidP="00773F7B">
            <w:pPr>
              <w:pStyle w:val="T2"/>
              <w:jc w:val="right"/>
              <w:rPr>
                <w:rFonts w:cs="Calibri"/>
              </w:rPr>
            </w:pPr>
            <w:r w:rsidRPr="0096767F">
              <w:rPr>
                <w:bCs/>
              </w:rPr>
              <w:t>–</w:t>
            </w:r>
          </w:p>
        </w:tc>
        <w:tc>
          <w:tcPr>
            <w:tcW w:w="1437" w:type="dxa"/>
            <w:tcBorders>
              <w:bottom w:val="single" w:sz="4" w:space="0" w:color="auto"/>
            </w:tcBorders>
            <w:vAlign w:val="bottom"/>
          </w:tcPr>
          <w:p w14:paraId="65C8B14F" w14:textId="77777777" w:rsidR="00773F7B" w:rsidRPr="000606CD" w:rsidRDefault="00773F7B" w:rsidP="00773F7B">
            <w:pPr>
              <w:pStyle w:val="T2"/>
              <w:jc w:val="right"/>
              <w:rPr>
                <w:rFonts w:cs="Calibri"/>
              </w:rPr>
            </w:pPr>
            <w:r w:rsidRPr="0096767F">
              <w:rPr>
                <w:bCs/>
              </w:rPr>
              <w:t>2.6</w:t>
            </w:r>
          </w:p>
        </w:tc>
        <w:tc>
          <w:tcPr>
            <w:tcW w:w="904" w:type="dxa"/>
            <w:tcBorders>
              <w:bottom w:val="single" w:sz="4" w:space="0" w:color="auto"/>
            </w:tcBorders>
            <w:vAlign w:val="bottom"/>
          </w:tcPr>
          <w:p w14:paraId="5F47010F" w14:textId="77777777" w:rsidR="00773F7B" w:rsidRPr="000606CD" w:rsidRDefault="00773F7B" w:rsidP="00773F7B">
            <w:pPr>
              <w:pStyle w:val="T2"/>
              <w:jc w:val="right"/>
              <w:rPr>
                <w:rFonts w:cs="Calibri"/>
              </w:rPr>
            </w:pPr>
            <w:r w:rsidRPr="0096767F">
              <w:rPr>
                <w:bCs/>
              </w:rPr>
              <w:t>–</w:t>
            </w:r>
          </w:p>
        </w:tc>
        <w:tc>
          <w:tcPr>
            <w:tcW w:w="1033" w:type="dxa"/>
            <w:tcBorders>
              <w:bottom w:val="single" w:sz="4" w:space="0" w:color="auto"/>
            </w:tcBorders>
            <w:vAlign w:val="bottom"/>
          </w:tcPr>
          <w:p w14:paraId="420082BA" w14:textId="77777777" w:rsidR="00773F7B" w:rsidRPr="000606CD" w:rsidRDefault="00773F7B" w:rsidP="00773F7B">
            <w:pPr>
              <w:pStyle w:val="T2"/>
              <w:jc w:val="right"/>
              <w:rPr>
                <w:rFonts w:cs="Calibri"/>
              </w:rPr>
            </w:pPr>
            <w:r w:rsidRPr="0096767F">
              <w:rPr>
                <w:bCs/>
              </w:rPr>
              <w:t>–</w:t>
            </w:r>
          </w:p>
        </w:tc>
        <w:tc>
          <w:tcPr>
            <w:tcW w:w="907" w:type="dxa"/>
            <w:tcBorders>
              <w:bottom w:val="single" w:sz="4" w:space="0" w:color="auto"/>
            </w:tcBorders>
            <w:vAlign w:val="bottom"/>
          </w:tcPr>
          <w:p w14:paraId="28A3F117" w14:textId="77777777" w:rsidR="00773F7B" w:rsidRPr="000606CD" w:rsidRDefault="00773F7B" w:rsidP="00773F7B">
            <w:pPr>
              <w:pStyle w:val="T2"/>
              <w:jc w:val="right"/>
              <w:rPr>
                <w:rFonts w:cs="Calibri"/>
              </w:rPr>
            </w:pPr>
            <w:r w:rsidRPr="0096767F">
              <w:rPr>
                <w:bCs/>
              </w:rPr>
              <w:t>2.6</w:t>
            </w:r>
          </w:p>
        </w:tc>
      </w:tr>
      <w:tr w:rsidR="00834013" w:rsidRPr="00C75824" w14:paraId="6FA41468" w14:textId="77777777" w:rsidTr="005B3BEE">
        <w:trPr>
          <w:jc w:val="center"/>
        </w:trPr>
        <w:tc>
          <w:tcPr>
            <w:tcW w:w="4394" w:type="dxa"/>
            <w:tcBorders>
              <w:top w:val="single" w:sz="4" w:space="0" w:color="auto"/>
              <w:bottom w:val="single" w:sz="8" w:space="0" w:color="auto"/>
            </w:tcBorders>
            <w:vAlign w:val="bottom"/>
          </w:tcPr>
          <w:p w14:paraId="17135CB5" w14:textId="77777777" w:rsidR="00773F7B" w:rsidRPr="00E02FFC" w:rsidRDefault="00773F7B" w:rsidP="00773F7B">
            <w:pPr>
              <w:pStyle w:val="T2"/>
              <w:jc w:val="left"/>
              <w:rPr>
                <w:b/>
              </w:rPr>
            </w:pPr>
            <w:r w:rsidRPr="00E02FFC">
              <w:rPr>
                <w:b/>
              </w:rPr>
              <w:t xml:space="preserve">At </w:t>
            </w:r>
            <w:r>
              <w:rPr>
                <w:b/>
              </w:rPr>
              <w:t>29</w:t>
            </w:r>
            <w:r w:rsidRPr="00E02FFC">
              <w:rPr>
                <w:b/>
              </w:rPr>
              <w:t xml:space="preserve"> March 201</w:t>
            </w:r>
            <w:r>
              <w:rPr>
                <w:b/>
              </w:rPr>
              <w:t>9</w:t>
            </w:r>
          </w:p>
        </w:tc>
        <w:tc>
          <w:tcPr>
            <w:tcW w:w="907" w:type="dxa"/>
            <w:tcBorders>
              <w:top w:val="single" w:sz="4" w:space="0" w:color="auto"/>
              <w:bottom w:val="single" w:sz="8" w:space="0" w:color="auto"/>
            </w:tcBorders>
            <w:vAlign w:val="bottom"/>
          </w:tcPr>
          <w:p w14:paraId="5CD84E5D" w14:textId="77777777" w:rsidR="00773F7B" w:rsidRPr="000606CD" w:rsidRDefault="00773F7B" w:rsidP="00773F7B">
            <w:pPr>
              <w:pStyle w:val="T2"/>
              <w:jc w:val="right"/>
              <w:rPr>
                <w:rFonts w:cs="Calibri"/>
              </w:rPr>
            </w:pPr>
            <w:r w:rsidRPr="0096767F">
              <w:rPr>
                <w:bCs/>
              </w:rPr>
              <w:t>4.2</w:t>
            </w:r>
          </w:p>
        </w:tc>
        <w:tc>
          <w:tcPr>
            <w:tcW w:w="907" w:type="dxa"/>
            <w:tcBorders>
              <w:top w:val="single" w:sz="4" w:space="0" w:color="auto"/>
              <w:bottom w:val="single" w:sz="8" w:space="0" w:color="auto"/>
            </w:tcBorders>
            <w:vAlign w:val="bottom"/>
          </w:tcPr>
          <w:p w14:paraId="714331FB" w14:textId="77777777" w:rsidR="00773F7B" w:rsidRPr="000606CD" w:rsidRDefault="00773F7B" w:rsidP="00773F7B">
            <w:pPr>
              <w:pStyle w:val="T2"/>
              <w:jc w:val="right"/>
              <w:rPr>
                <w:rFonts w:cs="Calibri"/>
              </w:rPr>
            </w:pPr>
            <w:r w:rsidRPr="0096767F">
              <w:rPr>
                <w:bCs/>
              </w:rPr>
              <w:t>(8.2)</w:t>
            </w:r>
          </w:p>
        </w:tc>
        <w:tc>
          <w:tcPr>
            <w:tcW w:w="1437" w:type="dxa"/>
            <w:tcBorders>
              <w:top w:val="single" w:sz="4" w:space="0" w:color="auto"/>
              <w:bottom w:val="single" w:sz="8" w:space="0" w:color="auto"/>
            </w:tcBorders>
            <w:vAlign w:val="bottom"/>
          </w:tcPr>
          <w:p w14:paraId="39E14F1D" w14:textId="77777777" w:rsidR="00773F7B" w:rsidRPr="000606CD" w:rsidRDefault="00773F7B" w:rsidP="00773F7B">
            <w:pPr>
              <w:pStyle w:val="T2"/>
              <w:jc w:val="right"/>
              <w:rPr>
                <w:rFonts w:cs="Calibri"/>
              </w:rPr>
            </w:pPr>
            <w:r w:rsidRPr="0096767F">
              <w:rPr>
                <w:bCs/>
              </w:rPr>
              <w:t>120.4</w:t>
            </w:r>
          </w:p>
        </w:tc>
        <w:tc>
          <w:tcPr>
            <w:tcW w:w="904" w:type="dxa"/>
            <w:tcBorders>
              <w:top w:val="single" w:sz="4" w:space="0" w:color="auto"/>
              <w:bottom w:val="single" w:sz="8" w:space="0" w:color="auto"/>
            </w:tcBorders>
            <w:vAlign w:val="bottom"/>
          </w:tcPr>
          <w:p w14:paraId="13A4D8CA" w14:textId="77777777" w:rsidR="00773F7B" w:rsidRPr="000606CD" w:rsidRDefault="00773F7B" w:rsidP="00773F7B">
            <w:pPr>
              <w:pStyle w:val="T2"/>
              <w:jc w:val="right"/>
              <w:rPr>
                <w:rFonts w:cs="Calibri"/>
              </w:rPr>
            </w:pPr>
            <w:r w:rsidRPr="0096767F">
              <w:rPr>
                <w:bCs/>
              </w:rPr>
              <w:t>(2.1)</w:t>
            </w:r>
          </w:p>
        </w:tc>
        <w:tc>
          <w:tcPr>
            <w:tcW w:w="1033" w:type="dxa"/>
            <w:tcBorders>
              <w:top w:val="single" w:sz="4" w:space="0" w:color="auto"/>
              <w:bottom w:val="single" w:sz="8" w:space="0" w:color="auto"/>
            </w:tcBorders>
            <w:vAlign w:val="bottom"/>
          </w:tcPr>
          <w:p w14:paraId="361D7B46" w14:textId="77777777" w:rsidR="00773F7B" w:rsidRPr="000606CD" w:rsidRDefault="00773F7B" w:rsidP="00773F7B">
            <w:pPr>
              <w:pStyle w:val="T2"/>
              <w:jc w:val="right"/>
              <w:rPr>
                <w:rFonts w:cs="Calibri"/>
              </w:rPr>
            </w:pPr>
            <w:r w:rsidRPr="0096767F">
              <w:rPr>
                <w:bCs/>
              </w:rPr>
              <w:t>0.1</w:t>
            </w:r>
          </w:p>
        </w:tc>
        <w:tc>
          <w:tcPr>
            <w:tcW w:w="907" w:type="dxa"/>
            <w:tcBorders>
              <w:top w:val="single" w:sz="4" w:space="0" w:color="auto"/>
              <w:bottom w:val="single" w:sz="8" w:space="0" w:color="auto"/>
            </w:tcBorders>
            <w:vAlign w:val="bottom"/>
          </w:tcPr>
          <w:p w14:paraId="240F079F" w14:textId="77777777" w:rsidR="00773F7B" w:rsidRPr="000606CD" w:rsidRDefault="00773F7B" w:rsidP="00773F7B">
            <w:pPr>
              <w:pStyle w:val="T2"/>
              <w:jc w:val="right"/>
              <w:rPr>
                <w:rFonts w:cs="Calibri"/>
              </w:rPr>
            </w:pPr>
            <w:r w:rsidRPr="0096767F">
              <w:rPr>
                <w:bCs/>
              </w:rPr>
              <w:t>114.4</w:t>
            </w:r>
          </w:p>
        </w:tc>
      </w:tr>
      <w:tr w:rsidR="00834013" w:rsidRPr="00C75824" w14:paraId="0EB9CD5C" w14:textId="77777777" w:rsidTr="005B3BEE">
        <w:trPr>
          <w:jc w:val="center"/>
        </w:trPr>
        <w:tc>
          <w:tcPr>
            <w:tcW w:w="4394" w:type="dxa"/>
            <w:tcBorders>
              <w:top w:val="single" w:sz="8" w:space="0" w:color="auto"/>
            </w:tcBorders>
            <w:vAlign w:val="bottom"/>
          </w:tcPr>
          <w:p w14:paraId="04AFDC16" w14:textId="77777777" w:rsidR="00773F7B" w:rsidRPr="00102F12" w:rsidRDefault="00773F7B" w:rsidP="00773F7B">
            <w:pPr>
              <w:pStyle w:val="T2"/>
              <w:jc w:val="left"/>
              <w:rPr>
                <w:b/>
              </w:rPr>
            </w:pPr>
          </w:p>
        </w:tc>
        <w:tc>
          <w:tcPr>
            <w:tcW w:w="907" w:type="dxa"/>
            <w:tcBorders>
              <w:top w:val="single" w:sz="8" w:space="0" w:color="auto"/>
            </w:tcBorders>
            <w:vAlign w:val="bottom"/>
          </w:tcPr>
          <w:p w14:paraId="699AE6AC" w14:textId="77777777" w:rsidR="00773F7B" w:rsidRPr="000606CD" w:rsidRDefault="00773F7B" w:rsidP="00773F7B">
            <w:pPr>
              <w:pStyle w:val="T2"/>
              <w:jc w:val="right"/>
              <w:rPr>
                <w:rFonts w:cs="Calibri"/>
              </w:rPr>
            </w:pPr>
          </w:p>
        </w:tc>
        <w:tc>
          <w:tcPr>
            <w:tcW w:w="907" w:type="dxa"/>
            <w:tcBorders>
              <w:top w:val="single" w:sz="8" w:space="0" w:color="auto"/>
            </w:tcBorders>
            <w:vAlign w:val="bottom"/>
          </w:tcPr>
          <w:p w14:paraId="7690348A" w14:textId="77777777" w:rsidR="00773F7B" w:rsidRPr="000606CD" w:rsidRDefault="00773F7B" w:rsidP="00773F7B">
            <w:pPr>
              <w:pStyle w:val="T2"/>
              <w:jc w:val="right"/>
              <w:rPr>
                <w:rFonts w:cs="Calibri"/>
              </w:rPr>
            </w:pPr>
          </w:p>
        </w:tc>
        <w:tc>
          <w:tcPr>
            <w:tcW w:w="1437" w:type="dxa"/>
            <w:tcBorders>
              <w:top w:val="single" w:sz="8" w:space="0" w:color="auto"/>
            </w:tcBorders>
            <w:vAlign w:val="bottom"/>
          </w:tcPr>
          <w:p w14:paraId="153C8D18" w14:textId="77777777" w:rsidR="00773F7B" w:rsidRPr="000606CD" w:rsidRDefault="00773F7B" w:rsidP="00773F7B">
            <w:pPr>
              <w:pStyle w:val="T2"/>
              <w:jc w:val="right"/>
              <w:rPr>
                <w:rFonts w:cs="Calibri"/>
              </w:rPr>
            </w:pPr>
          </w:p>
        </w:tc>
        <w:tc>
          <w:tcPr>
            <w:tcW w:w="904" w:type="dxa"/>
            <w:tcBorders>
              <w:top w:val="single" w:sz="8" w:space="0" w:color="auto"/>
            </w:tcBorders>
            <w:vAlign w:val="bottom"/>
          </w:tcPr>
          <w:p w14:paraId="4EFD880B" w14:textId="77777777" w:rsidR="00773F7B" w:rsidRPr="000606CD" w:rsidRDefault="00773F7B" w:rsidP="00773F7B">
            <w:pPr>
              <w:pStyle w:val="T2"/>
              <w:jc w:val="right"/>
              <w:rPr>
                <w:rFonts w:cs="Calibri"/>
              </w:rPr>
            </w:pPr>
          </w:p>
        </w:tc>
        <w:tc>
          <w:tcPr>
            <w:tcW w:w="1033" w:type="dxa"/>
            <w:tcBorders>
              <w:top w:val="single" w:sz="8" w:space="0" w:color="auto"/>
            </w:tcBorders>
            <w:vAlign w:val="bottom"/>
          </w:tcPr>
          <w:p w14:paraId="6F58DBEB" w14:textId="77777777" w:rsidR="00773F7B" w:rsidRPr="000606CD" w:rsidRDefault="00773F7B" w:rsidP="00773F7B">
            <w:pPr>
              <w:pStyle w:val="T2"/>
              <w:jc w:val="right"/>
              <w:rPr>
                <w:rFonts w:cs="Calibri"/>
              </w:rPr>
            </w:pPr>
          </w:p>
        </w:tc>
        <w:tc>
          <w:tcPr>
            <w:tcW w:w="907" w:type="dxa"/>
            <w:tcBorders>
              <w:top w:val="single" w:sz="8" w:space="0" w:color="auto"/>
            </w:tcBorders>
            <w:vAlign w:val="bottom"/>
          </w:tcPr>
          <w:p w14:paraId="3EF9C2FA" w14:textId="77777777" w:rsidR="00773F7B" w:rsidRPr="000606CD" w:rsidRDefault="00773F7B" w:rsidP="00773F7B">
            <w:pPr>
              <w:pStyle w:val="T2"/>
              <w:jc w:val="right"/>
              <w:rPr>
                <w:rFonts w:cs="Calibri"/>
              </w:rPr>
            </w:pPr>
          </w:p>
        </w:tc>
      </w:tr>
    </w:tbl>
    <w:p w14:paraId="0908026A" w14:textId="77777777" w:rsidR="00773F7B" w:rsidRDefault="00773F7B" w:rsidP="00773F7B">
      <w:pPr>
        <w:jc w:val="right"/>
        <w:sectPr w:rsidR="00773F7B" w:rsidSect="005362D7">
          <w:headerReference w:type="default" r:id="rId13"/>
          <w:pgSz w:w="11906" w:h="16838"/>
          <w:pgMar w:top="1440" w:right="1080" w:bottom="1440" w:left="1080" w:header="708" w:footer="708" w:gutter="0"/>
          <w:cols w:space="708"/>
          <w:docGrid w:linePitch="360"/>
        </w:sectPr>
      </w:pPr>
    </w:p>
    <w:p w14:paraId="135154A2" w14:textId="5C231CB8" w:rsidR="00773F7B" w:rsidRPr="000A27F7" w:rsidRDefault="00773F7B" w:rsidP="005B3BEE">
      <w:pPr>
        <w:pStyle w:val="SectionH2"/>
      </w:pPr>
      <w:r w:rsidRPr="000A27F7">
        <w:lastRenderedPageBreak/>
        <w:t>1.</w:t>
      </w:r>
      <w:r w:rsidR="000A27F7">
        <w:tab/>
      </w:r>
      <w:r w:rsidRPr="000A27F7">
        <w:t>Basis of preparation</w:t>
      </w:r>
    </w:p>
    <w:p w14:paraId="32288034" w14:textId="77777777" w:rsidR="00773F7B" w:rsidRDefault="00773F7B" w:rsidP="005B3BEE">
      <w:pPr>
        <w:pStyle w:val="Paragraph"/>
        <w:spacing w:before="0" w:after="120"/>
        <w:jc w:val="both"/>
      </w:pPr>
      <w:r>
        <w:t xml:space="preserve">The </w:t>
      </w:r>
      <w:r w:rsidRPr="005C6717">
        <w:t xml:space="preserve">Condensed </w:t>
      </w:r>
      <w:r>
        <w:t xml:space="preserve">Group </w:t>
      </w:r>
      <w:r w:rsidRPr="005C6717">
        <w:t>Financial Statements of Greencore Group Plc (the 'Group'), which are presented in sterling and expressed in millions</w:t>
      </w:r>
      <w:r>
        <w:t>, unless otherwise indicated</w:t>
      </w:r>
      <w:r w:rsidRPr="005C6717">
        <w:t>, have been prepared as at, and for the 26 week period ended</w:t>
      </w:r>
      <w:r>
        <w:t>,</w:t>
      </w:r>
      <w:r w:rsidRPr="005C6717">
        <w:t xml:space="preserve"> </w:t>
      </w:r>
      <w:r>
        <w:t>27 March 2020</w:t>
      </w:r>
      <w:r w:rsidRPr="005C6717">
        <w:t xml:space="preserve">, and have been prepared in accordance with the Transparency (Directive 2004/109/EC) Regulations 2007, the related Transparency Rules of the Central Bank of Ireland and IAS 34 </w:t>
      </w:r>
      <w:r w:rsidRPr="008A2EFB">
        <w:rPr>
          <w:i/>
        </w:rPr>
        <w:t>Interim Financial Reporting</w:t>
      </w:r>
      <w:r w:rsidRPr="005C6717">
        <w:t xml:space="preserve"> as adopted by the European Union.</w:t>
      </w:r>
    </w:p>
    <w:p w14:paraId="56CB0AF4" w14:textId="77777777" w:rsidR="00773F7B" w:rsidRDefault="00773F7B" w:rsidP="005B3BEE">
      <w:pPr>
        <w:pStyle w:val="Paragraph"/>
        <w:spacing w:before="0" w:after="120"/>
        <w:jc w:val="both"/>
      </w:pPr>
      <w:r w:rsidRPr="005C6717">
        <w:t xml:space="preserve">These Condensed </w:t>
      </w:r>
      <w:r w:rsidR="00665CB5">
        <w:t xml:space="preserve">Group </w:t>
      </w:r>
      <w:r w:rsidRPr="005C6717">
        <w:t>Financial Statements do not comprise statutory accounts within the meaning of Section 3</w:t>
      </w:r>
      <w:r>
        <w:t>40</w:t>
      </w:r>
      <w:r w:rsidRPr="005C6717">
        <w:t xml:space="preserve"> of the Companies Act 2014. The condensed </w:t>
      </w:r>
      <w:r>
        <w:t xml:space="preserve">Group </w:t>
      </w:r>
      <w:r w:rsidRPr="005C6717">
        <w:t>financial information for the year ended 2</w:t>
      </w:r>
      <w:r>
        <w:t>7</w:t>
      </w:r>
      <w:r w:rsidRPr="005C6717">
        <w:t xml:space="preserve"> September 201</w:t>
      </w:r>
      <w:r>
        <w:t>9</w:t>
      </w:r>
      <w:r w:rsidRPr="005C6717">
        <w:t xml:space="preserve"> represents an abbreviated version of the Group Financial Statements for that year. Those financial statements, upon which the auditor issued an unqualified audit report, have been filed with the Registrar of Companies. </w:t>
      </w:r>
    </w:p>
    <w:p w14:paraId="46701818" w14:textId="77777777" w:rsidR="00773F7B" w:rsidRDefault="00773F7B" w:rsidP="005B3BEE">
      <w:pPr>
        <w:pStyle w:val="Paragraph"/>
        <w:spacing w:before="0" w:after="120"/>
        <w:jc w:val="both"/>
      </w:pPr>
      <w:r>
        <w:t>In the prior year the results of Greencore’s US business were presented within profit from discontinued operations in the Condensed Group Income Statement, following its disposal in November 2018.</w:t>
      </w:r>
    </w:p>
    <w:p w14:paraId="5559284F" w14:textId="77777777" w:rsidR="00773F7B" w:rsidRPr="008A2EFB" w:rsidRDefault="00773F7B" w:rsidP="005B3BEE">
      <w:pPr>
        <w:pStyle w:val="SectionH3"/>
      </w:pPr>
      <w:r w:rsidRPr="008A2EFB">
        <w:t>Going concern</w:t>
      </w:r>
    </w:p>
    <w:p w14:paraId="2B561A39" w14:textId="4842AF70" w:rsidR="00D9430C" w:rsidRDefault="00D9430C" w:rsidP="005B3BEE">
      <w:pPr>
        <w:pStyle w:val="Paragraph"/>
        <w:spacing w:before="0" w:after="120"/>
        <w:jc w:val="both"/>
      </w:pPr>
      <w:bookmarkStart w:id="4" w:name="_Hlk40354950"/>
      <w:r>
        <w:t>The directors, after making enquiries, have a reasonable expectation that the Group has adequate resources to continue operating as a going concern for the foreseeable future. In particular, the directors have taken into consideration cashflow projections from potential stress scenarios regarding the duration of the current COVID-19 lockdown and the timing of recovery as the measures on social distancing are eased.</w:t>
      </w:r>
    </w:p>
    <w:p w14:paraId="1CF475D0" w14:textId="5EDEA8EB" w:rsidR="00D9430C" w:rsidRPr="005B3BEE" w:rsidRDefault="00D9430C" w:rsidP="005B3BEE">
      <w:pPr>
        <w:pStyle w:val="Paragraph"/>
        <w:spacing w:before="0" w:after="120"/>
        <w:jc w:val="both"/>
      </w:pPr>
      <w:r w:rsidRPr="005B3BEE">
        <w:t>The implementation of social restriction measures by the UK government, has resulted in a marked decline in Group revenue. The current unprecedented economic environment has created uncertainty in relation to the timing of a return to efficient production, the ongoing availability and extent of certain government supports, future consumer behaviour and the associated recovery of volumes and margins. The timing and shape of recovery is uncertain and accordingly, the Group has modelled a number of scenarios, taking account of current levels of trading, consequential impact on cashflows</w:t>
      </w:r>
      <w:r w:rsidR="00254DCD">
        <w:t>,</w:t>
      </w:r>
      <w:r w:rsidRPr="005B3BEE">
        <w:t xml:space="preserve"> including working capital</w:t>
      </w:r>
      <w:r w:rsidR="00254DCD">
        <w:t>,</w:t>
      </w:r>
      <w:r w:rsidRPr="005B3BEE">
        <w:t xml:space="preserve"> and availability of support from the UK government. These scenarios are as follows: </w:t>
      </w:r>
    </w:p>
    <w:p w14:paraId="695875CD" w14:textId="6C753EE4" w:rsidR="00D9430C" w:rsidRPr="005B3BEE" w:rsidRDefault="00D9430C" w:rsidP="00E168F7">
      <w:pPr>
        <w:pStyle w:val="ListParagraph"/>
        <w:numPr>
          <w:ilvl w:val="0"/>
          <w:numId w:val="31"/>
        </w:numPr>
        <w:spacing w:after="120" w:line="240" w:lineRule="auto"/>
        <w:contextualSpacing w:val="0"/>
        <w:rPr>
          <w:sz w:val="18"/>
          <w:szCs w:val="18"/>
        </w:rPr>
      </w:pPr>
      <w:r w:rsidRPr="005B3BEE">
        <w:rPr>
          <w:sz w:val="18"/>
          <w:szCs w:val="18"/>
        </w:rPr>
        <w:t xml:space="preserve">a </w:t>
      </w:r>
      <w:r w:rsidR="00254DCD">
        <w:rPr>
          <w:sz w:val="18"/>
          <w:szCs w:val="18"/>
        </w:rPr>
        <w:t xml:space="preserve">gradual </w:t>
      </w:r>
      <w:r w:rsidRPr="005B3BEE">
        <w:rPr>
          <w:sz w:val="18"/>
          <w:szCs w:val="18"/>
        </w:rPr>
        <w:t>ramp up from current volumes between June</w:t>
      </w:r>
      <w:r w:rsidR="00254DCD">
        <w:rPr>
          <w:sz w:val="18"/>
          <w:szCs w:val="18"/>
        </w:rPr>
        <w:t xml:space="preserve"> 2020</w:t>
      </w:r>
      <w:r w:rsidRPr="005B3BEE">
        <w:rPr>
          <w:sz w:val="18"/>
          <w:szCs w:val="18"/>
        </w:rPr>
        <w:t xml:space="preserve"> and October 2020, but not reaching FY19 volume levels until October 2021;</w:t>
      </w:r>
    </w:p>
    <w:p w14:paraId="01AC3BBD" w14:textId="77777777" w:rsidR="00D9430C" w:rsidRPr="005B3BEE" w:rsidRDefault="00D9430C" w:rsidP="00E168F7">
      <w:pPr>
        <w:pStyle w:val="ListParagraph"/>
        <w:numPr>
          <w:ilvl w:val="0"/>
          <w:numId w:val="31"/>
        </w:numPr>
        <w:spacing w:after="120" w:line="240" w:lineRule="auto"/>
        <w:contextualSpacing w:val="0"/>
        <w:rPr>
          <w:sz w:val="18"/>
          <w:szCs w:val="18"/>
        </w:rPr>
      </w:pPr>
      <w:r w:rsidRPr="005B3BEE">
        <w:rPr>
          <w:sz w:val="18"/>
          <w:szCs w:val="18"/>
        </w:rPr>
        <w:t>a slower more gradual ramp up from current volumes between June 2020 and January 2021, again not reaching FY19 volume levels until October 2021;</w:t>
      </w:r>
    </w:p>
    <w:p w14:paraId="45211014" w14:textId="24307284" w:rsidR="004B588D" w:rsidRPr="005B3BEE" w:rsidRDefault="00254DCD" w:rsidP="00E168F7">
      <w:pPr>
        <w:pStyle w:val="ListParagraph"/>
        <w:numPr>
          <w:ilvl w:val="0"/>
          <w:numId w:val="31"/>
        </w:numPr>
        <w:spacing w:after="120" w:line="240" w:lineRule="auto"/>
        <w:contextualSpacing w:val="0"/>
        <w:rPr>
          <w:sz w:val="18"/>
          <w:szCs w:val="18"/>
        </w:rPr>
      </w:pPr>
      <w:r>
        <w:rPr>
          <w:sz w:val="18"/>
          <w:szCs w:val="18"/>
        </w:rPr>
        <w:t>a gradual ramp up from current volumes</w:t>
      </w:r>
      <w:r w:rsidR="00D9430C" w:rsidRPr="005B3BEE">
        <w:rPr>
          <w:sz w:val="18"/>
          <w:szCs w:val="18"/>
        </w:rPr>
        <w:t xml:space="preserve"> </w:t>
      </w:r>
      <w:r>
        <w:rPr>
          <w:sz w:val="18"/>
          <w:szCs w:val="18"/>
        </w:rPr>
        <w:t>from</w:t>
      </w:r>
      <w:r w:rsidRPr="005B3BEE">
        <w:rPr>
          <w:sz w:val="18"/>
          <w:szCs w:val="18"/>
        </w:rPr>
        <w:t xml:space="preserve"> </w:t>
      </w:r>
      <w:r w:rsidR="00D9430C" w:rsidRPr="005B3BEE">
        <w:rPr>
          <w:sz w:val="18"/>
          <w:szCs w:val="18"/>
        </w:rPr>
        <w:t>June 2020, followed by a second lockdown in the winter of 2020, with a gradual ramp up from January 2021, again not reaching FY19 volume levels until October 2021.</w:t>
      </w:r>
    </w:p>
    <w:p w14:paraId="63066D80" w14:textId="433BAC58" w:rsidR="00D9430C" w:rsidRPr="005B3BEE" w:rsidRDefault="00D9430C" w:rsidP="005B3BEE">
      <w:pPr>
        <w:spacing w:after="120" w:line="240" w:lineRule="auto"/>
        <w:jc w:val="both"/>
        <w:rPr>
          <w:sz w:val="18"/>
          <w:szCs w:val="18"/>
        </w:rPr>
      </w:pPr>
      <w:r w:rsidRPr="005B3BEE">
        <w:rPr>
          <w:sz w:val="18"/>
          <w:szCs w:val="18"/>
        </w:rPr>
        <w:t xml:space="preserve">These scenarios include various mitigation measures including deferring certain cashflows. In all scenarios, the Group </w:t>
      </w:r>
      <w:r w:rsidR="005564AB">
        <w:rPr>
          <w:sz w:val="18"/>
          <w:szCs w:val="18"/>
        </w:rPr>
        <w:t xml:space="preserve">has </w:t>
      </w:r>
      <w:r w:rsidR="004B588D">
        <w:rPr>
          <w:sz w:val="18"/>
          <w:szCs w:val="18"/>
        </w:rPr>
        <w:t xml:space="preserve">more than sufficient </w:t>
      </w:r>
      <w:r w:rsidRPr="005B3BEE">
        <w:rPr>
          <w:sz w:val="18"/>
          <w:szCs w:val="18"/>
        </w:rPr>
        <w:t>headroom in its available resources.</w:t>
      </w:r>
    </w:p>
    <w:p w14:paraId="08A3C2FC" w14:textId="77777777" w:rsidR="00D9430C" w:rsidRPr="005B3BEE" w:rsidRDefault="00D9430C" w:rsidP="005B3BEE">
      <w:pPr>
        <w:pStyle w:val="Paragraph"/>
        <w:spacing w:before="0" w:after="120"/>
        <w:jc w:val="both"/>
      </w:pPr>
      <w:r>
        <w:t xml:space="preserve">The resources the Group has available include cash and undrawn committed bank facilities of £267.5m as at 27 March 2020. The directors have taken steps to ensure adequate liquidity is available to the Group for the likely duration of the crisis and the recovery period. </w:t>
      </w:r>
    </w:p>
    <w:p w14:paraId="07E2A059" w14:textId="4228A562" w:rsidR="005A323C" w:rsidRPr="009A0CE8" w:rsidRDefault="00D9430C" w:rsidP="00E168F7">
      <w:pPr>
        <w:pStyle w:val="Paragraph"/>
        <w:numPr>
          <w:ilvl w:val="0"/>
          <w:numId w:val="13"/>
        </w:numPr>
        <w:spacing w:before="0" w:after="120"/>
        <w:jc w:val="both"/>
        <w:rPr>
          <w:rFonts w:eastAsia="Times New Roman"/>
        </w:rPr>
      </w:pPr>
      <w:r w:rsidRPr="00B52070">
        <w:t xml:space="preserve">The Group has secured formal agreement with its lending syndicate of banks to waive its </w:t>
      </w:r>
      <w:r w:rsidR="006D0A46" w:rsidRPr="00B52070">
        <w:t>N</w:t>
      </w:r>
      <w:r w:rsidRPr="00B52070">
        <w:t xml:space="preserve">et </w:t>
      </w:r>
      <w:r w:rsidR="006D0A46" w:rsidRPr="00B52070">
        <w:t>D</w:t>
      </w:r>
      <w:r w:rsidRPr="00B52070">
        <w:t>ebt</w:t>
      </w:r>
      <w:r w:rsidR="00254DCD" w:rsidRPr="00B52070">
        <w:t xml:space="preserve">: </w:t>
      </w:r>
      <w:r w:rsidRPr="00B52070">
        <w:t>EBITDA covenant condition for the September 2020 and March 2021 test periods.</w:t>
      </w:r>
    </w:p>
    <w:p w14:paraId="12E9ADCA" w14:textId="2336B136" w:rsidR="006D0A46" w:rsidRPr="009A0CE8" w:rsidRDefault="005A323C" w:rsidP="00B52070">
      <w:pPr>
        <w:pStyle w:val="Paragraph"/>
        <w:numPr>
          <w:ilvl w:val="0"/>
          <w:numId w:val="13"/>
        </w:numPr>
        <w:spacing w:before="0" w:after="120"/>
        <w:jc w:val="both"/>
        <w:rPr>
          <w:rFonts w:eastAsia="Times New Roman"/>
        </w:rPr>
      </w:pPr>
      <w:r w:rsidRPr="00B52070">
        <w:t xml:space="preserve">The </w:t>
      </w:r>
      <w:r>
        <w:t xml:space="preserve">Group </w:t>
      </w:r>
      <w:r w:rsidRPr="00B52070">
        <w:t xml:space="preserve">is in advanced stages of discussions with the </w:t>
      </w:r>
      <w:r w:rsidR="00C006CB">
        <w:t>P</w:t>
      </w:r>
      <w:r w:rsidRPr="00B52070">
        <w:t xml:space="preserve">rivate </w:t>
      </w:r>
      <w:r w:rsidR="00C006CB">
        <w:t>P</w:t>
      </w:r>
      <w:r w:rsidRPr="00B52070">
        <w:t xml:space="preserve">lacement holders in respect of a waiver of the September 2020 and March 2021 leverage covenants contained in the </w:t>
      </w:r>
      <w:r w:rsidR="00C006CB">
        <w:t>P</w:t>
      </w:r>
      <w:r w:rsidRPr="00B52070">
        <w:t xml:space="preserve">rivate </w:t>
      </w:r>
      <w:r w:rsidR="00C006CB">
        <w:t>P</w:t>
      </w:r>
      <w:r w:rsidRPr="00B52070">
        <w:t xml:space="preserve">lacement documentation and the </w:t>
      </w:r>
      <w:r>
        <w:t>Group</w:t>
      </w:r>
      <w:r w:rsidRPr="00B52070">
        <w:t xml:space="preserve"> expects that an agreement in respect of such waivers will be finalised and concluded in the coming weeks.</w:t>
      </w:r>
    </w:p>
    <w:p w14:paraId="2EF90558" w14:textId="452D7B34" w:rsidR="00D9430C" w:rsidRPr="009A0CE8" w:rsidRDefault="00D9430C" w:rsidP="00E168F7">
      <w:pPr>
        <w:pStyle w:val="Paragraph"/>
        <w:numPr>
          <w:ilvl w:val="0"/>
          <w:numId w:val="13"/>
        </w:numPr>
        <w:spacing w:before="0" w:after="120"/>
        <w:jc w:val="both"/>
        <w:rPr>
          <w:rFonts w:eastAsia="Times New Roman"/>
        </w:rPr>
      </w:pPr>
      <w:r w:rsidRPr="009A0CE8">
        <w:t>The Group has agreed with its lenders that no dividend will be declared or paid for the duration of the waiver period.</w:t>
      </w:r>
    </w:p>
    <w:p w14:paraId="224EC468" w14:textId="3D1E282E" w:rsidR="00D9430C" w:rsidRPr="009A0CE8" w:rsidRDefault="00D9430C" w:rsidP="005B3BEE">
      <w:pPr>
        <w:pStyle w:val="Paragraph"/>
        <w:spacing w:before="0" w:after="120"/>
        <w:jc w:val="both"/>
      </w:pPr>
      <w:r w:rsidRPr="00B52070">
        <w:t xml:space="preserve">The Group’s headroom was increased further following confirmation </w:t>
      </w:r>
      <w:r w:rsidR="000727B8" w:rsidRPr="00B52070">
        <w:t xml:space="preserve">of </w:t>
      </w:r>
      <w:r w:rsidR="00D673F5" w:rsidRPr="00B52070">
        <w:t>its</w:t>
      </w:r>
      <w:r w:rsidR="000727B8" w:rsidRPr="00B52070">
        <w:t xml:space="preserve"> eligibility, in principle, to access funding under the</w:t>
      </w:r>
      <w:r w:rsidRPr="00B52070">
        <w:t xml:space="preserve"> </w:t>
      </w:r>
      <w:proofErr w:type="spellStart"/>
      <w:r w:rsidRPr="00B52070">
        <w:t>Covid</w:t>
      </w:r>
      <w:proofErr w:type="spellEnd"/>
      <w:r w:rsidRPr="00B52070">
        <w:t xml:space="preserve"> Corporate Financing Facility (CCFF).</w:t>
      </w:r>
      <w:r w:rsidR="00D673F5" w:rsidRPr="00B52070">
        <w:t xml:space="preserve"> </w:t>
      </w:r>
    </w:p>
    <w:p w14:paraId="650E0653" w14:textId="38F65659" w:rsidR="001D0FD3" w:rsidRPr="003F0D86" w:rsidRDefault="00D9430C" w:rsidP="003F0D86">
      <w:pPr>
        <w:pStyle w:val="Paragraph"/>
        <w:spacing w:before="0" w:after="120"/>
        <w:jc w:val="both"/>
      </w:pPr>
      <w:r w:rsidRPr="009A0CE8">
        <w:t xml:space="preserve">Based on these scenarios and the resources available to the Group, the directors believe the Group has </w:t>
      </w:r>
      <w:r w:rsidR="005564AB" w:rsidRPr="009A0CE8">
        <w:t xml:space="preserve">more than </w:t>
      </w:r>
      <w:r w:rsidRPr="009A0CE8">
        <w:t>sufficient liquidity to manage through a range of different cashflow scenarios over the next 12 months. Given</w:t>
      </w:r>
      <w:r>
        <w:t xml:space="preserve"> the Group’s strong liquidity position, the directors adopt the going concern basis in preparing the Condensed Group Financial Statements.</w:t>
      </w:r>
    </w:p>
    <w:p w14:paraId="2E900E3D" w14:textId="77777777" w:rsidR="00773F7B" w:rsidRPr="00BE1908" w:rsidRDefault="00773F7B" w:rsidP="005B3BEE">
      <w:pPr>
        <w:pStyle w:val="SectionH3"/>
      </w:pPr>
      <w:bookmarkStart w:id="5" w:name="_Hlk6238540"/>
      <w:bookmarkEnd w:id="4"/>
      <w:r w:rsidRPr="00BE1908">
        <w:t xml:space="preserve">Critical Accounting Estimates and Judgements </w:t>
      </w:r>
    </w:p>
    <w:p w14:paraId="677F0E4D" w14:textId="1A05660E" w:rsidR="00773F7B" w:rsidRDefault="00773F7B" w:rsidP="005B3BEE">
      <w:pPr>
        <w:pStyle w:val="Paragraph"/>
        <w:spacing w:before="0" w:after="120"/>
        <w:jc w:val="both"/>
      </w:pPr>
      <w:r>
        <w:t xml:space="preserve">The preparation of the Condensed </w:t>
      </w:r>
      <w:r w:rsidR="00665CB5">
        <w:t xml:space="preserve">Group </w:t>
      </w:r>
      <w:r>
        <w:t xml:space="preserve">Financial Statements requires management to make certain estimates, assumptions and judgements that affect the application of accounting policies and the reported amount of assets, liabilities, income and expenses. Estimates and underlying assumptions are reviewed on an ongoing basis. Changes in accounting estimates may be necessary if there </w:t>
      </w:r>
      <w:r w:rsidRPr="001D0FD3">
        <w:t>are changes in circumstances on which the estimate was based or as a result of new information or more experience. Such changes are reflected in the period in which the estimate was revised.</w:t>
      </w:r>
    </w:p>
    <w:p w14:paraId="10549F81" w14:textId="77777777" w:rsidR="00773F7B" w:rsidRDefault="00773F7B" w:rsidP="005B3BEE">
      <w:pPr>
        <w:pStyle w:val="Paragraph"/>
        <w:spacing w:before="0" w:after="120"/>
        <w:jc w:val="both"/>
      </w:pPr>
      <w:r>
        <w:t>In preparing the Condensed</w:t>
      </w:r>
      <w:r w:rsidR="00665CB5">
        <w:t xml:space="preserve"> Group</w:t>
      </w:r>
      <w:r>
        <w:t xml:space="preserve"> Financial Statements, the significant judgements made by management in applying the Group’s accounting policies and the key sources of estimation uncertainty were the same as those applied to the Consolidated Financial </w:t>
      </w:r>
      <w:r w:rsidR="00665CB5">
        <w:t>S</w:t>
      </w:r>
      <w:r>
        <w:t>tatements for the 52 weeks ended 27 September 2019 with the addition of assessing the impact of COVID-19 as set out below.</w:t>
      </w:r>
    </w:p>
    <w:p w14:paraId="1977D130" w14:textId="77777777" w:rsidR="00773F7B" w:rsidRPr="00BE1908" w:rsidRDefault="00773F7B" w:rsidP="005B3BEE">
      <w:pPr>
        <w:pStyle w:val="SectionH3"/>
      </w:pPr>
      <w:r w:rsidRPr="00BE1908">
        <w:lastRenderedPageBreak/>
        <w:t>Impact of COVID-19</w:t>
      </w:r>
    </w:p>
    <w:p w14:paraId="24A0D031" w14:textId="77777777" w:rsidR="00773F7B" w:rsidRDefault="00773F7B" w:rsidP="005B3BEE">
      <w:pPr>
        <w:pStyle w:val="Paragraph"/>
        <w:spacing w:before="0" w:after="120"/>
        <w:jc w:val="both"/>
      </w:pPr>
      <w:r>
        <w:t>As at the 27 March 2020, the UK was in social ‘lockdown’ as a result of its response to the COVID-19 pandemic, requiring the Group to reflect the impact in its results for the half year.</w:t>
      </w:r>
    </w:p>
    <w:p w14:paraId="485FB2A7" w14:textId="77777777" w:rsidR="00773F7B" w:rsidRDefault="00773F7B" w:rsidP="005B3BEE">
      <w:pPr>
        <w:pStyle w:val="Paragraph"/>
        <w:spacing w:before="0" w:after="120"/>
        <w:jc w:val="both"/>
      </w:pPr>
      <w:r>
        <w:t>The Group ha</w:t>
      </w:r>
      <w:r w:rsidR="00665CB5">
        <w:t>s</w:t>
      </w:r>
      <w:r>
        <w:t xml:space="preserve"> considered the impact of COVID-19 </w:t>
      </w:r>
      <w:r w:rsidR="00665CB5">
        <w:t xml:space="preserve">and has taken measures </w:t>
      </w:r>
      <w:r>
        <w:t>in response to the pandemic</w:t>
      </w:r>
      <w:r w:rsidR="00665CB5">
        <w:t>.</w:t>
      </w:r>
      <w:r>
        <w:t xml:space="preserve"> The Group </w:t>
      </w:r>
      <w:r w:rsidR="00665CB5">
        <w:t>has</w:t>
      </w:r>
      <w:r>
        <w:t xml:space="preserve"> tightened its food to go production network by temporarily ceasing production at its Bow, Atherstone and Heathrow facilities and rationalising production at its Northampton site. </w:t>
      </w:r>
      <w:r w:rsidR="00E07F4C">
        <w:t xml:space="preserve">The Group has considered the </w:t>
      </w:r>
      <w:r>
        <w:t>impact of these measures</w:t>
      </w:r>
      <w:r w:rsidR="00E07F4C">
        <w:t xml:space="preserve"> and the </w:t>
      </w:r>
      <w:r w:rsidR="005B21F8">
        <w:t xml:space="preserve">impact of the </w:t>
      </w:r>
      <w:r w:rsidR="00E07F4C">
        <w:t xml:space="preserve">reduction in revenue with respect to </w:t>
      </w:r>
      <w:r w:rsidR="006300B9">
        <w:t>all</w:t>
      </w:r>
      <w:r w:rsidR="00E07F4C">
        <w:t xml:space="preserve"> judgements </w:t>
      </w:r>
      <w:r w:rsidR="005B21F8">
        <w:t xml:space="preserve">and estimates </w:t>
      </w:r>
      <w:r w:rsidR="00E07F4C">
        <w:t>it makes in the application of the Groups accounting policies. The rationalisation impacts</w:t>
      </w:r>
      <w:r>
        <w:t xml:space="preserve"> ha</w:t>
      </w:r>
      <w:r w:rsidR="00E07F4C">
        <w:t>ve</w:t>
      </w:r>
      <w:r>
        <w:t xml:space="preserve"> been factored into the Group’s financial statements at 27 March 2020, including the impact on recoverability of inventory, trade receivables and other assets. </w:t>
      </w:r>
    </w:p>
    <w:p w14:paraId="1A559C1E" w14:textId="218517C1" w:rsidR="00773F7B" w:rsidRDefault="00773F7B" w:rsidP="005B3BEE">
      <w:pPr>
        <w:pStyle w:val="Paragraph"/>
        <w:spacing w:before="0" w:after="120"/>
        <w:jc w:val="both"/>
      </w:pPr>
      <w:r>
        <w:t>Management have also carried out impairment testing of assets including goodwill at</w:t>
      </w:r>
      <w:r w:rsidR="00BD5017">
        <w:t xml:space="preserve"> the</w:t>
      </w:r>
      <w:r>
        <w:t xml:space="preserve"> reporting date incorporating scenarios regarding the duration and recovery from the current COVID-19 lockdown. </w:t>
      </w:r>
      <w:r w:rsidR="00665CB5">
        <w:t xml:space="preserve">The testing </w:t>
      </w:r>
      <w:r>
        <w:t xml:space="preserve">did not result in </w:t>
      </w:r>
      <w:r w:rsidR="006300B9">
        <w:t xml:space="preserve">an </w:t>
      </w:r>
      <w:r>
        <w:t>impairment at balance sheet date.</w:t>
      </w:r>
    </w:p>
    <w:p w14:paraId="10717FF7" w14:textId="2558A35E" w:rsidR="004B588D" w:rsidRPr="00C82C5E" w:rsidRDefault="004B588D" w:rsidP="005B3BEE">
      <w:pPr>
        <w:pStyle w:val="SectionH3"/>
      </w:pPr>
      <w:r>
        <w:t>2.</w:t>
      </w:r>
      <w:r w:rsidR="002F685C">
        <w:tab/>
      </w:r>
      <w:r>
        <w:t xml:space="preserve">Accounting Policies </w:t>
      </w:r>
    </w:p>
    <w:bookmarkEnd w:id="5"/>
    <w:p w14:paraId="76421FC9" w14:textId="77777777" w:rsidR="00773F7B" w:rsidRDefault="00773F7B" w:rsidP="005B3BEE">
      <w:pPr>
        <w:pStyle w:val="Paragraph"/>
        <w:spacing w:before="0" w:after="120"/>
        <w:jc w:val="both"/>
      </w:pPr>
      <w:r w:rsidRPr="008A2EFB">
        <w:t>The accounting policies</w:t>
      </w:r>
      <w:r>
        <w:t>,</w:t>
      </w:r>
      <w:r w:rsidRPr="008A2EFB">
        <w:t xml:space="preserve"> critical accounting estimates and judgments and methods of computation adopted in the preparation of the Condensed</w:t>
      </w:r>
      <w:r>
        <w:t xml:space="preserve"> Group</w:t>
      </w:r>
      <w:r w:rsidRPr="008A2EFB">
        <w:t xml:space="preserve"> Financial Statements are consistent with those applied in the Annual Report for the financial year ended 2</w:t>
      </w:r>
      <w:r>
        <w:t>7</w:t>
      </w:r>
      <w:r w:rsidRPr="008A2EFB">
        <w:t xml:space="preserve"> September 201</w:t>
      </w:r>
      <w:r>
        <w:t>9</w:t>
      </w:r>
      <w:r w:rsidRPr="008A2EFB">
        <w:t xml:space="preserve"> and are as set out in those financial statements. </w:t>
      </w:r>
    </w:p>
    <w:p w14:paraId="3FA338C8" w14:textId="2DC324C5" w:rsidR="00773F7B" w:rsidRPr="001E1407" w:rsidRDefault="00773F7B" w:rsidP="005B3BEE">
      <w:pPr>
        <w:pStyle w:val="Subtitle"/>
        <w:spacing w:after="120" w:line="360" w:lineRule="auto"/>
        <w:jc w:val="both"/>
        <w:rPr>
          <w:b w:val="0"/>
        </w:rPr>
      </w:pPr>
      <w:r w:rsidRPr="001E1407">
        <w:rPr>
          <w:b w:val="0"/>
        </w:rPr>
        <w:t>New accounting standards adopted in the current period:</w:t>
      </w:r>
    </w:p>
    <w:p w14:paraId="73C62313" w14:textId="77777777" w:rsidR="00773F7B" w:rsidRDefault="00773F7B" w:rsidP="005B3BEE">
      <w:pPr>
        <w:pStyle w:val="SectionH3"/>
        <w:rPr>
          <w:i/>
        </w:rPr>
      </w:pPr>
      <w:r w:rsidRPr="00194C92">
        <w:t>IFRS 16</w:t>
      </w:r>
      <w:r>
        <w:t xml:space="preserve"> </w:t>
      </w:r>
      <w:r w:rsidRPr="005D0EFF">
        <w:rPr>
          <w:i/>
        </w:rPr>
        <w:t>Leases</w:t>
      </w:r>
    </w:p>
    <w:p w14:paraId="133C889D" w14:textId="77777777" w:rsidR="00773F7B" w:rsidRDefault="00773F7B" w:rsidP="005B3BEE">
      <w:pPr>
        <w:pStyle w:val="Paragraph"/>
        <w:spacing w:before="0" w:after="120"/>
        <w:jc w:val="both"/>
      </w:pPr>
      <w:r w:rsidRPr="005D0EFF">
        <w:t xml:space="preserve">IFRS 16 </w:t>
      </w:r>
      <w:r w:rsidRPr="005D0EFF">
        <w:rPr>
          <w:i/>
        </w:rPr>
        <w:t>Leases</w:t>
      </w:r>
      <w:r w:rsidRPr="005D0EFF">
        <w:t xml:space="preserve"> sets out the principle for the recognition, measurement, presentation and disclosure of leases for both lessee and lessor. It eliminates the classification of leases as either operating leases or finance leases and introduces a single lessee accounting model where the lessee is required to recognise assets and liabilities for all material leases that have a term greater than a year. </w:t>
      </w:r>
    </w:p>
    <w:p w14:paraId="1451BA7E" w14:textId="7EAA3508" w:rsidR="00773F7B" w:rsidRDefault="00773F7B" w:rsidP="005B3BEE">
      <w:pPr>
        <w:pStyle w:val="Paragraph"/>
        <w:spacing w:before="0" w:after="120"/>
        <w:jc w:val="both"/>
        <w:rPr>
          <w:i/>
        </w:rPr>
      </w:pPr>
      <w:r w:rsidRPr="00292B26">
        <w:t xml:space="preserve">The Group has adopted IFRS 16 </w:t>
      </w:r>
      <w:r w:rsidRPr="005D0EFF">
        <w:rPr>
          <w:i/>
        </w:rPr>
        <w:t>Leases</w:t>
      </w:r>
      <w:r w:rsidRPr="00292B26">
        <w:t xml:space="preserve"> using the modified retrospective approach. </w:t>
      </w:r>
      <w:r w:rsidR="004379BF" w:rsidRPr="00292B26">
        <w:t>Therefore</w:t>
      </w:r>
      <w:r w:rsidRPr="00292B26">
        <w:t xml:space="preserve"> the cumulative effect of adopting IFRS 16 </w:t>
      </w:r>
      <w:r w:rsidRPr="005D0EFF">
        <w:rPr>
          <w:i/>
        </w:rPr>
        <w:t>Leases</w:t>
      </w:r>
      <w:r w:rsidRPr="00292B26">
        <w:t xml:space="preserve"> was recognised as an adjustment to the opening balance of retained earnings at 28 September 2019 with no restatement of comparative information.</w:t>
      </w:r>
      <w:r>
        <w:t xml:space="preserve"> The adjustment to retained earnings includes the deferred tax asset recognised on transition and after adjusting for existing lease incentives now included in the right-of-use leased asset.</w:t>
      </w:r>
    </w:p>
    <w:p w14:paraId="1E6C23E1" w14:textId="2054A5CA" w:rsidR="00773F7B" w:rsidRDefault="00773F7B" w:rsidP="005B3BEE">
      <w:pPr>
        <w:pStyle w:val="Paragraph"/>
        <w:spacing w:before="0" w:after="120"/>
        <w:jc w:val="both"/>
      </w:pPr>
      <w:r w:rsidRPr="00292B26">
        <w:t xml:space="preserve">On adoption of IFRS 16 </w:t>
      </w:r>
      <w:r w:rsidRPr="005D0EFF">
        <w:rPr>
          <w:i/>
        </w:rPr>
        <w:t>Leases</w:t>
      </w:r>
      <w:r w:rsidRPr="00292B26">
        <w:t xml:space="preserve">, the </w:t>
      </w:r>
      <w:r>
        <w:t>G</w:t>
      </w:r>
      <w:r w:rsidRPr="00292B26">
        <w:t xml:space="preserve">roup recognised liabilities in relation to leases which had previously been classified as operating leases under the principles of IAS 17 </w:t>
      </w:r>
      <w:r w:rsidRPr="005D0EFF">
        <w:rPr>
          <w:i/>
        </w:rPr>
        <w:t>Leases</w:t>
      </w:r>
      <w:r w:rsidRPr="00292B26">
        <w:t>. These liabilities were measured at the present value of the remaining lease payments, discounted using the Groups’ incremental borrowing rate as of 28 September 2019. The weighted average incremental borrowing rate</w:t>
      </w:r>
      <w:r w:rsidR="00665CB5">
        <w:t xml:space="preserve"> </w:t>
      </w:r>
      <w:r w:rsidR="009479C7">
        <w:t xml:space="preserve">applied </w:t>
      </w:r>
      <w:r w:rsidR="00665CB5">
        <w:t>is</w:t>
      </w:r>
      <w:r w:rsidR="009479C7">
        <w:t xml:space="preserve"> 2.</w:t>
      </w:r>
      <w:r w:rsidR="009A2F48">
        <w:t>2</w:t>
      </w:r>
      <w:r w:rsidR="009479C7">
        <w:t>%</w:t>
      </w:r>
      <w:r w:rsidRPr="00FC568F">
        <w:t>.</w:t>
      </w:r>
    </w:p>
    <w:p w14:paraId="35A939BE" w14:textId="77777777" w:rsidR="00773F7B" w:rsidRDefault="00773F7B" w:rsidP="005B3BEE">
      <w:pPr>
        <w:pStyle w:val="Paragraph"/>
        <w:spacing w:before="0" w:after="120"/>
        <w:jc w:val="both"/>
      </w:pPr>
      <w:r w:rsidRPr="005E1FD3">
        <w:t xml:space="preserve">In applying IFRS 16 </w:t>
      </w:r>
      <w:r w:rsidRPr="006215CC">
        <w:rPr>
          <w:i/>
        </w:rPr>
        <w:t>Leases</w:t>
      </w:r>
      <w:r w:rsidRPr="005E1FD3">
        <w:t xml:space="preserve"> for the first time, the Group has used the following practical expedients permitted by the standard:</w:t>
      </w:r>
    </w:p>
    <w:p w14:paraId="3819010B" w14:textId="77777777" w:rsidR="00773F7B" w:rsidRDefault="00773F7B" w:rsidP="00E168F7">
      <w:pPr>
        <w:pStyle w:val="Paragraph"/>
        <w:numPr>
          <w:ilvl w:val="0"/>
          <w:numId w:val="4"/>
        </w:numPr>
        <w:spacing w:before="0" w:after="120"/>
        <w:ind w:left="714" w:hanging="357"/>
        <w:jc w:val="both"/>
      </w:pPr>
      <w:r>
        <w:t>T</w:t>
      </w:r>
      <w:r w:rsidRPr="005E1FD3">
        <w:t>he use of a single discount rate for portfolios of leases with reasonably similar characteristics</w:t>
      </w:r>
      <w:r>
        <w:t>.</w:t>
      </w:r>
    </w:p>
    <w:p w14:paraId="3249E6BA" w14:textId="77777777" w:rsidR="00773F7B" w:rsidRDefault="00773F7B" w:rsidP="00E168F7">
      <w:pPr>
        <w:pStyle w:val="Paragraph"/>
        <w:numPr>
          <w:ilvl w:val="0"/>
          <w:numId w:val="4"/>
        </w:numPr>
        <w:spacing w:before="0" w:after="120"/>
        <w:ind w:left="714" w:hanging="357"/>
        <w:jc w:val="both"/>
      </w:pPr>
      <w:r>
        <w:t>A</w:t>
      </w:r>
      <w:r w:rsidRPr="005E1FD3">
        <w:t>ccounting for low value operating leases and certain operating leases with a remaining lease term of less than 12 months as at 28 September 2019 on straight line basis as an expense without recognising a right</w:t>
      </w:r>
      <w:r>
        <w:t>–</w:t>
      </w:r>
      <w:r w:rsidRPr="005E1FD3">
        <w:t>of</w:t>
      </w:r>
      <w:r>
        <w:t>–</w:t>
      </w:r>
      <w:r w:rsidRPr="005E1FD3">
        <w:t>use asset or a lease liability</w:t>
      </w:r>
      <w:r>
        <w:t>.</w:t>
      </w:r>
    </w:p>
    <w:p w14:paraId="58253E58" w14:textId="77777777" w:rsidR="00773F7B" w:rsidRDefault="00773F7B" w:rsidP="00E168F7">
      <w:pPr>
        <w:pStyle w:val="Paragraph"/>
        <w:numPr>
          <w:ilvl w:val="0"/>
          <w:numId w:val="4"/>
        </w:numPr>
        <w:spacing w:before="0" w:after="120"/>
        <w:ind w:left="714" w:hanging="357"/>
        <w:jc w:val="both"/>
      </w:pPr>
      <w:r>
        <w:t>T</w:t>
      </w:r>
      <w:r w:rsidRPr="005E1FD3">
        <w:t>he use of hindsight in determining the lease term where the contract contains options to extend or terminate the lease.</w:t>
      </w:r>
    </w:p>
    <w:p w14:paraId="27D58877" w14:textId="6A690C8C" w:rsidR="00773F7B" w:rsidRDefault="00773F7B" w:rsidP="00773F7B">
      <w:pPr>
        <w:pStyle w:val="Paragraph"/>
        <w:jc w:val="both"/>
      </w:pPr>
      <w:r>
        <w:t>The adoption of IFRS 16 had a material impact on the Group’s Con</w:t>
      </w:r>
      <w:r w:rsidR="009A2F48">
        <w:t>densed</w:t>
      </w:r>
      <w:r>
        <w:t xml:space="preserve"> Financial Statements which are set out below:</w:t>
      </w:r>
    </w:p>
    <w:p w14:paraId="45E1168C" w14:textId="77777777" w:rsidR="00773F7B" w:rsidRPr="001E1407" w:rsidRDefault="00665CB5" w:rsidP="005B3BEE">
      <w:pPr>
        <w:pStyle w:val="Paragraph"/>
        <w:spacing w:before="120"/>
      </w:pPr>
      <w:r>
        <w:t>Group Statement of Financial position</w:t>
      </w:r>
      <w:r w:rsidR="00773F7B">
        <w:t xml:space="preserve"> as at 28 September 2019</w:t>
      </w:r>
    </w:p>
    <w:p w14:paraId="672AC01D" w14:textId="77777777" w:rsidR="00773F7B" w:rsidRPr="007B4310" w:rsidRDefault="00773F7B" w:rsidP="00E168F7">
      <w:pPr>
        <w:pStyle w:val="Paragraph"/>
        <w:numPr>
          <w:ilvl w:val="0"/>
          <w:numId w:val="5"/>
        </w:numPr>
        <w:spacing w:before="0"/>
        <w:rPr>
          <w:b/>
        </w:rPr>
      </w:pPr>
      <w:r>
        <w:t>Right-of-use leased assets</w:t>
      </w:r>
      <w:r>
        <w:tab/>
      </w:r>
      <w:r>
        <w:tab/>
        <w:t xml:space="preserve"> +£41.2</w:t>
      </w:r>
      <w:r w:rsidRPr="00441362">
        <w:t>m</w:t>
      </w:r>
    </w:p>
    <w:p w14:paraId="6E190EC5" w14:textId="7C6BF5EA" w:rsidR="00773F7B" w:rsidRDefault="00773F7B" w:rsidP="00E168F7">
      <w:pPr>
        <w:pStyle w:val="Paragraph"/>
        <w:numPr>
          <w:ilvl w:val="0"/>
          <w:numId w:val="5"/>
        </w:numPr>
        <w:spacing w:before="0"/>
      </w:pPr>
      <w:r w:rsidRPr="007B4310">
        <w:t>Lease liabilities, Net debt</w:t>
      </w:r>
      <w:r>
        <w:tab/>
      </w:r>
      <w:r>
        <w:tab/>
      </w:r>
      <w:r w:rsidR="00B10F27">
        <w:t xml:space="preserve"> </w:t>
      </w:r>
      <w:r>
        <w:t>+£46.4</w:t>
      </w:r>
      <w:r w:rsidRPr="00441362">
        <w:t>m</w:t>
      </w:r>
    </w:p>
    <w:p w14:paraId="52588D88" w14:textId="2CF738FA" w:rsidR="00773F7B" w:rsidRPr="001E1407" w:rsidRDefault="00665CB5" w:rsidP="005B3BEE">
      <w:pPr>
        <w:pStyle w:val="Paragraph"/>
        <w:spacing w:before="120"/>
      </w:pPr>
      <w:r>
        <w:t xml:space="preserve">Group </w:t>
      </w:r>
      <w:r w:rsidR="00773F7B" w:rsidRPr="001E1407">
        <w:t>Income Statement</w:t>
      </w:r>
      <w:r w:rsidR="00773F7B">
        <w:t xml:space="preserve"> for the half year ended 27 March 2020</w:t>
      </w:r>
    </w:p>
    <w:p w14:paraId="2A3A7EE3" w14:textId="77777777" w:rsidR="00773F7B" w:rsidRPr="00441362" w:rsidRDefault="00773F7B" w:rsidP="00E168F7">
      <w:pPr>
        <w:pStyle w:val="Paragraph"/>
        <w:numPr>
          <w:ilvl w:val="0"/>
          <w:numId w:val="5"/>
        </w:numPr>
        <w:spacing w:before="0"/>
      </w:pPr>
      <w:r>
        <w:t>Depreciation</w:t>
      </w:r>
      <w:r>
        <w:tab/>
      </w:r>
      <w:r>
        <w:tab/>
      </w:r>
      <w:r>
        <w:tab/>
        <w:t>+£6.0</w:t>
      </w:r>
      <w:r w:rsidRPr="00441362">
        <w:t>m</w:t>
      </w:r>
    </w:p>
    <w:p w14:paraId="21229432" w14:textId="77777777" w:rsidR="00773F7B" w:rsidRDefault="00773F7B" w:rsidP="00E168F7">
      <w:pPr>
        <w:pStyle w:val="Paragraph"/>
        <w:numPr>
          <w:ilvl w:val="0"/>
          <w:numId w:val="5"/>
        </w:numPr>
        <w:spacing w:before="0"/>
      </w:pPr>
      <w:r>
        <w:t>Finance costs</w:t>
      </w:r>
      <w:r>
        <w:tab/>
      </w:r>
      <w:r>
        <w:tab/>
      </w:r>
      <w:r>
        <w:tab/>
        <w:t>+£0.5</w:t>
      </w:r>
      <w:r w:rsidRPr="00441362">
        <w:t>m</w:t>
      </w:r>
    </w:p>
    <w:p w14:paraId="469C11D0" w14:textId="77777777" w:rsidR="001D697C" w:rsidRDefault="008D2B54" w:rsidP="00E168F7">
      <w:pPr>
        <w:pStyle w:val="Paragraph"/>
        <w:numPr>
          <w:ilvl w:val="0"/>
          <w:numId w:val="5"/>
        </w:numPr>
        <w:spacing w:before="100" w:beforeAutospacing="1" w:after="100" w:afterAutospacing="1"/>
      </w:pPr>
      <w:r>
        <w:t>Operating lease charge</w:t>
      </w:r>
      <w:r>
        <w:tab/>
      </w:r>
      <w:r>
        <w:tab/>
        <w:t>-£6.3m</w:t>
      </w:r>
    </w:p>
    <w:p w14:paraId="6C64359F" w14:textId="0F5919FD" w:rsidR="00773F7B" w:rsidRPr="001E1407" w:rsidRDefault="00665CB5" w:rsidP="005B3BEE">
      <w:pPr>
        <w:pStyle w:val="Paragraph"/>
        <w:spacing w:before="100" w:beforeAutospacing="1"/>
      </w:pPr>
      <w:r>
        <w:t>Group</w:t>
      </w:r>
      <w:r w:rsidRPr="001E1407">
        <w:t xml:space="preserve"> </w:t>
      </w:r>
      <w:r w:rsidR="00773F7B" w:rsidRPr="001E1407">
        <w:t>Statement of Cash Flows</w:t>
      </w:r>
      <w:r w:rsidR="00773F7B">
        <w:t xml:space="preserve"> for the half year ended 27 March 2020</w:t>
      </w:r>
    </w:p>
    <w:p w14:paraId="5B6A0587" w14:textId="69E87015" w:rsidR="00773F7B" w:rsidRPr="00FC568F" w:rsidRDefault="00773F7B" w:rsidP="00E168F7">
      <w:pPr>
        <w:pStyle w:val="Paragraph"/>
        <w:numPr>
          <w:ilvl w:val="0"/>
          <w:numId w:val="5"/>
        </w:numPr>
        <w:spacing w:before="0"/>
      </w:pPr>
      <w:r w:rsidRPr="00CB223B">
        <w:t>Net cash flow from operating activities</w:t>
      </w:r>
      <w:r w:rsidR="00D34092">
        <w:tab/>
      </w:r>
      <w:r w:rsidR="00D34092">
        <w:tab/>
      </w:r>
      <w:r>
        <w:t>+</w:t>
      </w:r>
      <w:r w:rsidRPr="00FC568F">
        <w:t>£</w:t>
      </w:r>
      <w:r w:rsidR="00B10F27">
        <w:t>4.9</w:t>
      </w:r>
      <w:r w:rsidRPr="00FC568F">
        <w:t>m</w:t>
      </w:r>
    </w:p>
    <w:p w14:paraId="0D62F41F" w14:textId="4CC2B00E" w:rsidR="00773F7B" w:rsidRDefault="00773F7B" w:rsidP="00E168F7">
      <w:pPr>
        <w:pStyle w:val="Paragraph"/>
        <w:numPr>
          <w:ilvl w:val="0"/>
          <w:numId w:val="5"/>
        </w:numPr>
        <w:spacing w:before="0"/>
      </w:pPr>
      <w:r w:rsidRPr="00CB223B">
        <w:t>Net cash flow from financing activities</w:t>
      </w:r>
      <w:r w:rsidR="00656003">
        <w:tab/>
      </w:r>
      <w:r w:rsidR="00656003">
        <w:tab/>
      </w:r>
      <w:r>
        <w:t>-</w:t>
      </w:r>
      <w:r w:rsidRPr="00FC568F">
        <w:t>£</w:t>
      </w:r>
      <w:r w:rsidR="00B10F27">
        <w:t>4.9</w:t>
      </w:r>
      <w:r w:rsidRPr="00FC568F">
        <w:t>m</w:t>
      </w:r>
    </w:p>
    <w:p w14:paraId="1525FC1C" w14:textId="77777777" w:rsidR="003F0D86" w:rsidRDefault="003F0D86" w:rsidP="00B52070">
      <w:pPr>
        <w:pStyle w:val="Paragraph"/>
        <w:spacing w:before="120" w:after="120"/>
        <w:jc w:val="both"/>
      </w:pPr>
    </w:p>
    <w:p w14:paraId="212FC251" w14:textId="5D5B5DAF" w:rsidR="00773F7B" w:rsidRDefault="00773F7B" w:rsidP="00B52070">
      <w:pPr>
        <w:pStyle w:val="Paragraph"/>
        <w:spacing w:before="120" w:after="120"/>
        <w:jc w:val="both"/>
      </w:pPr>
      <w:r>
        <w:t>A reconciliation of the operating lease commitment previously reported under IAS 17 to the discounted lease creditor as at 28 September 2019 under IFRS 16 is as follows:</w:t>
      </w:r>
    </w:p>
    <w:tbl>
      <w:tblPr>
        <w:tblW w:w="9779" w:type="dxa"/>
        <w:jc w:val="center"/>
        <w:tblLook w:val="04A0" w:firstRow="1" w:lastRow="0" w:firstColumn="1" w:lastColumn="0" w:noHBand="0" w:noVBand="1"/>
      </w:tblPr>
      <w:tblGrid>
        <w:gridCol w:w="8787"/>
        <w:gridCol w:w="992"/>
      </w:tblGrid>
      <w:tr w:rsidR="000D47BB" w:rsidRPr="00292B26" w14:paraId="2807BEDA" w14:textId="77777777" w:rsidTr="005B3BEE">
        <w:trPr>
          <w:trHeight w:val="260"/>
          <w:jc w:val="center"/>
        </w:trPr>
        <w:tc>
          <w:tcPr>
            <w:tcW w:w="8787" w:type="dxa"/>
            <w:tcBorders>
              <w:top w:val="nil"/>
              <w:left w:val="nil"/>
              <w:bottom w:val="single" w:sz="4" w:space="0" w:color="auto"/>
              <w:right w:val="nil"/>
            </w:tcBorders>
            <w:shd w:val="clear" w:color="auto" w:fill="auto"/>
            <w:noWrap/>
            <w:vAlign w:val="center"/>
            <w:hideMark/>
          </w:tcPr>
          <w:p w14:paraId="670D8D4B" w14:textId="51723C93" w:rsidR="000D47BB" w:rsidRPr="006215CC" w:rsidRDefault="000D47BB" w:rsidP="005B3BEE">
            <w:pPr>
              <w:spacing w:after="0" w:line="240" w:lineRule="auto"/>
              <w:rPr>
                <w:rFonts w:eastAsia="Times New Roman" w:cstheme="minorHAnsi"/>
                <w:sz w:val="18"/>
                <w:szCs w:val="18"/>
                <w:lang w:eastAsia="en-GB"/>
              </w:rPr>
            </w:pPr>
            <w:r w:rsidRPr="006215CC">
              <w:rPr>
                <w:rFonts w:eastAsia="Times New Roman" w:cstheme="minorHAnsi"/>
                <w:sz w:val="18"/>
                <w:szCs w:val="18"/>
                <w:lang w:eastAsia="en-GB"/>
              </w:rPr>
              <w:t> </w:t>
            </w:r>
          </w:p>
        </w:tc>
        <w:tc>
          <w:tcPr>
            <w:tcW w:w="992" w:type="dxa"/>
            <w:tcBorders>
              <w:top w:val="nil"/>
              <w:left w:val="nil"/>
              <w:bottom w:val="single" w:sz="4" w:space="0" w:color="auto"/>
              <w:right w:val="nil"/>
            </w:tcBorders>
            <w:shd w:val="clear" w:color="auto" w:fill="auto"/>
            <w:noWrap/>
            <w:vAlign w:val="bottom"/>
            <w:hideMark/>
          </w:tcPr>
          <w:p w14:paraId="0DF26B36" w14:textId="77777777" w:rsidR="000D47BB" w:rsidRPr="006215CC" w:rsidRDefault="000D47BB" w:rsidP="00773F7B">
            <w:pPr>
              <w:spacing w:after="0" w:line="240" w:lineRule="auto"/>
              <w:jc w:val="right"/>
              <w:rPr>
                <w:rFonts w:eastAsia="Times New Roman" w:cstheme="minorHAnsi"/>
                <w:b/>
                <w:bCs/>
                <w:sz w:val="18"/>
                <w:szCs w:val="18"/>
                <w:lang w:eastAsia="en-GB"/>
              </w:rPr>
            </w:pPr>
            <w:r w:rsidRPr="006215CC">
              <w:rPr>
                <w:rFonts w:eastAsia="Times New Roman" w:cstheme="minorHAnsi"/>
                <w:b/>
                <w:bCs/>
                <w:sz w:val="18"/>
                <w:szCs w:val="18"/>
                <w:lang w:eastAsia="en-GB"/>
              </w:rPr>
              <w:t>£m</w:t>
            </w:r>
          </w:p>
        </w:tc>
      </w:tr>
      <w:tr w:rsidR="000D47BB" w:rsidRPr="00292B26" w14:paraId="1854724F" w14:textId="77777777" w:rsidTr="005B3BEE">
        <w:trPr>
          <w:trHeight w:val="260"/>
          <w:jc w:val="center"/>
        </w:trPr>
        <w:tc>
          <w:tcPr>
            <w:tcW w:w="8787" w:type="dxa"/>
            <w:tcBorders>
              <w:top w:val="nil"/>
              <w:left w:val="nil"/>
              <w:bottom w:val="nil"/>
              <w:right w:val="nil"/>
            </w:tcBorders>
            <w:shd w:val="clear" w:color="auto" w:fill="auto"/>
            <w:noWrap/>
            <w:vAlign w:val="bottom"/>
            <w:hideMark/>
          </w:tcPr>
          <w:p w14:paraId="7E91163B" w14:textId="6FAB5B79" w:rsidR="000D47BB" w:rsidRPr="006215CC" w:rsidRDefault="000D47BB" w:rsidP="005B3BEE">
            <w:pPr>
              <w:spacing w:after="0" w:line="240" w:lineRule="auto"/>
              <w:rPr>
                <w:rFonts w:eastAsia="Times New Roman" w:cstheme="minorHAnsi"/>
                <w:sz w:val="18"/>
                <w:szCs w:val="18"/>
                <w:lang w:eastAsia="en-GB"/>
              </w:rPr>
            </w:pPr>
            <w:r w:rsidRPr="006215CC">
              <w:rPr>
                <w:rFonts w:eastAsia="Times New Roman" w:cstheme="minorHAnsi"/>
                <w:b/>
                <w:bCs/>
                <w:sz w:val="18"/>
                <w:szCs w:val="18"/>
                <w:lang w:eastAsia="en-GB"/>
              </w:rPr>
              <w:t>Operating lease commitment reconciliation</w:t>
            </w:r>
          </w:p>
        </w:tc>
        <w:tc>
          <w:tcPr>
            <w:tcW w:w="992" w:type="dxa"/>
            <w:tcBorders>
              <w:top w:val="nil"/>
              <w:left w:val="nil"/>
              <w:bottom w:val="nil"/>
              <w:right w:val="nil"/>
            </w:tcBorders>
            <w:shd w:val="clear" w:color="auto" w:fill="auto"/>
            <w:noWrap/>
            <w:vAlign w:val="bottom"/>
            <w:hideMark/>
          </w:tcPr>
          <w:p w14:paraId="1F0EDD81" w14:textId="77777777" w:rsidR="000D47BB" w:rsidRPr="006215CC" w:rsidRDefault="000D47BB" w:rsidP="00773F7B">
            <w:pPr>
              <w:spacing w:after="0" w:line="240" w:lineRule="auto"/>
              <w:jc w:val="right"/>
              <w:rPr>
                <w:rFonts w:eastAsia="Times New Roman" w:cstheme="minorHAnsi"/>
                <w:sz w:val="18"/>
                <w:szCs w:val="18"/>
                <w:lang w:eastAsia="en-GB"/>
              </w:rPr>
            </w:pPr>
          </w:p>
        </w:tc>
      </w:tr>
      <w:tr w:rsidR="000D47BB" w:rsidRPr="00292B26" w14:paraId="4CB9C1F4" w14:textId="77777777" w:rsidTr="005B3BEE">
        <w:trPr>
          <w:trHeight w:val="260"/>
          <w:jc w:val="center"/>
        </w:trPr>
        <w:tc>
          <w:tcPr>
            <w:tcW w:w="8787" w:type="dxa"/>
            <w:tcBorders>
              <w:top w:val="nil"/>
              <w:left w:val="nil"/>
              <w:bottom w:val="nil"/>
              <w:right w:val="nil"/>
            </w:tcBorders>
            <w:shd w:val="clear" w:color="auto" w:fill="auto"/>
            <w:noWrap/>
            <w:vAlign w:val="bottom"/>
            <w:hideMark/>
          </w:tcPr>
          <w:p w14:paraId="1C04A514" w14:textId="62D32561" w:rsidR="000D47BB" w:rsidRPr="006215CC" w:rsidRDefault="000D47BB" w:rsidP="00C979F8">
            <w:pPr>
              <w:spacing w:after="0" w:line="240" w:lineRule="auto"/>
              <w:rPr>
                <w:rFonts w:eastAsia="Times New Roman" w:cstheme="minorHAnsi"/>
                <w:sz w:val="18"/>
                <w:szCs w:val="18"/>
                <w:lang w:eastAsia="en-GB"/>
              </w:rPr>
            </w:pPr>
            <w:r w:rsidRPr="006215CC">
              <w:rPr>
                <w:rFonts w:eastAsia="Times New Roman" w:cstheme="minorHAnsi"/>
                <w:sz w:val="18"/>
                <w:szCs w:val="18"/>
                <w:lang w:eastAsia="en-GB"/>
              </w:rPr>
              <w:t>Operating lease commitments disclosed as at 27 September 2019</w:t>
            </w:r>
          </w:p>
        </w:tc>
        <w:tc>
          <w:tcPr>
            <w:tcW w:w="992" w:type="dxa"/>
            <w:tcBorders>
              <w:top w:val="nil"/>
              <w:left w:val="nil"/>
              <w:bottom w:val="nil"/>
              <w:right w:val="nil"/>
            </w:tcBorders>
            <w:shd w:val="clear" w:color="auto" w:fill="auto"/>
            <w:noWrap/>
            <w:vAlign w:val="bottom"/>
          </w:tcPr>
          <w:p w14:paraId="793DA397" w14:textId="77777777" w:rsidR="000D47BB" w:rsidRPr="006215CC" w:rsidRDefault="000D47BB" w:rsidP="00773F7B">
            <w:pPr>
              <w:spacing w:after="0" w:line="240" w:lineRule="auto"/>
              <w:jc w:val="right"/>
              <w:rPr>
                <w:rFonts w:eastAsia="Times New Roman" w:cstheme="minorHAnsi"/>
                <w:b/>
                <w:bCs/>
                <w:sz w:val="18"/>
                <w:szCs w:val="18"/>
                <w:lang w:eastAsia="en-GB"/>
              </w:rPr>
            </w:pPr>
            <w:r>
              <w:rPr>
                <w:rFonts w:eastAsia="Times New Roman" w:cstheme="minorHAnsi"/>
                <w:sz w:val="18"/>
                <w:szCs w:val="18"/>
                <w:lang w:eastAsia="en-GB"/>
              </w:rPr>
              <w:t>48.6</w:t>
            </w:r>
          </w:p>
        </w:tc>
      </w:tr>
      <w:tr w:rsidR="000D47BB" w:rsidRPr="00292B26" w14:paraId="0206C015" w14:textId="77777777" w:rsidTr="005B3BEE">
        <w:trPr>
          <w:trHeight w:val="260"/>
          <w:jc w:val="center"/>
        </w:trPr>
        <w:tc>
          <w:tcPr>
            <w:tcW w:w="8787" w:type="dxa"/>
            <w:tcBorders>
              <w:top w:val="nil"/>
              <w:left w:val="nil"/>
              <w:bottom w:val="nil"/>
              <w:right w:val="nil"/>
            </w:tcBorders>
            <w:shd w:val="clear" w:color="auto" w:fill="auto"/>
            <w:noWrap/>
            <w:vAlign w:val="bottom"/>
            <w:hideMark/>
          </w:tcPr>
          <w:p w14:paraId="0D528F47" w14:textId="77777777" w:rsidR="000D47BB" w:rsidRPr="006215CC" w:rsidRDefault="000D47BB" w:rsidP="00C979F8">
            <w:pPr>
              <w:spacing w:after="0" w:line="240" w:lineRule="auto"/>
              <w:rPr>
                <w:rFonts w:eastAsia="Times New Roman" w:cstheme="minorHAnsi"/>
                <w:sz w:val="18"/>
                <w:szCs w:val="18"/>
                <w:lang w:eastAsia="en-GB"/>
              </w:rPr>
            </w:pPr>
            <w:r>
              <w:rPr>
                <w:rFonts w:eastAsia="Times New Roman" w:cstheme="minorHAnsi"/>
                <w:sz w:val="18"/>
                <w:szCs w:val="18"/>
                <w:lang w:eastAsia="en-GB"/>
              </w:rPr>
              <w:lastRenderedPageBreak/>
              <w:t>Adjustments for e</w:t>
            </w:r>
            <w:r w:rsidRPr="006215CC">
              <w:rPr>
                <w:rFonts w:eastAsia="Times New Roman" w:cstheme="minorHAnsi"/>
                <w:sz w:val="18"/>
                <w:szCs w:val="18"/>
                <w:lang w:eastAsia="en-GB"/>
              </w:rPr>
              <w:t>xtension</w:t>
            </w:r>
            <w:r>
              <w:rPr>
                <w:rFonts w:eastAsia="Times New Roman" w:cstheme="minorHAnsi"/>
                <w:sz w:val="18"/>
                <w:szCs w:val="18"/>
                <w:lang w:eastAsia="en-GB"/>
              </w:rPr>
              <w:t>s</w:t>
            </w:r>
            <w:r w:rsidRPr="006215CC">
              <w:rPr>
                <w:rFonts w:eastAsia="Times New Roman" w:cstheme="minorHAnsi"/>
                <w:sz w:val="18"/>
                <w:szCs w:val="18"/>
                <w:lang w:eastAsia="en-GB"/>
              </w:rPr>
              <w:t xml:space="preserve"> and termination options</w:t>
            </w:r>
          </w:p>
        </w:tc>
        <w:tc>
          <w:tcPr>
            <w:tcW w:w="992" w:type="dxa"/>
            <w:tcBorders>
              <w:top w:val="nil"/>
              <w:left w:val="nil"/>
              <w:bottom w:val="nil"/>
              <w:right w:val="nil"/>
            </w:tcBorders>
            <w:shd w:val="clear" w:color="auto" w:fill="auto"/>
            <w:noWrap/>
            <w:vAlign w:val="bottom"/>
          </w:tcPr>
          <w:p w14:paraId="334F3DE8" w14:textId="77777777" w:rsidR="000D47BB" w:rsidRPr="00D271A2" w:rsidRDefault="000D47BB" w:rsidP="00773F7B">
            <w:pPr>
              <w:spacing w:after="0" w:line="240" w:lineRule="auto"/>
              <w:jc w:val="right"/>
              <w:rPr>
                <w:rFonts w:eastAsia="Times New Roman" w:cstheme="minorHAnsi"/>
                <w:bCs/>
                <w:sz w:val="18"/>
                <w:szCs w:val="18"/>
                <w:lang w:eastAsia="en-GB"/>
              </w:rPr>
            </w:pPr>
            <w:r>
              <w:rPr>
                <w:rFonts w:eastAsia="Times New Roman" w:cstheme="minorHAnsi"/>
                <w:bCs/>
                <w:sz w:val="18"/>
                <w:szCs w:val="18"/>
                <w:lang w:eastAsia="en-GB"/>
              </w:rPr>
              <w:t>1.8</w:t>
            </w:r>
          </w:p>
        </w:tc>
      </w:tr>
      <w:tr w:rsidR="000D47BB" w:rsidRPr="00292B26" w14:paraId="0866FB27" w14:textId="77777777" w:rsidTr="005B3BEE">
        <w:trPr>
          <w:trHeight w:val="260"/>
          <w:jc w:val="center"/>
        </w:trPr>
        <w:tc>
          <w:tcPr>
            <w:tcW w:w="8787" w:type="dxa"/>
            <w:tcBorders>
              <w:top w:val="nil"/>
              <w:left w:val="nil"/>
              <w:bottom w:val="nil"/>
              <w:right w:val="nil"/>
            </w:tcBorders>
            <w:shd w:val="clear" w:color="auto" w:fill="auto"/>
            <w:noWrap/>
            <w:vAlign w:val="bottom"/>
            <w:hideMark/>
          </w:tcPr>
          <w:p w14:paraId="58038E17" w14:textId="77777777" w:rsidR="000D47BB" w:rsidRPr="006215CC" w:rsidRDefault="000D47BB" w:rsidP="00C979F8">
            <w:pPr>
              <w:spacing w:after="0" w:line="240" w:lineRule="auto"/>
              <w:rPr>
                <w:rFonts w:eastAsia="Times New Roman" w:cstheme="minorHAnsi"/>
                <w:sz w:val="18"/>
                <w:szCs w:val="18"/>
                <w:lang w:eastAsia="en-GB"/>
              </w:rPr>
            </w:pPr>
            <w:r w:rsidRPr="006215CC">
              <w:rPr>
                <w:rFonts w:eastAsia="Times New Roman" w:cstheme="minorHAnsi"/>
                <w:sz w:val="18"/>
                <w:szCs w:val="18"/>
                <w:lang w:eastAsia="en-GB"/>
              </w:rPr>
              <w:t>Low value and short</w:t>
            </w:r>
            <w:r>
              <w:rPr>
                <w:rFonts w:eastAsia="Times New Roman" w:cstheme="minorHAnsi"/>
                <w:sz w:val="18"/>
                <w:szCs w:val="18"/>
                <w:lang w:eastAsia="en-GB"/>
              </w:rPr>
              <w:t>–</w:t>
            </w:r>
            <w:r w:rsidRPr="006215CC">
              <w:rPr>
                <w:rFonts w:eastAsia="Times New Roman" w:cstheme="minorHAnsi"/>
                <w:sz w:val="18"/>
                <w:szCs w:val="18"/>
                <w:lang w:eastAsia="en-GB"/>
              </w:rPr>
              <w:t>term leases for which the on</w:t>
            </w:r>
            <w:r>
              <w:rPr>
                <w:rFonts w:eastAsia="Times New Roman" w:cstheme="minorHAnsi"/>
                <w:sz w:val="18"/>
                <w:szCs w:val="18"/>
                <w:lang w:eastAsia="en-GB"/>
              </w:rPr>
              <w:t>–</w:t>
            </w:r>
            <w:r w:rsidRPr="006215CC">
              <w:rPr>
                <w:rFonts w:eastAsia="Times New Roman" w:cstheme="minorHAnsi"/>
                <w:sz w:val="18"/>
                <w:szCs w:val="18"/>
                <w:lang w:eastAsia="en-GB"/>
              </w:rPr>
              <w:t>balance sheet model was not applied</w:t>
            </w:r>
          </w:p>
        </w:tc>
        <w:tc>
          <w:tcPr>
            <w:tcW w:w="992" w:type="dxa"/>
            <w:tcBorders>
              <w:top w:val="nil"/>
              <w:left w:val="nil"/>
              <w:bottom w:val="nil"/>
              <w:right w:val="nil"/>
            </w:tcBorders>
            <w:shd w:val="clear" w:color="auto" w:fill="auto"/>
            <w:noWrap/>
            <w:vAlign w:val="bottom"/>
          </w:tcPr>
          <w:p w14:paraId="1B6EE57F" w14:textId="77777777" w:rsidR="000D47BB" w:rsidRPr="00D271A2" w:rsidRDefault="000D47BB" w:rsidP="00773F7B">
            <w:pPr>
              <w:spacing w:after="0" w:line="240" w:lineRule="auto"/>
              <w:jc w:val="right"/>
              <w:rPr>
                <w:rFonts w:eastAsia="Times New Roman" w:cstheme="minorHAnsi"/>
                <w:bCs/>
                <w:sz w:val="18"/>
                <w:szCs w:val="18"/>
                <w:lang w:eastAsia="en-GB"/>
              </w:rPr>
            </w:pPr>
            <w:r w:rsidRPr="00D271A2">
              <w:rPr>
                <w:rFonts w:eastAsia="Times New Roman" w:cstheme="minorHAnsi"/>
                <w:bCs/>
                <w:sz w:val="18"/>
                <w:szCs w:val="18"/>
                <w:lang w:eastAsia="en-GB"/>
              </w:rPr>
              <w:t>(1.2)</w:t>
            </w:r>
          </w:p>
        </w:tc>
      </w:tr>
      <w:tr w:rsidR="000D47BB" w:rsidRPr="00292B26" w14:paraId="4A464A14" w14:textId="77777777" w:rsidTr="005B3BEE">
        <w:trPr>
          <w:trHeight w:val="260"/>
          <w:jc w:val="center"/>
        </w:trPr>
        <w:tc>
          <w:tcPr>
            <w:tcW w:w="8787" w:type="dxa"/>
            <w:tcBorders>
              <w:top w:val="nil"/>
              <w:left w:val="nil"/>
              <w:bottom w:val="nil"/>
              <w:right w:val="nil"/>
            </w:tcBorders>
            <w:shd w:val="clear" w:color="auto" w:fill="auto"/>
            <w:noWrap/>
            <w:vAlign w:val="bottom"/>
            <w:hideMark/>
          </w:tcPr>
          <w:p w14:paraId="71BDBB9D" w14:textId="77777777" w:rsidR="000D47BB" w:rsidRPr="006215CC" w:rsidRDefault="000D47BB" w:rsidP="00C979F8">
            <w:pPr>
              <w:spacing w:after="0" w:line="240" w:lineRule="auto"/>
              <w:rPr>
                <w:rFonts w:eastAsia="Times New Roman" w:cstheme="minorHAnsi"/>
                <w:sz w:val="18"/>
                <w:szCs w:val="18"/>
                <w:lang w:eastAsia="en-GB"/>
              </w:rPr>
            </w:pPr>
            <w:r w:rsidRPr="006215CC">
              <w:rPr>
                <w:rFonts w:eastAsia="Times New Roman" w:cstheme="minorHAnsi"/>
                <w:sz w:val="18"/>
                <w:szCs w:val="18"/>
                <w:lang w:eastAsia="en-GB"/>
              </w:rPr>
              <w:t>Discounting using the Group's incremental borrowing rate as at 28 September 2019</w:t>
            </w:r>
          </w:p>
        </w:tc>
        <w:tc>
          <w:tcPr>
            <w:tcW w:w="992" w:type="dxa"/>
            <w:tcBorders>
              <w:top w:val="nil"/>
              <w:left w:val="nil"/>
              <w:bottom w:val="nil"/>
              <w:right w:val="nil"/>
            </w:tcBorders>
            <w:shd w:val="clear" w:color="auto" w:fill="auto"/>
            <w:noWrap/>
            <w:vAlign w:val="bottom"/>
          </w:tcPr>
          <w:p w14:paraId="16D37BEF" w14:textId="77777777" w:rsidR="000D47BB" w:rsidRPr="00D271A2" w:rsidRDefault="000D47BB" w:rsidP="00773F7B">
            <w:pPr>
              <w:spacing w:after="0" w:line="240" w:lineRule="auto"/>
              <w:jc w:val="right"/>
              <w:rPr>
                <w:rFonts w:eastAsia="Times New Roman" w:cstheme="minorHAnsi"/>
                <w:bCs/>
                <w:sz w:val="18"/>
                <w:szCs w:val="18"/>
                <w:lang w:eastAsia="en-GB"/>
              </w:rPr>
            </w:pPr>
            <w:r w:rsidRPr="00D271A2">
              <w:rPr>
                <w:rFonts w:eastAsia="Times New Roman" w:cstheme="minorHAnsi"/>
                <w:bCs/>
                <w:sz w:val="18"/>
                <w:szCs w:val="18"/>
                <w:lang w:eastAsia="en-GB"/>
              </w:rPr>
              <w:t>(2.</w:t>
            </w:r>
            <w:r>
              <w:rPr>
                <w:rFonts w:eastAsia="Times New Roman" w:cstheme="minorHAnsi"/>
                <w:bCs/>
                <w:sz w:val="18"/>
                <w:szCs w:val="18"/>
                <w:lang w:eastAsia="en-GB"/>
              </w:rPr>
              <w:t>8</w:t>
            </w:r>
            <w:r w:rsidRPr="00D271A2">
              <w:rPr>
                <w:rFonts w:eastAsia="Times New Roman" w:cstheme="minorHAnsi"/>
                <w:bCs/>
                <w:sz w:val="18"/>
                <w:szCs w:val="18"/>
                <w:lang w:eastAsia="en-GB"/>
              </w:rPr>
              <w:t>)</w:t>
            </w:r>
          </w:p>
        </w:tc>
      </w:tr>
      <w:tr w:rsidR="000D47BB" w:rsidRPr="00292B26" w14:paraId="12CB72ED" w14:textId="77777777" w:rsidTr="005B3BEE">
        <w:trPr>
          <w:trHeight w:val="260"/>
          <w:jc w:val="center"/>
        </w:trPr>
        <w:tc>
          <w:tcPr>
            <w:tcW w:w="8787" w:type="dxa"/>
            <w:tcBorders>
              <w:top w:val="single" w:sz="4" w:space="0" w:color="auto"/>
              <w:left w:val="nil"/>
              <w:bottom w:val="single" w:sz="4" w:space="0" w:color="auto"/>
              <w:right w:val="nil"/>
            </w:tcBorders>
            <w:shd w:val="clear" w:color="auto" w:fill="auto"/>
            <w:noWrap/>
            <w:vAlign w:val="bottom"/>
            <w:hideMark/>
          </w:tcPr>
          <w:p w14:paraId="70B6A1BE" w14:textId="22C5DB49" w:rsidR="000D47BB" w:rsidRPr="006215CC" w:rsidRDefault="000D47BB" w:rsidP="005B3BEE">
            <w:pPr>
              <w:spacing w:after="0" w:line="240" w:lineRule="auto"/>
              <w:rPr>
                <w:rFonts w:eastAsia="Times New Roman" w:cstheme="minorHAnsi"/>
                <w:sz w:val="18"/>
                <w:szCs w:val="18"/>
                <w:lang w:eastAsia="en-GB"/>
              </w:rPr>
            </w:pPr>
            <w:r w:rsidRPr="006215CC">
              <w:rPr>
                <w:rFonts w:eastAsia="Times New Roman" w:cstheme="minorHAnsi"/>
                <w:b/>
                <w:sz w:val="18"/>
                <w:szCs w:val="18"/>
                <w:lang w:eastAsia="en-GB"/>
              </w:rPr>
              <w:t>Lease liability recognised at 28 September 2019</w:t>
            </w:r>
            <w:r w:rsidRPr="006215CC">
              <w:rPr>
                <w:rFonts w:eastAsia="Times New Roman" w:cstheme="minorHAnsi"/>
                <w:sz w:val="18"/>
                <w:szCs w:val="18"/>
                <w:lang w:eastAsia="en-GB"/>
              </w:rPr>
              <w:t> </w:t>
            </w:r>
          </w:p>
        </w:tc>
        <w:tc>
          <w:tcPr>
            <w:tcW w:w="992" w:type="dxa"/>
            <w:tcBorders>
              <w:top w:val="single" w:sz="4" w:space="0" w:color="auto"/>
              <w:left w:val="nil"/>
              <w:bottom w:val="single" w:sz="4" w:space="0" w:color="auto"/>
              <w:right w:val="nil"/>
            </w:tcBorders>
            <w:shd w:val="clear" w:color="auto" w:fill="auto"/>
            <w:noWrap/>
            <w:vAlign w:val="bottom"/>
          </w:tcPr>
          <w:p w14:paraId="2967EBBD" w14:textId="77777777" w:rsidR="000D47BB" w:rsidRPr="006215CC" w:rsidRDefault="000D47BB" w:rsidP="00773F7B">
            <w:pPr>
              <w:spacing w:after="0" w:line="240" w:lineRule="auto"/>
              <w:jc w:val="right"/>
              <w:rPr>
                <w:rFonts w:eastAsia="Times New Roman" w:cstheme="minorHAnsi"/>
                <w:b/>
                <w:bCs/>
                <w:sz w:val="18"/>
                <w:szCs w:val="18"/>
                <w:lang w:eastAsia="en-GB"/>
              </w:rPr>
            </w:pPr>
            <w:r>
              <w:rPr>
                <w:rFonts w:eastAsia="Times New Roman" w:cstheme="minorHAnsi"/>
                <w:b/>
                <w:bCs/>
                <w:sz w:val="18"/>
                <w:szCs w:val="18"/>
                <w:lang w:eastAsia="en-GB"/>
              </w:rPr>
              <w:t>46.4</w:t>
            </w:r>
          </w:p>
        </w:tc>
      </w:tr>
      <w:tr w:rsidR="000D47BB" w:rsidRPr="00292B26" w14:paraId="13B4CECB" w14:textId="77777777" w:rsidTr="005B3BEE">
        <w:trPr>
          <w:trHeight w:val="260"/>
          <w:jc w:val="center"/>
        </w:trPr>
        <w:tc>
          <w:tcPr>
            <w:tcW w:w="8787" w:type="dxa"/>
            <w:tcBorders>
              <w:top w:val="nil"/>
              <w:left w:val="nil"/>
              <w:bottom w:val="nil"/>
              <w:right w:val="nil"/>
            </w:tcBorders>
            <w:shd w:val="clear" w:color="auto" w:fill="auto"/>
            <w:noWrap/>
            <w:vAlign w:val="bottom"/>
          </w:tcPr>
          <w:p w14:paraId="0186C43B" w14:textId="5625493F" w:rsidR="000D47BB" w:rsidRPr="006215CC" w:rsidRDefault="000D47BB" w:rsidP="00C979F8">
            <w:pPr>
              <w:spacing w:after="0" w:line="240" w:lineRule="auto"/>
              <w:rPr>
                <w:rFonts w:eastAsia="Times New Roman" w:cstheme="minorHAnsi"/>
                <w:sz w:val="18"/>
                <w:szCs w:val="18"/>
                <w:lang w:eastAsia="en-GB"/>
              </w:rPr>
            </w:pPr>
            <w:r w:rsidRPr="006215CC">
              <w:rPr>
                <w:rFonts w:eastAsia="Times New Roman" w:cstheme="minorHAnsi"/>
                <w:i/>
                <w:iCs/>
                <w:sz w:val="18"/>
                <w:szCs w:val="18"/>
                <w:lang w:eastAsia="en-GB"/>
              </w:rPr>
              <w:t>comprising:</w:t>
            </w:r>
          </w:p>
        </w:tc>
        <w:tc>
          <w:tcPr>
            <w:tcW w:w="992" w:type="dxa"/>
            <w:tcBorders>
              <w:top w:val="nil"/>
              <w:left w:val="nil"/>
              <w:bottom w:val="nil"/>
              <w:right w:val="nil"/>
            </w:tcBorders>
            <w:shd w:val="clear" w:color="auto" w:fill="auto"/>
            <w:noWrap/>
            <w:vAlign w:val="bottom"/>
          </w:tcPr>
          <w:p w14:paraId="2A22CA3A" w14:textId="77777777" w:rsidR="000D47BB" w:rsidRPr="006215CC" w:rsidRDefault="000D47BB" w:rsidP="00773F7B">
            <w:pPr>
              <w:spacing w:after="0" w:line="240" w:lineRule="auto"/>
              <w:jc w:val="right"/>
              <w:rPr>
                <w:rFonts w:eastAsia="Times New Roman" w:cstheme="minorHAnsi"/>
                <w:sz w:val="18"/>
                <w:szCs w:val="18"/>
                <w:lang w:eastAsia="en-GB"/>
              </w:rPr>
            </w:pPr>
          </w:p>
        </w:tc>
      </w:tr>
      <w:tr w:rsidR="000D47BB" w:rsidRPr="00292B26" w14:paraId="5CF3F512" w14:textId="77777777" w:rsidTr="005B3BEE">
        <w:trPr>
          <w:trHeight w:val="260"/>
          <w:jc w:val="center"/>
        </w:trPr>
        <w:tc>
          <w:tcPr>
            <w:tcW w:w="8787" w:type="dxa"/>
            <w:tcBorders>
              <w:top w:val="nil"/>
              <w:left w:val="nil"/>
              <w:bottom w:val="nil"/>
              <w:right w:val="nil"/>
            </w:tcBorders>
            <w:shd w:val="clear" w:color="auto" w:fill="auto"/>
            <w:noWrap/>
            <w:vAlign w:val="bottom"/>
          </w:tcPr>
          <w:p w14:paraId="035D5C3C" w14:textId="7F4374AC" w:rsidR="000D47BB" w:rsidRPr="006215CC" w:rsidRDefault="000D47BB" w:rsidP="00C979F8">
            <w:pPr>
              <w:spacing w:after="0" w:line="240" w:lineRule="auto"/>
              <w:rPr>
                <w:rFonts w:eastAsia="Times New Roman" w:cstheme="minorHAnsi"/>
                <w:sz w:val="18"/>
                <w:szCs w:val="18"/>
                <w:lang w:eastAsia="en-GB"/>
              </w:rPr>
            </w:pPr>
            <w:r w:rsidRPr="006215CC">
              <w:rPr>
                <w:rFonts w:eastAsia="Times New Roman" w:cstheme="minorHAnsi"/>
                <w:sz w:val="18"/>
                <w:szCs w:val="18"/>
                <w:lang w:eastAsia="en-GB"/>
              </w:rPr>
              <w:t>Current liabilities</w:t>
            </w:r>
          </w:p>
        </w:tc>
        <w:tc>
          <w:tcPr>
            <w:tcW w:w="992" w:type="dxa"/>
            <w:tcBorders>
              <w:top w:val="nil"/>
              <w:left w:val="nil"/>
              <w:bottom w:val="nil"/>
              <w:right w:val="nil"/>
            </w:tcBorders>
            <w:shd w:val="clear" w:color="auto" w:fill="auto"/>
            <w:noWrap/>
            <w:vAlign w:val="bottom"/>
          </w:tcPr>
          <w:p w14:paraId="2FA80C7D" w14:textId="65186C6C" w:rsidR="000D47BB" w:rsidRPr="006215CC" w:rsidRDefault="000D47BB" w:rsidP="00773F7B">
            <w:pPr>
              <w:spacing w:after="0" w:line="240" w:lineRule="auto"/>
              <w:jc w:val="right"/>
              <w:rPr>
                <w:rFonts w:eastAsia="Times New Roman" w:cstheme="minorHAnsi"/>
                <w:sz w:val="18"/>
                <w:szCs w:val="18"/>
                <w:lang w:eastAsia="en-GB"/>
              </w:rPr>
            </w:pPr>
            <w:r>
              <w:rPr>
                <w:rFonts w:eastAsia="Times New Roman" w:cstheme="minorHAnsi"/>
                <w:sz w:val="18"/>
                <w:szCs w:val="18"/>
                <w:lang w:eastAsia="en-GB"/>
              </w:rPr>
              <w:t>12.2</w:t>
            </w:r>
          </w:p>
        </w:tc>
      </w:tr>
      <w:tr w:rsidR="000D47BB" w:rsidRPr="00292B26" w14:paraId="297184F4" w14:textId="77777777" w:rsidTr="005B3BEE">
        <w:trPr>
          <w:trHeight w:val="260"/>
          <w:jc w:val="center"/>
        </w:trPr>
        <w:tc>
          <w:tcPr>
            <w:tcW w:w="8787" w:type="dxa"/>
            <w:tcBorders>
              <w:top w:val="nil"/>
              <w:left w:val="nil"/>
              <w:bottom w:val="nil"/>
              <w:right w:val="nil"/>
            </w:tcBorders>
            <w:shd w:val="clear" w:color="auto" w:fill="auto"/>
            <w:noWrap/>
            <w:vAlign w:val="bottom"/>
          </w:tcPr>
          <w:p w14:paraId="0133E4F4" w14:textId="22530689" w:rsidR="000D47BB" w:rsidRPr="006215CC" w:rsidRDefault="000D47BB" w:rsidP="00C979F8">
            <w:pPr>
              <w:spacing w:after="0" w:line="240" w:lineRule="auto"/>
              <w:rPr>
                <w:rFonts w:eastAsia="Times New Roman" w:cstheme="minorHAnsi"/>
                <w:sz w:val="18"/>
                <w:szCs w:val="18"/>
                <w:lang w:eastAsia="en-GB"/>
              </w:rPr>
            </w:pPr>
            <w:r w:rsidRPr="006215CC">
              <w:rPr>
                <w:rFonts w:eastAsia="Times New Roman" w:cstheme="minorHAnsi"/>
                <w:sz w:val="18"/>
                <w:szCs w:val="18"/>
                <w:lang w:eastAsia="en-GB"/>
              </w:rPr>
              <w:t>Non</w:t>
            </w:r>
            <w:r>
              <w:rPr>
                <w:rFonts w:eastAsia="Times New Roman" w:cstheme="minorHAnsi"/>
                <w:sz w:val="18"/>
                <w:szCs w:val="18"/>
                <w:lang w:eastAsia="en-GB"/>
              </w:rPr>
              <w:t>–</w:t>
            </w:r>
            <w:r w:rsidRPr="006215CC">
              <w:rPr>
                <w:rFonts w:eastAsia="Times New Roman" w:cstheme="minorHAnsi"/>
                <w:sz w:val="18"/>
                <w:szCs w:val="18"/>
                <w:lang w:eastAsia="en-GB"/>
              </w:rPr>
              <w:t>current liabilities</w:t>
            </w:r>
          </w:p>
        </w:tc>
        <w:tc>
          <w:tcPr>
            <w:tcW w:w="992" w:type="dxa"/>
            <w:tcBorders>
              <w:top w:val="nil"/>
              <w:left w:val="nil"/>
              <w:bottom w:val="nil"/>
              <w:right w:val="nil"/>
            </w:tcBorders>
            <w:shd w:val="clear" w:color="auto" w:fill="auto"/>
            <w:noWrap/>
            <w:vAlign w:val="bottom"/>
          </w:tcPr>
          <w:p w14:paraId="3EE31A37" w14:textId="2A63B1FC" w:rsidR="000D47BB" w:rsidRPr="006215CC" w:rsidRDefault="000D47BB" w:rsidP="00773F7B">
            <w:pPr>
              <w:spacing w:after="0" w:line="240" w:lineRule="auto"/>
              <w:jc w:val="right"/>
              <w:rPr>
                <w:rFonts w:eastAsia="Times New Roman" w:cstheme="minorHAnsi"/>
                <w:sz w:val="18"/>
                <w:szCs w:val="18"/>
                <w:lang w:eastAsia="en-GB"/>
              </w:rPr>
            </w:pPr>
            <w:r>
              <w:rPr>
                <w:rFonts w:eastAsia="Times New Roman" w:cstheme="minorHAnsi"/>
                <w:sz w:val="18"/>
                <w:szCs w:val="18"/>
                <w:lang w:eastAsia="en-GB"/>
              </w:rPr>
              <w:t>34.2</w:t>
            </w:r>
          </w:p>
        </w:tc>
      </w:tr>
      <w:tr w:rsidR="000D47BB" w:rsidRPr="00292B26" w14:paraId="4E514F6E" w14:textId="77777777" w:rsidTr="005B3BEE">
        <w:trPr>
          <w:trHeight w:val="187"/>
          <w:jc w:val="center"/>
        </w:trPr>
        <w:tc>
          <w:tcPr>
            <w:tcW w:w="8787" w:type="dxa"/>
            <w:tcBorders>
              <w:top w:val="single" w:sz="4" w:space="0" w:color="auto"/>
              <w:left w:val="nil"/>
              <w:bottom w:val="single" w:sz="4" w:space="0" w:color="auto"/>
              <w:right w:val="nil"/>
            </w:tcBorders>
            <w:shd w:val="clear" w:color="auto" w:fill="auto"/>
            <w:noWrap/>
            <w:vAlign w:val="bottom"/>
            <w:hideMark/>
          </w:tcPr>
          <w:p w14:paraId="6AA22CFD" w14:textId="68D6AA7B" w:rsidR="000D47BB" w:rsidRPr="006215CC" w:rsidRDefault="000D47BB" w:rsidP="005B3BEE">
            <w:pPr>
              <w:spacing w:after="0" w:line="240" w:lineRule="auto"/>
              <w:rPr>
                <w:rFonts w:eastAsia="Times New Roman" w:cstheme="minorHAnsi"/>
                <w:sz w:val="18"/>
                <w:szCs w:val="18"/>
                <w:lang w:eastAsia="en-GB"/>
              </w:rPr>
            </w:pPr>
            <w:r w:rsidRPr="006215CC">
              <w:rPr>
                <w:rFonts w:eastAsia="Times New Roman" w:cstheme="minorHAnsi"/>
                <w:sz w:val="18"/>
                <w:szCs w:val="18"/>
                <w:lang w:eastAsia="en-GB"/>
              </w:rPr>
              <w:t> </w:t>
            </w:r>
          </w:p>
        </w:tc>
        <w:tc>
          <w:tcPr>
            <w:tcW w:w="992" w:type="dxa"/>
            <w:tcBorders>
              <w:top w:val="single" w:sz="4" w:space="0" w:color="auto"/>
              <w:left w:val="nil"/>
              <w:bottom w:val="single" w:sz="4" w:space="0" w:color="auto"/>
              <w:right w:val="nil"/>
            </w:tcBorders>
            <w:shd w:val="clear" w:color="auto" w:fill="auto"/>
            <w:noWrap/>
            <w:vAlign w:val="bottom"/>
          </w:tcPr>
          <w:p w14:paraId="6AA4C61E" w14:textId="77777777" w:rsidR="000D47BB" w:rsidRPr="006215CC" w:rsidRDefault="000D47BB" w:rsidP="00C979F8">
            <w:pPr>
              <w:spacing w:after="0" w:line="240" w:lineRule="auto"/>
              <w:jc w:val="right"/>
              <w:rPr>
                <w:rFonts w:eastAsia="Times New Roman" w:cstheme="minorHAnsi"/>
                <w:b/>
                <w:bCs/>
                <w:sz w:val="18"/>
                <w:szCs w:val="18"/>
                <w:lang w:eastAsia="en-GB"/>
              </w:rPr>
            </w:pPr>
            <w:r>
              <w:rPr>
                <w:rFonts w:eastAsia="Times New Roman" w:cstheme="minorHAnsi"/>
                <w:b/>
                <w:bCs/>
                <w:sz w:val="18"/>
                <w:szCs w:val="18"/>
                <w:lang w:eastAsia="en-GB"/>
              </w:rPr>
              <w:t>46.4</w:t>
            </w:r>
          </w:p>
        </w:tc>
      </w:tr>
    </w:tbl>
    <w:p w14:paraId="20610355" w14:textId="77777777" w:rsidR="00773F7B" w:rsidRPr="001E1407" w:rsidRDefault="00773F7B" w:rsidP="005B3BEE">
      <w:pPr>
        <w:pStyle w:val="Paragraph"/>
        <w:spacing w:before="120" w:after="120"/>
      </w:pPr>
      <w:r w:rsidRPr="001E1407">
        <w:t xml:space="preserve">Set out below is the new accounting policy of the Group upon adoption of IFRS 16 </w:t>
      </w:r>
      <w:r w:rsidRPr="001E1407">
        <w:rPr>
          <w:i/>
        </w:rPr>
        <w:t>Leases</w:t>
      </w:r>
      <w:r w:rsidRPr="001E1407">
        <w:t>:</w:t>
      </w:r>
    </w:p>
    <w:p w14:paraId="44C99B96" w14:textId="77777777" w:rsidR="003B53C5" w:rsidRDefault="00773F7B" w:rsidP="005B3BEE">
      <w:pPr>
        <w:pStyle w:val="Paragraph"/>
        <w:spacing w:before="0" w:after="120"/>
        <w:jc w:val="both"/>
      </w:pPr>
      <w:r w:rsidRPr="005D0EFF">
        <w:t>The Group leases various properties, motor vehicles and equipment. Rental contracts are typically made for fixed periods but may have extension options. Lease terms are negotiated on an individual basis and contain a wide range of different terms and conditions.</w:t>
      </w:r>
    </w:p>
    <w:p w14:paraId="6E598F1F" w14:textId="77777777" w:rsidR="00773F7B" w:rsidRDefault="00773F7B" w:rsidP="005B3BEE">
      <w:pPr>
        <w:pStyle w:val="Paragraph"/>
        <w:spacing w:before="0" w:after="120"/>
        <w:jc w:val="both"/>
      </w:pPr>
      <w:r w:rsidRPr="005D0EFF">
        <w:t>At inception of a contract, the Group assesses whether a contract is, or contains, a lease.</w:t>
      </w:r>
      <w:r>
        <w:t xml:space="preserve"> A right–of–use asset and lease liability are recognised at commencement for contracts containing a lease, with the exception of leases with a term of 12 months or less or leases where the underlying asset is of low value, such leases continue to be expensed through the Income Statement as incurred. </w:t>
      </w:r>
    </w:p>
    <w:p w14:paraId="7CD4929E" w14:textId="77777777" w:rsidR="00773F7B" w:rsidRDefault="00773F7B" w:rsidP="005B3BEE">
      <w:pPr>
        <w:pStyle w:val="Paragraph"/>
        <w:spacing w:before="0" w:after="120"/>
        <w:jc w:val="both"/>
      </w:pPr>
      <w:r w:rsidRPr="000A12B5">
        <w:t>The lease liability is initially measured at the present value of the lease payments payable over the lease term, discounted at the incremental borrowing rate.</w:t>
      </w:r>
      <w:r>
        <w:t xml:space="preserve"> Lease payments include fixed payments, variable payments </w:t>
      </w:r>
      <w:r w:rsidRPr="000A12B5">
        <w:t>that depend on an index or a rate are included in the initial mea</w:t>
      </w:r>
      <w:r>
        <w:t xml:space="preserve">surement of the lease liability payments for an optional renewal period and termination option payments. The lease term is the non–cancellable period of the lease adjusted for any renewal or termination options which are reasonably certain to be exercised. </w:t>
      </w:r>
      <w:r w:rsidRPr="000A12B5">
        <w:t xml:space="preserve">The Group has applied judgement to determine the lease term for some lease contracts that includes renewal options and break clauses. </w:t>
      </w:r>
    </w:p>
    <w:p w14:paraId="0209A912" w14:textId="62C169EB" w:rsidR="00773F7B" w:rsidRDefault="00773F7B" w:rsidP="005B3BEE">
      <w:pPr>
        <w:pStyle w:val="Paragraph"/>
        <w:spacing w:before="0" w:after="120"/>
        <w:jc w:val="both"/>
      </w:pPr>
      <w:r>
        <w:t xml:space="preserve">Following initial </w:t>
      </w:r>
      <w:r w:rsidR="009A0CE8">
        <w:t>recognition,</w:t>
      </w:r>
      <w:r>
        <w:t xml:space="preserve"> the lease liability is measured at amortised cost using the effective interest method. It is re–measured when there is a change in future minimum lease payments or when the Group changes </w:t>
      </w:r>
      <w:r w:rsidR="001D0FD3">
        <w:t>its</w:t>
      </w:r>
      <w:r>
        <w:t xml:space="preserve"> assessment of whether it is reasonably certain to exercise an option within a contract. </w:t>
      </w:r>
    </w:p>
    <w:p w14:paraId="47A7B9C8" w14:textId="77777777" w:rsidR="00773F7B" w:rsidRDefault="00773F7B" w:rsidP="005B3BEE">
      <w:pPr>
        <w:pStyle w:val="Paragraph"/>
        <w:spacing w:before="0" w:after="120"/>
        <w:jc w:val="both"/>
      </w:pPr>
      <w:r w:rsidRPr="000A12B5">
        <w:t>The right</w:t>
      </w:r>
      <w:r>
        <w:t>–</w:t>
      </w:r>
      <w:r w:rsidRPr="000A12B5">
        <w:t>of</w:t>
      </w:r>
      <w:r>
        <w:t>–</w:t>
      </w:r>
      <w:r w:rsidRPr="000A12B5">
        <w:t>use asset is initially measured at cost, which comprises the initial amount of the lease liability adjusted for any lease payments made at or before the commencement date, plus any initial direct costs incurred and an estimate of costs to dismantle and remove the asset less any lease incentives received.</w:t>
      </w:r>
      <w:r>
        <w:t xml:space="preserve">  </w:t>
      </w:r>
      <w:r w:rsidRPr="009939E8">
        <w:t>After lease commencement, the Group measures right</w:t>
      </w:r>
      <w:r>
        <w:t>–</w:t>
      </w:r>
      <w:r w:rsidRPr="009939E8">
        <w:t>of</w:t>
      </w:r>
      <w:r>
        <w:t>–</w:t>
      </w:r>
      <w:r w:rsidRPr="009939E8">
        <w:t>use assets using a cost model</w:t>
      </w:r>
      <w:r>
        <w:t>, reflecting</w:t>
      </w:r>
      <w:r w:rsidRPr="009939E8">
        <w:t xml:space="preserve"> cost less accumulated depreciation </w:t>
      </w:r>
      <w:r>
        <w:t xml:space="preserve">and </w:t>
      </w:r>
      <w:r w:rsidRPr="009939E8">
        <w:t>impairment.</w:t>
      </w:r>
      <w:r>
        <w:t xml:space="preserve"> </w:t>
      </w:r>
      <w:r w:rsidRPr="009939E8">
        <w:t>The right</w:t>
      </w:r>
      <w:r>
        <w:t>–</w:t>
      </w:r>
      <w:r w:rsidRPr="009939E8">
        <w:t>of</w:t>
      </w:r>
      <w:r>
        <w:t>–</w:t>
      </w:r>
      <w:r w:rsidRPr="009939E8">
        <w:t>us</w:t>
      </w:r>
      <w:r>
        <w:t xml:space="preserve">e asset is </w:t>
      </w:r>
      <w:r w:rsidRPr="009939E8">
        <w:t>depreciated using the straight</w:t>
      </w:r>
      <w:r>
        <w:t>–</w:t>
      </w:r>
      <w:r w:rsidRPr="009939E8">
        <w:t>line method from the commencement date to the earlier of the end of the useful life of the right</w:t>
      </w:r>
      <w:r>
        <w:t>–</w:t>
      </w:r>
      <w:r w:rsidRPr="009939E8">
        <w:t>of</w:t>
      </w:r>
      <w:r>
        <w:t>–</w:t>
      </w:r>
      <w:r w:rsidRPr="009939E8">
        <w:t xml:space="preserve">use asset or the end of lease term. </w:t>
      </w:r>
    </w:p>
    <w:p w14:paraId="088F07E0" w14:textId="77777777" w:rsidR="00773F7B" w:rsidRPr="005D0EFF" w:rsidRDefault="00773F7B" w:rsidP="005B3BEE">
      <w:pPr>
        <w:pStyle w:val="SectionH3"/>
      </w:pPr>
      <w:r>
        <w:t>IFRIC</w:t>
      </w:r>
      <w:r w:rsidRPr="005D0EFF">
        <w:t xml:space="preserve"> 23 </w:t>
      </w:r>
      <w:r w:rsidRPr="005B3BEE">
        <w:rPr>
          <w:i/>
          <w:iCs/>
        </w:rPr>
        <w:t xml:space="preserve">Uncertainty over Income Tax Treatments </w:t>
      </w:r>
    </w:p>
    <w:p w14:paraId="722DDB2A" w14:textId="77777777" w:rsidR="00773F7B" w:rsidRDefault="00773F7B" w:rsidP="005B3BEE">
      <w:pPr>
        <w:pStyle w:val="Paragraph"/>
        <w:spacing w:before="0" w:after="120"/>
        <w:jc w:val="both"/>
      </w:pPr>
      <w:r>
        <w:t xml:space="preserve">This IFRIC clarifies the accounting treatment for uncertainties in income taxes and is applied in the determination of taxable profit (or tax loss), tax bases, unused tax losses, unused tax credits and tax rates, when there is uncertainty over income tax treatments under IAS 12 </w:t>
      </w:r>
      <w:r>
        <w:rPr>
          <w:i/>
          <w:iCs/>
        </w:rPr>
        <w:t>Income Taxes</w:t>
      </w:r>
      <w:r>
        <w:t xml:space="preserve">. </w:t>
      </w:r>
    </w:p>
    <w:p w14:paraId="1A27651D" w14:textId="6D458979" w:rsidR="00A772BE" w:rsidRDefault="00773F7B" w:rsidP="003F0D86">
      <w:pPr>
        <w:pStyle w:val="Paragraph"/>
        <w:spacing w:before="0" w:after="120"/>
        <w:jc w:val="both"/>
      </w:pPr>
      <w:r>
        <w:t xml:space="preserve">The Group recognises provisions for uncertain tax positions as current or deferred tax liabilities and does not separately provide for uncertain tax positions. The Group reflects the effect of the uncertainty in determining the related taxable profit, tax bases, unused tax losses, unused tax credits or tax rate using the methodology that better predicts the outcome of the uncertainty in the event of a tax authority audit (being an expected value or most likely approach, considered for each uncertainty) on the assumption that tax authorities examine amounts they have the right to examine. Following review of its tax provisions and its tax losses the Group has determined that the adoption of this IFRIC has had an immaterial impact on the </w:t>
      </w:r>
      <w:r w:rsidR="00BD5017">
        <w:t>Condense</w:t>
      </w:r>
      <w:r w:rsidR="00BE7FD5">
        <w:t>d</w:t>
      </w:r>
      <w:r w:rsidR="00BD5017">
        <w:t xml:space="preserve"> </w:t>
      </w:r>
      <w:r>
        <w:t>Group</w:t>
      </w:r>
      <w:r w:rsidR="00BD5017">
        <w:t xml:space="preserve"> F</w:t>
      </w:r>
      <w:r>
        <w:t xml:space="preserve">inancial </w:t>
      </w:r>
      <w:r w:rsidR="00BD5017">
        <w:t>S</w:t>
      </w:r>
      <w:r>
        <w:t>tatements.</w:t>
      </w:r>
    </w:p>
    <w:p w14:paraId="5628C958" w14:textId="79DE0DA7" w:rsidR="00773F7B" w:rsidRPr="005B3BEE" w:rsidRDefault="00773F7B" w:rsidP="005B3BEE">
      <w:pPr>
        <w:rPr>
          <w:rFonts w:ascii="Calibri" w:eastAsia="Calibri" w:hAnsi="Calibri" w:cs="Arial"/>
          <w:bCs/>
          <w:lang w:val="en-US" w:eastAsia="en-GB" w:bidi="en-GB"/>
        </w:rPr>
      </w:pPr>
      <w:bookmarkStart w:id="6" w:name="_Hlk6238593"/>
      <w:r w:rsidRPr="005B3BEE">
        <w:rPr>
          <w:rFonts w:ascii="Calibri" w:eastAsia="Calibri" w:hAnsi="Calibri" w:cs="Arial"/>
          <w:b/>
          <w:bCs/>
          <w:sz w:val="18"/>
          <w:szCs w:val="18"/>
          <w:lang w:val="en-US" w:eastAsia="en-GB" w:bidi="en-GB"/>
        </w:rPr>
        <w:t>3.</w:t>
      </w:r>
      <w:r w:rsidR="00710227" w:rsidRPr="005B3BEE">
        <w:rPr>
          <w:rFonts w:ascii="Calibri" w:eastAsia="Calibri" w:hAnsi="Calibri" w:cs="Arial"/>
          <w:b/>
          <w:bCs/>
          <w:sz w:val="18"/>
          <w:szCs w:val="18"/>
          <w:lang w:val="en-US" w:eastAsia="en-GB" w:bidi="en-GB"/>
        </w:rPr>
        <w:tab/>
      </w:r>
      <w:r w:rsidRPr="005B3BEE">
        <w:rPr>
          <w:rFonts w:ascii="Calibri" w:eastAsia="Calibri" w:hAnsi="Calibri" w:cs="Arial"/>
          <w:b/>
          <w:bCs/>
          <w:sz w:val="18"/>
          <w:szCs w:val="18"/>
          <w:lang w:val="en-US" w:eastAsia="en-GB" w:bidi="en-GB"/>
        </w:rPr>
        <w:t>Segment Information</w:t>
      </w:r>
    </w:p>
    <w:bookmarkEnd w:id="6"/>
    <w:p w14:paraId="75C12848" w14:textId="77777777" w:rsidR="00773F7B" w:rsidRDefault="00773F7B" w:rsidP="005B3BEE">
      <w:pPr>
        <w:pStyle w:val="Paragraph"/>
        <w:spacing w:before="0" w:after="120"/>
        <w:jc w:val="both"/>
      </w:pPr>
      <w:r w:rsidRPr="00C93535">
        <w:t>Convenience Foods UK &amp; Ireland is the Group’s operating segment, which represents its reporting segment.</w:t>
      </w:r>
      <w:r>
        <w:t xml:space="preserve"> This</w:t>
      </w:r>
      <w:r w:rsidRPr="00C93535">
        <w:t xml:space="preserve"> </w:t>
      </w:r>
      <w:r w:rsidRPr="00E81D2F">
        <w:t>reflect</w:t>
      </w:r>
      <w:r>
        <w:t>s</w:t>
      </w:r>
      <w:r w:rsidRPr="00E81D2F">
        <w:t xml:space="preserve"> the Group’s organisational structure and the nature of the financial information reported to and assessed by the Chief Operati</w:t>
      </w:r>
      <w:r>
        <w:t>ng</w:t>
      </w:r>
      <w:r w:rsidRPr="00E81D2F">
        <w:t xml:space="preserve"> Decision Maker (‘CODM’) as defined by IFRS 8 </w:t>
      </w:r>
      <w:r w:rsidRPr="005C7C70">
        <w:rPr>
          <w:i/>
        </w:rPr>
        <w:t>Operating Segments</w:t>
      </w:r>
      <w:r w:rsidRPr="00E81D2F">
        <w:t xml:space="preserve">. </w:t>
      </w:r>
      <w:r w:rsidRPr="0062389F">
        <w:t xml:space="preserve">The CODM has been identified as the Group’s Chief Executive Officer. </w:t>
      </w:r>
      <w:r w:rsidRPr="00386903">
        <w:t xml:space="preserve">The segment incorporates many UK convenience food categories </w:t>
      </w:r>
      <w:r>
        <w:t>i</w:t>
      </w:r>
      <w:r w:rsidRPr="00386903">
        <w:t>ncluding sandwiches, salads, sushi, chilled snacking, chilled ready meals, chilled soups and sauces, chilled quiche, ambient sauces and pickles and frozen Yorkshire Puddings as well as the Irish ingredients trading businesses.</w:t>
      </w:r>
    </w:p>
    <w:tbl>
      <w:tblPr>
        <w:tblStyle w:val="TableGrid"/>
        <w:tblW w:w="97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5"/>
        <w:gridCol w:w="992"/>
        <w:gridCol w:w="992"/>
      </w:tblGrid>
      <w:tr w:rsidR="00773F7B" w14:paraId="40818253" w14:textId="77777777" w:rsidTr="005B3BEE">
        <w:trPr>
          <w:jc w:val="center"/>
        </w:trPr>
        <w:tc>
          <w:tcPr>
            <w:tcW w:w="7795" w:type="dxa"/>
          </w:tcPr>
          <w:p w14:paraId="0E3340E7" w14:textId="77777777" w:rsidR="00773F7B" w:rsidRDefault="00773F7B" w:rsidP="00773F7B">
            <w:pPr>
              <w:pStyle w:val="T2"/>
            </w:pPr>
          </w:p>
        </w:tc>
        <w:tc>
          <w:tcPr>
            <w:tcW w:w="1984" w:type="dxa"/>
            <w:gridSpan w:val="2"/>
            <w:vAlign w:val="bottom"/>
          </w:tcPr>
          <w:p w14:paraId="5F4DA360" w14:textId="77777777" w:rsidR="00773F7B" w:rsidRPr="00424769" w:rsidRDefault="00773F7B" w:rsidP="00773F7B">
            <w:pPr>
              <w:pStyle w:val="T2"/>
              <w:rPr>
                <w:b/>
              </w:rPr>
            </w:pPr>
            <w:r w:rsidRPr="00424769">
              <w:rPr>
                <w:b/>
              </w:rPr>
              <w:t>Convenience Foods</w:t>
            </w:r>
            <w:r w:rsidRPr="00424769">
              <w:rPr>
                <w:b/>
              </w:rPr>
              <w:br/>
              <w:t>UK &amp; Ireland</w:t>
            </w:r>
          </w:p>
        </w:tc>
      </w:tr>
      <w:tr w:rsidR="00773F7B" w14:paraId="66767521" w14:textId="77777777" w:rsidTr="005B3BEE">
        <w:trPr>
          <w:jc w:val="center"/>
        </w:trPr>
        <w:tc>
          <w:tcPr>
            <w:tcW w:w="7795" w:type="dxa"/>
          </w:tcPr>
          <w:p w14:paraId="43718BEF" w14:textId="77777777" w:rsidR="00773F7B" w:rsidRDefault="00773F7B" w:rsidP="00773F7B">
            <w:pPr>
              <w:pStyle w:val="T2"/>
            </w:pPr>
          </w:p>
        </w:tc>
        <w:tc>
          <w:tcPr>
            <w:tcW w:w="992" w:type="dxa"/>
            <w:vAlign w:val="bottom"/>
          </w:tcPr>
          <w:p w14:paraId="76122B3C" w14:textId="77777777" w:rsidR="00773F7B" w:rsidRPr="00424769" w:rsidRDefault="00773F7B" w:rsidP="00773F7B">
            <w:pPr>
              <w:pStyle w:val="T2"/>
              <w:jc w:val="right"/>
              <w:rPr>
                <w:b/>
              </w:rPr>
            </w:pPr>
            <w:r w:rsidRPr="00424769">
              <w:rPr>
                <w:b/>
              </w:rPr>
              <w:t>Half year 20</w:t>
            </w:r>
            <w:r>
              <w:rPr>
                <w:b/>
              </w:rPr>
              <w:t>20</w:t>
            </w:r>
          </w:p>
        </w:tc>
        <w:tc>
          <w:tcPr>
            <w:tcW w:w="992" w:type="dxa"/>
            <w:vAlign w:val="bottom"/>
          </w:tcPr>
          <w:p w14:paraId="32118DB7" w14:textId="77777777" w:rsidR="00773F7B" w:rsidRDefault="00773F7B" w:rsidP="00773F7B">
            <w:pPr>
              <w:pStyle w:val="T2"/>
              <w:jc w:val="right"/>
            </w:pPr>
            <w:r w:rsidRPr="0068425A">
              <w:t>Half year</w:t>
            </w:r>
            <w:r>
              <w:t xml:space="preserve"> 2019</w:t>
            </w:r>
          </w:p>
        </w:tc>
      </w:tr>
      <w:tr w:rsidR="00773F7B" w14:paraId="3219D476" w14:textId="77777777" w:rsidTr="005B3BEE">
        <w:trPr>
          <w:jc w:val="center"/>
        </w:trPr>
        <w:tc>
          <w:tcPr>
            <w:tcW w:w="7795" w:type="dxa"/>
            <w:tcBorders>
              <w:bottom w:val="single" w:sz="2" w:space="0" w:color="auto"/>
            </w:tcBorders>
          </w:tcPr>
          <w:p w14:paraId="6978500C" w14:textId="77777777" w:rsidR="00773F7B" w:rsidRDefault="00773F7B" w:rsidP="00773F7B">
            <w:pPr>
              <w:pStyle w:val="T2"/>
            </w:pPr>
          </w:p>
        </w:tc>
        <w:tc>
          <w:tcPr>
            <w:tcW w:w="992" w:type="dxa"/>
            <w:tcBorders>
              <w:bottom w:val="single" w:sz="2" w:space="0" w:color="auto"/>
            </w:tcBorders>
            <w:vAlign w:val="bottom"/>
          </w:tcPr>
          <w:p w14:paraId="47A3CD20" w14:textId="77777777" w:rsidR="00773F7B" w:rsidRPr="00424769" w:rsidRDefault="00773F7B" w:rsidP="00773F7B">
            <w:pPr>
              <w:pStyle w:val="T2"/>
              <w:jc w:val="right"/>
              <w:rPr>
                <w:b/>
              </w:rPr>
            </w:pPr>
            <w:r w:rsidRPr="00424769">
              <w:rPr>
                <w:b/>
              </w:rPr>
              <w:t>£m</w:t>
            </w:r>
          </w:p>
        </w:tc>
        <w:tc>
          <w:tcPr>
            <w:tcW w:w="992" w:type="dxa"/>
            <w:tcBorders>
              <w:bottom w:val="single" w:sz="2" w:space="0" w:color="auto"/>
            </w:tcBorders>
            <w:vAlign w:val="bottom"/>
          </w:tcPr>
          <w:p w14:paraId="72012C9F" w14:textId="77777777" w:rsidR="00773F7B" w:rsidRDefault="00773F7B" w:rsidP="00773F7B">
            <w:pPr>
              <w:pStyle w:val="T2"/>
              <w:jc w:val="right"/>
            </w:pPr>
            <w:r w:rsidRPr="004B65AD">
              <w:t>£m</w:t>
            </w:r>
          </w:p>
        </w:tc>
      </w:tr>
      <w:tr w:rsidR="00773F7B" w14:paraId="1D7242B2" w14:textId="77777777" w:rsidTr="005B3BEE">
        <w:trPr>
          <w:jc w:val="center"/>
        </w:trPr>
        <w:tc>
          <w:tcPr>
            <w:tcW w:w="7795" w:type="dxa"/>
            <w:tcBorders>
              <w:top w:val="single" w:sz="2" w:space="0" w:color="auto"/>
              <w:bottom w:val="single" w:sz="8" w:space="0" w:color="auto"/>
            </w:tcBorders>
            <w:vAlign w:val="bottom"/>
          </w:tcPr>
          <w:p w14:paraId="23F880B8" w14:textId="77777777" w:rsidR="00773F7B" w:rsidRPr="00484E13" w:rsidRDefault="00773F7B" w:rsidP="00773F7B">
            <w:pPr>
              <w:pStyle w:val="T2"/>
              <w:jc w:val="left"/>
              <w:rPr>
                <w:b/>
              </w:rPr>
            </w:pPr>
            <w:r w:rsidRPr="00484E13">
              <w:rPr>
                <w:b/>
              </w:rPr>
              <w:t>Revenue</w:t>
            </w:r>
          </w:p>
        </w:tc>
        <w:tc>
          <w:tcPr>
            <w:tcW w:w="992" w:type="dxa"/>
            <w:tcBorders>
              <w:top w:val="single" w:sz="2" w:space="0" w:color="auto"/>
              <w:bottom w:val="single" w:sz="8" w:space="0" w:color="auto"/>
            </w:tcBorders>
            <w:vAlign w:val="bottom"/>
          </w:tcPr>
          <w:p w14:paraId="0F6EE21F" w14:textId="77777777" w:rsidR="00773F7B" w:rsidRPr="00C025A7" w:rsidRDefault="00773F7B" w:rsidP="00773F7B">
            <w:pPr>
              <w:pStyle w:val="T2"/>
              <w:jc w:val="right"/>
              <w:rPr>
                <w:rFonts w:cs="Calibri"/>
                <w:b/>
                <w:color w:val="000000"/>
              </w:rPr>
            </w:pPr>
            <w:r w:rsidRPr="00C025A7">
              <w:rPr>
                <w:rFonts w:cs="Calibri"/>
                <w:b/>
                <w:color w:val="000000"/>
              </w:rPr>
              <w:t>71</w:t>
            </w:r>
            <w:r>
              <w:rPr>
                <w:rFonts w:cs="Calibri"/>
                <w:b/>
                <w:color w:val="000000"/>
              </w:rPr>
              <w:t>2.7</w:t>
            </w:r>
          </w:p>
        </w:tc>
        <w:tc>
          <w:tcPr>
            <w:tcW w:w="992" w:type="dxa"/>
            <w:tcBorders>
              <w:top w:val="single" w:sz="2" w:space="0" w:color="auto"/>
              <w:bottom w:val="single" w:sz="8" w:space="0" w:color="auto"/>
            </w:tcBorders>
            <w:vAlign w:val="bottom"/>
          </w:tcPr>
          <w:p w14:paraId="2BE5797C" w14:textId="77777777" w:rsidR="00773F7B" w:rsidRPr="009126D7" w:rsidRDefault="00773F7B" w:rsidP="00773F7B">
            <w:pPr>
              <w:pStyle w:val="T2"/>
              <w:jc w:val="right"/>
              <w:rPr>
                <w:rFonts w:cs="Calibri"/>
                <w:color w:val="000000"/>
              </w:rPr>
            </w:pPr>
            <w:r w:rsidRPr="009126D7">
              <w:rPr>
                <w:rFonts w:cs="Calibri"/>
                <w:color w:val="000000"/>
              </w:rPr>
              <w:t>701.4</w:t>
            </w:r>
          </w:p>
        </w:tc>
      </w:tr>
      <w:tr w:rsidR="00773F7B" w14:paraId="6E737F8E" w14:textId="77777777" w:rsidTr="005B3BEE">
        <w:trPr>
          <w:trHeight w:val="52"/>
          <w:jc w:val="center"/>
        </w:trPr>
        <w:tc>
          <w:tcPr>
            <w:tcW w:w="7795" w:type="dxa"/>
            <w:tcBorders>
              <w:top w:val="single" w:sz="8" w:space="0" w:color="auto"/>
            </w:tcBorders>
            <w:vAlign w:val="bottom"/>
          </w:tcPr>
          <w:p w14:paraId="4375666E" w14:textId="3C45B36C" w:rsidR="00773F7B" w:rsidRDefault="00773F7B" w:rsidP="00773F7B">
            <w:pPr>
              <w:pStyle w:val="T2"/>
              <w:jc w:val="left"/>
            </w:pPr>
            <w:r w:rsidRPr="00484E13">
              <w:rPr>
                <w:b/>
              </w:rPr>
              <w:t xml:space="preserve">Group operating profit before exceptional items and amortisation </w:t>
            </w:r>
            <w:r w:rsidR="00FC3998">
              <w:rPr>
                <w:b/>
              </w:rPr>
              <w:br/>
            </w:r>
            <w:r w:rsidRPr="00484E13">
              <w:rPr>
                <w:b/>
              </w:rPr>
              <w:t>of acquisition related intangible assets</w:t>
            </w:r>
          </w:p>
        </w:tc>
        <w:tc>
          <w:tcPr>
            <w:tcW w:w="992" w:type="dxa"/>
            <w:tcBorders>
              <w:top w:val="single" w:sz="8" w:space="0" w:color="auto"/>
            </w:tcBorders>
            <w:vAlign w:val="bottom"/>
          </w:tcPr>
          <w:p w14:paraId="09E7538B" w14:textId="77777777" w:rsidR="00773F7B" w:rsidRPr="00C025A7" w:rsidRDefault="00773F7B" w:rsidP="00773F7B">
            <w:pPr>
              <w:pStyle w:val="T2"/>
              <w:jc w:val="right"/>
              <w:rPr>
                <w:b/>
              </w:rPr>
            </w:pPr>
            <w:r>
              <w:rPr>
                <w:b/>
              </w:rPr>
              <w:t>38.3</w:t>
            </w:r>
          </w:p>
        </w:tc>
        <w:tc>
          <w:tcPr>
            <w:tcW w:w="992" w:type="dxa"/>
            <w:tcBorders>
              <w:top w:val="single" w:sz="8" w:space="0" w:color="auto"/>
            </w:tcBorders>
            <w:vAlign w:val="bottom"/>
          </w:tcPr>
          <w:p w14:paraId="0A7CBD36" w14:textId="77777777" w:rsidR="00773F7B" w:rsidRPr="009126D7" w:rsidRDefault="00773F7B" w:rsidP="00773F7B">
            <w:pPr>
              <w:pStyle w:val="T2"/>
              <w:jc w:val="right"/>
            </w:pPr>
            <w:r w:rsidRPr="009126D7">
              <w:rPr>
                <w:rFonts w:cs="Calibri"/>
                <w:color w:val="000000"/>
              </w:rPr>
              <w:t>44.7</w:t>
            </w:r>
          </w:p>
        </w:tc>
      </w:tr>
      <w:tr w:rsidR="00773F7B" w14:paraId="73B2DFA3" w14:textId="77777777" w:rsidTr="005B3BEE">
        <w:trPr>
          <w:jc w:val="center"/>
        </w:trPr>
        <w:tc>
          <w:tcPr>
            <w:tcW w:w="7795" w:type="dxa"/>
            <w:vAlign w:val="bottom"/>
          </w:tcPr>
          <w:p w14:paraId="5FF15A9A" w14:textId="77777777" w:rsidR="00773F7B" w:rsidRDefault="00773F7B" w:rsidP="00773F7B">
            <w:pPr>
              <w:pStyle w:val="T2"/>
              <w:jc w:val="left"/>
            </w:pPr>
            <w:r w:rsidRPr="0068425A">
              <w:t>Amortisation of acquisition related intangible assets</w:t>
            </w:r>
          </w:p>
        </w:tc>
        <w:tc>
          <w:tcPr>
            <w:tcW w:w="992" w:type="dxa"/>
            <w:vAlign w:val="bottom"/>
          </w:tcPr>
          <w:p w14:paraId="492DB510" w14:textId="77777777" w:rsidR="00773F7B" w:rsidRPr="00C025A7" w:rsidRDefault="00773F7B" w:rsidP="00773F7B">
            <w:pPr>
              <w:pStyle w:val="T2"/>
              <w:jc w:val="right"/>
              <w:rPr>
                <w:rFonts w:cs="Calibri"/>
                <w:b/>
                <w:color w:val="000000"/>
              </w:rPr>
            </w:pPr>
            <w:r w:rsidRPr="00C025A7">
              <w:rPr>
                <w:rFonts w:cs="Calibri"/>
                <w:b/>
                <w:color w:val="000000"/>
              </w:rPr>
              <w:t>(2.7)</w:t>
            </w:r>
          </w:p>
        </w:tc>
        <w:tc>
          <w:tcPr>
            <w:tcW w:w="992" w:type="dxa"/>
            <w:vAlign w:val="bottom"/>
          </w:tcPr>
          <w:p w14:paraId="79880EF6" w14:textId="77777777" w:rsidR="00773F7B" w:rsidRPr="009126D7" w:rsidRDefault="00773F7B" w:rsidP="00773F7B">
            <w:pPr>
              <w:jc w:val="right"/>
              <w:rPr>
                <w:rFonts w:cs="Calibri"/>
                <w:color w:val="000000"/>
                <w:sz w:val="18"/>
                <w:szCs w:val="18"/>
              </w:rPr>
            </w:pPr>
            <w:r w:rsidRPr="005D0EFF">
              <w:rPr>
                <w:rFonts w:cs="Calibri"/>
                <w:color w:val="000000"/>
                <w:sz w:val="18"/>
                <w:szCs w:val="18"/>
              </w:rPr>
              <w:t>(0.4)</w:t>
            </w:r>
          </w:p>
        </w:tc>
      </w:tr>
      <w:tr w:rsidR="00773F7B" w14:paraId="0F1FD8D6" w14:textId="77777777" w:rsidTr="005B3BEE">
        <w:trPr>
          <w:jc w:val="center"/>
        </w:trPr>
        <w:tc>
          <w:tcPr>
            <w:tcW w:w="7795" w:type="dxa"/>
            <w:tcBorders>
              <w:bottom w:val="single" w:sz="2" w:space="0" w:color="auto"/>
            </w:tcBorders>
            <w:vAlign w:val="bottom"/>
          </w:tcPr>
          <w:p w14:paraId="303A5C30" w14:textId="77777777" w:rsidR="00773F7B" w:rsidRDefault="00773F7B" w:rsidP="00773F7B">
            <w:pPr>
              <w:pStyle w:val="T2"/>
              <w:jc w:val="left"/>
            </w:pPr>
            <w:r w:rsidRPr="0068425A">
              <w:t>Exceptional items</w:t>
            </w:r>
          </w:p>
        </w:tc>
        <w:tc>
          <w:tcPr>
            <w:tcW w:w="992" w:type="dxa"/>
            <w:tcBorders>
              <w:bottom w:val="single" w:sz="2" w:space="0" w:color="auto"/>
            </w:tcBorders>
            <w:vAlign w:val="bottom"/>
          </w:tcPr>
          <w:p w14:paraId="49EF6D89" w14:textId="77777777" w:rsidR="00773F7B" w:rsidRPr="00C025A7" w:rsidRDefault="00773F7B" w:rsidP="00773F7B">
            <w:pPr>
              <w:pStyle w:val="T2"/>
              <w:jc w:val="right"/>
              <w:rPr>
                <w:rFonts w:cs="Calibri"/>
                <w:b/>
                <w:color w:val="000000"/>
              </w:rPr>
            </w:pPr>
            <w:r>
              <w:rPr>
                <w:b/>
              </w:rPr>
              <w:t>–</w:t>
            </w:r>
          </w:p>
        </w:tc>
        <w:tc>
          <w:tcPr>
            <w:tcW w:w="992" w:type="dxa"/>
            <w:tcBorders>
              <w:bottom w:val="single" w:sz="2" w:space="0" w:color="auto"/>
            </w:tcBorders>
            <w:vAlign w:val="bottom"/>
          </w:tcPr>
          <w:p w14:paraId="014A0148" w14:textId="77777777" w:rsidR="00773F7B" w:rsidRPr="009126D7" w:rsidRDefault="00773F7B" w:rsidP="00773F7B">
            <w:pPr>
              <w:jc w:val="right"/>
              <w:rPr>
                <w:rFonts w:cs="Calibri"/>
                <w:color w:val="000000"/>
                <w:sz w:val="18"/>
                <w:szCs w:val="18"/>
              </w:rPr>
            </w:pPr>
            <w:r w:rsidRPr="005D0EFF">
              <w:rPr>
                <w:rFonts w:cs="Calibri"/>
                <w:color w:val="000000"/>
                <w:sz w:val="18"/>
                <w:szCs w:val="18"/>
              </w:rPr>
              <w:t>(3.0)</w:t>
            </w:r>
          </w:p>
        </w:tc>
      </w:tr>
      <w:tr w:rsidR="00773F7B" w14:paraId="1FB2B841" w14:textId="77777777" w:rsidTr="005B3BEE">
        <w:trPr>
          <w:jc w:val="center"/>
        </w:trPr>
        <w:tc>
          <w:tcPr>
            <w:tcW w:w="7795" w:type="dxa"/>
            <w:tcBorders>
              <w:top w:val="single" w:sz="2" w:space="0" w:color="auto"/>
            </w:tcBorders>
            <w:vAlign w:val="bottom"/>
          </w:tcPr>
          <w:p w14:paraId="53CE4DA1" w14:textId="77777777" w:rsidR="00773F7B" w:rsidRPr="00484E13" w:rsidRDefault="00773F7B" w:rsidP="00773F7B">
            <w:pPr>
              <w:pStyle w:val="T2"/>
              <w:jc w:val="left"/>
              <w:rPr>
                <w:b/>
              </w:rPr>
            </w:pPr>
            <w:r w:rsidRPr="00484E13">
              <w:rPr>
                <w:b/>
              </w:rPr>
              <w:t>Group operating profit</w:t>
            </w:r>
          </w:p>
        </w:tc>
        <w:tc>
          <w:tcPr>
            <w:tcW w:w="992" w:type="dxa"/>
            <w:tcBorders>
              <w:top w:val="single" w:sz="2" w:space="0" w:color="auto"/>
            </w:tcBorders>
            <w:vAlign w:val="bottom"/>
          </w:tcPr>
          <w:p w14:paraId="2C84EE32" w14:textId="77777777" w:rsidR="00773F7B" w:rsidRPr="00C025A7" w:rsidRDefault="00773F7B" w:rsidP="00773F7B">
            <w:pPr>
              <w:pStyle w:val="T2"/>
              <w:jc w:val="right"/>
              <w:rPr>
                <w:rFonts w:cs="Calibri"/>
                <w:b/>
                <w:color w:val="000000"/>
              </w:rPr>
            </w:pPr>
            <w:r>
              <w:rPr>
                <w:rFonts w:cs="Calibri"/>
                <w:b/>
                <w:color w:val="000000"/>
              </w:rPr>
              <w:t>35.6</w:t>
            </w:r>
          </w:p>
        </w:tc>
        <w:tc>
          <w:tcPr>
            <w:tcW w:w="992" w:type="dxa"/>
            <w:tcBorders>
              <w:top w:val="single" w:sz="2" w:space="0" w:color="auto"/>
            </w:tcBorders>
            <w:vAlign w:val="bottom"/>
          </w:tcPr>
          <w:p w14:paraId="02B2C816" w14:textId="77777777" w:rsidR="00773F7B" w:rsidRPr="009126D7" w:rsidRDefault="00773F7B" w:rsidP="00773F7B">
            <w:pPr>
              <w:pStyle w:val="T2"/>
              <w:jc w:val="right"/>
              <w:rPr>
                <w:rFonts w:cs="Calibri"/>
                <w:color w:val="000000"/>
              </w:rPr>
            </w:pPr>
            <w:r w:rsidRPr="009126D7">
              <w:rPr>
                <w:rFonts w:cs="Calibri"/>
                <w:color w:val="000000"/>
              </w:rPr>
              <w:t>41.3</w:t>
            </w:r>
          </w:p>
        </w:tc>
      </w:tr>
      <w:tr w:rsidR="00773F7B" w14:paraId="58BDBEC1" w14:textId="77777777" w:rsidTr="005B3BEE">
        <w:trPr>
          <w:jc w:val="center"/>
        </w:trPr>
        <w:tc>
          <w:tcPr>
            <w:tcW w:w="7795" w:type="dxa"/>
            <w:vAlign w:val="bottom"/>
          </w:tcPr>
          <w:p w14:paraId="26535B4D" w14:textId="77777777" w:rsidR="00773F7B" w:rsidRDefault="00773F7B" w:rsidP="00773F7B">
            <w:pPr>
              <w:pStyle w:val="T2"/>
              <w:jc w:val="left"/>
            </w:pPr>
            <w:r w:rsidRPr="0068425A">
              <w:lastRenderedPageBreak/>
              <w:t>Finance income</w:t>
            </w:r>
          </w:p>
        </w:tc>
        <w:tc>
          <w:tcPr>
            <w:tcW w:w="992" w:type="dxa"/>
            <w:vAlign w:val="bottom"/>
          </w:tcPr>
          <w:p w14:paraId="66E2609A" w14:textId="77777777" w:rsidR="00773F7B" w:rsidRPr="00C025A7" w:rsidRDefault="00773F7B" w:rsidP="00773F7B">
            <w:pPr>
              <w:pStyle w:val="T2"/>
              <w:jc w:val="right"/>
              <w:rPr>
                <w:b/>
              </w:rPr>
            </w:pPr>
            <w:r w:rsidRPr="00C025A7">
              <w:rPr>
                <w:b/>
              </w:rPr>
              <w:t>0.1</w:t>
            </w:r>
          </w:p>
        </w:tc>
        <w:tc>
          <w:tcPr>
            <w:tcW w:w="992" w:type="dxa"/>
            <w:vAlign w:val="bottom"/>
          </w:tcPr>
          <w:p w14:paraId="15A0E6AA" w14:textId="77777777" w:rsidR="00773F7B" w:rsidRPr="009126D7" w:rsidRDefault="00773F7B" w:rsidP="00773F7B">
            <w:pPr>
              <w:pStyle w:val="T2"/>
              <w:jc w:val="right"/>
            </w:pPr>
            <w:r>
              <w:t>0.7</w:t>
            </w:r>
          </w:p>
        </w:tc>
      </w:tr>
      <w:tr w:rsidR="00773F7B" w14:paraId="4696F007" w14:textId="77777777" w:rsidTr="005B3BEE">
        <w:trPr>
          <w:jc w:val="center"/>
        </w:trPr>
        <w:tc>
          <w:tcPr>
            <w:tcW w:w="7795" w:type="dxa"/>
            <w:vAlign w:val="bottom"/>
          </w:tcPr>
          <w:p w14:paraId="024BD865" w14:textId="77777777" w:rsidR="00773F7B" w:rsidRDefault="00773F7B" w:rsidP="00773F7B">
            <w:pPr>
              <w:pStyle w:val="T2"/>
              <w:jc w:val="left"/>
            </w:pPr>
            <w:r w:rsidRPr="0068425A">
              <w:t>Finance costs</w:t>
            </w:r>
          </w:p>
        </w:tc>
        <w:tc>
          <w:tcPr>
            <w:tcW w:w="992" w:type="dxa"/>
            <w:vAlign w:val="bottom"/>
          </w:tcPr>
          <w:p w14:paraId="32B94BD8" w14:textId="77777777" w:rsidR="00773F7B" w:rsidRPr="00C025A7" w:rsidRDefault="00773F7B" w:rsidP="00773F7B">
            <w:pPr>
              <w:pStyle w:val="T2"/>
              <w:jc w:val="right"/>
              <w:rPr>
                <w:b/>
              </w:rPr>
            </w:pPr>
            <w:r w:rsidRPr="00C025A7">
              <w:rPr>
                <w:b/>
              </w:rPr>
              <w:t>(8.8)</w:t>
            </w:r>
          </w:p>
        </w:tc>
        <w:tc>
          <w:tcPr>
            <w:tcW w:w="992" w:type="dxa"/>
            <w:vAlign w:val="bottom"/>
          </w:tcPr>
          <w:p w14:paraId="099F7D4F" w14:textId="77777777" w:rsidR="00773F7B" w:rsidRPr="009126D7" w:rsidRDefault="00773F7B" w:rsidP="00773F7B">
            <w:pPr>
              <w:pStyle w:val="T2"/>
              <w:jc w:val="right"/>
            </w:pPr>
            <w:r>
              <w:t>(36.9)</w:t>
            </w:r>
          </w:p>
        </w:tc>
      </w:tr>
      <w:tr w:rsidR="00773F7B" w14:paraId="1B249C17" w14:textId="77777777" w:rsidTr="005B3BEE">
        <w:trPr>
          <w:jc w:val="center"/>
        </w:trPr>
        <w:tc>
          <w:tcPr>
            <w:tcW w:w="7795" w:type="dxa"/>
            <w:vAlign w:val="bottom"/>
          </w:tcPr>
          <w:p w14:paraId="27831C74" w14:textId="77777777" w:rsidR="00773F7B" w:rsidRDefault="00773F7B" w:rsidP="00773F7B">
            <w:pPr>
              <w:pStyle w:val="T2"/>
              <w:jc w:val="left"/>
            </w:pPr>
            <w:r w:rsidRPr="0068425A">
              <w:t>Share of profit of associates after tax</w:t>
            </w:r>
          </w:p>
        </w:tc>
        <w:tc>
          <w:tcPr>
            <w:tcW w:w="992" w:type="dxa"/>
            <w:vAlign w:val="bottom"/>
          </w:tcPr>
          <w:p w14:paraId="6BE754CC" w14:textId="77777777" w:rsidR="00773F7B" w:rsidRPr="00C025A7" w:rsidRDefault="00773F7B" w:rsidP="00773F7B">
            <w:pPr>
              <w:pStyle w:val="T2"/>
              <w:jc w:val="right"/>
              <w:rPr>
                <w:b/>
              </w:rPr>
            </w:pPr>
            <w:r w:rsidRPr="00C025A7">
              <w:rPr>
                <w:b/>
              </w:rPr>
              <w:t>0.4</w:t>
            </w:r>
          </w:p>
        </w:tc>
        <w:tc>
          <w:tcPr>
            <w:tcW w:w="992" w:type="dxa"/>
            <w:vAlign w:val="bottom"/>
          </w:tcPr>
          <w:p w14:paraId="24ACFAF7" w14:textId="77777777" w:rsidR="00773F7B" w:rsidRPr="009126D7" w:rsidRDefault="00773F7B" w:rsidP="00773F7B">
            <w:pPr>
              <w:pStyle w:val="T2"/>
              <w:jc w:val="right"/>
            </w:pPr>
            <w:r>
              <w:t>0.6</w:t>
            </w:r>
          </w:p>
        </w:tc>
      </w:tr>
      <w:tr w:rsidR="00773F7B" w14:paraId="3BD0A6F4" w14:textId="77777777" w:rsidTr="005B3BEE">
        <w:trPr>
          <w:jc w:val="center"/>
        </w:trPr>
        <w:tc>
          <w:tcPr>
            <w:tcW w:w="7795" w:type="dxa"/>
            <w:vAlign w:val="bottom"/>
          </w:tcPr>
          <w:p w14:paraId="6684E755" w14:textId="77777777" w:rsidR="00773F7B" w:rsidRDefault="00773F7B" w:rsidP="00773F7B">
            <w:pPr>
              <w:pStyle w:val="T2"/>
              <w:jc w:val="left"/>
            </w:pPr>
            <w:r w:rsidRPr="0068425A">
              <w:t>Taxation</w:t>
            </w:r>
          </w:p>
        </w:tc>
        <w:tc>
          <w:tcPr>
            <w:tcW w:w="992" w:type="dxa"/>
            <w:vAlign w:val="bottom"/>
          </w:tcPr>
          <w:p w14:paraId="13ABA4F0" w14:textId="77777777" w:rsidR="00773F7B" w:rsidRPr="00C025A7" w:rsidRDefault="00773F7B" w:rsidP="00773F7B">
            <w:pPr>
              <w:pStyle w:val="T2"/>
              <w:jc w:val="right"/>
              <w:rPr>
                <w:b/>
              </w:rPr>
            </w:pPr>
            <w:r w:rsidRPr="00C025A7">
              <w:rPr>
                <w:b/>
              </w:rPr>
              <w:t>(3.</w:t>
            </w:r>
            <w:r>
              <w:rPr>
                <w:b/>
              </w:rPr>
              <w:t>1</w:t>
            </w:r>
            <w:r w:rsidRPr="00C025A7">
              <w:rPr>
                <w:b/>
              </w:rPr>
              <w:t>)</w:t>
            </w:r>
          </w:p>
        </w:tc>
        <w:tc>
          <w:tcPr>
            <w:tcW w:w="992" w:type="dxa"/>
            <w:vAlign w:val="bottom"/>
          </w:tcPr>
          <w:p w14:paraId="3AE344BC" w14:textId="77777777" w:rsidR="00773F7B" w:rsidRPr="009126D7" w:rsidRDefault="00773F7B" w:rsidP="00773F7B">
            <w:pPr>
              <w:pStyle w:val="T2"/>
              <w:jc w:val="right"/>
            </w:pPr>
            <w:r>
              <w:t>(4.9)</w:t>
            </w:r>
          </w:p>
        </w:tc>
      </w:tr>
      <w:tr w:rsidR="00773F7B" w14:paraId="6DA8FBCF" w14:textId="77777777" w:rsidTr="005B3BEE">
        <w:trPr>
          <w:jc w:val="center"/>
        </w:trPr>
        <w:tc>
          <w:tcPr>
            <w:tcW w:w="7795" w:type="dxa"/>
            <w:tcBorders>
              <w:bottom w:val="single" w:sz="4" w:space="0" w:color="auto"/>
            </w:tcBorders>
            <w:vAlign w:val="bottom"/>
          </w:tcPr>
          <w:p w14:paraId="4EA1C37E" w14:textId="77777777" w:rsidR="00773F7B" w:rsidRPr="00281C4A" w:rsidRDefault="00773F7B" w:rsidP="00773F7B">
            <w:pPr>
              <w:pStyle w:val="T2"/>
              <w:jc w:val="left"/>
            </w:pPr>
            <w:r w:rsidRPr="00281C4A">
              <w:t>Result from discontinued operations</w:t>
            </w:r>
          </w:p>
        </w:tc>
        <w:tc>
          <w:tcPr>
            <w:tcW w:w="992" w:type="dxa"/>
            <w:tcBorders>
              <w:bottom w:val="single" w:sz="4" w:space="0" w:color="auto"/>
            </w:tcBorders>
            <w:vAlign w:val="bottom"/>
          </w:tcPr>
          <w:p w14:paraId="2ED5A559" w14:textId="77777777" w:rsidR="00773F7B" w:rsidRPr="00C025A7" w:rsidRDefault="00773F7B" w:rsidP="00773F7B">
            <w:pPr>
              <w:pStyle w:val="T2"/>
              <w:jc w:val="right"/>
              <w:rPr>
                <w:b/>
              </w:rPr>
            </w:pPr>
            <w:r>
              <w:rPr>
                <w:b/>
              </w:rPr>
              <w:t>–</w:t>
            </w:r>
          </w:p>
        </w:tc>
        <w:tc>
          <w:tcPr>
            <w:tcW w:w="992" w:type="dxa"/>
            <w:tcBorders>
              <w:bottom w:val="single" w:sz="4" w:space="0" w:color="auto"/>
            </w:tcBorders>
            <w:vAlign w:val="bottom"/>
          </w:tcPr>
          <w:p w14:paraId="55350260" w14:textId="77777777" w:rsidR="00773F7B" w:rsidRPr="009126D7" w:rsidRDefault="00773F7B" w:rsidP="00773F7B">
            <w:pPr>
              <w:pStyle w:val="T2"/>
              <w:jc w:val="right"/>
            </w:pPr>
            <w:r>
              <w:t>65.6</w:t>
            </w:r>
          </w:p>
        </w:tc>
      </w:tr>
      <w:tr w:rsidR="00773F7B" w14:paraId="1C2F63FA" w14:textId="77777777" w:rsidTr="005B3BEE">
        <w:trPr>
          <w:jc w:val="center"/>
        </w:trPr>
        <w:tc>
          <w:tcPr>
            <w:tcW w:w="7795" w:type="dxa"/>
            <w:tcBorders>
              <w:top w:val="single" w:sz="4" w:space="0" w:color="auto"/>
              <w:bottom w:val="single" w:sz="8" w:space="0" w:color="auto"/>
            </w:tcBorders>
            <w:vAlign w:val="bottom"/>
          </w:tcPr>
          <w:p w14:paraId="06D1135D" w14:textId="77777777" w:rsidR="00773F7B" w:rsidRPr="00484E13" w:rsidRDefault="00773F7B" w:rsidP="00773F7B">
            <w:pPr>
              <w:pStyle w:val="T2"/>
              <w:jc w:val="left"/>
              <w:rPr>
                <w:b/>
              </w:rPr>
            </w:pPr>
            <w:r w:rsidRPr="00484E13">
              <w:rPr>
                <w:b/>
              </w:rPr>
              <w:t>Profit for the period</w:t>
            </w:r>
          </w:p>
        </w:tc>
        <w:tc>
          <w:tcPr>
            <w:tcW w:w="992" w:type="dxa"/>
            <w:tcBorders>
              <w:top w:val="single" w:sz="4" w:space="0" w:color="auto"/>
              <w:bottom w:val="single" w:sz="8" w:space="0" w:color="auto"/>
            </w:tcBorders>
            <w:vAlign w:val="bottom"/>
          </w:tcPr>
          <w:p w14:paraId="1DE07E46" w14:textId="77777777" w:rsidR="00773F7B" w:rsidRPr="00C025A7" w:rsidRDefault="00773F7B" w:rsidP="00773F7B">
            <w:pPr>
              <w:pStyle w:val="T2"/>
              <w:jc w:val="right"/>
              <w:rPr>
                <w:b/>
              </w:rPr>
            </w:pPr>
            <w:r w:rsidRPr="00C025A7">
              <w:rPr>
                <w:b/>
              </w:rPr>
              <w:t>2</w:t>
            </w:r>
            <w:r>
              <w:rPr>
                <w:b/>
              </w:rPr>
              <w:t>4.2</w:t>
            </w:r>
          </w:p>
        </w:tc>
        <w:tc>
          <w:tcPr>
            <w:tcW w:w="992" w:type="dxa"/>
            <w:tcBorders>
              <w:top w:val="single" w:sz="4" w:space="0" w:color="auto"/>
              <w:bottom w:val="single" w:sz="8" w:space="0" w:color="auto"/>
            </w:tcBorders>
            <w:vAlign w:val="bottom"/>
          </w:tcPr>
          <w:p w14:paraId="485912B4" w14:textId="77777777" w:rsidR="00773F7B" w:rsidRPr="009126D7" w:rsidRDefault="00773F7B" w:rsidP="00773F7B">
            <w:pPr>
              <w:pStyle w:val="T2"/>
              <w:jc w:val="right"/>
            </w:pPr>
            <w:r>
              <w:t>66.4</w:t>
            </w:r>
          </w:p>
        </w:tc>
      </w:tr>
    </w:tbl>
    <w:p w14:paraId="699F895B" w14:textId="77777777" w:rsidR="00773F7B" w:rsidRDefault="00773F7B" w:rsidP="005B3BEE">
      <w:pPr>
        <w:pStyle w:val="Paragraph"/>
        <w:spacing w:before="120" w:after="120"/>
      </w:pPr>
      <w:r>
        <w:t>T</w:t>
      </w:r>
      <w:r w:rsidRPr="00DF6E36">
        <w:t xml:space="preserve">he following table disaggregates revenue by product categories in </w:t>
      </w:r>
      <w:r>
        <w:t xml:space="preserve">the </w:t>
      </w:r>
      <w:r w:rsidRPr="00DF6E36">
        <w:t>Convenience Foods UK and Ireland reporting segment.</w:t>
      </w:r>
    </w:p>
    <w:tbl>
      <w:tblPr>
        <w:tblStyle w:val="TableGrid"/>
        <w:tblW w:w="9779" w:type="dxa"/>
        <w:jc w:val="center"/>
        <w:tblLook w:val="04A0" w:firstRow="1" w:lastRow="0" w:firstColumn="1" w:lastColumn="0" w:noHBand="0" w:noVBand="1"/>
      </w:tblPr>
      <w:tblGrid>
        <w:gridCol w:w="7795"/>
        <w:gridCol w:w="992"/>
        <w:gridCol w:w="992"/>
      </w:tblGrid>
      <w:tr w:rsidR="00773F7B" w14:paraId="2125A0E9" w14:textId="77777777" w:rsidTr="005B3BEE">
        <w:trPr>
          <w:jc w:val="center"/>
        </w:trPr>
        <w:tc>
          <w:tcPr>
            <w:tcW w:w="7795" w:type="dxa"/>
            <w:tcBorders>
              <w:top w:val="nil"/>
              <w:left w:val="nil"/>
              <w:bottom w:val="nil"/>
              <w:right w:val="nil"/>
            </w:tcBorders>
            <w:vAlign w:val="bottom"/>
          </w:tcPr>
          <w:p w14:paraId="28655801" w14:textId="77777777" w:rsidR="00773F7B" w:rsidRPr="00EA414F" w:rsidRDefault="00773F7B" w:rsidP="00773F7B">
            <w:pPr>
              <w:pStyle w:val="T2"/>
              <w:jc w:val="left"/>
            </w:pPr>
          </w:p>
        </w:tc>
        <w:tc>
          <w:tcPr>
            <w:tcW w:w="992" w:type="dxa"/>
            <w:tcBorders>
              <w:top w:val="nil"/>
              <w:left w:val="nil"/>
              <w:bottom w:val="nil"/>
              <w:right w:val="nil"/>
            </w:tcBorders>
            <w:vAlign w:val="bottom"/>
          </w:tcPr>
          <w:p w14:paraId="52EDE013" w14:textId="77777777" w:rsidR="00773F7B" w:rsidRPr="00EA414F" w:rsidRDefault="00773F7B" w:rsidP="00773F7B">
            <w:pPr>
              <w:pStyle w:val="T2"/>
              <w:jc w:val="right"/>
              <w:rPr>
                <w:b/>
              </w:rPr>
            </w:pPr>
            <w:r w:rsidRPr="00EA414F">
              <w:rPr>
                <w:b/>
              </w:rPr>
              <w:t>Half year 20</w:t>
            </w:r>
            <w:r>
              <w:rPr>
                <w:b/>
              </w:rPr>
              <w:t>20</w:t>
            </w:r>
          </w:p>
        </w:tc>
        <w:tc>
          <w:tcPr>
            <w:tcW w:w="992" w:type="dxa"/>
            <w:tcBorders>
              <w:top w:val="nil"/>
              <w:left w:val="nil"/>
              <w:bottom w:val="nil"/>
              <w:right w:val="nil"/>
            </w:tcBorders>
            <w:vAlign w:val="bottom"/>
          </w:tcPr>
          <w:p w14:paraId="0ABA1E35" w14:textId="77777777" w:rsidR="00773F7B" w:rsidRPr="006E7430" w:rsidRDefault="00773F7B" w:rsidP="00773F7B">
            <w:pPr>
              <w:pStyle w:val="T2"/>
              <w:jc w:val="right"/>
            </w:pPr>
            <w:r w:rsidRPr="006E7430">
              <w:t>Half year 201</w:t>
            </w:r>
            <w:r>
              <w:t>9</w:t>
            </w:r>
          </w:p>
        </w:tc>
      </w:tr>
      <w:tr w:rsidR="00773F7B" w14:paraId="31A4D397" w14:textId="77777777" w:rsidTr="005B3BEE">
        <w:trPr>
          <w:jc w:val="center"/>
        </w:trPr>
        <w:tc>
          <w:tcPr>
            <w:tcW w:w="7795" w:type="dxa"/>
            <w:tcBorders>
              <w:top w:val="nil"/>
              <w:left w:val="nil"/>
              <w:bottom w:val="single" w:sz="2" w:space="0" w:color="auto"/>
              <w:right w:val="nil"/>
            </w:tcBorders>
            <w:vAlign w:val="bottom"/>
          </w:tcPr>
          <w:p w14:paraId="3B9AD353" w14:textId="77777777" w:rsidR="00773F7B" w:rsidRPr="00EA414F" w:rsidRDefault="00773F7B" w:rsidP="00773F7B">
            <w:pPr>
              <w:pStyle w:val="T2"/>
              <w:jc w:val="left"/>
            </w:pPr>
          </w:p>
        </w:tc>
        <w:tc>
          <w:tcPr>
            <w:tcW w:w="992" w:type="dxa"/>
            <w:tcBorders>
              <w:top w:val="nil"/>
              <w:left w:val="nil"/>
              <w:bottom w:val="single" w:sz="2" w:space="0" w:color="auto"/>
              <w:right w:val="nil"/>
            </w:tcBorders>
            <w:vAlign w:val="bottom"/>
          </w:tcPr>
          <w:p w14:paraId="3DA9F856" w14:textId="77777777" w:rsidR="00773F7B" w:rsidRPr="00EA414F" w:rsidRDefault="00773F7B" w:rsidP="00773F7B">
            <w:pPr>
              <w:pStyle w:val="T2"/>
              <w:jc w:val="right"/>
              <w:rPr>
                <w:b/>
              </w:rPr>
            </w:pPr>
            <w:r w:rsidRPr="00EA414F">
              <w:rPr>
                <w:b/>
              </w:rPr>
              <w:t>£m</w:t>
            </w:r>
          </w:p>
        </w:tc>
        <w:tc>
          <w:tcPr>
            <w:tcW w:w="992" w:type="dxa"/>
            <w:tcBorders>
              <w:top w:val="nil"/>
              <w:left w:val="nil"/>
              <w:bottom w:val="single" w:sz="2" w:space="0" w:color="auto"/>
              <w:right w:val="nil"/>
            </w:tcBorders>
            <w:vAlign w:val="bottom"/>
          </w:tcPr>
          <w:p w14:paraId="3CA8C546" w14:textId="77777777" w:rsidR="00773F7B" w:rsidRPr="006E7430" w:rsidRDefault="00773F7B" w:rsidP="00773F7B">
            <w:pPr>
              <w:pStyle w:val="T2"/>
              <w:jc w:val="right"/>
            </w:pPr>
            <w:r w:rsidRPr="006E7430">
              <w:t>£m</w:t>
            </w:r>
          </w:p>
        </w:tc>
      </w:tr>
      <w:tr w:rsidR="00773F7B" w14:paraId="7F21802F" w14:textId="77777777" w:rsidTr="005B3BEE">
        <w:trPr>
          <w:jc w:val="center"/>
        </w:trPr>
        <w:tc>
          <w:tcPr>
            <w:tcW w:w="7795" w:type="dxa"/>
            <w:tcBorders>
              <w:top w:val="single" w:sz="2" w:space="0" w:color="auto"/>
              <w:left w:val="nil"/>
              <w:bottom w:val="nil"/>
              <w:right w:val="nil"/>
            </w:tcBorders>
            <w:vAlign w:val="bottom"/>
          </w:tcPr>
          <w:p w14:paraId="1B56146F" w14:textId="77777777" w:rsidR="00773F7B" w:rsidRPr="00EA414F" w:rsidRDefault="00773F7B" w:rsidP="00773F7B">
            <w:pPr>
              <w:pStyle w:val="T2"/>
              <w:jc w:val="left"/>
              <w:rPr>
                <w:b/>
              </w:rPr>
            </w:pPr>
            <w:r w:rsidRPr="00EA414F">
              <w:rPr>
                <w:b/>
              </w:rPr>
              <w:t xml:space="preserve">Revenue </w:t>
            </w:r>
          </w:p>
        </w:tc>
        <w:tc>
          <w:tcPr>
            <w:tcW w:w="992" w:type="dxa"/>
            <w:tcBorders>
              <w:top w:val="single" w:sz="2" w:space="0" w:color="auto"/>
              <w:left w:val="nil"/>
              <w:bottom w:val="nil"/>
              <w:right w:val="nil"/>
            </w:tcBorders>
            <w:vAlign w:val="bottom"/>
          </w:tcPr>
          <w:p w14:paraId="505AB23A" w14:textId="77777777" w:rsidR="00773F7B" w:rsidRPr="00EA414F" w:rsidRDefault="00773F7B" w:rsidP="00773F7B">
            <w:pPr>
              <w:pStyle w:val="T2"/>
              <w:jc w:val="right"/>
            </w:pPr>
          </w:p>
        </w:tc>
        <w:tc>
          <w:tcPr>
            <w:tcW w:w="992" w:type="dxa"/>
            <w:tcBorders>
              <w:top w:val="single" w:sz="2" w:space="0" w:color="auto"/>
              <w:left w:val="nil"/>
              <w:bottom w:val="nil"/>
              <w:right w:val="nil"/>
            </w:tcBorders>
            <w:vAlign w:val="bottom"/>
          </w:tcPr>
          <w:p w14:paraId="427434FC" w14:textId="77777777" w:rsidR="00773F7B" w:rsidRPr="00EA414F" w:rsidRDefault="00773F7B" w:rsidP="00773F7B">
            <w:pPr>
              <w:pStyle w:val="T2"/>
              <w:jc w:val="right"/>
            </w:pPr>
          </w:p>
        </w:tc>
      </w:tr>
      <w:tr w:rsidR="00773F7B" w14:paraId="7E1D238C" w14:textId="77777777" w:rsidTr="005B3BEE">
        <w:trPr>
          <w:jc w:val="center"/>
        </w:trPr>
        <w:tc>
          <w:tcPr>
            <w:tcW w:w="7795" w:type="dxa"/>
            <w:tcBorders>
              <w:top w:val="nil"/>
              <w:left w:val="nil"/>
              <w:bottom w:val="nil"/>
              <w:right w:val="nil"/>
            </w:tcBorders>
            <w:vAlign w:val="bottom"/>
          </w:tcPr>
          <w:p w14:paraId="433F86B5" w14:textId="77777777" w:rsidR="00773F7B" w:rsidRPr="00EA414F" w:rsidRDefault="00773F7B" w:rsidP="00773F7B">
            <w:pPr>
              <w:pStyle w:val="T2"/>
              <w:jc w:val="left"/>
            </w:pPr>
            <w:r w:rsidRPr="00EA414F">
              <w:t>Food to go</w:t>
            </w:r>
            <w:r>
              <w:t xml:space="preserve"> categories</w:t>
            </w:r>
          </w:p>
        </w:tc>
        <w:tc>
          <w:tcPr>
            <w:tcW w:w="992" w:type="dxa"/>
            <w:tcBorders>
              <w:top w:val="nil"/>
              <w:left w:val="nil"/>
              <w:bottom w:val="nil"/>
              <w:right w:val="nil"/>
            </w:tcBorders>
            <w:vAlign w:val="bottom"/>
          </w:tcPr>
          <w:p w14:paraId="771F9C80" w14:textId="77777777" w:rsidR="00773F7B" w:rsidRPr="00C025A7" w:rsidRDefault="00773F7B" w:rsidP="00773F7B">
            <w:pPr>
              <w:pStyle w:val="T2"/>
              <w:jc w:val="right"/>
              <w:rPr>
                <w:b/>
                <w:bCs/>
              </w:rPr>
            </w:pPr>
            <w:r>
              <w:rPr>
                <w:b/>
                <w:bCs/>
              </w:rPr>
              <w:t>455.8</w:t>
            </w:r>
          </w:p>
        </w:tc>
        <w:tc>
          <w:tcPr>
            <w:tcW w:w="992" w:type="dxa"/>
            <w:tcBorders>
              <w:top w:val="nil"/>
              <w:left w:val="nil"/>
              <w:bottom w:val="nil"/>
              <w:right w:val="nil"/>
            </w:tcBorders>
            <w:vAlign w:val="bottom"/>
          </w:tcPr>
          <w:p w14:paraId="12C3D709" w14:textId="77777777" w:rsidR="00773F7B" w:rsidRPr="00EA414F" w:rsidRDefault="00773F7B" w:rsidP="00773F7B">
            <w:pPr>
              <w:pStyle w:val="T2"/>
              <w:jc w:val="right"/>
            </w:pPr>
            <w:r w:rsidRPr="0096767F">
              <w:rPr>
                <w:bCs/>
              </w:rPr>
              <w:t>447.1</w:t>
            </w:r>
          </w:p>
        </w:tc>
      </w:tr>
      <w:tr w:rsidR="00773F7B" w14:paraId="79DD51BF" w14:textId="77777777" w:rsidTr="005B3BEE">
        <w:trPr>
          <w:jc w:val="center"/>
        </w:trPr>
        <w:tc>
          <w:tcPr>
            <w:tcW w:w="7795" w:type="dxa"/>
            <w:tcBorders>
              <w:top w:val="nil"/>
              <w:left w:val="nil"/>
              <w:bottom w:val="single" w:sz="2" w:space="0" w:color="auto"/>
              <w:right w:val="nil"/>
            </w:tcBorders>
            <w:vAlign w:val="bottom"/>
          </w:tcPr>
          <w:p w14:paraId="3EE9A34D" w14:textId="77777777" w:rsidR="00773F7B" w:rsidRPr="00EA414F" w:rsidRDefault="00773F7B" w:rsidP="00773F7B">
            <w:pPr>
              <w:pStyle w:val="T2"/>
              <w:jc w:val="left"/>
            </w:pPr>
            <w:r>
              <w:t>Other convenience categories</w:t>
            </w:r>
          </w:p>
        </w:tc>
        <w:tc>
          <w:tcPr>
            <w:tcW w:w="992" w:type="dxa"/>
            <w:tcBorders>
              <w:top w:val="nil"/>
              <w:left w:val="nil"/>
              <w:bottom w:val="single" w:sz="2" w:space="0" w:color="auto"/>
              <w:right w:val="nil"/>
            </w:tcBorders>
            <w:vAlign w:val="bottom"/>
          </w:tcPr>
          <w:p w14:paraId="242A9B1D" w14:textId="77777777" w:rsidR="00773F7B" w:rsidRPr="00C025A7" w:rsidRDefault="00773F7B" w:rsidP="00773F7B">
            <w:pPr>
              <w:pStyle w:val="T2"/>
              <w:jc w:val="right"/>
              <w:rPr>
                <w:b/>
                <w:bCs/>
              </w:rPr>
            </w:pPr>
            <w:r w:rsidRPr="00C025A7">
              <w:rPr>
                <w:b/>
                <w:bCs/>
              </w:rPr>
              <w:t>2</w:t>
            </w:r>
            <w:r>
              <w:rPr>
                <w:b/>
                <w:bCs/>
              </w:rPr>
              <w:t>56.9</w:t>
            </w:r>
          </w:p>
        </w:tc>
        <w:tc>
          <w:tcPr>
            <w:tcW w:w="992" w:type="dxa"/>
            <w:tcBorders>
              <w:top w:val="nil"/>
              <w:left w:val="nil"/>
              <w:bottom w:val="single" w:sz="2" w:space="0" w:color="auto"/>
              <w:right w:val="nil"/>
            </w:tcBorders>
            <w:vAlign w:val="bottom"/>
          </w:tcPr>
          <w:p w14:paraId="118D6EB8" w14:textId="77777777" w:rsidR="00773F7B" w:rsidRPr="00EA414F" w:rsidRDefault="00773F7B" w:rsidP="00773F7B">
            <w:pPr>
              <w:pStyle w:val="T2"/>
              <w:jc w:val="right"/>
            </w:pPr>
            <w:r w:rsidRPr="0096767F">
              <w:rPr>
                <w:bCs/>
              </w:rPr>
              <w:t>254.3</w:t>
            </w:r>
          </w:p>
        </w:tc>
      </w:tr>
      <w:tr w:rsidR="00773F7B" w14:paraId="6C28272C" w14:textId="77777777" w:rsidTr="005B3BEE">
        <w:trPr>
          <w:jc w:val="center"/>
        </w:trPr>
        <w:tc>
          <w:tcPr>
            <w:tcW w:w="7795" w:type="dxa"/>
            <w:tcBorders>
              <w:top w:val="single" w:sz="2" w:space="0" w:color="auto"/>
              <w:left w:val="nil"/>
              <w:bottom w:val="single" w:sz="8" w:space="0" w:color="auto"/>
              <w:right w:val="nil"/>
            </w:tcBorders>
            <w:vAlign w:val="bottom"/>
          </w:tcPr>
          <w:p w14:paraId="3A960279" w14:textId="77777777" w:rsidR="00773F7B" w:rsidRPr="00EA414F" w:rsidRDefault="00773F7B" w:rsidP="00773F7B">
            <w:pPr>
              <w:pStyle w:val="T2"/>
              <w:jc w:val="left"/>
              <w:rPr>
                <w:b/>
              </w:rPr>
            </w:pPr>
            <w:r w:rsidRPr="00EA414F">
              <w:rPr>
                <w:b/>
              </w:rPr>
              <w:t>Total revenue for Convenience Foods UK &amp; Ireland</w:t>
            </w:r>
          </w:p>
        </w:tc>
        <w:tc>
          <w:tcPr>
            <w:tcW w:w="992" w:type="dxa"/>
            <w:tcBorders>
              <w:top w:val="single" w:sz="2" w:space="0" w:color="auto"/>
              <w:left w:val="nil"/>
              <w:bottom w:val="single" w:sz="8" w:space="0" w:color="auto"/>
              <w:right w:val="nil"/>
            </w:tcBorders>
            <w:vAlign w:val="bottom"/>
          </w:tcPr>
          <w:p w14:paraId="27E9BFFD" w14:textId="77777777" w:rsidR="00773F7B" w:rsidRPr="00C025A7" w:rsidRDefault="00773F7B" w:rsidP="00773F7B">
            <w:pPr>
              <w:pStyle w:val="T2"/>
              <w:jc w:val="right"/>
              <w:rPr>
                <w:b/>
                <w:bCs/>
              </w:rPr>
            </w:pPr>
            <w:r w:rsidRPr="00C025A7">
              <w:rPr>
                <w:b/>
                <w:bCs/>
              </w:rPr>
              <w:t>71</w:t>
            </w:r>
            <w:r>
              <w:rPr>
                <w:b/>
                <w:bCs/>
              </w:rPr>
              <w:t>2.7</w:t>
            </w:r>
          </w:p>
        </w:tc>
        <w:tc>
          <w:tcPr>
            <w:tcW w:w="992" w:type="dxa"/>
            <w:tcBorders>
              <w:top w:val="single" w:sz="2" w:space="0" w:color="auto"/>
              <w:left w:val="nil"/>
              <w:bottom w:val="single" w:sz="8" w:space="0" w:color="auto"/>
              <w:right w:val="nil"/>
            </w:tcBorders>
            <w:vAlign w:val="bottom"/>
          </w:tcPr>
          <w:p w14:paraId="4D771331" w14:textId="77777777" w:rsidR="00773F7B" w:rsidRPr="00EA414F" w:rsidRDefault="00773F7B" w:rsidP="00773F7B">
            <w:pPr>
              <w:pStyle w:val="T2"/>
              <w:jc w:val="right"/>
            </w:pPr>
            <w:r w:rsidRPr="0096767F">
              <w:rPr>
                <w:bCs/>
              </w:rPr>
              <w:t>701.4</w:t>
            </w:r>
          </w:p>
        </w:tc>
      </w:tr>
    </w:tbl>
    <w:p w14:paraId="5B73C429" w14:textId="77777777" w:rsidR="00773F7B" w:rsidRDefault="00773F7B" w:rsidP="005B3BEE">
      <w:pPr>
        <w:pStyle w:val="Paragraph"/>
        <w:spacing w:before="120" w:after="120"/>
        <w:jc w:val="both"/>
      </w:pPr>
      <w:r w:rsidRPr="00386903">
        <w:t>Food to go categories include sandwiches, salads, sushi and chilled snacking while the other convenience categories include chilled ready meals, chilled soups and sauces, chilled quiche, ambient sauces and pickles, and frozen Yorkshire Puddings as well as Irish ingredients trading businesses.</w:t>
      </w:r>
    </w:p>
    <w:p w14:paraId="0339386F" w14:textId="77777777" w:rsidR="00773F7B" w:rsidRDefault="00773F7B" w:rsidP="00773F7B">
      <w:pPr>
        <w:pStyle w:val="Subtitle"/>
        <w:jc w:val="left"/>
      </w:pPr>
    </w:p>
    <w:p w14:paraId="45369E24" w14:textId="6DC84BDC" w:rsidR="00773F7B" w:rsidRDefault="00773F7B" w:rsidP="005B3BEE">
      <w:pPr>
        <w:pStyle w:val="SectionH3"/>
      </w:pPr>
      <w:r>
        <w:t>4.</w:t>
      </w:r>
      <w:r w:rsidR="00052704">
        <w:tab/>
      </w:r>
      <w:r w:rsidRPr="003D355E">
        <w:t>Seasonality</w:t>
      </w:r>
    </w:p>
    <w:p w14:paraId="5B5D9E2D" w14:textId="65DE5F76" w:rsidR="00773F7B" w:rsidRDefault="00773F7B" w:rsidP="005B3BEE">
      <w:pPr>
        <w:pStyle w:val="Paragraph"/>
        <w:spacing w:before="0" w:after="120"/>
        <w:jc w:val="both"/>
      </w:pPr>
      <w:r>
        <w:t>T</w:t>
      </w:r>
      <w:r w:rsidRPr="003D355E">
        <w:t>he Group'</w:t>
      </w:r>
      <w:r>
        <w:t>s convenience foods portfolio has historical</w:t>
      </w:r>
      <w:r w:rsidR="005F0358">
        <w:t>ly</w:t>
      </w:r>
      <w:r>
        <w:t xml:space="preserve"> been </w:t>
      </w:r>
      <w:r w:rsidRPr="003D355E">
        <w:t>second half weighted.</w:t>
      </w:r>
      <w:r>
        <w:t xml:space="preserve"> This historical weighting has been</w:t>
      </w:r>
      <w:r w:rsidRPr="003D355E">
        <w:t xml:space="preserve"> primarily driven by weather and seasonal buying patterns impacting, in particular, the demand for chilled product categories.</w:t>
      </w:r>
      <w:r>
        <w:t xml:space="preserve"> This year, due to the impact of the COVID-19 pandemic, the normal seasonality of the business will be significantly affected given the COVID-19 impact on the Group will be greater in the second half of the financial year. The level of impact will depend on the </w:t>
      </w:r>
      <w:r>
        <w:rPr>
          <w:rFonts w:cs="Arial"/>
        </w:rPr>
        <w:t xml:space="preserve">duration of the current COVID-19 lockdown and the different shapes of recovery, as the Government’s </w:t>
      </w:r>
      <w:r w:rsidR="003B6495">
        <w:rPr>
          <w:rFonts w:cs="Arial"/>
        </w:rPr>
        <w:t xml:space="preserve">social </w:t>
      </w:r>
      <w:r>
        <w:rPr>
          <w:rFonts w:cs="Arial"/>
        </w:rPr>
        <w:t>restriction</w:t>
      </w:r>
      <w:r w:rsidR="003B6495">
        <w:rPr>
          <w:rFonts w:cs="Arial"/>
        </w:rPr>
        <w:t xml:space="preserve"> measures</w:t>
      </w:r>
      <w:r>
        <w:rPr>
          <w:rFonts w:cs="Arial"/>
        </w:rPr>
        <w:t xml:space="preserve"> are eased.</w:t>
      </w:r>
    </w:p>
    <w:p w14:paraId="1622C687" w14:textId="38131DE0" w:rsidR="00773F7B" w:rsidRDefault="00773F7B" w:rsidP="005B3BEE">
      <w:pPr>
        <w:pStyle w:val="SectionH3"/>
      </w:pPr>
      <w:r>
        <w:t>5.</w:t>
      </w:r>
      <w:r w:rsidR="00371831">
        <w:tab/>
      </w:r>
      <w:r w:rsidRPr="003D355E">
        <w:t>Exceptional Items</w:t>
      </w:r>
    </w:p>
    <w:tbl>
      <w:tblPr>
        <w:tblStyle w:val="TableGrid"/>
        <w:tblW w:w="97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3"/>
        <w:gridCol w:w="992"/>
        <w:gridCol w:w="992"/>
        <w:gridCol w:w="992"/>
      </w:tblGrid>
      <w:tr w:rsidR="00773F7B" w14:paraId="24F2198C" w14:textId="77777777" w:rsidTr="005B3BEE">
        <w:trPr>
          <w:jc w:val="center"/>
        </w:trPr>
        <w:tc>
          <w:tcPr>
            <w:tcW w:w="6803" w:type="dxa"/>
            <w:vAlign w:val="bottom"/>
          </w:tcPr>
          <w:p w14:paraId="4F26D660" w14:textId="77777777" w:rsidR="00773F7B" w:rsidRPr="003D355E" w:rsidRDefault="00773F7B" w:rsidP="00773F7B">
            <w:pPr>
              <w:pStyle w:val="T2"/>
              <w:jc w:val="left"/>
            </w:pPr>
          </w:p>
        </w:tc>
        <w:tc>
          <w:tcPr>
            <w:tcW w:w="992" w:type="dxa"/>
            <w:vAlign w:val="bottom"/>
          </w:tcPr>
          <w:p w14:paraId="1FFAF698" w14:textId="77777777" w:rsidR="00773F7B" w:rsidRPr="003D355E" w:rsidRDefault="00773F7B" w:rsidP="00773F7B">
            <w:pPr>
              <w:pStyle w:val="T2"/>
              <w:jc w:val="right"/>
            </w:pPr>
          </w:p>
        </w:tc>
        <w:tc>
          <w:tcPr>
            <w:tcW w:w="992" w:type="dxa"/>
            <w:vAlign w:val="bottom"/>
          </w:tcPr>
          <w:p w14:paraId="79D2F743" w14:textId="77777777" w:rsidR="00773F7B" w:rsidRPr="003D355E" w:rsidRDefault="00773F7B" w:rsidP="00773F7B">
            <w:pPr>
              <w:pStyle w:val="T2"/>
              <w:jc w:val="right"/>
              <w:rPr>
                <w:b/>
              </w:rPr>
            </w:pPr>
            <w:r>
              <w:rPr>
                <w:b/>
              </w:rPr>
              <w:t>Half Year 2020</w:t>
            </w:r>
          </w:p>
        </w:tc>
        <w:tc>
          <w:tcPr>
            <w:tcW w:w="992" w:type="dxa"/>
          </w:tcPr>
          <w:p w14:paraId="2D64C193" w14:textId="77777777" w:rsidR="00773F7B" w:rsidRPr="005D0EFF" w:rsidRDefault="00773F7B" w:rsidP="00773F7B">
            <w:pPr>
              <w:pStyle w:val="T2"/>
              <w:jc w:val="right"/>
            </w:pPr>
            <w:r w:rsidRPr="005D0EFF">
              <w:t xml:space="preserve">Half Year </w:t>
            </w:r>
          </w:p>
          <w:p w14:paraId="0D62DE2D" w14:textId="77777777" w:rsidR="00773F7B" w:rsidRDefault="00773F7B" w:rsidP="00773F7B">
            <w:pPr>
              <w:pStyle w:val="T2"/>
              <w:jc w:val="right"/>
              <w:rPr>
                <w:b/>
              </w:rPr>
            </w:pPr>
            <w:r w:rsidRPr="005D0EFF">
              <w:t>2019</w:t>
            </w:r>
          </w:p>
        </w:tc>
      </w:tr>
      <w:tr w:rsidR="00773F7B" w14:paraId="2094FA32" w14:textId="77777777" w:rsidTr="005B3BEE">
        <w:trPr>
          <w:jc w:val="center"/>
        </w:trPr>
        <w:tc>
          <w:tcPr>
            <w:tcW w:w="6803" w:type="dxa"/>
            <w:tcBorders>
              <w:bottom w:val="single" w:sz="4" w:space="0" w:color="auto"/>
            </w:tcBorders>
            <w:vAlign w:val="bottom"/>
          </w:tcPr>
          <w:p w14:paraId="76CAE859" w14:textId="77777777" w:rsidR="00773F7B" w:rsidRPr="003D355E" w:rsidRDefault="00773F7B" w:rsidP="00773F7B">
            <w:pPr>
              <w:pStyle w:val="T2"/>
              <w:jc w:val="left"/>
            </w:pPr>
          </w:p>
        </w:tc>
        <w:tc>
          <w:tcPr>
            <w:tcW w:w="992" w:type="dxa"/>
            <w:tcBorders>
              <w:bottom w:val="single" w:sz="4" w:space="0" w:color="auto"/>
            </w:tcBorders>
            <w:vAlign w:val="bottom"/>
          </w:tcPr>
          <w:p w14:paraId="61408C06" w14:textId="77777777" w:rsidR="00773F7B" w:rsidRPr="003D355E" w:rsidRDefault="00773F7B" w:rsidP="00773F7B">
            <w:pPr>
              <w:pStyle w:val="T2"/>
              <w:jc w:val="right"/>
            </w:pPr>
          </w:p>
        </w:tc>
        <w:tc>
          <w:tcPr>
            <w:tcW w:w="992" w:type="dxa"/>
            <w:tcBorders>
              <w:bottom w:val="single" w:sz="4" w:space="0" w:color="auto"/>
            </w:tcBorders>
            <w:vAlign w:val="bottom"/>
          </w:tcPr>
          <w:p w14:paraId="0448BF64" w14:textId="77777777" w:rsidR="00773F7B" w:rsidRPr="003D355E" w:rsidRDefault="00773F7B" w:rsidP="00773F7B">
            <w:pPr>
              <w:pStyle w:val="T2"/>
              <w:jc w:val="right"/>
              <w:rPr>
                <w:b/>
              </w:rPr>
            </w:pPr>
            <w:r w:rsidRPr="003D355E">
              <w:rPr>
                <w:b/>
              </w:rPr>
              <w:t>£m</w:t>
            </w:r>
          </w:p>
        </w:tc>
        <w:tc>
          <w:tcPr>
            <w:tcW w:w="992" w:type="dxa"/>
            <w:tcBorders>
              <w:bottom w:val="single" w:sz="4" w:space="0" w:color="auto"/>
            </w:tcBorders>
          </w:tcPr>
          <w:p w14:paraId="75E30072" w14:textId="77777777" w:rsidR="00773F7B" w:rsidRPr="005D0EFF" w:rsidRDefault="00773F7B" w:rsidP="00773F7B">
            <w:pPr>
              <w:pStyle w:val="T2"/>
              <w:jc w:val="right"/>
            </w:pPr>
            <w:r w:rsidRPr="005D0EFF">
              <w:t>£m</w:t>
            </w:r>
          </w:p>
        </w:tc>
      </w:tr>
      <w:tr w:rsidR="00773F7B" w14:paraId="57122FE4" w14:textId="77777777" w:rsidTr="005B3BEE">
        <w:trPr>
          <w:jc w:val="center"/>
        </w:trPr>
        <w:tc>
          <w:tcPr>
            <w:tcW w:w="6803" w:type="dxa"/>
            <w:tcBorders>
              <w:top w:val="single" w:sz="4" w:space="0" w:color="auto"/>
            </w:tcBorders>
            <w:vAlign w:val="bottom"/>
          </w:tcPr>
          <w:p w14:paraId="0E4F0F7B" w14:textId="77777777" w:rsidR="00773F7B" w:rsidRDefault="00773F7B" w:rsidP="00773F7B">
            <w:pPr>
              <w:pStyle w:val="T2"/>
              <w:jc w:val="left"/>
            </w:pPr>
            <w:r>
              <w:t>Impact of COVID-19</w:t>
            </w:r>
            <w:r w:rsidR="00124466">
              <w:t xml:space="preserve"> pandemic</w:t>
            </w:r>
          </w:p>
        </w:tc>
        <w:tc>
          <w:tcPr>
            <w:tcW w:w="992" w:type="dxa"/>
            <w:tcBorders>
              <w:top w:val="single" w:sz="4" w:space="0" w:color="auto"/>
            </w:tcBorders>
            <w:vAlign w:val="bottom"/>
          </w:tcPr>
          <w:p w14:paraId="0A11A7D2" w14:textId="77777777" w:rsidR="00773F7B" w:rsidRPr="003D355E" w:rsidRDefault="00773F7B" w:rsidP="00773F7B">
            <w:pPr>
              <w:pStyle w:val="T2"/>
              <w:jc w:val="right"/>
            </w:pPr>
            <w:r w:rsidRPr="003D355E">
              <w:t>(a)</w:t>
            </w:r>
          </w:p>
        </w:tc>
        <w:tc>
          <w:tcPr>
            <w:tcW w:w="992" w:type="dxa"/>
            <w:tcBorders>
              <w:top w:val="single" w:sz="4" w:space="0" w:color="auto"/>
            </w:tcBorders>
            <w:vAlign w:val="bottom"/>
          </w:tcPr>
          <w:p w14:paraId="625FD75D" w14:textId="77777777" w:rsidR="00773F7B" w:rsidRPr="00DF6E36" w:rsidRDefault="00773F7B" w:rsidP="00773F7B">
            <w:pPr>
              <w:pStyle w:val="T2"/>
              <w:jc w:val="right"/>
              <w:rPr>
                <w:b/>
              </w:rPr>
            </w:pPr>
            <w:r>
              <w:rPr>
                <w:b/>
              </w:rPr>
              <w:t>(1.7)</w:t>
            </w:r>
          </w:p>
        </w:tc>
        <w:tc>
          <w:tcPr>
            <w:tcW w:w="992" w:type="dxa"/>
            <w:tcBorders>
              <w:top w:val="single" w:sz="4" w:space="0" w:color="auto"/>
            </w:tcBorders>
          </w:tcPr>
          <w:p w14:paraId="11D5EDD8" w14:textId="77777777" w:rsidR="00773F7B" w:rsidRPr="00FC568F" w:rsidDel="00AA34C5" w:rsidRDefault="00773F7B" w:rsidP="00773F7B">
            <w:pPr>
              <w:pStyle w:val="T2"/>
              <w:jc w:val="right"/>
            </w:pPr>
            <w:r w:rsidRPr="00FC568F">
              <w:t>–</w:t>
            </w:r>
          </w:p>
        </w:tc>
      </w:tr>
      <w:tr w:rsidR="00773F7B" w14:paraId="0BD718C3" w14:textId="77777777" w:rsidTr="005B3BEE">
        <w:trPr>
          <w:jc w:val="center"/>
        </w:trPr>
        <w:tc>
          <w:tcPr>
            <w:tcW w:w="6803" w:type="dxa"/>
            <w:vAlign w:val="bottom"/>
          </w:tcPr>
          <w:p w14:paraId="6FC40F0C" w14:textId="77777777" w:rsidR="00773F7B" w:rsidRDefault="00773F7B" w:rsidP="00773F7B">
            <w:pPr>
              <w:pStyle w:val="T2"/>
              <w:jc w:val="left"/>
            </w:pPr>
            <w:r>
              <w:t>Legacy US legal matters</w:t>
            </w:r>
          </w:p>
        </w:tc>
        <w:tc>
          <w:tcPr>
            <w:tcW w:w="992" w:type="dxa"/>
            <w:vAlign w:val="bottom"/>
          </w:tcPr>
          <w:p w14:paraId="4F823BAA" w14:textId="77777777" w:rsidR="00773F7B" w:rsidRPr="003D355E" w:rsidRDefault="00773F7B" w:rsidP="00773F7B">
            <w:pPr>
              <w:pStyle w:val="T2"/>
              <w:jc w:val="right"/>
            </w:pPr>
            <w:r>
              <w:t>(b)</w:t>
            </w:r>
          </w:p>
        </w:tc>
        <w:tc>
          <w:tcPr>
            <w:tcW w:w="992" w:type="dxa"/>
            <w:vAlign w:val="bottom"/>
          </w:tcPr>
          <w:p w14:paraId="5237CFC9" w14:textId="77777777" w:rsidR="00773F7B" w:rsidRPr="00DF6E36" w:rsidRDefault="00773F7B" w:rsidP="00773F7B">
            <w:pPr>
              <w:pStyle w:val="T2"/>
              <w:jc w:val="right"/>
              <w:rPr>
                <w:b/>
              </w:rPr>
            </w:pPr>
            <w:r>
              <w:rPr>
                <w:b/>
              </w:rPr>
              <w:t>2.2</w:t>
            </w:r>
          </w:p>
        </w:tc>
        <w:tc>
          <w:tcPr>
            <w:tcW w:w="992" w:type="dxa"/>
          </w:tcPr>
          <w:p w14:paraId="422B227E" w14:textId="77777777" w:rsidR="00773F7B" w:rsidRPr="00FC568F" w:rsidDel="00AA34C5" w:rsidRDefault="00773F7B" w:rsidP="00773F7B">
            <w:pPr>
              <w:pStyle w:val="T2"/>
              <w:jc w:val="right"/>
            </w:pPr>
            <w:r w:rsidRPr="00FC568F">
              <w:t>–</w:t>
            </w:r>
          </w:p>
        </w:tc>
      </w:tr>
      <w:tr w:rsidR="00773F7B" w14:paraId="35D73D6C" w14:textId="77777777" w:rsidTr="005B3BEE">
        <w:trPr>
          <w:jc w:val="center"/>
        </w:trPr>
        <w:tc>
          <w:tcPr>
            <w:tcW w:w="6803" w:type="dxa"/>
            <w:vAlign w:val="bottom"/>
          </w:tcPr>
          <w:p w14:paraId="55DDB446" w14:textId="77777777" w:rsidR="00773F7B" w:rsidRPr="003D355E" w:rsidRDefault="00773F7B" w:rsidP="00773F7B">
            <w:pPr>
              <w:pStyle w:val="T2"/>
              <w:jc w:val="left"/>
            </w:pPr>
            <w:r>
              <w:t>Integration costs</w:t>
            </w:r>
          </w:p>
        </w:tc>
        <w:tc>
          <w:tcPr>
            <w:tcW w:w="992" w:type="dxa"/>
            <w:vAlign w:val="bottom"/>
          </w:tcPr>
          <w:p w14:paraId="3559CD8D" w14:textId="77777777" w:rsidR="00773F7B" w:rsidRPr="003D355E" w:rsidRDefault="00773F7B" w:rsidP="00773F7B">
            <w:pPr>
              <w:pStyle w:val="T2"/>
              <w:jc w:val="right"/>
            </w:pPr>
            <w:r>
              <w:t>(c</w:t>
            </w:r>
            <w:r w:rsidRPr="003D355E">
              <w:t>)</w:t>
            </w:r>
          </w:p>
        </w:tc>
        <w:tc>
          <w:tcPr>
            <w:tcW w:w="992" w:type="dxa"/>
            <w:vAlign w:val="bottom"/>
          </w:tcPr>
          <w:p w14:paraId="512F782F" w14:textId="77777777" w:rsidR="00773F7B" w:rsidRPr="00DF6E36" w:rsidRDefault="00773F7B" w:rsidP="00773F7B">
            <w:pPr>
              <w:pStyle w:val="T2"/>
              <w:jc w:val="right"/>
              <w:rPr>
                <w:b/>
              </w:rPr>
            </w:pPr>
            <w:r>
              <w:rPr>
                <w:b/>
              </w:rPr>
              <w:t>(0.5)</w:t>
            </w:r>
          </w:p>
        </w:tc>
        <w:tc>
          <w:tcPr>
            <w:tcW w:w="992" w:type="dxa"/>
          </w:tcPr>
          <w:p w14:paraId="25227460" w14:textId="77777777" w:rsidR="00773F7B" w:rsidRPr="00FC568F" w:rsidDel="00AA34C5" w:rsidRDefault="00773F7B" w:rsidP="00773F7B">
            <w:pPr>
              <w:pStyle w:val="T2"/>
              <w:jc w:val="right"/>
            </w:pPr>
            <w:r w:rsidRPr="00FC568F">
              <w:t>–</w:t>
            </w:r>
          </w:p>
        </w:tc>
      </w:tr>
      <w:tr w:rsidR="00773F7B" w:rsidDel="00AA34C5" w14:paraId="6006A95C" w14:textId="77777777" w:rsidTr="005B3BEE">
        <w:trPr>
          <w:jc w:val="center"/>
        </w:trPr>
        <w:tc>
          <w:tcPr>
            <w:tcW w:w="6803" w:type="dxa"/>
            <w:vAlign w:val="bottom"/>
          </w:tcPr>
          <w:p w14:paraId="1D5C3B11" w14:textId="77777777" w:rsidR="00773F7B" w:rsidDel="00C45DBB" w:rsidRDefault="00773F7B" w:rsidP="00773F7B">
            <w:pPr>
              <w:pStyle w:val="T2"/>
              <w:jc w:val="left"/>
            </w:pPr>
            <w:r>
              <w:t>Profit on disposal of Greencore’s US business</w:t>
            </w:r>
          </w:p>
        </w:tc>
        <w:tc>
          <w:tcPr>
            <w:tcW w:w="992" w:type="dxa"/>
            <w:vAlign w:val="bottom"/>
          </w:tcPr>
          <w:p w14:paraId="7652C50D" w14:textId="77777777" w:rsidR="00773F7B" w:rsidRPr="003D355E" w:rsidRDefault="00773F7B" w:rsidP="00773F7B">
            <w:pPr>
              <w:pStyle w:val="T2"/>
              <w:jc w:val="right"/>
            </w:pPr>
            <w:r>
              <w:t>(d)</w:t>
            </w:r>
          </w:p>
        </w:tc>
        <w:tc>
          <w:tcPr>
            <w:tcW w:w="992" w:type="dxa"/>
          </w:tcPr>
          <w:p w14:paraId="605E87AB" w14:textId="77777777" w:rsidR="00773F7B" w:rsidRPr="00FC568F" w:rsidDel="00AA34C5" w:rsidRDefault="00773F7B" w:rsidP="00773F7B">
            <w:pPr>
              <w:pStyle w:val="T2"/>
              <w:jc w:val="right"/>
              <w:rPr>
                <w:b/>
              </w:rPr>
            </w:pPr>
            <w:r w:rsidRPr="00FC568F">
              <w:rPr>
                <w:b/>
              </w:rPr>
              <w:t>–</w:t>
            </w:r>
          </w:p>
        </w:tc>
        <w:tc>
          <w:tcPr>
            <w:tcW w:w="992" w:type="dxa"/>
            <w:vAlign w:val="bottom"/>
          </w:tcPr>
          <w:p w14:paraId="2587A661" w14:textId="77777777" w:rsidR="00773F7B" w:rsidDel="00AA34C5" w:rsidRDefault="00773F7B" w:rsidP="00773F7B">
            <w:pPr>
              <w:pStyle w:val="T2"/>
              <w:jc w:val="right"/>
              <w:rPr>
                <w:b/>
              </w:rPr>
            </w:pPr>
            <w:r w:rsidRPr="006215CC">
              <w:rPr>
                <w:bCs/>
              </w:rPr>
              <w:t>56.7</w:t>
            </w:r>
          </w:p>
        </w:tc>
      </w:tr>
      <w:tr w:rsidR="00773F7B" w14:paraId="58987CF0" w14:textId="77777777" w:rsidTr="005B3BEE">
        <w:trPr>
          <w:jc w:val="center"/>
        </w:trPr>
        <w:tc>
          <w:tcPr>
            <w:tcW w:w="6803" w:type="dxa"/>
            <w:vAlign w:val="bottom"/>
          </w:tcPr>
          <w:p w14:paraId="7A9C0B41" w14:textId="77777777" w:rsidR="00773F7B" w:rsidRDefault="00773F7B" w:rsidP="00773F7B">
            <w:pPr>
              <w:pStyle w:val="T2"/>
              <w:jc w:val="left"/>
            </w:pPr>
            <w:r>
              <w:t>Debt restructuring post disposal of Greencore’s US business</w:t>
            </w:r>
          </w:p>
        </w:tc>
        <w:tc>
          <w:tcPr>
            <w:tcW w:w="992" w:type="dxa"/>
            <w:vAlign w:val="bottom"/>
          </w:tcPr>
          <w:p w14:paraId="4F68BED7" w14:textId="77777777" w:rsidR="00773F7B" w:rsidRDefault="00773F7B" w:rsidP="00773F7B">
            <w:pPr>
              <w:pStyle w:val="T2"/>
              <w:jc w:val="right"/>
            </w:pPr>
            <w:r>
              <w:t>(e)</w:t>
            </w:r>
          </w:p>
        </w:tc>
        <w:tc>
          <w:tcPr>
            <w:tcW w:w="992" w:type="dxa"/>
          </w:tcPr>
          <w:p w14:paraId="006E0C43" w14:textId="77777777" w:rsidR="00773F7B" w:rsidRPr="00FC568F" w:rsidRDefault="00773F7B" w:rsidP="00773F7B">
            <w:pPr>
              <w:pStyle w:val="T2"/>
              <w:jc w:val="right"/>
              <w:rPr>
                <w:b/>
              </w:rPr>
            </w:pPr>
            <w:r w:rsidRPr="00FC568F">
              <w:rPr>
                <w:b/>
              </w:rPr>
              <w:t>–</w:t>
            </w:r>
          </w:p>
        </w:tc>
        <w:tc>
          <w:tcPr>
            <w:tcW w:w="992" w:type="dxa"/>
            <w:vAlign w:val="bottom"/>
          </w:tcPr>
          <w:p w14:paraId="18D904C3" w14:textId="77777777" w:rsidR="00773F7B" w:rsidRPr="006215CC" w:rsidRDefault="00773F7B" w:rsidP="00773F7B">
            <w:pPr>
              <w:pStyle w:val="T2"/>
              <w:jc w:val="right"/>
              <w:rPr>
                <w:bCs/>
              </w:rPr>
            </w:pPr>
            <w:r w:rsidRPr="006215CC">
              <w:rPr>
                <w:bCs/>
              </w:rPr>
              <w:t>(25.4)</w:t>
            </w:r>
          </w:p>
        </w:tc>
      </w:tr>
      <w:tr w:rsidR="00773F7B" w14:paraId="6E264112" w14:textId="77777777" w:rsidTr="005B3BEE">
        <w:trPr>
          <w:jc w:val="center"/>
        </w:trPr>
        <w:tc>
          <w:tcPr>
            <w:tcW w:w="6803" w:type="dxa"/>
            <w:tcBorders>
              <w:bottom w:val="single" w:sz="4" w:space="0" w:color="auto"/>
            </w:tcBorders>
            <w:vAlign w:val="bottom"/>
          </w:tcPr>
          <w:p w14:paraId="6CFDEF32" w14:textId="77777777" w:rsidR="00773F7B" w:rsidRPr="003D355E" w:rsidRDefault="00773F7B" w:rsidP="00773F7B">
            <w:pPr>
              <w:pStyle w:val="T2"/>
              <w:jc w:val="left"/>
            </w:pPr>
            <w:r>
              <w:t>Guaranteed Minimum Pension (“GMP”) equalisation</w:t>
            </w:r>
          </w:p>
        </w:tc>
        <w:tc>
          <w:tcPr>
            <w:tcW w:w="992" w:type="dxa"/>
            <w:tcBorders>
              <w:bottom w:val="single" w:sz="4" w:space="0" w:color="auto"/>
            </w:tcBorders>
            <w:vAlign w:val="bottom"/>
          </w:tcPr>
          <w:p w14:paraId="64CE37D0" w14:textId="77777777" w:rsidR="00773F7B" w:rsidRPr="003D355E" w:rsidRDefault="00773F7B" w:rsidP="00773F7B">
            <w:pPr>
              <w:pStyle w:val="T2"/>
              <w:jc w:val="right"/>
            </w:pPr>
            <w:r>
              <w:t>(f</w:t>
            </w:r>
            <w:r w:rsidRPr="003D355E">
              <w:t>)</w:t>
            </w:r>
          </w:p>
        </w:tc>
        <w:tc>
          <w:tcPr>
            <w:tcW w:w="992" w:type="dxa"/>
            <w:tcBorders>
              <w:bottom w:val="single" w:sz="4" w:space="0" w:color="auto"/>
            </w:tcBorders>
          </w:tcPr>
          <w:p w14:paraId="56402112" w14:textId="77777777" w:rsidR="00773F7B" w:rsidRPr="00FC568F" w:rsidRDefault="00773F7B" w:rsidP="00773F7B">
            <w:pPr>
              <w:pStyle w:val="T2"/>
              <w:jc w:val="right"/>
              <w:rPr>
                <w:b/>
              </w:rPr>
            </w:pPr>
            <w:r w:rsidRPr="00FC568F">
              <w:rPr>
                <w:b/>
              </w:rPr>
              <w:t>–</w:t>
            </w:r>
          </w:p>
        </w:tc>
        <w:tc>
          <w:tcPr>
            <w:tcW w:w="992" w:type="dxa"/>
            <w:tcBorders>
              <w:bottom w:val="single" w:sz="4" w:space="0" w:color="auto"/>
            </w:tcBorders>
            <w:vAlign w:val="bottom"/>
          </w:tcPr>
          <w:p w14:paraId="754188B3" w14:textId="77777777" w:rsidR="00773F7B" w:rsidRPr="00DF6E36" w:rsidDel="00AA34C5" w:rsidRDefault="00773F7B" w:rsidP="00773F7B">
            <w:pPr>
              <w:pStyle w:val="T2"/>
              <w:jc w:val="right"/>
              <w:rPr>
                <w:b/>
              </w:rPr>
            </w:pPr>
            <w:r w:rsidRPr="006215CC">
              <w:rPr>
                <w:bCs/>
              </w:rPr>
              <w:t>(3.0)</w:t>
            </w:r>
          </w:p>
        </w:tc>
      </w:tr>
      <w:tr w:rsidR="00773F7B" w14:paraId="406FA8E6" w14:textId="77777777" w:rsidTr="005B3BEE">
        <w:trPr>
          <w:jc w:val="center"/>
        </w:trPr>
        <w:tc>
          <w:tcPr>
            <w:tcW w:w="6803" w:type="dxa"/>
            <w:tcBorders>
              <w:top w:val="single" w:sz="4" w:space="0" w:color="auto"/>
              <w:bottom w:val="single" w:sz="2" w:space="0" w:color="auto"/>
            </w:tcBorders>
            <w:vAlign w:val="bottom"/>
          </w:tcPr>
          <w:p w14:paraId="4C9B4E18" w14:textId="77777777" w:rsidR="00773F7B" w:rsidRPr="003D355E" w:rsidRDefault="00773F7B" w:rsidP="00773F7B">
            <w:pPr>
              <w:pStyle w:val="T2"/>
              <w:jc w:val="left"/>
            </w:pPr>
          </w:p>
        </w:tc>
        <w:tc>
          <w:tcPr>
            <w:tcW w:w="992" w:type="dxa"/>
            <w:tcBorders>
              <w:top w:val="single" w:sz="4" w:space="0" w:color="auto"/>
              <w:bottom w:val="single" w:sz="2" w:space="0" w:color="auto"/>
            </w:tcBorders>
            <w:vAlign w:val="bottom"/>
          </w:tcPr>
          <w:p w14:paraId="7D0FC09D" w14:textId="77777777" w:rsidR="00773F7B" w:rsidRPr="003D355E" w:rsidRDefault="00773F7B" w:rsidP="00773F7B">
            <w:pPr>
              <w:pStyle w:val="T2"/>
              <w:jc w:val="right"/>
            </w:pPr>
          </w:p>
        </w:tc>
        <w:tc>
          <w:tcPr>
            <w:tcW w:w="992" w:type="dxa"/>
            <w:tcBorders>
              <w:top w:val="single" w:sz="4" w:space="0" w:color="auto"/>
              <w:bottom w:val="single" w:sz="2" w:space="0" w:color="auto"/>
            </w:tcBorders>
            <w:vAlign w:val="bottom"/>
          </w:tcPr>
          <w:p w14:paraId="605D3554" w14:textId="77777777" w:rsidR="00773F7B" w:rsidRPr="00DF6E36" w:rsidRDefault="00773F7B" w:rsidP="00773F7B">
            <w:pPr>
              <w:pStyle w:val="T2"/>
              <w:jc w:val="right"/>
              <w:rPr>
                <w:b/>
              </w:rPr>
            </w:pPr>
            <w:r>
              <w:rPr>
                <w:b/>
              </w:rPr>
              <w:t>–</w:t>
            </w:r>
          </w:p>
        </w:tc>
        <w:tc>
          <w:tcPr>
            <w:tcW w:w="992" w:type="dxa"/>
            <w:tcBorders>
              <w:top w:val="single" w:sz="4" w:space="0" w:color="auto"/>
              <w:bottom w:val="single" w:sz="2" w:space="0" w:color="auto"/>
            </w:tcBorders>
            <w:vAlign w:val="bottom"/>
          </w:tcPr>
          <w:p w14:paraId="72D3BFBD" w14:textId="77777777" w:rsidR="00773F7B" w:rsidRPr="00DF6E36" w:rsidDel="00AA34C5" w:rsidRDefault="00773F7B" w:rsidP="00773F7B">
            <w:pPr>
              <w:pStyle w:val="T2"/>
              <w:jc w:val="right"/>
              <w:rPr>
                <w:b/>
              </w:rPr>
            </w:pPr>
            <w:r w:rsidRPr="006215CC">
              <w:rPr>
                <w:bCs/>
              </w:rPr>
              <w:t>28.3</w:t>
            </w:r>
          </w:p>
        </w:tc>
      </w:tr>
      <w:tr w:rsidR="00773F7B" w14:paraId="67B21686" w14:textId="77777777" w:rsidTr="005B3BEE">
        <w:trPr>
          <w:jc w:val="center"/>
        </w:trPr>
        <w:tc>
          <w:tcPr>
            <w:tcW w:w="6803" w:type="dxa"/>
            <w:tcBorders>
              <w:top w:val="single" w:sz="2" w:space="0" w:color="auto"/>
              <w:bottom w:val="single" w:sz="2" w:space="0" w:color="auto"/>
            </w:tcBorders>
            <w:vAlign w:val="bottom"/>
          </w:tcPr>
          <w:p w14:paraId="16AF677C" w14:textId="77777777" w:rsidR="00773F7B" w:rsidRPr="003D355E" w:rsidRDefault="00773F7B" w:rsidP="00773F7B">
            <w:pPr>
              <w:pStyle w:val="T2"/>
              <w:jc w:val="left"/>
            </w:pPr>
            <w:r w:rsidRPr="003D355E">
              <w:t>Tax credit on exceptional items</w:t>
            </w:r>
          </w:p>
        </w:tc>
        <w:tc>
          <w:tcPr>
            <w:tcW w:w="992" w:type="dxa"/>
            <w:tcBorders>
              <w:top w:val="single" w:sz="2" w:space="0" w:color="auto"/>
              <w:bottom w:val="single" w:sz="2" w:space="0" w:color="auto"/>
            </w:tcBorders>
            <w:vAlign w:val="bottom"/>
          </w:tcPr>
          <w:p w14:paraId="6221B10C" w14:textId="77777777" w:rsidR="00773F7B" w:rsidRPr="003D355E" w:rsidRDefault="00773F7B" w:rsidP="00773F7B">
            <w:pPr>
              <w:pStyle w:val="T2"/>
              <w:jc w:val="right"/>
            </w:pPr>
          </w:p>
        </w:tc>
        <w:tc>
          <w:tcPr>
            <w:tcW w:w="992" w:type="dxa"/>
            <w:tcBorders>
              <w:top w:val="single" w:sz="2" w:space="0" w:color="auto"/>
              <w:bottom w:val="single" w:sz="2" w:space="0" w:color="auto"/>
            </w:tcBorders>
            <w:vAlign w:val="bottom"/>
          </w:tcPr>
          <w:p w14:paraId="4192119F" w14:textId="77777777" w:rsidR="00773F7B" w:rsidRPr="00DF6E36" w:rsidRDefault="00773F7B" w:rsidP="00773F7B">
            <w:pPr>
              <w:pStyle w:val="T2"/>
              <w:jc w:val="right"/>
              <w:rPr>
                <w:b/>
              </w:rPr>
            </w:pPr>
            <w:r>
              <w:rPr>
                <w:b/>
              </w:rPr>
              <w:t>0.4</w:t>
            </w:r>
          </w:p>
        </w:tc>
        <w:tc>
          <w:tcPr>
            <w:tcW w:w="992" w:type="dxa"/>
            <w:tcBorders>
              <w:top w:val="single" w:sz="2" w:space="0" w:color="auto"/>
              <w:bottom w:val="single" w:sz="2" w:space="0" w:color="auto"/>
            </w:tcBorders>
            <w:vAlign w:val="bottom"/>
          </w:tcPr>
          <w:p w14:paraId="1BBAC8B2" w14:textId="77777777" w:rsidR="00773F7B" w:rsidRPr="00DF6E36" w:rsidDel="00AA34C5" w:rsidRDefault="00773F7B" w:rsidP="00773F7B">
            <w:pPr>
              <w:pStyle w:val="T2"/>
              <w:jc w:val="right"/>
              <w:rPr>
                <w:b/>
              </w:rPr>
            </w:pPr>
            <w:r w:rsidRPr="006215CC">
              <w:rPr>
                <w:bCs/>
              </w:rPr>
              <w:t>0.5</w:t>
            </w:r>
          </w:p>
        </w:tc>
      </w:tr>
      <w:tr w:rsidR="00773F7B" w14:paraId="14521C5F" w14:textId="77777777" w:rsidTr="005B3BEE">
        <w:trPr>
          <w:jc w:val="center"/>
        </w:trPr>
        <w:tc>
          <w:tcPr>
            <w:tcW w:w="6803" w:type="dxa"/>
            <w:tcBorders>
              <w:top w:val="single" w:sz="2" w:space="0" w:color="auto"/>
              <w:bottom w:val="single" w:sz="8" w:space="0" w:color="auto"/>
            </w:tcBorders>
            <w:vAlign w:val="bottom"/>
          </w:tcPr>
          <w:p w14:paraId="361705EC" w14:textId="77777777" w:rsidR="00773F7B" w:rsidRPr="003D355E" w:rsidRDefault="00773F7B" w:rsidP="00773F7B">
            <w:pPr>
              <w:pStyle w:val="T2"/>
              <w:jc w:val="left"/>
              <w:rPr>
                <w:b/>
              </w:rPr>
            </w:pPr>
            <w:r w:rsidRPr="003D355E">
              <w:rPr>
                <w:b/>
              </w:rPr>
              <w:t>Total exceptional</w:t>
            </w:r>
            <w:r>
              <w:rPr>
                <w:b/>
              </w:rPr>
              <w:t xml:space="preserve"> items</w:t>
            </w:r>
          </w:p>
        </w:tc>
        <w:tc>
          <w:tcPr>
            <w:tcW w:w="992" w:type="dxa"/>
            <w:tcBorders>
              <w:top w:val="single" w:sz="2" w:space="0" w:color="auto"/>
              <w:bottom w:val="single" w:sz="8" w:space="0" w:color="auto"/>
            </w:tcBorders>
            <w:vAlign w:val="bottom"/>
          </w:tcPr>
          <w:p w14:paraId="2C4AF026" w14:textId="77777777" w:rsidR="00773F7B" w:rsidRPr="003D355E" w:rsidRDefault="00773F7B" w:rsidP="00773F7B">
            <w:pPr>
              <w:pStyle w:val="T2"/>
              <w:jc w:val="right"/>
            </w:pPr>
          </w:p>
        </w:tc>
        <w:tc>
          <w:tcPr>
            <w:tcW w:w="992" w:type="dxa"/>
            <w:tcBorders>
              <w:top w:val="single" w:sz="2" w:space="0" w:color="auto"/>
              <w:bottom w:val="single" w:sz="8" w:space="0" w:color="auto"/>
            </w:tcBorders>
            <w:vAlign w:val="bottom"/>
          </w:tcPr>
          <w:p w14:paraId="51EBAB3C" w14:textId="77777777" w:rsidR="00773F7B" w:rsidRPr="00DF6E36" w:rsidRDefault="00773F7B" w:rsidP="00773F7B">
            <w:pPr>
              <w:pStyle w:val="T2"/>
              <w:jc w:val="right"/>
              <w:rPr>
                <w:b/>
              </w:rPr>
            </w:pPr>
            <w:r>
              <w:rPr>
                <w:b/>
              </w:rPr>
              <w:t>0.4</w:t>
            </w:r>
          </w:p>
        </w:tc>
        <w:tc>
          <w:tcPr>
            <w:tcW w:w="992" w:type="dxa"/>
            <w:tcBorders>
              <w:top w:val="single" w:sz="2" w:space="0" w:color="auto"/>
              <w:bottom w:val="single" w:sz="8" w:space="0" w:color="auto"/>
            </w:tcBorders>
            <w:vAlign w:val="bottom"/>
          </w:tcPr>
          <w:p w14:paraId="5914F6EF" w14:textId="77777777" w:rsidR="00773F7B" w:rsidDel="00AA34C5" w:rsidRDefault="00773F7B" w:rsidP="00773F7B">
            <w:pPr>
              <w:pStyle w:val="T2"/>
              <w:jc w:val="right"/>
              <w:rPr>
                <w:b/>
              </w:rPr>
            </w:pPr>
            <w:r w:rsidRPr="006215CC">
              <w:rPr>
                <w:bCs/>
              </w:rPr>
              <w:t>28.8</w:t>
            </w:r>
          </w:p>
        </w:tc>
      </w:tr>
    </w:tbl>
    <w:p w14:paraId="37EA7F9E" w14:textId="77777777" w:rsidR="00000B37" w:rsidRDefault="00000B37" w:rsidP="005B3BEE">
      <w:pPr>
        <w:pStyle w:val="SectionH3"/>
      </w:pPr>
    </w:p>
    <w:p w14:paraId="6247099B" w14:textId="7633AFC1" w:rsidR="00773F7B" w:rsidRDefault="00773F7B" w:rsidP="005B3BEE">
      <w:pPr>
        <w:pStyle w:val="SectionH3"/>
      </w:pPr>
      <w:r>
        <w:t>2020 HALF YEAR</w:t>
      </w:r>
    </w:p>
    <w:p w14:paraId="5A486EA7" w14:textId="77777777" w:rsidR="00773F7B" w:rsidRPr="00E26FEA" w:rsidRDefault="00773F7B" w:rsidP="005B3BEE">
      <w:pPr>
        <w:pStyle w:val="Style1"/>
        <w:spacing w:after="120"/>
        <w:ind w:left="425" w:hanging="425"/>
      </w:pPr>
      <w:r w:rsidRPr="00E26FEA">
        <w:t>Impact of COVID</w:t>
      </w:r>
      <w:r>
        <w:t>-</w:t>
      </w:r>
      <w:r w:rsidRPr="00E26FEA">
        <w:t>19</w:t>
      </w:r>
      <w:r w:rsidR="00124466">
        <w:t xml:space="preserve"> pandemic</w:t>
      </w:r>
    </w:p>
    <w:p w14:paraId="27C9D35D" w14:textId="45554394" w:rsidR="00773F7B" w:rsidRDefault="00773F7B" w:rsidP="005B3BEE">
      <w:pPr>
        <w:pStyle w:val="Style1"/>
        <w:numPr>
          <w:ilvl w:val="0"/>
          <w:numId w:val="0"/>
        </w:numPr>
        <w:spacing w:after="120"/>
        <w:ind w:left="425"/>
        <w:jc w:val="both"/>
        <w:rPr>
          <w:b w:val="0"/>
        </w:rPr>
      </w:pPr>
      <w:r>
        <w:rPr>
          <w:b w:val="0"/>
        </w:rPr>
        <w:t>In the current period, the Group incurred £1.7m of costs relating to the COVID-19 pandemic. The costs consist of inventory and other asset write offs associated with product range rationalisation, increase in</w:t>
      </w:r>
      <w:r w:rsidR="004379BF">
        <w:rPr>
          <w:b w:val="0"/>
        </w:rPr>
        <w:t xml:space="preserve"> the provision for</w:t>
      </w:r>
      <w:r>
        <w:rPr>
          <w:b w:val="0"/>
        </w:rPr>
        <w:t xml:space="preserve"> </w:t>
      </w:r>
      <w:r w:rsidR="004379BF">
        <w:rPr>
          <w:b w:val="0"/>
        </w:rPr>
        <w:t>bad debts</w:t>
      </w:r>
      <w:r>
        <w:rPr>
          <w:b w:val="0"/>
        </w:rPr>
        <w:t xml:space="preserve"> for certain customers and other costs of COVID-19 including the cost of </w:t>
      </w:r>
      <w:r w:rsidR="00124466">
        <w:rPr>
          <w:b w:val="0"/>
        </w:rPr>
        <w:t xml:space="preserve">implementing measures to </w:t>
      </w:r>
      <w:r>
        <w:rPr>
          <w:b w:val="0"/>
        </w:rPr>
        <w:t>protect our people at our manufacturing facilities.</w:t>
      </w:r>
    </w:p>
    <w:p w14:paraId="04BE5056" w14:textId="77777777" w:rsidR="00773F7B" w:rsidRPr="00E26FEA" w:rsidRDefault="00773F7B" w:rsidP="00773F7B">
      <w:pPr>
        <w:pStyle w:val="Style1"/>
        <w:numPr>
          <w:ilvl w:val="0"/>
          <w:numId w:val="0"/>
        </w:numPr>
        <w:ind w:left="425"/>
        <w:rPr>
          <w:b w:val="0"/>
        </w:rPr>
      </w:pPr>
    </w:p>
    <w:p w14:paraId="141C938A" w14:textId="77777777" w:rsidR="00773F7B" w:rsidRDefault="00773F7B" w:rsidP="005B3BEE">
      <w:pPr>
        <w:pStyle w:val="Style1"/>
        <w:spacing w:after="120"/>
        <w:ind w:left="425" w:hanging="425"/>
      </w:pPr>
      <w:r>
        <w:t>Legacy US legal matters</w:t>
      </w:r>
    </w:p>
    <w:p w14:paraId="2754D3A0" w14:textId="14A486FD" w:rsidR="00773F7B" w:rsidRDefault="00773F7B" w:rsidP="005B3BEE">
      <w:pPr>
        <w:pStyle w:val="Style1"/>
        <w:numPr>
          <w:ilvl w:val="0"/>
          <w:numId w:val="0"/>
        </w:numPr>
        <w:spacing w:after="120"/>
        <w:ind w:left="425"/>
        <w:jc w:val="both"/>
        <w:rPr>
          <w:b w:val="0"/>
        </w:rPr>
      </w:pPr>
      <w:r w:rsidRPr="00D13EF1">
        <w:rPr>
          <w:b w:val="0"/>
        </w:rPr>
        <w:t>In the current</w:t>
      </w:r>
      <w:r>
        <w:rPr>
          <w:b w:val="0"/>
        </w:rPr>
        <w:t xml:space="preserve"> period, the Group</w:t>
      </w:r>
      <w:r w:rsidR="00472A6F">
        <w:rPr>
          <w:b w:val="0"/>
        </w:rPr>
        <w:t xml:space="preserve"> recogn</w:t>
      </w:r>
      <w:r w:rsidR="008463D2">
        <w:rPr>
          <w:b w:val="0"/>
        </w:rPr>
        <w:t>ised a credit</w:t>
      </w:r>
      <w:r w:rsidR="00124466">
        <w:rPr>
          <w:b w:val="0"/>
        </w:rPr>
        <w:t xml:space="preserve"> of £2.2m</w:t>
      </w:r>
      <w:r w:rsidR="008463D2">
        <w:rPr>
          <w:b w:val="0"/>
        </w:rPr>
        <w:t xml:space="preserve"> on the</w:t>
      </w:r>
      <w:r>
        <w:rPr>
          <w:b w:val="0"/>
        </w:rPr>
        <w:t xml:space="preserve"> settle</w:t>
      </w:r>
      <w:r w:rsidR="008463D2">
        <w:rPr>
          <w:b w:val="0"/>
        </w:rPr>
        <w:t xml:space="preserve">ment </w:t>
      </w:r>
      <w:r w:rsidR="004379BF">
        <w:rPr>
          <w:b w:val="0"/>
        </w:rPr>
        <w:t xml:space="preserve">of </w:t>
      </w:r>
      <w:r>
        <w:rPr>
          <w:b w:val="0"/>
        </w:rPr>
        <w:t>a legacy US legal case</w:t>
      </w:r>
      <w:r w:rsidR="005F0358">
        <w:rPr>
          <w:b w:val="0"/>
        </w:rPr>
        <w:t>,</w:t>
      </w:r>
      <w:r w:rsidR="00124466">
        <w:rPr>
          <w:b w:val="0"/>
        </w:rPr>
        <w:t xml:space="preserve"> as an amount was recovered under a Group insurance policy.</w:t>
      </w:r>
    </w:p>
    <w:p w14:paraId="7C476754" w14:textId="77777777" w:rsidR="00773F7B" w:rsidRDefault="00773F7B" w:rsidP="005B3BEE">
      <w:pPr>
        <w:pStyle w:val="Style1"/>
        <w:numPr>
          <w:ilvl w:val="0"/>
          <w:numId w:val="0"/>
        </w:numPr>
        <w:spacing w:afterLines="120" w:after="288"/>
        <w:ind w:left="425"/>
      </w:pPr>
    </w:p>
    <w:p w14:paraId="5A540949" w14:textId="77777777" w:rsidR="00773F7B" w:rsidRDefault="00773F7B" w:rsidP="005B3BEE">
      <w:pPr>
        <w:pStyle w:val="Style1"/>
        <w:spacing w:after="120"/>
        <w:ind w:left="425" w:hanging="425"/>
      </w:pPr>
      <w:r>
        <w:t>Integration costs</w:t>
      </w:r>
    </w:p>
    <w:p w14:paraId="64F51474" w14:textId="77777777" w:rsidR="00773F7B" w:rsidRPr="00827864" w:rsidRDefault="00773F7B" w:rsidP="005B3BEE">
      <w:pPr>
        <w:pStyle w:val="Style1"/>
        <w:numPr>
          <w:ilvl w:val="0"/>
          <w:numId w:val="0"/>
        </w:numPr>
        <w:spacing w:after="120"/>
        <w:ind w:left="425"/>
        <w:jc w:val="both"/>
        <w:rPr>
          <w:b w:val="0"/>
        </w:rPr>
      </w:pPr>
      <w:r>
        <w:rPr>
          <w:b w:val="0"/>
        </w:rPr>
        <w:t>In the current period</w:t>
      </w:r>
      <w:r w:rsidRPr="00827864">
        <w:rPr>
          <w:b w:val="0"/>
        </w:rPr>
        <w:t>, the G</w:t>
      </w:r>
      <w:r>
        <w:rPr>
          <w:b w:val="0"/>
        </w:rPr>
        <w:t>roup recognised a charge of £0.5m, comprising integration</w:t>
      </w:r>
      <w:r w:rsidRPr="00827864">
        <w:rPr>
          <w:b w:val="0"/>
        </w:rPr>
        <w:t xml:space="preserve"> costs in relation to the acquisition of Freshtime UK Limited</w:t>
      </w:r>
      <w:r w:rsidR="00124466">
        <w:rPr>
          <w:b w:val="0"/>
        </w:rPr>
        <w:t xml:space="preserve"> in 2019</w:t>
      </w:r>
      <w:r w:rsidRPr="00827864">
        <w:rPr>
          <w:b w:val="0"/>
        </w:rPr>
        <w:t xml:space="preserve">. Details of the acquisition </w:t>
      </w:r>
      <w:r>
        <w:rPr>
          <w:b w:val="0"/>
        </w:rPr>
        <w:t>are set out in note 15</w:t>
      </w:r>
      <w:r w:rsidRPr="00827864">
        <w:rPr>
          <w:b w:val="0"/>
        </w:rPr>
        <w:t>.</w:t>
      </w:r>
    </w:p>
    <w:p w14:paraId="25FFBF4A" w14:textId="380D7041" w:rsidR="00413B31" w:rsidRPr="00413B31" w:rsidRDefault="00773F7B" w:rsidP="005B3BEE">
      <w:pPr>
        <w:pStyle w:val="SectionH3"/>
        <w:jc w:val="left"/>
      </w:pPr>
      <w:r w:rsidRPr="00413B31">
        <w:t>2019 HALF YEAR</w:t>
      </w:r>
    </w:p>
    <w:p w14:paraId="1C0FB630" w14:textId="377772C8" w:rsidR="00773F7B" w:rsidRPr="001D0FD3" w:rsidRDefault="00773F7B" w:rsidP="005B3BEE">
      <w:pPr>
        <w:pStyle w:val="Style1"/>
        <w:ind w:left="426" w:hanging="426"/>
      </w:pPr>
      <w:r w:rsidRPr="00AA0DC6">
        <w:t>Profit on disposal of Greencore’s US Business</w:t>
      </w:r>
    </w:p>
    <w:p w14:paraId="533482D0" w14:textId="7A2DE145" w:rsidR="00B10F27" w:rsidRDefault="00773F7B" w:rsidP="005B3BEE">
      <w:pPr>
        <w:pStyle w:val="Style1"/>
        <w:numPr>
          <w:ilvl w:val="0"/>
          <w:numId w:val="0"/>
        </w:numPr>
        <w:spacing w:after="120"/>
        <w:ind w:left="425"/>
        <w:jc w:val="both"/>
      </w:pPr>
      <w:r w:rsidRPr="00386903">
        <w:rPr>
          <w:b w:val="0"/>
        </w:rPr>
        <w:t xml:space="preserve">In the prior </w:t>
      </w:r>
      <w:r>
        <w:rPr>
          <w:b w:val="0"/>
        </w:rPr>
        <w:t>period</w:t>
      </w:r>
      <w:r w:rsidRPr="00386903">
        <w:rPr>
          <w:b w:val="0"/>
        </w:rPr>
        <w:t>, the Group completed the disposal of Greencore's US business to Hearthside Food Solutions LLC</w:t>
      </w:r>
      <w:r>
        <w:rPr>
          <w:b w:val="0"/>
        </w:rPr>
        <w:t xml:space="preserve"> in November 2018</w:t>
      </w:r>
      <w:r w:rsidRPr="00386903">
        <w:rPr>
          <w:b w:val="0"/>
        </w:rPr>
        <w:t>. A profit of £56.7m was recognised</w:t>
      </w:r>
      <w:r>
        <w:rPr>
          <w:b w:val="0"/>
        </w:rPr>
        <w:t xml:space="preserve"> </w:t>
      </w:r>
      <w:r w:rsidRPr="00386903">
        <w:rPr>
          <w:b w:val="0"/>
        </w:rPr>
        <w:t>which included transaction and separation costs of £17.9m.</w:t>
      </w:r>
      <w:r>
        <w:rPr>
          <w:b w:val="0"/>
        </w:rPr>
        <w:t xml:space="preserve"> This was presented as discontinued in the Group’s Income Statement.</w:t>
      </w:r>
      <w:r w:rsidRPr="00386903">
        <w:rPr>
          <w:b w:val="0"/>
        </w:rPr>
        <w:t xml:space="preserve"> </w:t>
      </w:r>
    </w:p>
    <w:p w14:paraId="208B52BC" w14:textId="77777777" w:rsidR="008D2B54" w:rsidRDefault="008D2B54" w:rsidP="00773F7B">
      <w:pPr>
        <w:pStyle w:val="Style1"/>
        <w:numPr>
          <w:ilvl w:val="0"/>
          <w:numId w:val="0"/>
        </w:numPr>
        <w:ind w:left="426"/>
        <w:jc w:val="both"/>
        <w:rPr>
          <w:b w:val="0"/>
        </w:rPr>
      </w:pPr>
    </w:p>
    <w:p w14:paraId="1BF1C2BA" w14:textId="77777777" w:rsidR="00773F7B" w:rsidRDefault="00773F7B" w:rsidP="005B3BEE">
      <w:pPr>
        <w:pStyle w:val="Style1"/>
        <w:spacing w:after="120"/>
        <w:ind w:left="425" w:hanging="426"/>
      </w:pPr>
      <w:r>
        <w:lastRenderedPageBreak/>
        <w:t>Debt restructuring post disposal of Greencore’s US business</w:t>
      </w:r>
    </w:p>
    <w:p w14:paraId="24C8178A" w14:textId="77777777" w:rsidR="00773F7B" w:rsidRPr="00FC568F" w:rsidRDefault="00773F7B" w:rsidP="005B3BEE">
      <w:pPr>
        <w:pStyle w:val="Style1"/>
        <w:numPr>
          <w:ilvl w:val="0"/>
          <w:numId w:val="0"/>
        </w:numPr>
        <w:spacing w:after="120"/>
        <w:ind w:left="425"/>
        <w:jc w:val="both"/>
        <w:rPr>
          <w:b w:val="0"/>
          <w:bCs/>
        </w:rPr>
      </w:pPr>
      <w:r w:rsidRPr="00FC568F">
        <w:rPr>
          <w:b w:val="0"/>
          <w:bCs/>
        </w:rPr>
        <w:t xml:space="preserve">In the prior </w:t>
      </w:r>
      <w:r>
        <w:rPr>
          <w:b w:val="0"/>
          <w:bCs/>
        </w:rPr>
        <w:t>period</w:t>
      </w:r>
      <w:r w:rsidRPr="00FC568F">
        <w:rPr>
          <w:b w:val="0"/>
          <w:bCs/>
        </w:rPr>
        <w:t>, following the disposal of Greencore’s US business</w:t>
      </w:r>
      <w:r>
        <w:rPr>
          <w:b w:val="0"/>
          <w:bCs/>
        </w:rPr>
        <w:t>,</w:t>
      </w:r>
      <w:r w:rsidRPr="00FC568F">
        <w:rPr>
          <w:b w:val="0"/>
          <w:bCs/>
        </w:rPr>
        <w:t xml:space="preserve"> the Group reshaped its debt and associated derivative portfolio to reflect the removal of US dollar assets from the business. This resulted in a £25.4m exceptional charge in the period comprising the recycling of the net investment hedge of £22.3m, the recycling of ineffective interest rate swaps of £1.0m and the write off of capitalised finance fees on associated debt facilities of £2.1m.</w:t>
      </w:r>
    </w:p>
    <w:p w14:paraId="2B3BC4ED" w14:textId="77777777" w:rsidR="00773F7B" w:rsidRDefault="00773F7B" w:rsidP="005B3BEE">
      <w:pPr>
        <w:pStyle w:val="Style1"/>
        <w:numPr>
          <w:ilvl w:val="0"/>
          <w:numId w:val="0"/>
        </w:numPr>
        <w:spacing w:after="120"/>
        <w:ind w:left="567" w:hanging="426"/>
      </w:pPr>
    </w:p>
    <w:p w14:paraId="2EFE8FFD" w14:textId="77777777" w:rsidR="00F75453" w:rsidRDefault="00F75453" w:rsidP="005B3BEE">
      <w:pPr>
        <w:pStyle w:val="Style1"/>
        <w:spacing w:after="120"/>
        <w:ind w:left="425" w:hanging="426"/>
      </w:pPr>
      <w:r>
        <w:t>GMP equalisation</w:t>
      </w:r>
    </w:p>
    <w:p w14:paraId="76E6B938" w14:textId="77777777" w:rsidR="00773F7B" w:rsidRPr="002E0E9E" w:rsidRDefault="00773F7B" w:rsidP="005B3BEE">
      <w:pPr>
        <w:pStyle w:val="Style1"/>
        <w:numPr>
          <w:ilvl w:val="0"/>
          <w:numId w:val="0"/>
        </w:numPr>
        <w:spacing w:after="120"/>
        <w:ind w:left="425"/>
        <w:jc w:val="both"/>
        <w:rPr>
          <w:b w:val="0"/>
        </w:rPr>
      </w:pPr>
      <w:r w:rsidRPr="002E0E9E">
        <w:rPr>
          <w:b w:val="0"/>
        </w:rPr>
        <w:t xml:space="preserve">Due to a ruling in the High Court of Justice of England and Wales in October 2018, pension schemes are under a duty to equalise benefits for all members, regardless of gender, in relation to minimum pension benefits. For the Group, an estimate was made of the impact of equalisation, which increased the legacy defined benefit pension scheme liabilities in the UK by £3.0m with a corresponding charge to exceptional items. Whilst guidance has been issued by the Department of Work and </w:t>
      </w:r>
      <w:r w:rsidRPr="00665CB5">
        <w:rPr>
          <w:b w:val="0"/>
        </w:rPr>
        <w:t>Pensions, legislative provisions regarding the change are still being finalised. Therefore in the continued absence of guidance, the Group has maintained the estimate of £3.0m as at 27 March 2020.</w:t>
      </w:r>
    </w:p>
    <w:p w14:paraId="56397017" w14:textId="77777777" w:rsidR="00773F7B" w:rsidRPr="00FB1D28" w:rsidRDefault="00773F7B" w:rsidP="005B3BEE">
      <w:pPr>
        <w:pStyle w:val="SectionH3"/>
      </w:pPr>
      <w:r w:rsidRPr="00FB1D28">
        <w:t>Cash Flow on Exceptional Items</w:t>
      </w:r>
    </w:p>
    <w:p w14:paraId="748E03E9" w14:textId="77777777" w:rsidR="00773F7B" w:rsidRDefault="00773F7B" w:rsidP="005B3BEE">
      <w:pPr>
        <w:pStyle w:val="Paragraph"/>
        <w:spacing w:before="0" w:after="120"/>
        <w:jc w:val="both"/>
      </w:pPr>
      <w:r>
        <w:t>The total net cash outflow during the period in respect of exceptional items was £2.6m (H1 FY19: £7.7m), of which £2.1m was in respect of prior year exceptional charges. The remaining current year exceptional cash flow includes £0.2m related to COVID-19 costs and £0.3m of integration costs.</w:t>
      </w:r>
    </w:p>
    <w:p w14:paraId="2E2314F2" w14:textId="4D27FF23" w:rsidR="00773F7B" w:rsidRPr="005B3BEE" w:rsidRDefault="00773F7B" w:rsidP="005B3BEE">
      <w:pPr>
        <w:pStyle w:val="SectionH3"/>
        <w:rPr>
          <w:rStyle w:val="ParagraphChar"/>
        </w:rPr>
      </w:pPr>
      <w:r w:rsidRPr="00083EA3">
        <w:t>6.</w:t>
      </w:r>
      <w:r w:rsidR="00413B31" w:rsidRPr="00083EA3">
        <w:tab/>
      </w:r>
      <w:r w:rsidRPr="005B3BEE">
        <w:rPr>
          <w:rStyle w:val="ParagraphChar"/>
        </w:rPr>
        <w:t>Net finance costs</w:t>
      </w:r>
    </w:p>
    <w:p w14:paraId="12E75D56" w14:textId="77777777" w:rsidR="00773F7B" w:rsidRDefault="00773F7B" w:rsidP="005B3BEE">
      <w:pPr>
        <w:pStyle w:val="SectionH3"/>
      </w:pPr>
      <w:r w:rsidRPr="006D1798">
        <w:t>Net Finance income and finance costs</w:t>
      </w:r>
    </w:p>
    <w:tbl>
      <w:tblPr>
        <w:tblStyle w:val="TableGrid"/>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5"/>
        <w:gridCol w:w="992"/>
        <w:gridCol w:w="992"/>
      </w:tblGrid>
      <w:tr w:rsidR="00773F7B" w14:paraId="511E217E" w14:textId="77777777" w:rsidTr="005B3BEE">
        <w:tc>
          <w:tcPr>
            <w:tcW w:w="7795" w:type="dxa"/>
            <w:vAlign w:val="bottom"/>
          </w:tcPr>
          <w:p w14:paraId="50F4626A" w14:textId="77777777" w:rsidR="00773F7B" w:rsidRPr="006D1798" w:rsidRDefault="00773F7B" w:rsidP="00773F7B">
            <w:pPr>
              <w:pStyle w:val="T2"/>
              <w:jc w:val="left"/>
            </w:pPr>
          </w:p>
        </w:tc>
        <w:tc>
          <w:tcPr>
            <w:tcW w:w="992" w:type="dxa"/>
            <w:vAlign w:val="bottom"/>
          </w:tcPr>
          <w:p w14:paraId="4A7062DC" w14:textId="77777777" w:rsidR="00773F7B" w:rsidRPr="006D1798" w:rsidRDefault="00773F7B" w:rsidP="00773F7B">
            <w:pPr>
              <w:pStyle w:val="T2"/>
              <w:jc w:val="right"/>
              <w:rPr>
                <w:b/>
              </w:rPr>
            </w:pPr>
            <w:r w:rsidRPr="006D1798">
              <w:rPr>
                <w:b/>
              </w:rPr>
              <w:t>Half year</w:t>
            </w:r>
            <w:r w:rsidRPr="006D1798">
              <w:rPr>
                <w:b/>
              </w:rPr>
              <w:br/>
              <w:t>20</w:t>
            </w:r>
            <w:r>
              <w:rPr>
                <w:b/>
              </w:rPr>
              <w:t>20</w:t>
            </w:r>
          </w:p>
        </w:tc>
        <w:tc>
          <w:tcPr>
            <w:tcW w:w="992" w:type="dxa"/>
            <w:vAlign w:val="bottom"/>
          </w:tcPr>
          <w:p w14:paraId="548D7068" w14:textId="77777777" w:rsidR="00773F7B" w:rsidRPr="006D1798" w:rsidRDefault="00773F7B" w:rsidP="00773F7B">
            <w:pPr>
              <w:pStyle w:val="T2"/>
              <w:jc w:val="right"/>
            </w:pPr>
            <w:r w:rsidRPr="006D1798">
              <w:t>Half year</w:t>
            </w:r>
            <w:r w:rsidRPr="006D1798">
              <w:br/>
              <w:t>201</w:t>
            </w:r>
            <w:r>
              <w:t>9</w:t>
            </w:r>
          </w:p>
        </w:tc>
      </w:tr>
      <w:tr w:rsidR="00773F7B" w14:paraId="49BA20BB" w14:textId="77777777" w:rsidTr="005B3BEE">
        <w:tc>
          <w:tcPr>
            <w:tcW w:w="7795" w:type="dxa"/>
            <w:tcBorders>
              <w:bottom w:val="single" w:sz="6" w:space="0" w:color="auto"/>
            </w:tcBorders>
            <w:vAlign w:val="bottom"/>
          </w:tcPr>
          <w:p w14:paraId="0BF7C534" w14:textId="77777777" w:rsidR="00773F7B" w:rsidRPr="006D1798" w:rsidRDefault="00773F7B" w:rsidP="00773F7B">
            <w:pPr>
              <w:pStyle w:val="T2"/>
              <w:jc w:val="left"/>
            </w:pPr>
          </w:p>
        </w:tc>
        <w:tc>
          <w:tcPr>
            <w:tcW w:w="992" w:type="dxa"/>
            <w:tcBorders>
              <w:bottom w:val="single" w:sz="6" w:space="0" w:color="auto"/>
            </w:tcBorders>
            <w:vAlign w:val="bottom"/>
          </w:tcPr>
          <w:p w14:paraId="3B551AFB" w14:textId="77777777" w:rsidR="00773F7B" w:rsidRPr="006D1798" w:rsidRDefault="00773F7B" w:rsidP="00773F7B">
            <w:pPr>
              <w:pStyle w:val="T2"/>
              <w:jc w:val="right"/>
              <w:rPr>
                <w:b/>
              </w:rPr>
            </w:pPr>
            <w:r w:rsidRPr="006D1798">
              <w:rPr>
                <w:b/>
              </w:rPr>
              <w:t>£m</w:t>
            </w:r>
          </w:p>
        </w:tc>
        <w:tc>
          <w:tcPr>
            <w:tcW w:w="992" w:type="dxa"/>
            <w:tcBorders>
              <w:bottom w:val="single" w:sz="6" w:space="0" w:color="auto"/>
            </w:tcBorders>
            <w:vAlign w:val="bottom"/>
          </w:tcPr>
          <w:p w14:paraId="4AF8E6C6" w14:textId="77777777" w:rsidR="00773F7B" w:rsidRPr="006D1798" w:rsidRDefault="00773F7B" w:rsidP="00773F7B">
            <w:pPr>
              <w:pStyle w:val="T2"/>
              <w:jc w:val="right"/>
            </w:pPr>
            <w:r w:rsidRPr="006D1798">
              <w:t>£m</w:t>
            </w:r>
          </w:p>
        </w:tc>
      </w:tr>
      <w:tr w:rsidR="00773F7B" w14:paraId="7D04405D" w14:textId="77777777" w:rsidTr="005B3BEE">
        <w:tc>
          <w:tcPr>
            <w:tcW w:w="7795" w:type="dxa"/>
            <w:vAlign w:val="bottom"/>
          </w:tcPr>
          <w:p w14:paraId="048687DE" w14:textId="77777777" w:rsidR="00773F7B" w:rsidRPr="006D1798" w:rsidRDefault="00773F7B" w:rsidP="00773F7B">
            <w:pPr>
              <w:pStyle w:val="T2"/>
              <w:jc w:val="left"/>
              <w:rPr>
                <w:rFonts w:ascii="Calibri" w:hAnsi="Calibri" w:cs="Arial"/>
                <w:b/>
                <w:bCs/>
              </w:rPr>
            </w:pPr>
            <w:r w:rsidRPr="006D1798">
              <w:rPr>
                <w:rFonts w:ascii="Calibri" w:hAnsi="Calibri" w:cs="Arial"/>
                <w:b/>
                <w:bCs/>
              </w:rPr>
              <w:t>Finance income</w:t>
            </w:r>
            <w:r>
              <w:rPr>
                <w:rFonts w:ascii="Calibri" w:hAnsi="Calibri" w:cs="Arial"/>
                <w:b/>
                <w:bCs/>
              </w:rPr>
              <w:t xml:space="preserve"> </w:t>
            </w:r>
          </w:p>
        </w:tc>
        <w:tc>
          <w:tcPr>
            <w:tcW w:w="992" w:type="dxa"/>
            <w:vAlign w:val="bottom"/>
          </w:tcPr>
          <w:p w14:paraId="381712A3" w14:textId="77777777" w:rsidR="00773F7B" w:rsidRPr="00FE3B9D" w:rsidRDefault="00773F7B" w:rsidP="00773F7B">
            <w:pPr>
              <w:pStyle w:val="T2"/>
              <w:jc w:val="right"/>
              <w:rPr>
                <w:b/>
              </w:rPr>
            </w:pPr>
          </w:p>
        </w:tc>
        <w:tc>
          <w:tcPr>
            <w:tcW w:w="992" w:type="dxa"/>
            <w:vAlign w:val="bottom"/>
          </w:tcPr>
          <w:p w14:paraId="6832B986" w14:textId="77777777" w:rsidR="00773F7B" w:rsidRPr="00B074E8" w:rsidRDefault="00773F7B" w:rsidP="00773F7B">
            <w:pPr>
              <w:pStyle w:val="T2"/>
              <w:jc w:val="right"/>
            </w:pPr>
          </w:p>
        </w:tc>
      </w:tr>
      <w:tr w:rsidR="00773F7B" w14:paraId="6C4A2062" w14:textId="77777777" w:rsidTr="005B3BEE">
        <w:tc>
          <w:tcPr>
            <w:tcW w:w="7795" w:type="dxa"/>
            <w:tcBorders>
              <w:bottom w:val="single" w:sz="2" w:space="0" w:color="auto"/>
            </w:tcBorders>
            <w:vAlign w:val="bottom"/>
          </w:tcPr>
          <w:p w14:paraId="27262533" w14:textId="77777777" w:rsidR="00773F7B" w:rsidRPr="006D1798" w:rsidRDefault="00773F7B" w:rsidP="00773F7B">
            <w:pPr>
              <w:pStyle w:val="T2"/>
              <w:jc w:val="left"/>
              <w:rPr>
                <w:rFonts w:ascii="Calibri" w:hAnsi="Calibri" w:cs="Arial"/>
              </w:rPr>
            </w:pPr>
            <w:r w:rsidRPr="006D1798">
              <w:rPr>
                <w:rFonts w:ascii="Calibri" w:hAnsi="Calibri" w:cs="Arial"/>
              </w:rPr>
              <w:t>Interest on bank deposits</w:t>
            </w:r>
          </w:p>
        </w:tc>
        <w:tc>
          <w:tcPr>
            <w:tcW w:w="992" w:type="dxa"/>
            <w:tcBorders>
              <w:bottom w:val="single" w:sz="2" w:space="0" w:color="auto"/>
            </w:tcBorders>
            <w:vAlign w:val="bottom"/>
          </w:tcPr>
          <w:p w14:paraId="7D6DE147" w14:textId="77777777" w:rsidR="00773F7B" w:rsidRPr="00FE3B9D" w:rsidRDefault="00773F7B" w:rsidP="00773F7B">
            <w:pPr>
              <w:pStyle w:val="T2"/>
              <w:jc w:val="right"/>
              <w:rPr>
                <w:rFonts w:ascii="Calibri" w:hAnsi="Calibri" w:cs="Arial"/>
                <w:b/>
                <w:bCs/>
              </w:rPr>
            </w:pPr>
            <w:r>
              <w:rPr>
                <w:rFonts w:ascii="Calibri" w:hAnsi="Calibri" w:cs="Arial"/>
                <w:b/>
                <w:bCs/>
              </w:rPr>
              <w:t>0.1</w:t>
            </w:r>
          </w:p>
        </w:tc>
        <w:tc>
          <w:tcPr>
            <w:tcW w:w="992" w:type="dxa"/>
            <w:tcBorders>
              <w:bottom w:val="single" w:sz="2" w:space="0" w:color="auto"/>
            </w:tcBorders>
            <w:vAlign w:val="bottom"/>
          </w:tcPr>
          <w:p w14:paraId="7B685321" w14:textId="77777777" w:rsidR="00773F7B" w:rsidRPr="00B074E8" w:rsidRDefault="00773F7B" w:rsidP="00773F7B">
            <w:pPr>
              <w:pStyle w:val="T2"/>
              <w:jc w:val="right"/>
              <w:rPr>
                <w:rFonts w:ascii="Calibri" w:hAnsi="Calibri" w:cs="Arial"/>
              </w:rPr>
            </w:pPr>
            <w:r w:rsidRPr="005D0EFF">
              <w:rPr>
                <w:rFonts w:ascii="Calibri" w:hAnsi="Calibri" w:cs="Arial"/>
              </w:rPr>
              <w:t>0.7</w:t>
            </w:r>
          </w:p>
        </w:tc>
      </w:tr>
      <w:tr w:rsidR="00773F7B" w14:paraId="1D7BF418" w14:textId="77777777" w:rsidTr="005B3BEE">
        <w:tc>
          <w:tcPr>
            <w:tcW w:w="7795" w:type="dxa"/>
            <w:tcBorders>
              <w:top w:val="single" w:sz="2" w:space="0" w:color="auto"/>
              <w:bottom w:val="single" w:sz="8" w:space="0" w:color="auto"/>
            </w:tcBorders>
            <w:vAlign w:val="bottom"/>
          </w:tcPr>
          <w:p w14:paraId="72C93221" w14:textId="77777777" w:rsidR="00773F7B" w:rsidRPr="00DE2BFE" w:rsidRDefault="00773F7B" w:rsidP="00773F7B">
            <w:pPr>
              <w:pStyle w:val="T2"/>
              <w:jc w:val="left"/>
              <w:rPr>
                <w:rFonts w:ascii="Calibri" w:hAnsi="Calibri" w:cs="Arial"/>
                <w:b/>
              </w:rPr>
            </w:pPr>
            <w:r w:rsidRPr="00DE2BFE">
              <w:rPr>
                <w:rFonts w:ascii="Calibri" w:hAnsi="Calibri" w:cs="Arial"/>
                <w:b/>
              </w:rPr>
              <w:t>Total finance income recognised in the Income Statement</w:t>
            </w:r>
          </w:p>
        </w:tc>
        <w:tc>
          <w:tcPr>
            <w:tcW w:w="992" w:type="dxa"/>
            <w:tcBorders>
              <w:top w:val="single" w:sz="2" w:space="0" w:color="auto"/>
              <w:bottom w:val="single" w:sz="8" w:space="0" w:color="auto"/>
            </w:tcBorders>
            <w:vAlign w:val="bottom"/>
          </w:tcPr>
          <w:p w14:paraId="2B9516CC" w14:textId="77777777" w:rsidR="00773F7B" w:rsidRPr="00FE3B9D" w:rsidRDefault="00773F7B" w:rsidP="00773F7B">
            <w:pPr>
              <w:pStyle w:val="T2"/>
              <w:jc w:val="right"/>
              <w:rPr>
                <w:rFonts w:ascii="Calibri" w:hAnsi="Calibri" w:cs="Arial"/>
                <w:b/>
                <w:bCs/>
              </w:rPr>
            </w:pPr>
            <w:r>
              <w:rPr>
                <w:rFonts w:ascii="Calibri" w:hAnsi="Calibri" w:cs="Arial"/>
                <w:b/>
                <w:bCs/>
              </w:rPr>
              <w:t>0.1</w:t>
            </w:r>
          </w:p>
        </w:tc>
        <w:tc>
          <w:tcPr>
            <w:tcW w:w="992" w:type="dxa"/>
            <w:tcBorders>
              <w:top w:val="single" w:sz="2" w:space="0" w:color="auto"/>
              <w:bottom w:val="single" w:sz="8" w:space="0" w:color="auto"/>
            </w:tcBorders>
            <w:vAlign w:val="bottom"/>
          </w:tcPr>
          <w:p w14:paraId="11985EDD" w14:textId="77777777" w:rsidR="00773F7B" w:rsidRPr="00B074E8" w:rsidRDefault="00773F7B" w:rsidP="00773F7B">
            <w:pPr>
              <w:pStyle w:val="T2"/>
              <w:jc w:val="right"/>
              <w:rPr>
                <w:rFonts w:ascii="Calibri" w:hAnsi="Calibri" w:cs="Arial"/>
              </w:rPr>
            </w:pPr>
            <w:r w:rsidRPr="005D0EFF">
              <w:rPr>
                <w:rFonts w:ascii="Calibri" w:hAnsi="Calibri" w:cs="Arial"/>
              </w:rPr>
              <w:t>0.7</w:t>
            </w:r>
          </w:p>
        </w:tc>
      </w:tr>
      <w:tr w:rsidR="00773F7B" w14:paraId="704FD0D0" w14:textId="77777777" w:rsidTr="005B3BEE">
        <w:tc>
          <w:tcPr>
            <w:tcW w:w="7795" w:type="dxa"/>
            <w:tcBorders>
              <w:top w:val="single" w:sz="8" w:space="0" w:color="auto"/>
            </w:tcBorders>
            <w:vAlign w:val="bottom"/>
          </w:tcPr>
          <w:p w14:paraId="374FEBD9" w14:textId="77777777" w:rsidR="00773F7B" w:rsidRPr="006D1798" w:rsidRDefault="00773F7B" w:rsidP="00773F7B">
            <w:pPr>
              <w:pStyle w:val="T2"/>
              <w:jc w:val="left"/>
              <w:rPr>
                <w:rFonts w:ascii="Calibri" w:hAnsi="Calibri" w:cs="Arial"/>
                <w:b/>
                <w:bCs/>
              </w:rPr>
            </w:pPr>
          </w:p>
        </w:tc>
        <w:tc>
          <w:tcPr>
            <w:tcW w:w="992" w:type="dxa"/>
            <w:tcBorders>
              <w:top w:val="single" w:sz="8" w:space="0" w:color="auto"/>
            </w:tcBorders>
            <w:vAlign w:val="bottom"/>
          </w:tcPr>
          <w:p w14:paraId="1017C757" w14:textId="77777777" w:rsidR="00773F7B" w:rsidRPr="00FE3B9D" w:rsidRDefault="00773F7B" w:rsidP="00773F7B">
            <w:pPr>
              <w:pStyle w:val="T2"/>
              <w:jc w:val="right"/>
              <w:rPr>
                <w:rFonts w:ascii="Calibri" w:hAnsi="Calibri" w:cs="Arial"/>
                <w:b/>
              </w:rPr>
            </w:pPr>
          </w:p>
        </w:tc>
        <w:tc>
          <w:tcPr>
            <w:tcW w:w="992" w:type="dxa"/>
            <w:tcBorders>
              <w:top w:val="single" w:sz="8" w:space="0" w:color="auto"/>
            </w:tcBorders>
            <w:vAlign w:val="bottom"/>
          </w:tcPr>
          <w:p w14:paraId="7B471078" w14:textId="77777777" w:rsidR="00773F7B" w:rsidRPr="006D1798" w:rsidRDefault="00773F7B" w:rsidP="00773F7B">
            <w:pPr>
              <w:pStyle w:val="T2"/>
              <w:jc w:val="right"/>
            </w:pPr>
          </w:p>
        </w:tc>
      </w:tr>
      <w:tr w:rsidR="00773F7B" w14:paraId="1CF02C44" w14:textId="77777777" w:rsidTr="005B3BEE">
        <w:tc>
          <w:tcPr>
            <w:tcW w:w="7795" w:type="dxa"/>
            <w:vAlign w:val="bottom"/>
          </w:tcPr>
          <w:p w14:paraId="410ABA44" w14:textId="77777777" w:rsidR="00773F7B" w:rsidRPr="006D1798" w:rsidRDefault="00773F7B" w:rsidP="00773F7B">
            <w:pPr>
              <w:pStyle w:val="T2"/>
              <w:jc w:val="left"/>
              <w:rPr>
                <w:rFonts w:ascii="Calibri" w:hAnsi="Calibri" w:cs="Arial"/>
                <w:b/>
                <w:bCs/>
              </w:rPr>
            </w:pPr>
            <w:r w:rsidRPr="006D1798">
              <w:rPr>
                <w:rFonts w:ascii="Calibri" w:hAnsi="Calibri" w:cs="Arial"/>
                <w:b/>
                <w:bCs/>
              </w:rPr>
              <w:t>Finance costs</w:t>
            </w:r>
          </w:p>
        </w:tc>
        <w:tc>
          <w:tcPr>
            <w:tcW w:w="992" w:type="dxa"/>
            <w:vAlign w:val="bottom"/>
          </w:tcPr>
          <w:p w14:paraId="5398A289" w14:textId="77777777" w:rsidR="00773F7B" w:rsidRPr="00FE3B9D" w:rsidRDefault="00773F7B" w:rsidP="00773F7B">
            <w:pPr>
              <w:pStyle w:val="T2"/>
              <w:jc w:val="right"/>
              <w:rPr>
                <w:b/>
              </w:rPr>
            </w:pPr>
          </w:p>
        </w:tc>
        <w:tc>
          <w:tcPr>
            <w:tcW w:w="992" w:type="dxa"/>
            <w:vAlign w:val="bottom"/>
          </w:tcPr>
          <w:p w14:paraId="21A047D3" w14:textId="77777777" w:rsidR="00773F7B" w:rsidRPr="006D1798" w:rsidRDefault="00773F7B" w:rsidP="00773F7B">
            <w:pPr>
              <w:pStyle w:val="T2"/>
              <w:jc w:val="right"/>
            </w:pPr>
          </w:p>
        </w:tc>
      </w:tr>
      <w:tr w:rsidR="00773F7B" w14:paraId="639E4E2D" w14:textId="77777777" w:rsidTr="005B3BEE">
        <w:tc>
          <w:tcPr>
            <w:tcW w:w="7795" w:type="dxa"/>
            <w:vAlign w:val="bottom"/>
          </w:tcPr>
          <w:p w14:paraId="44DEF289" w14:textId="77777777" w:rsidR="00773F7B" w:rsidRPr="006D1798" w:rsidRDefault="00773F7B" w:rsidP="00773F7B">
            <w:pPr>
              <w:pStyle w:val="T2"/>
              <w:jc w:val="left"/>
              <w:rPr>
                <w:rFonts w:ascii="Calibri" w:hAnsi="Calibri" w:cs="Arial"/>
              </w:rPr>
            </w:pPr>
            <w:r w:rsidRPr="006D1798">
              <w:rPr>
                <w:rFonts w:ascii="Calibri" w:hAnsi="Calibri" w:cs="Arial"/>
              </w:rPr>
              <w:t>Net finance costs on interest bearing cash and cash equivalents, borrowings and other financing costs</w:t>
            </w:r>
          </w:p>
        </w:tc>
        <w:tc>
          <w:tcPr>
            <w:tcW w:w="992" w:type="dxa"/>
            <w:vAlign w:val="bottom"/>
          </w:tcPr>
          <w:p w14:paraId="380B56B3" w14:textId="77777777" w:rsidR="00773F7B" w:rsidRPr="00197130" w:rsidRDefault="00773F7B" w:rsidP="00773F7B">
            <w:pPr>
              <w:pStyle w:val="T2"/>
              <w:jc w:val="right"/>
              <w:rPr>
                <w:rFonts w:ascii="Calibri" w:hAnsi="Calibri" w:cs="Arial"/>
                <w:b/>
              </w:rPr>
            </w:pPr>
            <w:r w:rsidRPr="00197130">
              <w:rPr>
                <w:rFonts w:ascii="Calibri" w:hAnsi="Calibri" w:cs="Arial"/>
                <w:b/>
              </w:rPr>
              <w:t>(7.3)</w:t>
            </w:r>
          </w:p>
        </w:tc>
        <w:tc>
          <w:tcPr>
            <w:tcW w:w="992" w:type="dxa"/>
            <w:vAlign w:val="bottom"/>
          </w:tcPr>
          <w:p w14:paraId="2609DE35" w14:textId="77777777" w:rsidR="00773F7B" w:rsidRPr="006D1798" w:rsidRDefault="00773F7B" w:rsidP="00773F7B">
            <w:pPr>
              <w:pStyle w:val="T2"/>
              <w:jc w:val="right"/>
              <w:rPr>
                <w:rFonts w:ascii="Calibri" w:hAnsi="Calibri" w:cs="Arial"/>
              </w:rPr>
            </w:pPr>
            <w:r w:rsidRPr="0096767F">
              <w:rPr>
                <w:rFonts w:ascii="Calibri" w:hAnsi="Calibri" w:cs="Arial"/>
              </w:rPr>
              <w:t>(8.4)</w:t>
            </w:r>
          </w:p>
        </w:tc>
      </w:tr>
      <w:tr w:rsidR="00773F7B" w14:paraId="12674158" w14:textId="77777777" w:rsidTr="005B3BEE">
        <w:tc>
          <w:tcPr>
            <w:tcW w:w="7795" w:type="dxa"/>
            <w:vAlign w:val="bottom"/>
          </w:tcPr>
          <w:p w14:paraId="4B29F3A8" w14:textId="77777777" w:rsidR="00773F7B" w:rsidRPr="006D1798" w:rsidRDefault="00773F7B" w:rsidP="00773F7B">
            <w:pPr>
              <w:pStyle w:val="T2"/>
              <w:jc w:val="left"/>
              <w:rPr>
                <w:rFonts w:ascii="Calibri" w:hAnsi="Calibri" w:cs="Arial"/>
              </w:rPr>
            </w:pPr>
            <w:r w:rsidRPr="006D1798">
              <w:rPr>
                <w:rFonts w:ascii="Calibri" w:hAnsi="Calibri" w:cs="Arial"/>
              </w:rPr>
              <w:t>Net pension financing charge</w:t>
            </w:r>
          </w:p>
        </w:tc>
        <w:tc>
          <w:tcPr>
            <w:tcW w:w="992" w:type="dxa"/>
            <w:vAlign w:val="bottom"/>
          </w:tcPr>
          <w:p w14:paraId="23754FAC" w14:textId="77777777" w:rsidR="00773F7B" w:rsidRPr="00197130" w:rsidRDefault="00773F7B" w:rsidP="00773F7B">
            <w:pPr>
              <w:pStyle w:val="T2"/>
              <w:jc w:val="right"/>
              <w:rPr>
                <w:rFonts w:ascii="Calibri" w:hAnsi="Calibri" w:cs="Arial"/>
                <w:b/>
              </w:rPr>
            </w:pPr>
            <w:r w:rsidRPr="00197130">
              <w:rPr>
                <w:rFonts w:ascii="Calibri" w:hAnsi="Calibri" w:cs="Arial"/>
                <w:b/>
              </w:rPr>
              <w:t>(1.0)</w:t>
            </w:r>
          </w:p>
        </w:tc>
        <w:tc>
          <w:tcPr>
            <w:tcW w:w="992" w:type="dxa"/>
            <w:vAlign w:val="bottom"/>
          </w:tcPr>
          <w:p w14:paraId="667E3294" w14:textId="77777777" w:rsidR="00773F7B" w:rsidRPr="006D1798" w:rsidRDefault="00773F7B" w:rsidP="00773F7B">
            <w:pPr>
              <w:pStyle w:val="T2"/>
              <w:jc w:val="right"/>
              <w:rPr>
                <w:rFonts w:ascii="Calibri" w:hAnsi="Calibri" w:cs="Arial"/>
              </w:rPr>
            </w:pPr>
            <w:r w:rsidRPr="0096767F">
              <w:rPr>
                <w:rFonts w:ascii="Calibri" w:hAnsi="Calibri" w:cs="Arial"/>
              </w:rPr>
              <w:t>(1.3)</w:t>
            </w:r>
          </w:p>
        </w:tc>
      </w:tr>
      <w:tr w:rsidR="00773F7B" w14:paraId="2459D6E2" w14:textId="77777777" w:rsidTr="005B3BEE">
        <w:tc>
          <w:tcPr>
            <w:tcW w:w="7795" w:type="dxa"/>
            <w:vAlign w:val="bottom"/>
          </w:tcPr>
          <w:p w14:paraId="1E427DD3" w14:textId="77777777" w:rsidR="00773F7B" w:rsidRPr="006D1798" w:rsidRDefault="00773F7B" w:rsidP="00773F7B">
            <w:pPr>
              <w:pStyle w:val="T2"/>
              <w:jc w:val="left"/>
              <w:rPr>
                <w:rFonts w:ascii="Calibri" w:hAnsi="Calibri" w:cs="Arial"/>
              </w:rPr>
            </w:pPr>
            <w:r w:rsidRPr="006D1798">
              <w:rPr>
                <w:rFonts w:ascii="Calibri" w:hAnsi="Calibri" w:cs="Arial"/>
              </w:rPr>
              <w:t>Change in fair value of derivatives and related debt adjustments</w:t>
            </w:r>
          </w:p>
        </w:tc>
        <w:tc>
          <w:tcPr>
            <w:tcW w:w="992" w:type="dxa"/>
            <w:vAlign w:val="bottom"/>
          </w:tcPr>
          <w:p w14:paraId="77E1CB9C" w14:textId="77777777" w:rsidR="00773F7B" w:rsidRPr="00197130" w:rsidRDefault="00773F7B" w:rsidP="00773F7B">
            <w:pPr>
              <w:pStyle w:val="T2"/>
              <w:jc w:val="right"/>
              <w:rPr>
                <w:rFonts w:ascii="Calibri" w:hAnsi="Calibri" w:cs="Arial"/>
                <w:b/>
              </w:rPr>
            </w:pPr>
            <w:r>
              <w:rPr>
                <w:rFonts w:ascii="Calibri" w:hAnsi="Calibri" w:cs="Arial"/>
                <w:b/>
              </w:rPr>
              <w:t>0.4</w:t>
            </w:r>
          </w:p>
        </w:tc>
        <w:tc>
          <w:tcPr>
            <w:tcW w:w="992" w:type="dxa"/>
            <w:vAlign w:val="bottom"/>
          </w:tcPr>
          <w:p w14:paraId="2C4D1636" w14:textId="77777777" w:rsidR="00773F7B" w:rsidRPr="006D1798" w:rsidRDefault="00773F7B" w:rsidP="00773F7B">
            <w:pPr>
              <w:pStyle w:val="T2"/>
              <w:jc w:val="right"/>
              <w:rPr>
                <w:rFonts w:ascii="Calibri" w:hAnsi="Calibri" w:cs="Arial"/>
              </w:rPr>
            </w:pPr>
            <w:r w:rsidRPr="0096767F">
              <w:rPr>
                <w:rFonts w:ascii="Calibri" w:hAnsi="Calibri" w:cs="Arial"/>
              </w:rPr>
              <w:t>(0.6)</w:t>
            </w:r>
          </w:p>
        </w:tc>
      </w:tr>
      <w:tr w:rsidR="00773F7B" w14:paraId="2024EF30" w14:textId="77777777" w:rsidTr="005B3BEE">
        <w:tc>
          <w:tcPr>
            <w:tcW w:w="7795" w:type="dxa"/>
            <w:vAlign w:val="bottom"/>
          </w:tcPr>
          <w:p w14:paraId="25955799" w14:textId="77777777" w:rsidR="00773F7B" w:rsidRPr="006D1798" w:rsidRDefault="00773F7B" w:rsidP="00773F7B">
            <w:pPr>
              <w:pStyle w:val="T2"/>
              <w:jc w:val="left"/>
              <w:rPr>
                <w:rFonts w:ascii="Calibri" w:hAnsi="Calibri" w:cs="Arial"/>
              </w:rPr>
            </w:pPr>
            <w:r w:rsidRPr="006D1798">
              <w:rPr>
                <w:rFonts w:ascii="Calibri" w:hAnsi="Calibri" w:cs="Arial"/>
              </w:rPr>
              <w:t>Foreign exchange on inter</w:t>
            </w:r>
            <w:r>
              <w:rPr>
                <w:rFonts w:ascii="Calibri" w:hAnsi="Calibri" w:cs="Arial"/>
              </w:rPr>
              <w:t>–</w:t>
            </w:r>
            <w:r w:rsidRPr="006D1798">
              <w:rPr>
                <w:rFonts w:ascii="Calibri" w:hAnsi="Calibri" w:cs="Arial"/>
              </w:rPr>
              <w:t>company and external balances where hedge accounting is not applied</w:t>
            </w:r>
          </w:p>
        </w:tc>
        <w:tc>
          <w:tcPr>
            <w:tcW w:w="992" w:type="dxa"/>
            <w:vAlign w:val="bottom"/>
          </w:tcPr>
          <w:p w14:paraId="6D4E4499" w14:textId="77777777" w:rsidR="00773F7B" w:rsidRPr="00197130" w:rsidRDefault="00773F7B" w:rsidP="00773F7B">
            <w:pPr>
              <w:pStyle w:val="T2"/>
              <w:jc w:val="right"/>
              <w:rPr>
                <w:rFonts w:ascii="Calibri" w:hAnsi="Calibri" w:cs="Arial"/>
                <w:b/>
              </w:rPr>
            </w:pPr>
            <w:r>
              <w:rPr>
                <w:rFonts w:ascii="Calibri" w:hAnsi="Calibri" w:cs="Arial"/>
                <w:b/>
              </w:rPr>
              <w:t>(0.4)</w:t>
            </w:r>
          </w:p>
        </w:tc>
        <w:tc>
          <w:tcPr>
            <w:tcW w:w="992" w:type="dxa"/>
            <w:vAlign w:val="bottom"/>
          </w:tcPr>
          <w:p w14:paraId="6EAA8E60" w14:textId="77777777" w:rsidR="00773F7B" w:rsidRPr="006D1798" w:rsidRDefault="00773F7B" w:rsidP="00773F7B">
            <w:pPr>
              <w:pStyle w:val="T2"/>
              <w:jc w:val="right"/>
              <w:rPr>
                <w:rFonts w:ascii="Calibri" w:hAnsi="Calibri" w:cs="Arial"/>
              </w:rPr>
            </w:pPr>
            <w:r w:rsidRPr="0096767F">
              <w:rPr>
                <w:rFonts w:ascii="Calibri" w:hAnsi="Calibri" w:cs="Arial"/>
              </w:rPr>
              <w:t>(1.2)</w:t>
            </w:r>
          </w:p>
        </w:tc>
      </w:tr>
      <w:tr w:rsidR="00773F7B" w14:paraId="6397F785" w14:textId="77777777" w:rsidTr="005B3BEE">
        <w:tc>
          <w:tcPr>
            <w:tcW w:w="7795" w:type="dxa"/>
            <w:vAlign w:val="bottom"/>
          </w:tcPr>
          <w:p w14:paraId="43F8D715" w14:textId="77777777" w:rsidR="00773F7B" w:rsidRDefault="00773F7B" w:rsidP="00773F7B">
            <w:pPr>
              <w:pStyle w:val="T2"/>
              <w:jc w:val="left"/>
              <w:rPr>
                <w:rFonts w:ascii="Calibri" w:hAnsi="Calibri" w:cs="Arial"/>
              </w:rPr>
            </w:pPr>
            <w:r>
              <w:rPr>
                <w:rFonts w:ascii="Calibri" w:hAnsi="Calibri" w:cs="Arial"/>
              </w:rPr>
              <w:t>Interest on lease obligations</w:t>
            </w:r>
          </w:p>
        </w:tc>
        <w:tc>
          <w:tcPr>
            <w:tcW w:w="992" w:type="dxa"/>
            <w:vAlign w:val="bottom"/>
          </w:tcPr>
          <w:p w14:paraId="3C6027E1" w14:textId="77777777" w:rsidR="00773F7B" w:rsidRPr="00197130" w:rsidRDefault="00773F7B" w:rsidP="00773F7B">
            <w:pPr>
              <w:pStyle w:val="T2"/>
              <w:jc w:val="right"/>
              <w:rPr>
                <w:rFonts w:ascii="Calibri" w:hAnsi="Calibri" w:cs="Arial"/>
                <w:b/>
              </w:rPr>
            </w:pPr>
            <w:r w:rsidRPr="00197130">
              <w:rPr>
                <w:rFonts w:ascii="Calibri" w:hAnsi="Calibri" w:cs="Arial"/>
                <w:b/>
              </w:rPr>
              <w:t>(0.5)</w:t>
            </w:r>
          </w:p>
        </w:tc>
        <w:tc>
          <w:tcPr>
            <w:tcW w:w="992" w:type="dxa"/>
            <w:vAlign w:val="bottom"/>
          </w:tcPr>
          <w:p w14:paraId="4FE6C81E" w14:textId="77777777" w:rsidR="00773F7B" w:rsidRDefault="00773F7B" w:rsidP="00773F7B">
            <w:pPr>
              <w:pStyle w:val="T2"/>
              <w:jc w:val="right"/>
              <w:rPr>
                <w:rFonts w:ascii="Calibri" w:hAnsi="Calibri" w:cs="Arial"/>
              </w:rPr>
            </w:pPr>
            <w:r>
              <w:rPr>
                <w:rFonts w:ascii="Calibri" w:hAnsi="Calibri" w:cs="Arial"/>
              </w:rPr>
              <w:t>–</w:t>
            </w:r>
          </w:p>
        </w:tc>
      </w:tr>
      <w:tr w:rsidR="00773F7B" w14:paraId="1691799E" w14:textId="77777777" w:rsidTr="005B3BEE">
        <w:tc>
          <w:tcPr>
            <w:tcW w:w="7795" w:type="dxa"/>
            <w:tcBorders>
              <w:top w:val="single" w:sz="2" w:space="0" w:color="auto"/>
              <w:bottom w:val="single" w:sz="4" w:space="0" w:color="auto"/>
            </w:tcBorders>
            <w:vAlign w:val="bottom"/>
          </w:tcPr>
          <w:p w14:paraId="57FF943D" w14:textId="77777777" w:rsidR="00773F7B" w:rsidRPr="004921F9" w:rsidRDefault="00773F7B" w:rsidP="00773F7B">
            <w:pPr>
              <w:pStyle w:val="T2"/>
              <w:jc w:val="left"/>
              <w:rPr>
                <w:rFonts w:ascii="Calibri" w:hAnsi="Calibri" w:cs="Arial"/>
                <w:b/>
              </w:rPr>
            </w:pPr>
            <w:r w:rsidRPr="004921F9">
              <w:rPr>
                <w:rFonts w:ascii="Calibri" w:hAnsi="Calibri" w:cs="Arial"/>
                <w:b/>
              </w:rPr>
              <w:t>Total finance expense recognised in the Income Statement</w:t>
            </w:r>
          </w:p>
        </w:tc>
        <w:tc>
          <w:tcPr>
            <w:tcW w:w="992" w:type="dxa"/>
            <w:tcBorders>
              <w:top w:val="single" w:sz="2" w:space="0" w:color="auto"/>
              <w:bottom w:val="single" w:sz="4" w:space="0" w:color="auto"/>
            </w:tcBorders>
            <w:vAlign w:val="bottom"/>
          </w:tcPr>
          <w:p w14:paraId="02E6C9B9" w14:textId="77777777" w:rsidR="00773F7B" w:rsidRPr="004921F9" w:rsidRDefault="00773F7B" w:rsidP="00773F7B">
            <w:pPr>
              <w:pStyle w:val="T2"/>
              <w:jc w:val="right"/>
              <w:rPr>
                <w:rFonts w:ascii="Calibri" w:hAnsi="Calibri" w:cs="Arial"/>
                <w:b/>
              </w:rPr>
            </w:pPr>
            <w:r w:rsidRPr="004921F9">
              <w:rPr>
                <w:rFonts w:ascii="Calibri" w:hAnsi="Calibri" w:cs="Arial"/>
                <w:b/>
              </w:rPr>
              <w:t>(8.8)</w:t>
            </w:r>
          </w:p>
        </w:tc>
        <w:tc>
          <w:tcPr>
            <w:tcW w:w="992" w:type="dxa"/>
            <w:tcBorders>
              <w:top w:val="single" w:sz="2" w:space="0" w:color="auto"/>
              <w:bottom w:val="single" w:sz="4" w:space="0" w:color="auto"/>
            </w:tcBorders>
            <w:vAlign w:val="bottom"/>
          </w:tcPr>
          <w:p w14:paraId="6AD55E59" w14:textId="77777777" w:rsidR="00773F7B" w:rsidRPr="004921F9" w:rsidRDefault="00773F7B" w:rsidP="00773F7B">
            <w:pPr>
              <w:pStyle w:val="T2"/>
              <w:jc w:val="right"/>
              <w:rPr>
                <w:rFonts w:ascii="Calibri" w:hAnsi="Calibri" w:cs="Arial"/>
              </w:rPr>
            </w:pPr>
            <w:r w:rsidRPr="004921F9">
              <w:rPr>
                <w:rFonts w:ascii="Calibri" w:hAnsi="Calibri" w:cs="Arial"/>
              </w:rPr>
              <w:t>(11.5)</w:t>
            </w:r>
          </w:p>
        </w:tc>
      </w:tr>
      <w:tr w:rsidR="00773F7B" w14:paraId="3925C89C" w14:textId="77777777" w:rsidTr="005B3BEE">
        <w:tc>
          <w:tcPr>
            <w:tcW w:w="7795" w:type="dxa"/>
            <w:tcBorders>
              <w:top w:val="single" w:sz="4" w:space="0" w:color="auto"/>
            </w:tcBorders>
            <w:vAlign w:val="bottom"/>
          </w:tcPr>
          <w:p w14:paraId="65F36190" w14:textId="77777777" w:rsidR="00773F7B" w:rsidRPr="006D1798" w:rsidRDefault="00773F7B" w:rsidP="00773F7B">
            <w:pPr>
              <w:pStyle w:val="T2"/>
              <w:jc w:val="left"/>
              <w:rPr>
                <w:rFonts w:ascii="Calibri" w:hAnsi="Calibri" w:cs="Arial"/>
                <w:b/>
                <w:bCs/>
              </w:rPr>
            </w:pPr>
          </w:p>
        </w:tc>
        <w:tc>
          <w:tcPr>
            <w:tcW w:w="992" w:type="dxa"/>
            <w:tcBorders>
              <w:top w:val="single" w:sz="4" w:space="0" w:color="auto"/>
            </w:tcBorders>
            <w:vAlign w:val="bottom"/>
          </w:tcPr>
          <w:p w14:paraId="44F2AFDF" w14:textId="77777777" w:rsidR="00773F7B" w:rsidRPr="005D0EFF" w:rsidRDefault="00773F7B" w:rsidP="00773F7B">
            <w:pPr>
              <w:pStyle w:val="T2"/>
              <w:jc w:val="right"/>
              <w:rPr>
                <w:rFonts w:ascii="Calibri" w:hAnsi="Calibri" w:cs="Arial"/>
              </w:rPr>
            </w:pPr>
          </w:p>
        </w:tc>
        <w:tc>
          <w:tcPr>
            <w:tcW w:w="992" w:type="dxa"/>
            <w:tcBorders>
              <w:top w:val="single" w:sz="4" w:space="0" w:color="auto"/>
            </w:tcBorders>
            <w:vAlign w:val="bottom"/>
          </w:tcPr>
          <w:p w14:paraId="2D51E0B2" w14:textId="77777777" w:rsidR="00773F7B" w:rsidRPr="006D1798" w:rsidRDefault="00773F7B" w:rsidP="00773F7B">
            <w:pPr>
              <w:pStyle w:val="T2"/>
              <w:jc w:val="right"/>
              <w:rPr>
                <w:rFonts w:ascii="Calibri" w:hAnsi="Calibri" w:cs="Arial"/>
              </w:rPr>
            </w:pPr>
          </w:p>
        </w:tc>
      </w:tr>
      <w:tr w:rsidR="00773F7B" w14:paraId="5BF97886" w14:textId="77777777" w:rsidTr="005B3BEE">
        <w:tc>
          <w:tcPr>
            <w:tcW w:w="7795" w:type="dxa"/>
            <w:vAlign w:val="bottom"/>
          </w:tcPr>
          <w:p w14:paraId="798DC822" w14:textId="77777777" w:rsidR="00773F7B" w:rsidRPr="006D1798" w:rsidRDefault="00773F7B" w:rsidP="00773F7B">
            <w:pPr>
              <w:pStyle w:val="T2"/>
              <w:jc w:val="left"/>
              <w:rPr>
                <w:rFonts w:ascii="Calibri" w:hAnsi="Calibri" w:cs="Arial"/>
                <w:b/>
                <w:bCs/>
              </w:rPr>
            </w:pPr>
            <w:r w:rsidRPr="006D1798">
              <w:rPr>
                <w:rFonts w:ascii="Calibri" w:hAnsi="Calibri" w:cs="Arial"/>
                <w:b/>
                <w:bCs/>
              </w:rPr>
              <w:t>Exceptional costs</w:t>
            </w:r>
          </w:p>
        </w:tc>
        <w:tc>
          <w:tcPr>
            <w:tcW w:w="992" w:type="dxa"/>
            <w:vAlign w:val="bottom"/>
          </w:tcPr>
          <w:p w14:paraId="4F43BAC9" w14:textId="77777777" w:rsidR="00773F7B" w:rsidRPr="005D0EFF" w:rsidRDefault="00773F7B" w:rsidP="00773F7B">
            <w:pPr>
              <w:pStyle w:val="T2"/>
              <w:jc w:val="right"/>
              <w:rPr>
                <w:rFonts w:ascii="Calibri" w:hAnsi="Calibri" w:cs="Arial"/>
              </w:rPr>
            </w:pPr>
          </w:p>
        </w:tc>
        <w:tc>
          <w:tcPr>
            <w:tcW w:w="992" w:type="dxa"/>
            <w:vAlign w:val="bottom"/>
          </w:tcPr>
          <w:p w14:paraId="7461835D" w14:textId="77777777" w:rsidR="00773F7B" w:rsidRPr="006D1798" w:rsidRDefault="00773F7B" w:rsidP="00773F7B">
            <w:pPr>
              <w:pStyle w:val="T2"/>
              <w:jc w:val="right"/>
            </w:pPr>
          </w:p>
        </w:tc>
      </w:tr>
      <w:tr w:rsidR="00773F7B" w14:paraId="39D19070" w14:textId="77777777" w:rsidTr="005B3BEE">
        <w:tc>
          <w:tcPr>
            <w:tcW w:w="7795" w:type="dxa"/>
            <w:tcBorders>
              <w:bottom w:val="single" w:sz="2" w:space="0" w:color="auto"/>
            </w:tcBorders>
            <w:vAlign w:val="bottom"/>
          </w:tcPr>
          <w:p w14:paraId="0C91A2B2" w14:textId="730E4F04" w:rsidR="00773F7B" w:rsidRPr="006D1798" w:rsidRDefault="00773F7B" w:rsidP="00773F7B">
            <w:pPr>
              <w:pStyle w:val="T2"/>
              <w:jc w:val="left"/>
              <w:rPr>
                <w:rFonts w:ascii="Calibri" w:hAnsi="Calibri" w:cs="Arial"/>
              </w:rPr>
            </w:pPr>
            <w:r w:rsidRPr="006D1798">
              <w:rPr>
                <w:rFonts w:ascii="Calibri" w:hAnsi="Calibri" w:cs="Arial"/>
              </w:rPr>
              <w:t>Debt restructuring post disposal</w:t>
            </w:r>
            <w:r>
              <w:rPr>
                <w:rFonts w:ascii="Calibri" w:hAnsi="Calibri" w:cs="Arial"/>
              </w:rPr>
              <w:t xml:space="preserve"> of Greencore’s US business</w:t>
            </w:r>
            <w:r w:rsidRPr="006D1798">
              <w:rPr>
                <w:rFonts w:ascii="Calibri" w:hAnsi="Calibri" w:cs="Arial"/>
              </w:rPr>
              <w:t xml:space="preserve"> (note 5)</w:t>
            </w:r>
          </w:p>
        </w:tc>
        <w:tc>
          <w:tcPr>
            <w:tcW w:w="992" w:type="dxa"/>
            <w:tcBorders>
              <w:bottom w:val="single" w:sz="2" w:space="0" w:color="auto"/>
            </w:tcBorders>
            <w:vAlign w:val="bottom"/>
          </w:tcPr>
          <w:p w14:paraId="4A1B3D5D" w14:textId="77777777" w:rsidR="00773F7B" w:rsidRPr="005D0EFF" w:rsidRDefault="00773F7B" w:rsidP="00773F7B">
            <w:pPr>
              <w:pStyle w:val="T2"/>
              <w:jc w:val="right"/>
              <w:rPr>
                <w:rFonts w:ascii="Calibri" w:hAnsi="Calibri" w:cs="Arial"/>
              </w:rPr>
            </w:pPr>
            <w:r>
              <w:rPr>
                <w:rFonts w:ascii="Calibri" w:hAnsi="Calibri" w:cs="Arial"/>
              </w:rPr>
              <w:t>–</w:t>
            </w:r>
          </w:p>
        </w:tc>
        <w:tc>
          <w:tcPr>
            <w:tcW w:w="992" w:type="dxa"/>
            <w:tcBorders>
              <w:bottom w:val="single" w:sz="2" w:space="0" w:color="auto"/>
            </w:tcBorders>
            <w:vAlign w:val="bottom"/>
          </w:tcPr>
          <w:p w14:paraId="120DE331" w14:textId="77777777" w:rsidR="00773F7B" w:rsidRPr="006D1798" w:rsidRDefault="00773F7B" w:rsidP="00773F7B">
            <w:pPr>
              <w:pStyle w:val="T2"/>
              <w:jc w:val="right"/>
              <w:rPr>
                <w:rFonts w:ascii="Calibri" w:hAnsi="Calibri" w:cs="Arial"/>
              </w:rPr>
            </w:pPr>
            <w:r w:rsidRPr="0096767F">
              <w:rPr>
                <w:rFonts w:ascii="Calibri" w:hAnsi="Calibri" w:cs="Arial"/>
              </w:rPr>
              <w:t>(25.4)</w:t>
            </w:r>
          </w:p>
        </w:tc>
      </w:tr>
      <w:tr w:rsidR="00773F7B" w14:paraId="18E93C68" w14:textId="77777777" w:rsidTr="005B3BEE">
        <w:tc>
          <w:tcPr>
            <w:tcW w:w="7795" w:type="dxa"/>
            <w:tcBorders>
              <w:top w:val="single" w:sz="2" w:space="0" w:color="auto"/>
              <w:bottom w:val="single" w:sz="2" w:space="0" w:color="auto"/>
            </w:tcBorders>
            <w:vAlign w:val="bottom"/>
          </w:tcPr>
          <w:p w14:paraId="379EF706" w14:textId="77777777" w:rsidR="00773F7B" w:rsidRPr="006D1798" w:rsidRDefault="00773F7B" w:rsidP="00773F7B">
            <w:pPr>
              <w:pStyle w:val="T2"/>
              <w:jc w:val="left"/>
              <w:rPr>
                <w:rFonts w:ascii="Calibri" w:hAnsi="Calibri" w:cs="Arial"/>
              </w:rPr>
            </w:pPr>
            <w:r w:rsidRPr="006D1798">
              <w:rPr>
                <w:rFonts w:ascii="Calibri" w:hAnsi="Calibri" w:cs="Arial"/>
              </w:rPr>
              <w:t xml:space="preserve">Total exceptional finance expense </w:t>
            </w:r>
            <w:r>
              <w:rPr>
                <w:rFonts w:ascii="Calibri" w:hAnsi="Calibri" w:cs="Arial"/>
              </w:rPr>
              <w:t xml:space="preserve">recognised </w:t>
            </w:r>
            <w:r w:rsidRPr="006D1798">
              <w:rPr>
                <w:rFonts w:ascii="Calibri" w:hAnsi="Calibri" w:cs="Arial"/>
              </w:rPr>
              <w:t>in the Income Statement</w:t>
            </w:r>
          </w:p>
        </w:tc>
        <w:tc>
          <w:tcPr>
            <w:tcW w:w="992" w:type="dxa"/>
            <w:tcBorders>
              <w:top w:val="single" w:sz="2" w:space="0" w:color="auto"/>
              <w:bottom w:val="single" w:sz="2" w:space="0" w:color="auto"/>
            </w:tcBorders>
            <w:vAlign w:val="bottom"/>
          </w:tcPr>
          <w:p w14:paraId="68776EF4" w14:textId="77777777" w:rsidR="00773F7B" w:rsidRPr="005D0EFF" w:rsidRDefault="00773F7B" w:rsidP="00773F7B">
            <w:pPr>
              <w:pStyle w:val="T2"/>
              <w:jc w:val="right"/>
              <w:rPr>
                <w:rFonts w:ascii="Calibri" w:hAnsi="Calibri" w:cs="Arial"/>
              </w:rPr>
            </w:pPr>
            <w:r>
              <w:rPr>
                <w:rFonts w:ascii="Calibri" w:hAnsi="Calibri" w:cs="Arial"/>
              </w:rPr>
              <w:t>–</w:t>
            </w:r>
          </w:p>
        </w:tc>
        <w:tc>
          <w:tcPr>
            <w:tcW w:w="992" w:type="dxa"/>
            <w:tcBorders>
              <w:top w:val="single" w:sz="2" w:space="0" w:color="auto"/>
              <w:bottom w:val="single" w:sz="2" w:space="0" w:color="auto"/>
            </w:tcBorders>
            <w:vAlign w:val="bottom"/>
          </w:tcPr>
          <w:p w14:paraId="48E8754F" w14:textId="77777777" w:rsidR="00773F7B" w:rsidRPr="006D1798" w:rsidRDefault="00773F7B" w:rsidP="00773F7B">
            <w:pPr>
              <w:pStyle w:val="T2"/>
              <w:jc w:val="right"/>
              <w:rPr>
                <w:rFonts w:ascii="Calibri" w:hAnsi="Calibri" w:cs="Arial"/>
              </w:rPr>
            </w:pPr>
            <w:r w:rsidRPr="0096767F">
              <w:rPr>
                <w:rFonts w:ascii="Calibri" w:hAnsi="Calibri" w:cs="Arial"/>
              </w:rPr>
              <w:t>(25.4)</w:t>
            </w:r>
          </w:p>
        </w:tc>
      </w:tr>
      <w:tr w:rsidR="00773F7B" w14:paraId="70FE42DD" w14:textId="77777777" w:rsidTr="005B3BEE">
        <w:tc>
          <w:tcPr>
            <w:tcW w:w="7795" w:type="dxa"/>
            <w:tcBorders>
              <w:top w:val="single" w:sz="2" w:space="0" w:color="auto"/>
              <w:bottom w:val="single" w:sz="8" w:space="0" w:color="auto"/>
            </w:tcBorders>
            <w:vAlign w:val="bottom"/>
          </w:tcPr>
          <w:p w14:paraId="46BF1A0D" w14:textId="77777777" w:rsidR="00773F7B" w:rsidRPr="006D1798" w:rsidRDefault="00773F7B" w:rsidP="00773F7B">
            <w:pPr>
              <w:pStyle w:val="T2"/>
              <w:jc w:val="left"/>
              <w:rPr>
                <w:rFonts w:ascii="Calibri" w:hAnsi="Calibri" w:cs="Arial"/>
                <w:b/>
                <w:bCs/>
              </w:rPr>
            </w:pPr>
            <w:r>
              <w:rPr>
                <w:rFonts w:ascii="Calibri" w:hAnsi="Calibri" w:cs="Arial"/>
                <w:b/>
                <w:bCs/>
              </w:rPr>
              <w:t>Total</w:t>
            </w:r>
            <w:r w:rsidRPr="006D1798">
              <w:rPr>
                <w:rFonts w:ascii="Calibri" w:hAnsi="Calibri" w:cs="Arial"/>
                <w:b/>
                <w:bCs/>
              </w:rPr>
              <w:t xml:space="preserve"> finance expense recognised in the Income Statement</w:t>
            </w:r>
          </w:p>
        </w:tc>
        <w:tc>
          <w:tcPr>
            <w:tcW w:w="992" w:type="dxa"/>
            <w:tcBorders>
              <w:top w:val="single" w:sz="2" w:space="0" w:color="auto"/>
              <w:bottom w:val="single" w:sz="8" w:space="0" w:color="auto"/>
            </w:tcBorders>
            <w:vAlign w:val="bottom"/>
          </w:tcPr>
          <w:p w14:paraId="2C574E60" w14:textId="77777777" w:rsidR="00773F7B" w:rsidRPr="007D2418" w:rsidRDefault="00773F7B" w:rsidP="00773F7B">
            <w:pPr>
              <w:pStyle w:val="T2"/>
              <w:jc w:val="right"/>
              <w:rPr>
                <w:rFonts w:ascii="Calibri" w:hAnsi="Calibri" w:cs="Arial"/>
                <w:b/>
              </w:rPr>
            </w:pPr>
            <w:r w:rsidRPr="007D2418">
              <w:rPr>
                <w:rFonts w:ascii="Calibri" w:hAnsi="Calibri" w:cs="Arial"/>
                <w:b/>
              </w:rPr>
              <w:t>(8.</w:t>
            </w:r>
            <w:r>
              <w:rPr>
                <w:rFonts w:ascii="Calibri" w:hAnsi="Calibri" w:cs="Arial"/>
                <w:b/>
              </w:rPr>
              <w:t>8</w:t>
            </w:r>
            <w:r w:rsidRPr="007D2418">
              <w:rPr>
                <w:rFonts w:ascii="Calibri" w:hAnsi="Calibri" w:cs="Arial"/>
                <w:b/>
              </w:rPr>
              <w:t>)</w:t>
            </w:r>
          </w:p>
        </w:tc>
        <w:tc>
          <w:tcPr>
            <w:tcW w:w="992" w:type="dxa"/>
            <w:tcBorders>
              <w:top w:val="single" w:sz="2" w:space="0" w:color="auto"/>
              <w:bottom w:val="single" w:sz="8" w:space="0" w:color="auto"/>
            </w:tcBorders>
            <w:vAlign w:val="bottom"/>
          </w:tcPr>
          <w:p w14:paraId="2C6670B3" w14:textId="77777777" w:rsidR="00773F7B" w:rsidRPr="006D1798" w:rsidRDefault="00773F7B" w:rsidP="00773F7B">
            <w:pPr>
              <w:pStyle w:val="T2"/>
              <w:jc w:val="right"/>
              <w:rPr>
                <w:rFonts w:ascii="Calibri" w:hAnsi="Calibri" w:cs="Arial"/>
              </w:rPr>
            </w:pPr>
            <w:r w:rsidRPr="0096767F">
              <w:rPr>
                <w:rFonts w:ascii="Calibri" w:hAnsi="Calibri" w:cs="Arial"/>
              </w:rPr>
              <w:t>(36.9)</w:t>
            </w:r>
          </w:p>
        </w:tc>
      </w:tr>
    </w:tbl>
    <w:p w14:paraId="65580F32" w14:textId="77777777" w:rsidR="008D2B54" w:rsidRDefault="008D2B54" w:rsidP="00773F7B">
      <w:pPr>
        <w:spacing w:after="0" w:line="240" w:lineRule="auto"/>
        <w:rPr>
          <w:b/>
          <w:sz w:val="18"/>
          <w:szCs w:val="18"/>
        </w:rPr>
      </w:pPr>
    </w:p>
    <w:p w14:paraId="7E4BD531" w14:textId="77777777" w:rsidR="00773F7B" w:rsidRPr="003232EE" w:rsidRDefault="00773F7B" w:rsidP="005B3BEE">
      <w:pPr>
        <w:pStyle w:val="SectionH3"/>
      </w:pPr>
      <w:r>
        <w:t>7</w:t>
      </w:r>
      <w:r w:rsidRPr="003232EE">
        <w:t>.</w:t>
      </w:r>
      <w:r w:rsidRPr="003232EE">
        <w:tab/>
      </w:r>
      <w:r w:rsidRPr="00480A32">
        <w:t>Taxation</w:t>
      </w:r>
    </w:p>
    <w:p w14:paraId="3E3EA572" w14:textId="1273D149" w:rsidR="00773F7B" w:rsidRPr="004A2ED9" w:rsidRDefault="00773F7B" w:rsidP="005B3BEE">
      <w:pPr>
        <w:spacing w:after="120" w:line="240" w:lineRule="auto"/>
        <w:jc w:val="both"/>
        <w:rPr>
          <w:sz w:val="18"/>
          <w:szCs w:val="18"/>
        </w:rPr>
      </w:pPr>
      <w:r w:rsidRPr="004A2ED9">
        <w:rPr>
          <w:sz w:val="18"/>
          <w:szCs w:val="18"/>
        </w:rPr>
        <w:t>Interim period tax is accrued using the tax rate that is estimated to be applicable to expected total annual earnings in the financial year. The Group has taken the estimated impact of COVID-19 on the full year result into consideration in determining the effective tax rate for the half year ended 2</w:t>
      </w:r>
      <w:r w:rsidR="005F0358">
        <w:rPr>
          <w:sz w:val="18"/>
          <w:szCs w:val="18"/>
        </w:rPr>
        <w:t>7</w:t>
      </w:r>
      <w:r w:rsidRPr="004A2ED9">
        <w:rPr>
          <w:sz w:val="18"/>
          <w:szCs w:val="18"/>
        </w:rPr>
        <w:t xml:space="preserve"> March 2020. </w:t>
      </w:r>
    </w:p>
    <w:p w14:paraId="22A455F0" w14:textId="0030A2C2" w:rsidR="00F75453" w:rsidRDefault="00773F7B" w:rsidP="005B3BEE">
      <w:pPr>
        <w:spacing w:after="120" w:line="240" w:lineRule="auto"/>
        <w:jc w:val="both"/>
        <w:rPr>
          <w:sz w:val="18"/>
          <w:szCs w:val="18"/>
        </w:rPr>
      </w:pPr>
      <w:r w:rsidRPr="004A2ED9">
        <w:rPr>
          <w:sz w:val="18"/>
          <w:szCs w:val="18"/>
        </w:rPr>
        <w:t>The tax rate is based on tax rates that were enacted or substantively enacted at the half year end, including the impact of the UK Corporation tax rate remaining at 19% which was substantially enacted in March 2020.</w:t>
      </w:r>
      <w:r>
        <w:rPr>
          <w:sz w:val="18"/>
          <w:szCs w:val="18"/>
        </w:rPr>
        <w:t xml:space="preserve"> </w:t>
      </w:r>
    </w:p>
    <w:p w14:paraId="1581AF7B" w14:textId="77777777" w:rsidR="00773F7B" w:rsidRPr="00480A32" w:rsidRDefault="00773F7B" w:rsidP="005B3BEE">
      <w:pPr>
        <w:pStyle w:val="SectionH3"/>
      </w:pPr>
      <w:r>
        <w:t>8</w:t>
      </w:r>
      <w:r w:rsidRPr="003232EE">
        <w:t>.</w:t>
      </w:r>
      <w:r w:rsidRPr="003232EE">
        <w:tab/>
      </w:r>
      <w:r w:rsidRPr="00480A32">
        <w:t>Dividends Paid and Proposed</w:t>
      </w:r>
    </w:p>
    <w:p w14:paraId="2B35CC9D" w14:textId="77777777" w:rsidR="00773F7B" w:rsidRDefault="00773F7B" w:rsidP="005B3BEE">
      <w:pPr>
        <w:spacing w:after="120" w:line="240" w:lineRule="auto"/>
        <w:jc w:val="both"/>
        <w:rPr>
          <w:sz w:val="18"/>
          <w:szCs w:val="18"/>
        </w:rPr>
      </w:pPr>
      <w:r w:rsidRPr="00A472C7">
        <w:rPr>
          <w:sz w:val="18"/>
          <w:szCs w:val="18"/>
        </w:rPr>
        <w:t xml:space="preserve">A dividend of </w:t>
      </w:r>
      <w:r w:rsidRPr="005D0EFF">
        <w:rPr>
          <w:sz w:val="18"/>
          <w:szCs w:val="18"/>
        </w:rPr>
        <w:t>3.75</w:t>
      </w:r>
      <w:r>
        <w:rPr>
          <w:sz w:val="18"/>
          <w:szCs w:val="18"/>
        </w:rPr>
        <w:t xml:space="preserve"> </w:t>
      </w:r>
      <w:r w:rsidRPr="00A472C7">
        <w:rPr>
          <w:sz w:val="18"/>
          <w:szCs w:val="18"/>
        </w:rPr>
        <w:t xml:space="preserve">pence per share was approved at the Annual General Meeting </w:t>
      </w:r>
      <w:r w:rsidRPr="005E352B">
        <w:rPr>
          <w:sz w:val="18"/>
          <w:szCs w:val="18"/>
        </w:rPr>
        <w:t>on 2</w:t>
      </w:r>
      <w:r w:rsidRPr="005D0EFF">
        <w:rPr>
          <w:sz w:val="18"/>
          <w:szCs w:val="18"/>
        </w:rPr>
        <w:t>8</w:t>
      </w:r>
      <w:r w:rsidRPr="005E352B">
        <w:rPr>
          <w:sz w:val="18"/>
          <w:szCs w:val="18"/>
        </w:rPr>
        <w:t xml:space="preserve"> January 2020 as a</w:t>
      </w:r>
      <w:r w:rsidRPr="000366EA">
        <w:rPr>
          <w:sz w:val="18"/>
          <w:szCs w:val="18"/>
        </w:rPr>
        <w:t xml:space="preserve"> final dividend</w:t>
      </w:r>
      <w:r w:rsidRPr="00A472C7">
        <w:rPr>
          <w:sz w:val="18"/>
          <w:szCs w:val="18"/>
        </w:rPr>
        <w:t xml:space="preserve"> in respect of the year ended </w:t>
      </w:r>
      <w:r>
        <w:rPr>
          <w:sz w:val="18"/>
          <w:szCs w:val="18"/>
        </w:rPr>
        <w:t>27 September 2019</w:t>
      </w:r>
      <w:r w:rsidRPr="00A472C7">
        <w:rPr>
          <w:sz w:val="18"/>
          <w:szCs w:val="18"/>
        </w:rPr>
        <w:t xml:space="preserve"> and a total of £</w:t>
      </w:r>
      <w:r>
        <w:rPr>
          <w:sz w:val="18"/>
          <w:szCs w:val="18"/>
        </w:rPr>
        <w:t xml:space="preserve">16.7m </w:t>
      </w:r>
      <w:r w:rsidRPr="00A472C7">
        <w:rPr>
          <w:sz w:val="18"/>
          <w:szCs w:val="18"/>
        </w:rPr>
        <w:t xml:space="preserve">was paid on </w:t>
      </w:r>
      <w:r>
        <w:rPr>
          <w:sz w:val="18"/>
          <w:szCs w:val="18"/>
        </w:rPr>
        <w:t xml:space="preserve">25 </w:t>
      </w:r>
      <w:r w:rsidRPr="00A472C7">
        <w:rPr>
          <w:sz w:val="18"/>
          <w:szCs w:val="18"/>
        </w:rPr>
        <w:t>February 20</w:t>
      </w:r>
      <w:r>
        <w:rPr>
          <w:sz w:val="18"/>
          <w:szCs w:val="18"/>
        </w:rPr>
        <w:t>20</w:t>
      </w:r>
      <w:r w:rsidRPr="00A472C7">
        <w:rPr>
          <w:sz w:val="18"/>
          <w:szCs w:val="18"/>
        </w:rPr>
        <w:t xml:space="preserve"> to all shareholders. </w:t>
      </w:r>
    </w:p>
    <w:p w14:paraId="49F76F16" w14:textId="77777777" w:rsidR="00773F7B" w:rsidRDefault="00773F7B" w:rsidP="005B3BEE">
      <w:pPr>
        <w:spacing w:after="120" w:line="240" w:lineRule="auto"/>
        <w:jc w:val="both"/>
        <w:rPr>
          <w:sz w:val="18"/>
          <w:szCs w:val="18"/>
        </w:rPr>
      </w:pPr>
      <w:r w:rsidRPr="00197130">
        <w:rPr>
          <w:sz w:val="18"/>
          <w:szCs w:val="18"/>
        </w:rPr>
        <w:t xml:space="preserve">The Group announced on 30 March 2020 that it is not proceeding with an interim FY20 dividend payment </w:t>
      </w:r>
      <w:r w:rsidR="003B6495">
        <w:rPr>
          <w:sz w:val="18"/>
          <w:szCs w:val="18"/>
        </w:rPr>
        <w:t>as part of its measures to protect b</w:t>
      </w:r>
      <w:r w:rsidR="003B6495" w:rsidRPr="00197130">
        <w:rPr>
          <w:sz w:val="18"/>
          <w:szCs w:val="18"/>
        </w:rPr>
        <w:t xml:space="preserve">alance </w:t>
      </w:r>
      <w:r w:rsidR="003B6495">
        <w:rPr>
          <w:sz w:val="18"/>
          <w:szCs w:val="18"/>
        </w:rPr>
        <w:t>s</w:t>
      </w:r>
      <w:r w:rsidR="003B6495" w:rsidRPr="00197130">
        <w:rPr>
          <w:sz w:val="18"/>
          <w:szCs w:val="18"/>
        </w:rPr>
        <w:t xml:space="preserve">heet </w:t>
      </w:r>
      <w:r w:rsidRPr="00197130">
        <w:rPr>
          <w:sz w:val="18"/>
          <w:szCs w:val="18"/>
        </w:rPr>
        <w:t>strength and liquidity during the C</w:t>
      </w:r>
      <w:r>
        <w:rPr>
          <w:sz w:val="18"/>
          <w:szCs w:val="18"/>
        </w:rPr>
        <w:t>OVID-</w:t>
      </w:r>
      <w:r w:rsidRPr="00197130">
        <w:rPr>
          <w:sz w:val="18"/>
          <w:szCs w:val="18"/>
        </w:rPr>
        <w:t>19 pandemic.</w:t>
      </w:r>
    </w:p>
    <w:p w14:paraId="68DADCDD" w14:textId="64E099A8" w:rsidR="00773F7B" w:rsidRDefault="00773F7B" w:rsidP="005B3BEE">
      <w:pPr>
        <w:pStyle w:val="SectionH3"/>
      </w:pPr>
      <w:r>
        <w:t>9</w:t>
      </w:r>
      <w:r w:rsidRPr="003232EE">
        <w:t>.</w:t>
      </w:r>
      <w:r w:rsidR="00815E85">
        <w:tab/>
      </w:r>
      <w:r w:rsidRPr="00FE22BA">
        <w:t>Earnings per Ordinary Share</w:t>
      </w:r>
    </w:p>
    <w:tbl>
      <w:tblPr>
        <w:tblStyle w:val="TableGrid"/>
        <w:tblpPr w:leftFromText="180" w:rightFromText="180" w:vertAnchor="text" w:horzAnchor="margin" w:tblpXSpec="center" w:tblpY="413"/>
        <w:tblW w:w="97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4"/>
        <w:gridCol w:w="1132"/>
        <w:gridCol w:w="1202"/>
        <w:gridCol w:w="654"/>
        <w:gridCol w:w="1134"/>
        <w:gridCol w:w="1202"/>
        <w:gridCol w:w="652"/>
      </w:tblGrid>
      <w:tr w:rsidR="00574C27" w:rsidRPr="005C4A6C" w14:paraId="63EA1DB3" w14:textId="77777777" w:rsidTr="005B3BEE">
        <w:trPr>
          <w:jc w:val="center"/>
        </w:trPr>
        <w:tc>
          <w:tcPr>
            <w:tcW w:w="3804" w:type="dxa"/>
            <w:vAlign w:val="bottom"/>
          </w:tcPr>
          <w:p w14:paraId="2F5806AB" w14:textId="77777777" w:rsidR="00773F7B" w:rsidRPr="00200BD1" w:rsidRDefault="00773F7B" w:rsidP="003646A4">
            <w:pPr>
              <w:pStyle w:val="T2"/>
              <w:jc w:val="left"/>
            </w:pPr>
          </w:p>
        </w:tc>
        <w:tc>
          <w:tcPr>
            <w:tcW w:w="2988" w:type="dxa"/>
            <w:gridSpan w:val="3"/>
          </w:tcPr>
          <w:p w14:paraId="5F0495AD" w14:textId="77777777" w:rsidR="00773F7B" w:rsidRPr="005C4A6C" w:rsidRDefault="00773F7B" w:rsidP="003646A4">
            <w:pPr>
              <w:pStyle w:val="T2"/>
              <w:rPr>
                <w:rFonts w:cs="Arial"/>
                <w:b/>
                <w:bCs/>
              </w:rPr>
            </w:pPr>
            <w:r w:rsidRPr="005C4A6C">
              <w:rPr>
                <w:rFonts w:cs="Arial"/>
                <w:b/>
                <w:bCs/>
              </w:rPr>
              <w:t>Half year 2020</w:t>
            </w:r>
          </w:p>
        </w:tc>
        <w:tc>
          <w:tcPr>
            <w:tcW w:w="2988" w:type="dxa"/>
            <w:gridSpan w:val="3"/>
            <w:vAlign w:val="bottom"/>
          </w:tcPr>
          <w:p w14:paraId="4DEEF998" w14:textId="77777777" w:rsidR="00773F7B" w:rsidRPr="005C4A6C" w:rsidRDefault="00773F7B" w:rsidP="003646A4">
            <w:pPr>
              <w:pStyle w:val="T2"/>
              <w:rPr>
                <w:rFonts w:cs="Arial"/>
              </w:rPr>
            </w:pPr>
            <w:r w:rsidRPr="005C4A6C">
              <w:rPr>
                <w:rFonts w:cs="Arial"/>
              </w:rPr>
              <w:t>Half year 2019</w:t>
            </w:r>
          </w:p>
        </w:tc>
      </w:tr>
      <w:tr w:rsidR="00574C27" w:rsidRPr="005C4A6C" w14:paraId="781CBB1B" w14:textId="77777777" w:rsidTr="005B3BEE">
        <w:trPr>
          <w:jc w:val="center"/>
        </w:trPr>
        <w:tc>
          <w:tcPr>
            <w:tcW w:w="3804" w:type="dxa"/>
            <w:vAlign w:val="bottom"/>
          </w:tcPr>
          <w:p w14:paraId="278241EE" w14:textId="77777777" w:rsidR="00773F7B" w:rsidRPr="005C4A6C" w:rsidRDefault="00773F7B" w:rsidP="003646A4">
            <w:pPr>
              <w:pStyle w:val="T2"/>
              <w:jc w:val="left"/>
            </w:pPr>
          </w:p>
        </w:tc>
        <w:tc>
          <w:tcPr>
            <w:tcW w:w="1132" w:type="dxa"/>
            <w:vAlign w:val="bottom"/>
          </w:tcPr>
          <w:p w14:paraId="4B282280" w14:textId="77777777" w:rsidR="00773F7B" w:rsidRPr="005C4A6C" w:rsidRDefault="00773F7B" w:rsidP="003646A4">
            <w:pPr>
              <w:pStyle w:val="T2"/>
              <w:jc w:val="right"/>
              <w:rPr>
                <w:rFonts w:cs="Arial"/>
                <w:b/>
                <w:bCs/>
              </w:rPr>
            </w:pPr>
            <w:r w:rsidRPr="005C4A6C">
              <w:rPr>
                <w:rFonts w:cs="Arial"/>
                <w:b/>
              </w:rPr>
              <w:t>Continuing operations</w:t>
            </w:r>
          </w:p>
        </w:tc>
        <w:tc>
          <w:tcPr>
            <w:tcW w:w="1202" w:type="dxa"/>
            <w:vAlign w:val="bottom"/>
          </w:tcPr>
          <w:p w14:paraId="5DC05693" w14:textId="77777777" w:rsidR="00773F7B" w:rsidRPr="005C4A6C" w:rsidRDefault="00773F7B" w:rsidP="003646A4">
            <w:pPr>
              <w:pStyle w:val="T2"/>
              <w:jc w:val="right"/>
              <w:rPr>
                <w:rFonts w:cs="Arial"/>
                <w:b/>
                <w:bCs/>
              </w:rPr>
            </w:pPr>
            <w:r w:rsidRPr="005C4A6C">
              <w:rPr>
                <w:rFonts w:cs="Arial"/>
                <w:b/>
              </w:rPr>
              <w:t>Discontinued operations</w:t>
            </w:r>
          </w:p>
        </w:tc>
        <w:tc>
          <w:tcPr>
            <w:tcW w:w="654" w:type="dxa"/>
            <w:vAlign w:val="bottom"/>
          </w:tcPr>
          <w:p w14:paraId="36C62995" w14:textId="77777777" w:rsidR="00773F7B" w:rsidRPr="005C4A6C" w:rsidRDefault="00773F7B" w:rsidP="003646A4">
            <w:pPr>
              <w:pStyle w:val="T2"/>
              <w:jc w:val="right"/>
              <w:rPr>
                <w:rFonts w:cs="Arial"/>
                <w:b/>
                <w:bCs/>
              </w:rPr>
            </w:pPr>
            <w:r w:rsidRPr="005C4A6C">
              <w:rPr>
                <w:rFonts w:cs="Arial"/>
                <w:b/>
              </w:rPr>
              <w:t>Total</w:t>
            </w:r>
          </w:p>
        </w:tc>
        <w:tc>
          <w:tcPr>
            <w:tcW w:w="1134" w:type="dxa"/>
            <w:vAlign w:val="bottom"/>
          </w:tcPr>
          <w:p w14:paraId="6B360D59" w14:textId="77777777" w:rsidR="00773F7B" w:rsidRPr="005C4A6C" w:rsidRDefault="00773F7B" w:rsidP="003646A4">
            <w:pPr>
              <w:pStyle w:val="T2"/>
              <w:jc w:val="right"/>
              <w:rPr>
                <w:rFonts w:cs="Arial"/>
              </w:rPr>
            </w:pPr>
            <w:r w:rsidRPr="005C4A6C">
              <w:rPr>
                <w:rFonts w:cs="Arial"/>
              </w:rPr>
              <w:t>Continuing operations</w:t>
            </w:r>
          </w:p>
        </w:tc>
        <w:tc>
          <w:tcPr>
            <w:tcW w:w="1202" w:type="dxa"/>
            <w:vAlign w:val="bottom"/>
          </w:tcPr>
          <w:p w14:paraId="13AAEF78" w14:textId="77777777" w:rsidR="00773F7B" w:rsidRPr="005C4A6C" w:rsidRDefault="00773F7B" w:rsidP="003646A4">
            <w:pPr>
              <w:pStyle w:val="T2"/>
              <w:jc w:val="right"/>
              <w:rPr>
                <w:rFonts w:cs="Arial"/>
              </w:rPr>
            </w:pPr>
            <w:r w:rsidRPr="005C4A6C">
              <w:rPr>
                <w:rFonts w:cs="Arial"/>
              </w:rPr>
              <w:t>Discontinued operations</w:t>
            </w:r>
          </w:p>
        </w:tc>
        <w:tc>
          <w:tcPr>
            <w:tcW w:w="652" w:type="dxa"/>
            <w:vAlign w:val="bottom"/>
          </w:tcPr>
          <w:p w14:paraId="1FB183DF" w14:textId="77777777" w:rsidR="00773F7B" w:rsidRPr="005C4A6C" w:rsidRDefault="00773F7B" w:rsidP="003646A4">
            <w:pPr>
              <w:pStyle w:val="T2"/>
              <w:jc w:val="right"/>
              <w:rPr>
                <w:rFonts w:cs="Arial"/>
              </w:rPr>
            </w:pPr>
            <w:r w:rsidRPr="005C4A6C">
              <w:rPr>
                <w:rFonts w:cs="Arial"/>
              </w:rPr>
              <w:t>Total</w:t>
            </w:r>
          </w:p>
        </w:tc>
      </w:tr>
      <w:tr w:rsidR="00574C27" w:rsidRPr="005C4A6C" w14:paraId="07BFE1BB" w14:textId="77777777" w:rsidTr="005B3BEE">
        <w:trPr>
          <w:jc w:val="center"/>
        </w:trPr>
        <w:tc>
          <w:tcPr>
            <w:tcW w:w="3804" w:type="dxa"/>
            <w:tcBorders>
              <w:bottom w:val="single" w:sz="2" w:space="0" w:color="auto"/>
            </w:tcBorders>
            <w:vAlign w:val="bottom"/>
          </w:tcPr>
          <w:p w14:paraId="0142E463" w14:textId="77777777" w:rsidR="00773F7B" w:rsidRPr="005C4A6C" w:rsidRDefault="00773F7B" w:rsidP="003646A4">
            <w:pPr>
              <w:pStyle w:val="T2"/>
              <w:jc w:val="left"/>
            </w:pPr>
          </w:p>
        </w:tc>
        <w:tc>
          <w:tcPr>
            <w:tcW w:w="1132" w:type="dxa"/>
            <w:tcBorders>
              <w:bottom w:val="single" w:sz="2" w:space="0" w:color="auto"/>
            </w:tcBorders>
          </w:tcPr>
          <w:p w14:paraId="7E405AE4" w14:textId="77777777" w:rsidR="00773F7B" w:rsidRPr="005C4A6C" w:rsidRDefault="00773F7B" w:rsidP="003646A4">
            <w:pPr>
              <w:pStyle w:val="T2"/>
              <w:jc w:val="right"/>
              <w:rPr>
                <w:b/>
              </w:rPr>
            </w:pPr>
            <w:r w:rsidRPr="005C4A6C">
              <w:rPr>
                <w:b/>
              </w:rPr>
              <w:t>£m</w:t>
            </w:r>
          </w:p>
        </w:tc>
        <w:tc>
          <w:tcPr>
            <w:tcW w:w="1202" w:type="dxa"/>
            <w:tcBorders>
              <w:bottom w:val="single" w:sz="2" w:space="0" w:color="auto"/>
            </w:tcBorders>
          </w:tcPr>
          <w:p w14:paraId="05EBCE20" w14:textId="77777777" w:rsidR="00773F7B" w:rsidRPr="005C4A6C" w:rsidRDefault="00773F7B" w:rsidP="003646A4">
            <w:pPr>
              <w:pStyle w:val="T2"/>
              <w:jc w:val="right"/>
              <w:rPr>
                <w:b/>
              </w:rPr>
            </w:pPr>
            <w:r w:rsidRPr="005C4A6C">
              <w:rPr>
                <w:b/>
              </w:rPr>
              <w:t>£m</w:t>
            </w:r>
          </w:p>
        </w:tc>
        <w:tc>
          <w:tcPr>
            <w:tcW w:w="654" w:type="dxa"/>
            <w:tcBorders>
              <w:bottom w:val="single" w:sz="2" w:space="0" w:color="auto"/>
            </w:tcBorders>
            <w:vAlign w:val="bottom"/>
          </w:tcPr>
          <w:p w14:paraId="424F52DA" w14:textId="77777777" w:rsidR="00773F7B" w:rsidRPr="005C4A6C" w:rsidRDefault="00773F7B" w:rsidP="003646A4">
            <w:pPr>
              <w:pStyle w:val="T2"/>
              <w:jc w:val="right"/>
              <w:rPr>
                <w:b/>
              </w:rPr>
            </w:pPr>
            <w:r w:rsidRPr="005C4A6C">
              <w:rPr>
                <w:b/>
              </w:rPr>
              <w:t>£m</w:t>
            </w:r>
          </w:p>
        </w:tc>
        <w:tc>
          <w:tcPr>
            <w:tcW w:w="1134" w:type="dxa"/>
            <w:tcBorders>
              <w:bottom w:val="single" w:sz="2" w:space="0" w:color="auto"/>
            </w:tcBorders>
            <w:vAlign w:val="bottom"/>
          </w:tcPr>
          <w:p w14:paraId="782A5BFE" w14:textId="77777777" w:rsidR="00773F7B" w:rsidRPr="005C4A6C" w:rsidRDefault="00773F7B" w:rsidP="003646A4">
            <w:pPr>
              <w:pStyle w:val="T2"/>
              <w:jc w:val="right"/>
            </w:pPr>
            <w:r w:rsidRPr="005C4A6C">
              <w:t>£m</w:t>
            </w:r>
          </w:p>
        </w:tc>
        <w:tc>
          <w:tcPr>
            <w:tcW w:w="1202" w:type="dxa"/>
            <w:tcBorders>
              <w:bottom w:val="single" w:sz="2" w:space="0" w:color="auto"/>
            </w:tcBorders>
          </w:tcPr>
          <w:p w14:paraId="0C182792" w14:textId="77777777" w:rsidR="00773F7B" w:rsidRPr="005C4A6C" w:rsidRDefault="00773F7B" w:rsidP="003646A4">
            <w:pPr>
              <w:pStyle w:val="T2"/>
              <w:jc w:val="right"/>
            </w:pPr>
            <w:r w:rsidRPr="005C4A6C">
              <w:t>£m</w:t>
            </w:r>
          </w:p>
        </w:tc>
        <w:tc>
          <w:tcPr>
            <w:tcW w:w="652" w:type="dxa"/>
            <w:tcBorders>
              <w:bottom w:val="single" w:sz="2" w:space="0" w:color="auto"/>
            </w:tcBorders>
          </w:tcPr>
          <w:p w14:paraId="15B2CF1A" w14:textId="77777777" w:rsidR="00773F7B" w:rsidRPr="005C4A6C" w:rsidRDefault="00773F7B" w:rsidP="003646A4">
            <w:pPr>
              <w:pStyle w:val="T2"/>
              <w:jc w:val="right"/>
            </w:pPr>
            <w:r w:rsidRPr="005C4A6C">
              <w:t>£m</w:t>
            </w:r>
          </w:p>
        </w:tc>
      </w:tr>
      <w:tr w:rsidR="00574C27" w:rsidRPr="005C4A6C" w14:paraId="4C5E5B04" w14:textId="77777777" w:rsidTr="005B3BEE">
        <w:trPr>
          <w:jc w:val="center"/>
        </w:trPr>
        <w:tc>
          <w:tcPr>
            <w:tcW w:w="3804" w:type="dxa"/>
            <w:tcBorders>
              <w:top w:val="single" w:sz="2" w:space="0" w:color="auto"/>
              <w:bottom w:val="single" w:sz="2" w:space="0" w:color="auto"/>
            </w:tcBorders>
            <w:vAlign w:val="bottom"/>
          </w:tcPr>
          <w:p w14:paraId="674368C5" w14:textId="77777777" w:rsidR="00773F7B" w:rsidRPr="005C4A6C" w:rsidRDefault="00773F7B" w:rsidP="003646A4">
            <w:pPr>
              <w:pStyle w:val="T2"/>
              <w:jc w:val="left"/>
              <w:rPr>
                <w:rFonts w:cs="Arial"/>
                <w:b/>
                <w:bCs/>
              </w:rPr>
            </w:pPr>
            <w:r w:rsidRPr="005C4A6C">
              <w:rPr>
                <w:rFonts w:cs="Arial"/>
                <w:b/>
                <w:bCs/>
              </w:rPr>
              <w:lastRenderedPageBreak/>
              <w:t xml:space="preserve">Profit/(loss) attributable to equity holders </w:t>
            </w:r>
            <w:r w:rsidRPr="005C4A6C">
              <w:rPr>
                <w:rFonts w:cs="Arial"/>
                <w:b/>
                <w:bCs/>
              </w:rPr>
              <w:br/>
              <w:t>of the Company</w:t>
            </w:r>
          </w:p>
        </w:tc>
        <w:tc>
          <w:tcPr>
            <w:tcW w:w="1132" w:type="dxa"/>
            <w:tcBorders>
              <w:top w:val="single" w:sz="2" w:space="0" w:color="auto"/>
              <w:bottom w:val="single" w:sz="2" w:space="0" w:color="auto"/>
            </w:tcBorders>
            <w:vAlign w:val="bottom"/>
          </w:tcPr>
          <w:p w14:paraId="2017435B" w14:textId="77777777" w:rsidR="00773F7B" w:rsidRPr="005C4A6C" w:rsidRDefault="00773F7B" w:rsidP="003646A4">
            <w:pPr>
              <w:pStyle w:val="T2"/>
              <w:jc w:val="right"/>
              <w:rPr>
                <w:rFonts w:cs="Arial"/>
                <w:b/>
              </w:rPr>
            </w:pPr>
            <w:r w:rsidRPr="005C4A6C">
              <w:rPr>
                <w:rFonts w:cs="Arial"/>
                <w:b/>
              </w:rPr>
              <w:t>2</w:t>
            </w:r>
            <w:r>
              <w:rPr>
                <w:rFonts w:cs="Arial"/>
                <w:b/>
              </w:rPr>
              <w:t>3.3</w:t>
            </w:r>
          </w:p>
        </w:tc>
        <w:tc>
          <w:tcPr>
            <w:tcW w:w="1202" w:type="dxa"/>
            <w:tcBorders>
              <w:top w:val="single" w:sz="2" w:space="0" w:color="auto"/>
              <w:bottom w:val="single" w:sz="2" w:space="0" w:color="auto"/>
            </w:tcBorders>
            <w:vAlign w:val="bottom"/>
          </w:tcPr>
          <w:p w14:paraId="377FC237" w14:textId="77777777" w:rsidR="00773F7B" w:rsidRPr="005C4A6C" w:rsidRDefault="00773F7B" w:rsidP="003646A4">
            <w:pPr>
              <w:pStyle w:val="T2"/>
              <w:jc w:val="right"/>
              <w:rPr>
                <w:rFonts w:cs="Arial"/>
                <w:b/>
              </w:rPr>
            </w:pPr>
            <w:r w:rsidRPr="005C4A6C">
              <w:rPr>
                <w:rFonts w:cs="Arial"/>
                <w:b/>
              </w:rPr>
              <w:t>–</w:t>
            </w:r>
          </w:p>
        </w:tc>
        <w:tc>
          <w:tcPr>
            <w:tcW w:w="654" w:type="dxa"/>
            <w:tcBorders>
              <w:top w:val="single" w:sz="2" w:space="0" w:color="auto"/>
              <w:bottom w:val="single" w:sz="2" w:space="0" w:color="auto"/>
            </w:tcBorders>
            <w:vAlign w:val="bottom"/>
          </w:tcPr>
          <w:p w14:paraId="3B4A8EBF" w14:textId="77777777" w:rsidR="00773F7B" w:rsidRPr="005C4A6C" w:rsidRDefault="00773F7B" w:rsidP="003646A4">
            <w:pPr>
              <w:pStyle w:val="T2"/>
              <w:jc w:val="right"/>
              <w:rPr>
                <w:rFonts w:cs="Arial"/>
                <w:b/>
              </w:rPr>
            </w:pPr>
            <w:r w:rsidRPr="005C4A6C">
              <w:rPr>
                <w:rFonts w:cs="Arial"/>
                <w:b/>
              </w:rPr>
              <w:t>2</w:t>
            </w:r>
            <w:r>
              <w:rPr>
                <w:rFonts w:cs="Arial"/>
                <w:b/>
              </w:rPr>
              <w:t>3.3</w:t>
            </w:r>
          </w:p>
        </w:tc>
        <w:tc>
          <w:tcPr>
            <w:tcW w:w="1134" w:type="dxa"/>
            <w:tcBorders>
              <w:top w:val="single" w:sz="2" w:space="0" w:color="auto"/>
              <w:bottom w:val="single" w:sz="2" w:space="0" w:color="auto"/>
            </w:tcBorders>
            <w:vAlign w:val="bottom"/>
          </w:tcPr>
          <w:p w14:paraId="36531C44" w14:textId="77777777" w:rsidR="00773F7B" w:rsidRPr="005C4A6C" w:rsidRDefault="00773F7B" w:rsidP="003646A4">
            <w:pPr>
              <w:pStyle w:val="T2"/>
              <w:jc w:val="right"/>
              <w:rPr>
                <w:rFonts w:cs="Arial"/>
              </w:rPr>
            </w:pPr>
            <w:r w:rsidRPr="005C4A6C">
              <w:rPr>
                <w:rFonts w:cs="Arial"/>
              </w:rPr>
              <w:t>(0.5)</w:t>
            </w:r>
          </w:p>
        </w:tc>
        <w:tc>
          <w:tcPr>
            <w:tcW w:w="1202" w:type="dxa"/>
            <w:tcBorders>
              <w:top w:val="single" w:sz="2" w:space="0" w:color="auto"/>
              <w:bottom w:val="single" w:sz="2" w:space="0" w:color="auto"/>
            </w:tcBorders>
            <w:vAlign w:val="bottom"/>
          </w:tcPr>
          <w:p w14:paraId="2D701F3E" w14:textId="77777777" w:rsidR="00773F7B" w:rsidRPr="005C4A6C" w:rsidRDefault="00773F7B" w:rsidP="003646A4">
            <w:pPr>
              <w:pStyle w:val="T2"/>
              <w:jc w:val="right"/>
              <w:rPr>
                <w:rFonts w:cs="Arial"/>
              </w:rPr>
            </w:pPr>
            <w:r w:rsidRPr="005C4A6C">
              <w:rPr>
                <w:rFonts w:cs="Arial"/>
              </w:rPr>
              <w:t>65.6</w:t>
            </w:r>
          </w:p>
        </w:tc>
        <w:tc>
          <w:tcPr>
            <w:tcW w:w="652" w:type="dxa"/>
            <w:tcBorders>
              <w:top w:val="single" w:sz="2" w:space="0" w:color="auto"/>
              <w:bottom w:val="single" w:sz="2" w:space="0" w:color="auto"/>
            </w:tcBorders>
            <w:vAlign w:val="bottom"/>
          </w:tcPr>
          <w:p w14:paraId="416B4C63" w14:textId="77777777" w:rsidR="00773F7B" w:rsidRPr="005C4A6C" w:rsidRDefault="00773F7B" w:rsidP="003646A4">
            <w:pPr>
              <w:pStyle w:val="T2"/>
              <w:jc w:val="right"/>
              <w:rPr>
                <w:rFonts w:cs="Arial"/>
              </w:rPr>
            </w:pPr>
            <w:r w:rsidRPr="005C4A6C">
              <w:rPr>
                <w:rFonts w:cs="Arial"/>
              </w:rPr>
              <w:t>65.1</w:t>
            </w:r>
          </w:p>
        </w:tc>
      </w:tr>
    </w:tbl>
    <w:p w14:paraId="5AD67541" w14:textId="77777777" w:rsidR="00773F7B" w:rsidRDefault="00773F7B" w:rsidP="005B3BEE">
      <w:pPr>
        <w:pStyle w:val="SectionH3"/>
      </w:pPr>
      <w:r w:rsidRPr="005C4A6C">
        <w:t>Numerator</w:t>
      </w:r>
      <w:r>
        <w:t xml:space="preserve"> </w:t>
      </w:r>
      <w:r w:rsidRPr="00CC7F8E">
        <w:t>for earnings per share calculation</w:t>
      </w:r>
      <w:r>
        <w:t>s</w:t>
      </w:r>
    </w:p>
    <w:p w14:paraId="705D1F6B" w14:textId="77777777" w:rsidR="00773F7B" w:rsidRDefault="00773F7B" w:rsidP="005B3BEE">
      <w:pPr>
        <w:pStyle w:val="Paragraph"/>
        <w:spacing w:after="120"/>
        <w:rPr>
          <w:b/>
        </w:rPr>
      </w:pPr>
      <w:r w:rsidRPr="00CC7F8E">
        <w:rPr>
          <w:b/>
        </w:rPr>
        <w:t xml:space="preserve">Denominator for </w:t>
      </w:r>
      <w:r>
        <w:rPr>
          <w:b/>
        </w:rPr>
        <w:t xml:space="preserve">earnings </w:t>
      </w:r>
      <w:r w:rsidRPr="00CC7F8E">
        <w:rPr>
          <w:b/>
        </w:rPr>
        <w:t>per share calculation</w:t>
      </w:r>
      <w:r>
        <w:rPr>
          <w:b/>
        </w:rPr>
        <w:t>s</w:t>
      </w:r>
    </w:p>
    <w:tbl>
      <w:tblPr>
        <w:tblStyle w:val="TableGrid"/>
        <w:tblW w:w="97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5"/>
        <w:gridCol w:w="992"/>
        <w:gridCol w:w="992"/>
      </w:tblGrid>
      <w:tr w:rsidR="00773F7B" w14:paraId="5060989C" w14:textId="77777777" w:rsidTr="005B3BEE">
        <w:trPr>
          <w:jc w:val="center"/>
        </w:trPr>
        <w:tc>
          <w:tcPr>
            <w:tcW w:w="7795" w:type="dxa"/>
            <w:vAlign w:val="bottom"/>
          </w:tcPr>
          <w:p w14:paraId="3F8B3FC9" w14:textId="77777777" w:rsidR="00773F7B" w:rsidRPr="00CC7F8E" w:rsidRDefault="00773F7B" w:rsidP="00773F7B">
            <w:pPr>
              <w:pStyle w:val="T2"/>
              <w:jc w:val="left"/>
            </w:pPr>
          </w:p>
        </w:tc>
        <w:tc>
          <w:tcPr>
            <w:tcW w:w="992" w:type="dxa"/>
            <w:vAlign w:val="bottom"/>
          </w:tcPr>
          <w:p w14:paraId="5C1ADBDB" w14:textId="77777777" w:rsidR="00773F7B" w:rsidRPr="00CC7F8E" w:rsidRDefault="00773F7B" w:rsidP="00773F7B">
            <w:pPr>
              <w:pStyle w:val="T2"/>
              <w:jc w:val="right"/>
              <w:rPr>
                <w:b/>
              </w:rPr>
            </w:pPr>
            <w:r w:rsidRPr="00CC7F8E">
              <w:rPr>
                <w:b/>
              </w:rPr>
              <w:t>Half year</w:t>
            </w:r>
            <w:r w:rsidRPr="00CC7F8E">
              <w:rPr>
                <w:b/>
              </w:rPr>
              <w:br/>
              <w:t>20</w:t>
            </w:r>
            <w:r>
              <w:rPr>
                <w:b/>
              </w:rPr>
              <w:t>20</w:t>
            </w:r>
          </w:p>
        </w:tc>
        <w:tc>
          <w:tcPr>
            <w:tcW w:w="992" w:type="dxa"/>
            <w:vAlign w:val="bottom"/>
          </w:tcPr>
          <w:p w14:paraId="0D715899" w14:textId="77777777" w:rsidR="00773F7B" w:rsidRPr="00CC7F8E" w:rsidRDefault="00773F7B" w:rsidP="00773F7B">
            <w:pPr>
              <w:pStyle w:val="T2"/>
              <w:jc w:val="right"/>
            </w:pPr>
            <w:r w:rsidRPr="00CC7F8E">
              <w:t>Half year</w:t>
            </w:r>
            <w:r w:rsidRPr="00CC7F8E">
              <w:br/>
              <w:t>201</w:t>
            </w:r>
            <w:r>
              <w:t>9</w:t>
            </w:r>
          </w:p>
        </w:tc>
      </w:tr>
      <w:tr w:rsidR="00773F7B" w14:paraId="066140BC" w14:textId="77777777" w:rsidTr="005B3BEE">
        <w:trPr>
          <w:jc w:val="center"/>
        </w:trPr>
        <w:tc>
          <w:tcPr>
            <w:tcW w:w="7795" w:type="dxa"/>
            <w:tcBorders>
              <w:bottom w:val="single" w:sz="2" w:space="0" w:color="auto"/>
            </w:tcBorders>
            <w:vAlign w:val="bottom"/>
          </w:tcPr>
          <w:p w14:paraId="24CB66E6" w14:textId="77777777" w:rsidR="00773F7B" w:rsidRPr="00CC7F8E" w:rsidRDefault="00773F7B" w:rsidP="00773F7B">
            <w:pPr>
              <w:pStyle w:val="T2"/>
              <w:jc w:val="left"/>
            </w:pPr>
          </w:p>
        </w:tc>
        <w:tc>
          <w:tcPr>
            <w:tcW w:w="992" w:type="dxa"/>
            <w:tcBorders>
              <w:bottom w:val="single" w:sz="2" w:space="0" w:color="auto"/>
            </w:tcBorders>
            <w:vAlign w:val="bottom"/>
          </w:tcPr>
          <w:p w14:paraId="2A37514F" w14:textId="77777777" w:rsidR="00773F7B" w:rsidRPr="00CC7F8E" w:rsidRDefault="00773F7B" w:rsidP="00773F7B">
            <w:pPr>
              <w:pStyle w:val="T2"/>
              <w:jc w:val="right"/>
              <w:rPr>
                <w:b/>
              </w:rPr>
            </w:pPr>
            <w:r w:rsidRPr="00CC7F8E">
              <w:rPr>
                <w:b/>
              </w:rPr>
              <w:t>‘000</w:t>
            </w:r>
          </w:p>
        </w:tc>
        <w:tc>
          <w:tcPr>
            <w:tcW w:w="992" w:type="dxa"/>
            <w:tcBorders>
              <w:bottom w:val="single" w:sz="2" w:space="0" w:color="auto"/>
            </w:tcBorders>
            <w:vAlign w:val="bottom"/>
          </w:tcPr>
          <w:p w14:paraId="27370FAE" w14:textId="77777777" w:rsidR="00773F7B" w:rsidRPr="00CC7F8E" w:rsidRDefault="00773F7B" w:rsidP="00773F7B">
            <w:pPr>
              <w:pStyle w:val="T2"/>
              <w:jc w:val="right"/>
            </w:pPr>
            <w:r w:rsidRPr="00CC7F8E">
              <w:t>‘000</w:t>
            </w:r>
          </w:p>
        </w:tc>
      </w:tr>
      <w:tr w:rsidR="00773F7B" w14:paraId="70F94C11" w14:textId="77777777" w:rsidTr="005B3BEE">
        <w:trPr>
          <w:jc w:val="center"/>
        </w:trPr>
        <w:tc>
          <w:tcPr>
            <w:tcW w:w="7795" w:type="dxa"/>
            <w:tcBorders>
              <w:top w:val="single" w:sz="2" w:space="0" w:color="auto"/>
            </w:tcBorders>
            <w:vAlign w:val="bottom"/>
          </w:tcPr>
          <w:p w14:paraId="5BFD1A74" w14:textId="77777777" w:rsidR="00773F7B" w:rsidRPr="00CC7F8E" w:rsidRDefault="00773F7B" w:rsidP="00773F7B">
            <w:pPr>
              <w:pStyle w:val="T2"/>
              <w:jc w:val="left"/>
            </w:pPr>
            <w:r w:rsidRPr="00CC7F8E">
              <w:t xml:space="preserve">Shares in issue at the beginning of the period </w:t>
            </w:r>
          </w:p>
        </w:tc>
        <w:tc>
          <w:tcPr>
            <w:tcW w:w="992" w:type="dxa"/>
            <w:tcBorders>
              <w:top w:val="single" w:sz="2" w:space="0" w:color="auto"/>
            </w:tcBorders>
            <w:vAlign w:val="bottom"/>
          </w:tcPr>
          <w:p w14:paraId="17ECA9C9" w14:textId="77777777" w:rsidR="00773F7B" w:rsidRPr="00D62949" w:rsidRDefault="00773F7B" w:rsidP="00773F7B">
            <w:pPr>
              <w:pStyle w:val="T2"/>
              <w:jc w:val="right"/>
              <w:rPr>
                <w:b/>
                <w:bCs/>
              </w:rPr>
            </w:pPr>
            <w:r w:rsidRPr="00D62949">
              <w:rPr>
                <w:b/>
                <w:bCs/>
              </w:rPr>
              <w:t>446,007</w:t>
            </w:r>
          </w:p>
        </w:tc>
        <w:tc>
          <w:tcPr>
            <w:tcW w:w="992" w:type="dxa"/>
            <w:tcBorders>
              <w:top w:val="single" w:sz="2" w:space="0" w:color="auto"/>
            </w:tcBorders>
            <w:vAlign w:val="bottom"/>
          </w:tcPr>
          <w:p w14:paraId="6D3A4F18" w14:textId="77777777" w:rsidR="00773F7B" w:rsidRPr="00CC7F8E" w:rsidRDefault="00773F7B" w:rsidP="00773F7B">
            <w:pPr>
              <w:pStyle w:val="T2"/>
              <w:jc w:val="right"/>
            </w:pPr>
            <w:r w:rsidRPr="0096767F">
              <w:rPr>
                <w:bCs/>
              </w:rPr>
              <w:t>706,978</w:t>
            </w:r>
          </w:p>
        </w:tc>
      </w:tr>
      <w:tr w:rsidR="00773F7B" w14:paraId="3BBBA734" w14:textId="77777777" w:rsidTr="005B3BEE">
        <w:trPr>
          <w:jc w:val="center"/>
        </w:trPr>
        <w:tc>
          <w:tcPr>
            <w:tcW w:w="7795" w:type="dxa"/>
            <w:vAlign w:val="bottom"/>
          </w:tcPr>
          <w:p w14:paraId="26E82E39" w14:textId="77777777" w:rsidR="00773F7B" w:rsidRPr="00CC7F8E" w:rsidRDefault="00773F7B" w:rsidP="00773F7B">
            <w:pPr>
              <w:pStyle w:val="T2"/>
              <w:jc w:val="left"/>
            </w:pPr>
            <w:r w:rsidRPr="00CC7F8E">
              <w:t xml:space="preserve">Effect of shares held by Employee Benefit Trust </w:t>
            </w:r>
          </w:p>
        </w:tc>
        <w:tc>
          <w:tcPr>
            <w:tcW w:w="992" w:type="dxa"/>
            <w:vAlign w:val="bottom"/>
          </w:tcPr>
          <w:p w14:paraId="344218E6" w14:textId="77777777" w:rsidR="00773F7B" w:rsidRPr="00D62949" w:rsidRDefault="00773F7B" w:rsidP="00773F7B">
            <w:pPr>
              <w:pStyle w:val="T2"/>
              <w:jc w:val="right"/>
              <w:rPr>
                <w:b/>
                <w:bCs/>
              </w:rPr>
            </w:pPr>
            <w:r w:rsidRPr="00D62949">
              <w:rPr>
                <w:b/>
                <w:bCs/>
              </w:rPr>
              <w:t>(2,779)</w:t>
            </w:r>
          </w:p>
        </w:tc>
        <w:tc>
          <w:tcPr>
            <w:tcW w:w="992" w:type="dxa"/>
            <w:vAlign w:val="bottom"/>
          </w:tcPr>
          <w:p w14:paraId="66C20160" w14:textId="77777777" w:rsidR="00773F7B" w:rsidRPr="00CC7F8E" w:rsidRDefault="00773F7B" w:rsidP="00773F7B">
            <w:pPr>
              <w:pStyle w:val="T2"/>
              <w:jc w:val="right"/>
            </w:pPr>
            <w:r w:rsidRPr="0096767F">
              <w:rPr>
                <w:bCs/>
              </w:rPr>
              <w:t>(3,399)</w:t>
            </w:r>
          </w:p>
        </w:tc>
      </w:tr>
      <w:tr w:rsidR="00773F7B" w14:paraId="42CCDC85" w14:textId="77777777" w:rsidTr="005B3BEE">
        <w:trPr>
          <w:jc w:val="center"/>
        </w:trPr>
        <w:tc>
          <w:tcPr>
            <w:tcW w:w="7795" w:type="dxa"/>
            <w:vAlign w:val="bottom"/>
          </w:tcPr>
          <w:p w14:paraId="290A3BE0" w14:textId="77777777" w:rsidR="00773F7B" w:rsidRPr="00CC7F8E" w:rsidRDefault="00773F7B" w:rsidP="00773F7B">
            <w:pPr>
              <w:pStyle w:val="T2"/>
              <w:jc w:val="left"/>
            </w:pPr>
            <w:r w:rsidRPr="00CC7F8E">
              <w:t xml:space="preserve">Effect of shares issued in the period </w:t>
            </w:r>
          </w:p>
        </w:tc>
        <w:tc>
          <w:tcPr>
            <w:tcW w:w="992" w:type="dxa"/>
            <w:vAlign w:val="bottom"/>
          </w:tcPr>
          <w:p w14:paraId="08A7CCE1" w14:textId="77777777" w:rsidR="00773F7B" w:rsidRPr="00D62949" w:rsidRDefault="00773F7B" w:rsidP="00773F7B">
            <w:pPr>
              <w:pStyle w:val="T2"/>
              <w:jc w:val="right"/>
              <w:rPr>
                <w:b/>
                <w:bCs/>
              </w:rPr>
            </w:pPr>
            <w:r w:rsidRPr="00D62949">
              <w:rPr>
                <w:b/>
                <w:bCs/>
              </w:rPr>
              <w:t>76</w:t>
            </w:r>
          </w:p>
        </w:tc>
        <w:tc>
          <w:tcPr>
            <w:tcW w:w="992" w:type="dxa"/>
            <w:vAlign w:val="bottom"/>
          </w:tcPr>
          <w:p w14:paraId="286B98AD" w14:textId="77777777" w:rsidR="00773F7B" w:rsidRPr="00CC7F8E" w:rsidRDefault="00773F7B" w:rsidP="00773F7B">
            <w:pPr>
              <w:pStyle w:val="T2"/>
              <w:jc w:val="right"/>
            </w:pPr>
            <w:r w:rsidRPr="0096767F">
              <w:rPr>
                <w:bCs/>
              </w:rPr>
              <w:t>4</w:t>
            </w:r>
          </w:p>
        </w:tc>
      </w:tr>
      <w:tr w:rsidR="00773F7B" w14:paraId="03A96C21" w14:textId="77777777" w:rsidTr="005B3BEE">
        <w:trPr>
          <w:jc w:val="center"/>
        </w:trPr>
        <w:tc>
          <w:tcPr>
            <w:tcW w:w="7795" w:type="dxa"/>
            <w:tcBorders>
              <w:bottom w:val="single" w:sz="2" w:space="0" w:color="auto"/>
            </w:tcBorders>
            <w:vAlign w:val="bottom"/>
          </w:tcPr>
          <w:p w14:paraId="4834B295" w14:textId="77777777" w:rsidR="00773F7B" w:rsidRPr="00CC7F8E" w:rsidRDefault="00773F7B" w:rsidP="00773F7B">
            <w:pPr>
              <w:pStyle w:val="T2"/>
              <w:jc w:val="left"/>
            </w:pPr>
            <w:r w:rsidRPr="00CC7F8E">
              <w:t>Effect of share reduction due to tender offer</w:t>
            </w:r>
          </w:p>
        </w:tc>
        <w:tc>
          <w:tcPr>
            <w:tcW w:w="992" w:type="dxa"/>
            <w:tcBorders>
              <w:bottom w:val="single" w:sz="2" w:space="0" w:color="auto"/>
            </w:tcBorders>
            <w:vAlign w:val="bottom"/>
          </w:tcPr>
          <w:p w14:paraId="28B3D6EC" w14:textId="77777777" w:rsidR="00773F7B" w:rsidRPr="00D62949" w:rsidRDefault="00773F7B" w:rsidP="00773F7B">
            <w:pPr>
              <w:pStyle w:val="T2"/>
              <w:jc w:val="right"/>
              <w:rPr>
                <w:b/>
                <w:bCs/>
              </w:rPr>
            </w:pPr>
            <w:r>
              <w:rPr>
                <w:b/>
                <w:bCs/>
              </w:rPr>
              <w:t>–</w:t>
            </w:r>
          </w:p>
        </w:tc>
        <w:tc>
          <w:tcPr>
            <w:tcW w:w="992" w:type="dxa"/>
            <w:tcBorders>
              <w:bottom w:val="single" w:sz="2" w:space="0" w:color="auto"/>
            </w:tcBorders>
            <w:vAlign w:val="bottom"/>
          </w:tcPr>
          <w:p w14:paraId="1648D894" w14:textId="77777777" w:rsidR="00773F7B" w:rsidRPr="00CC7F8E" w:rsidRDefault="00773F7B" w:rsidP="00773F7B">
            <w:pPr>
              <w:pStyle w:val="T2"/>
              <w:jc w:val="right"/>
            </w:pPr>
            <w:r w:rsidRPr="0096767F">
              <w:rPr>
                <w:bCs/>
              </w:rPr>
              <w:t> (82,729)</w:t>
            </w:r>
          </w:p>
        </w:tc>
      </w:tr>
      <w:tr w:rsidR="00773F7B" w14:paraId="5D921D4D" w14:textId="77777777" w:rsidTr="005B3BEE">
        <w:trPr>
          <w:jc w:val="center"/>
        </w:trPr>
        <w:tc>
          <w:tcPr>
            <w:tcW w:w="7795" w:type="dxa"/>
            <w:tcBorders>
              <w:top w:val="single" w:sz="2" w:space="0" w:color="auto"/>
              <w:bottom w:val="single" w:sz="8" w:space="0" w:color="auto"/>
            </w:tcBorders>
            <w:vAlign w:val="bottom"/>
          </w:tcPr>
          <w:p w14:paraId="15A5D09C" w14:textId="77777777" w:rsidR="00773F7B" w:rsidRPr="00D63898" w:rsidRDefault="00773F7B" w:rsidP="00773F7B">
            <w:pPr>
              <w:pStyle w:val="T2"/>
              <w:jc w:val="left"/>
              <w:rPr>
                <w:b/>
              </w:rPr>
            </w:pPr>
            <w:r w:rsidRPr="00D63898">
              <w:rPr>
                <w:b/>
              </w:rPr>
              <w:t xml:space="preserve">Weighted average number of </w:t>
            </w:r>
            <w:r>
              <w:rPr>
                <w:b/>
              </w:rPr>
              <w:t>O</w:t>
            </w:r>
            <w:r w:rsidRPr="00D63898">
              <w:rPr>
                <w:b/>
              </w:rPr>
              <w:t xml:space="preserve">rdinary </w:t>
            </w:r>
            <w:r>
              <w:rPr>
                <w:b/>
              </w:rPr>
              <w:t>S</w:t>
            </w:r>
            <w:r w:rsidRPr="00D63898">
              <w:rPr>
                <w:b/>
              </w:rPr>
              <w:t xml:space="preserve">hares in issue during the period </w:t>
            </w:r>
          </w:p>
        </w:tc>
        <w:tc>
          <w:tcPr>
            <w:tcW w:w="992" w:type="dxa"/>
            <w:tcBorders>
              <w:top w:val="single" w:sz="2" w:space="0" w:color="auto"/>
              <w:bottom w:val="single" w:sz="8" w:space="0" w:color="auto"/>
            </w:tcBorders>
            <w:vAlign w:val="bottom"/>
          </w:tcPr>
          <w:p w14:paraId="1540A101" w14:textId="77777777" w:rsidR="00773F7B" w:rsidRPr="00D62949" w:rsidRDefault="00773F7B" w:rsidP="00773F7B">
            <w:pPr>
              <w:pStyle w:val="T2"/>
              <w:jc w:val="right"/>
              <w:rPr>
                <w:b/>
                <w:bCs/>
              </w:rPr>
            </w:pPr>
            <w:r w:rsidRPr="00D62949">
              <w:rPr>
                <w:b/>
                <w:bCs/>
              </w:rPr>
              <w:t>443,304</w:t>
            </w:r>
          </w:p>
        </w:tc>
        <w:tc>
          <w:tcPr>
            <w:tcW w:w="992" w:type="dxa"/>
            <w:tcBorders>
              <w:top w:val="single" w:sz="2" w:space="0" w:color="auto"/>
              <w:bottom w:val="single" w:sz="8" w:space="0" w:color="auto"/>
            </w:tcBorders>
            <w:vAlign w:val="bottom"/>
          </w:tcPr>
          <w:p w14:paraId="6B6D5CE8" w14:textId="77777777" w:rsidR="00773F7B" w:rsidRPr="00CC7F8E" w:rsidRDefault="00773F7B" w:rsidP="00773F7B">
            <w:pPr>
              <w:pStyle w:val="T2"/>
              <w:jc w:val="right"/>
            </w:pPr>
            <w:r w:rsidRPr="0096767F">
              <w:rPr>
                <w:bCs/>
              </w:rPr>
              <w:t>620,854</w:t>
            </w:r>
          </w:p>
        </w:tc>
      </w:tr>
      <w:tr w:rsidR="00773F7B" w14:paraId="2624B9AD" w14:textId="77777777" w:rsidTr="005B3BEE">
        <w:trPr>
          <w:jc w:val="center"/>
        </w:trPr>
        <w:tc>
          <w:tcPr>
            <w:tcW w:w="7795" w:type="dxa"/>
            <w:tcBorders>
              <w:top w:val="single" w:sz="8" w:space="0" w:color="auto"/>
              <w:bottom w:val="single" w:sz="2" w:space="0" w:color="auto"/>
            </w:tcBorders>
            <w:vAlign w:val="bottom"/>
          </w:tcPr>
          <w:p w14:paraId="497AF7E7" w14:textId="77777777" w:rsidR="00773F7B" w:rsidRPr="00D63898" w:rsidRDefault="00773F7B" w:rsidP="00773F7B">
            <w:pPr>
              <w:pStyle w:val="T2"/>
              <w:jc w:val="left"/>
              <w:rPr>
                <w:b/>
              </w:rPr>
            </w:pPr>
            <w:r w:rsidRPr="00AA249A">
              <w:t>Dilutive effect of share schemes</w:t>
            </w:r>
          </w:p>
        </w:tc>
        <w:tc>
          <w:tcPr>
            <w:tcW w:w="992" w:type="dxa"/>
            <w:tcBorders>
              <w:top w:val="single" w:sz="8" w:space="0" w:color="auto"/>
              <w:bottom w:val="single" w:sz="2" w:space="0" w:color="auto"/>
            </w:tcBorders>
            <w:vAlign w:val="bottom"/>
          </w:tcPr>
          <w:p w14:paraId="0D852619" w14:textId="77777777" w:rsidR="00773F7B" w:rsidRPr="00D62949" w:rsidRDefault="00773F7B" w:rsidP="00773F7B">
            <w:pPr>
              <w:pStyle w:val="T2"/>
              <w:jc w:val="right"/>
              <w:rPr>
                <w:b/>
                <w:bCs/>
              </w:rPr>
            </w:pPr>
            <w:r w:rsidRPr="00D62949">
              <w:rPr>
                <w:b/>
                <w:bCs/>
              </w:rPr>
              <w:t>1,</w:t>
            </w:r>
            <w:r>
              <w:rPr>
                <w:b/>
                <w:bCs/>
              </w:rPr>
              <w:t>752</w:t>
            </w:r>
          </w:p>
        </w:tc>
        <w:tc>
          <w:tcPr>
            <w:tcW w:w="992" w:type="dxa"/>
            <w:tcBorders>
              <w:top w:val="single" w:sz="8" w:space="0" w:color="auto"/>
              <w:bottom w:val="single" w:sz="2" w:space="0" w:color="auto"/>
            </w:tcBorders>
            <w:vAlign w:val="bottom"/>
          </w:tcPr>
          <w:p w14:paraId="48134401" w14:textId="77777777" w:rsidR="00773F7B" w:rsidRPr="0096767F" w:rsidRDefault="00773F7B" w:rsidP="00773F7B">
            <w:pPr>
              <w:pStyle w:val="T2"/>
              <w:jc w:val="right"/>
              <w:rPr>
                <w:bCs/>
              </w:rPr>
            </w:pPr>
            <w:r w:rsidRPr="0096767F">
              <w:rPr>
                <w:bCs/>
              </w:rPr>
              <w:t>637 </w:t>
            </w:r>
          </w:p>
        </w:tc>
      </w:tr>
      <w:tr w:rsidR="00773F7B" w14:paraId="6D29C316" w14:textId="77777777" w:rsidTr="005B3BEE">
        <w:trPr>
          <w:jc w:val="center"/>
        </w:trPr>
        <w:tc>
          <w:tcPr>
            <w:tcW w:w="7795" w:type="dxa"/>
            <w:tcBorders>
              <w:top w:val="single" w:sz="2" w:space="0" w:color="auto"/>
              <w:bottom w:val="single" w:sz="8" w:space="0" w:color="auto"/>
            </w:tcBorders>
            <w:vAlign w:val="bottom"/>
          </w:tcPr>
          <w:p w14:paraId="69F3D71F" w14:textId="77777777" w:rsidR="00773F7B" w:rsidRPr="00D63898" w:rsidRDefault="00773F7B" w:rsidP="00773F7B">
            <w:pPr>
              <w:pStyle w:val="T2"/>
              <w:jc w:val="left"/>
              <w:rPr>
                <w:b/>
              </w:rPr>
            </w:pPr>
            <w:r w:rsidRPr="00377178">
              <w:rPr>
                <w:b/>
              </w:rPr>
              <w:t xml:space="preserve">Weighted average number of </w:t>
            </w:r>
            <w:r>
              <w:rPr>
                <w:b/>
              </w:rPr>
              <w:t>O</w:t>
            </w:r>
            <w:r w:rsidRPr="00377178">
              <w:rPr>
                <w:b/>
              </w:rPr>
              <w:t xml:space="preserve">rdinary </w:t>
            </w:r>
            <w:r>
              <w:rPr>
                <w:b/>
              </w:rPr>
              <w:t>S</w:t>
            </w:r>
            <w:r w:rsidRPr="00377178">
              <w:rPr>
                <w:b/>
              </w:rPr>
              <w:t>hares for diluted earnings per share</w:t>
            </w:r>
          </w:p>
        </w:tc>
        <w:tc>
          <w:tcPr>
            <w:tcW w:w="992" w:type="dxa"/>
            <w:tcBorders>
              <w:top w:val="single" w:sz="2" w:space="0" w:color="auto"/>
              <w:bottom w:val="single" w:sz="8" w:space="0" w:color="auto"/>
            </w:tcBorders>
            <w:vAlign w:val="bottom"/>
          </w:tcPr>
          <w:p w14:paraId="4A909FB8" w14:textId="77777777" w:rsidR="00773F7B" w:rsidRPr="00D62949" w:rsidRDefault="00773F7B" w:rsidP="00773F7B">
            <w:pPr>
              <w:pStyle w:val="T2"/>
              <w:jc w:val="right"/>
              <w:rPr>
                <w:b/>
                <w:bCs/>
              </w:rPr>
            </w:pPr>
            <w:r>
              <w:rPr>
                <w:b/>
                <w:bCs/>
              </w:rPr>
              <w:t>445,056</w:t>
            </w:r>
          </w:p>
        </w:tc>
        <w:tc>
          <w:tcPr>
            <w:tcW w:w="992" w:type="dxa"/>
            <w:tcBorders>
              <w:top w:val="single" w:sz="2" w:space="0" w:color="auto"/>
              <w:bottom w:val="single" w:sz="8" w:space="0" w:color="auto"/>
            </w:tcBorders>
            <w:vAlign w:val="bottom"/>
          </w:tcPr>
          <w:p w14:paraId="294C3F6B" w14:textId="77777777" w:rsidR="00773F7B" w:rsidRPr="0096767F" w:rsidRDefault="00773F7B" w:rsidP="00773F7B">
            <w:pPr>
              <w:pStyle w:val="T2"/>
              <w:jc w:val="right"/>
              <w:rPr>
                <w:bCs/>
              </w:rPr>
            </w:pPr>
            <w:r w:rsidRPr="0096767F">
              <w:rPr>
                <w:bCs/>
              </w:rPr>
              <w:t>621,491</w:t>
            </w:r>
          </w:p>
        </w:tc>
      </w:tr>
    </w:tbl>
    <w:p w14:paraId="474A2D13" w14:textId="77777777" w:rsidR="007645C9" w:rsidRDefault="007645C9" w:rsidP="007645C9">
      <w:pPr>
        <w:rPr>
          <w:b/>
          <w:sz w:val="18"/>
          <w:szCs w:val="18"/>
        </w:rPr>
      </w:pPr>
    </w:p>
    <w:p w14:paraId="762E0D50" w14:textId="28CA4EA3" w:rsidR="00773F7B" w:rsidRDefault="00773F7B" w:rsidP="005B3BEE">
      <w:pPr>
        <w:pStyle w:val="SectionH3"/>
      </w:pPr>
      <w:r>
        <w:t>Earnings per Share Calculations</w:t>
      </w:r>
    </w:p>
    <w:tbl>
      <w:tblPr>
        <w:tblStyle w:val="TableGrid"/>
        <w:tblW w:w="97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0"/>
        <w:gridCol w:w="1134"/>
        <w:gridCol w:w="1202"/>
        <w:gridCol w:w="666"/>
        <w:gridCol w:w="1134"/>
        <w:gridCol w:w="1202"/>
        <w:gridCol w:w="662"/>
      </w:tblGrid>
      <w:tr w:rsidR="00773F7B" w14:paraId="3D853ADE" w14:textId="77777777" w:rsidTr="005B3BEE">
        <w:trPr>
          <w:jc w:val="center"/>
        </w:trPr>
        <w:tc>
          <w:tcPr>
            <w:tcW w:w="3770" w:type="dxa"/>
            <w:tcBorders>
              <w:bottom w:val="single" w:sz="4" w:space="0" w:color="auto"/>
            </w:tcBorders>
          </w:tcPr>
          <w:p w14:paraId="5FC1ACAC" w14:textId="77777777" w:rsidR="00773F7B" w:rsidRPr="00636BD4" w:rsidRDefault="00773F7B" w:rsidP="00773F7B">
            <w:pPr>
              <w:pStyle w:val="T2"/>
            </w:pPr>
          </w:p>
        </w:tc>
        <w:tc>
          <w:tcPr>
            <w:tcW w:w="2999" w:type="dxa"/>
            <w:gridSpan w:val="3"/>
            <w:tcBorders>
              <w:bottom w:val="single" w:sz="4" w:space="0" w:color="auto"/>
            </w:tcBorders>
          </w:tcPr>
          <w:p w14:paraId="240A3101" w14:textId="77777777" w:rsidR="00773F7B" w:rsidRDefault="00773F7B" w:rsidP="00773F7B">
            <w:pPr>
              <w:pStyle w:val="T2"/>
              <w:rPr>
                <w:b/>
              </w:rPr>
            </w:pPr>
            <w:r w:rsidRPr="00200BD1">
              <w:rPr>
                <w:rFonts w:cs="Arial"/>
                <w:b/>
                <w:bCs/>
              </w:rPr>
              <w:t>Half year 20</w:t>
            </w:r>
            <w:r>
              <w:rPr>
                <w:rFonts w:cs="Arial"/>
                <w:b/>
                <w:bCs/>
              </w:rPr>
              <w:t>20</w:t>
            </w:r>
          </w:p>
        </w:tc>
        <w:tc>
          <w:tcPr>
            <w:tcW w:w="2998" w:type="dxa"/>
            <w:gridSpan w:val="3"/>
            <w:tcBorders>
              <w:bottom w:val="single" w:sz="4" w:space="0" w:color="auto"/>
            </w:tcBorders>
            <w:vAlign w:val="bottom"/>
          </w:tcPr>
          <w:p w14:paraId="3606CA22" w14:textId="77777777" w:rsidR="00773F7B" w:rsidRPr="00AA249A" w:rsidRDefault="00773F7B" w:rsidP="00773F7B">
            <w:pPr>
              <w:pStyle w:val="T2"/>
            </w:pPr>
            <w:r w:rsidRPr="00200BD1">
              <w:rPr>
                <w:rFonts w:cs="Arial"/>
              </w:rPr>
              <w:t>Half year 201</w:t>
            </w:r>
            <w:r>
              <w:rPr>
                <w:rFonts w:cs="Arial"/>
              </w:rPr>
              <w:t>9</w:t>
            </w:r>
          </w:p>
        </w:tc>
      </w:tr>
      <w:tr w:rsidR="00773F7B" w14:paraId="274FA794" w14:textId="77777777" w:rsidTr="005B3BEE">
        <w:trPr>
          <w:jc w:val="center"/>
        </w:trPr>
        <w:tc>
          <w:tcPr>
            <w:tcW w:w="3770" w:type="dxa"/>
            <w:tcBorders>
              <w:top w:val="single" w:sz="4" w:space="0" w:color="auto"/>
            </w:tcBorders>
          </w:tcPr>
          <w:p w14:paraId="3B30192F" w14:textId="77777777" w:rsidR="00773F7B" w:rsidRPr="00636BD4" w:rsidRDefault="00773F7B" w:rsidP="00773F7B">
            <w:pPr>
              <w:pStyle w:val="T2"/>
            </w:pPr>
          </w:p>
        </w:tc>
        <w:tc>
          <w:tcPr>
            <w:tcW w:w="1134" w:type="dxa"/>
            <w:tcBorders>
              <w:top w:val="single" w:sz="4" w:space="0" w:color="auto"/>
            </w:tcBorders>
            <w:vAlign w:val="bottom"/>
          </w:tcPr>
          <w:p w14:paraId="3F43054D" w14:textId="77777777" w:rsidR="00773F7B" w:rsidRPr="00C868A6" w:rsidRDefault="00773F7B" w:rsidP="00773F7B">
            <w:pPr>
              <w:pStyle w:val="T2"/>
              <w:jc w:val="right"/>
              <w:rPr>
                <w:rFonts w:cs="Arial"/>
                <w:b/>
                <w:bCs/>
              </w:rPr>
            </w:pPr>
            <w:r w:rsidRPr="00C868A6">
              <w:rPr>
                <w:rFonts w:cs="Arial"/>
                <w:b/>
              </w:rPr>
              <w:t>Continuing operations</w:t>
            </w:r>
          </w:p>
        </w:tc>
        <w:tc>
          <w:tcPr>
            <w:tcW w:w="1202" w:type="dxa"/>
            <w:tcBorders>
              <w:top w:val="single" w:sz="4" w:space="0" w:color="auto"/>
            </w:tcBorders>
            <w:vAlign w:val="bottom"/>
          </w:tcPr>
          <w:p w14:paraId="092F4407" w14:textId="77777777" w:rsidR="00773F7B" w:rsidRPr="00C868A6" w:rsidRDefault="00773F7B" w:rsidP="00773F7B">
            <w:pPr>
              <w:pStyle w:val="T2"/>
              <w:jc w:val="right"/>
              <w:rPr>
                <w:rFonts w:cs="Arial"/>
                <w:b/>
                <w:bCs/>
              </w:rPr>
            </w:pPr>
            <w:r w:rsidRPr="00C868A6">
              <w:rPr>
                <w:rFonts w:cs="Arial"/>
                <w:b/>
              </w:rPr>
              <w:t>Discontinued operations</w:t>
            </w:r>
          </w:p>
        </w:tc>
        <w:tc>
          <w:tcPr>
            <w:tcW w:w="666" w:type="dxa"/>
            <w:tcBorders>
              <w:top w:val="single" w:sz="4" w:space="0" w:color="auto"/>
            </w:tcBorders>
            <w:vAlign w:val="bottom"/>
          </w:tcPr>
          <w:p w14:paraId="755166FA" w14:textId="77777777" w:rsidR="00773F7B" w:rsidRPr="00C868A6" w:rsidRDefault="00773F7B" w:rsidP="00773F7B">
            <w:pPr>
              <w:pStyle w:val="T2"/>
              <w:jc w:val="right"/>
              <w:rPr>
                <w:b/>
              </w:rPr>
            </w:pPr>
            <w:r w:rsidRPr="00C868A6">
              <w:rPr>
                <w:rFonts w:cs="Arial"/>
                <w:b/>
              </w:rPr>
              <w:t>Total</w:t>
            </w:r>
          </w:p>
        </w:tc>
        <w:tc>
          <w:tcPr>
            <w:tcW w:w="1134" w:type="dxa"/>
            <w:tcBorders>
              <w:top w:val="single" w:sz="4" w:space="0" w:color="auto"/>
            </w:tcBorders>
            <w:vAlign w:val="bottom"/>
          </w:tcPr>
          <w:p w14:paraId="4EE88BFE" w14:textId="77777777" w:rsidR="00773F7B" w:rsidRPr="00636BD4" w:rsidRDefault="00773F7B" w:rsidP="00773F7B">
            <w:pPr>
              <w:pStyle w:val="T2"/>
              <w:jc w:val="right"/>
            </w:pPr>
            <w:r w:rsidRPr="00200BD1">
              <w:rPr>
                <w:rFonts w:cs="Arial"/>
              </w:rPr>
              <w:t>Continuing operations</w:t>
            </w:r>
          </w:p>
        </w:tc>
        <w:tc>
          <w:tcPr>
            <w:tcW w:w="1202" w:type="dxa"/>
            <w:tcBorders>
              <w:top w:val="single" w:sz="4" w:space="0" w:color="auto"/>
            </w:tcBorders>
            <w:vAlign w:val="bottom"/>
          </w:tcPr>
          <w:p w14:paraId="4A4F5CD3" w14:textId="77777777" w:rsidR="00773F7B" w:rsidRPr="00AA249A" w:rsidRDefault="00773F7B" w:rsidP="00773F7B">
            <w:pPr>
              <w:pStyle w:val="T2"/>
              <w:jc w:val="right"/>
            </w:pPr>
            <w:r w:rsidRPr="00200BD1">
              <w:rPr>
                <w:rFonts w:cs="Arial"/>
              </w:rPr>
              <w:t>Discontinued operations</w:t>
            </w:r>
          </w:p>
        </w:tc>
        <w:tc>
          <w:tcPr>
            <w:tcW w:w="662" w:type="dxa"/>
            <w:tcBorders>
              <w:top w:val="single" w:sz="4" w:space="0" w:color="auto"/>
            </w:tcBorders>
            <w:vAlign w:val="bottom"/>
          </w:tcPr>
          <w:p w14:paraId="61A8E46A" w14:textId="77777777" w:rsidR="00773F7B" w:rsidRPr="00AA249A" w:rsidRDefault="00773F7B" w:rsidP="00773F7B">
            <w:pPr>
              <w:pStyle w:val="T2"/>
              <w:jc w:val="right"/>
            </w:pPr>
            <w:r w:rsidRPr="00200BD1">
              <w:rPr>
                <w:rFonts w:cs="Arial"/>
              </w:rPr>
              <w:t>Total</w:t>
            </w:r>
          </w:p>
        </w:tc>
      </w:tr>
      <w:tr w:rsidR="00773F7B" w14:paraId="3F4EE9B9" w14:textId="77777777" w:rsidTr="005B3BEE">
        <w:trPr>
          <w:jc w:val="center"/>
        </w:trPr>
        <w:tc>
          <w:tcPr>
            <w:tcW w:w="3770" w:type="dxa"/>
            <w:tcBorders>
              <w:bottom w:val="single" w:sz="2" w:space="0" w:color="auto"/>
            </w:tcBorders>
          </w:tcPr>
          <w:p w14:paraId="35DC8FEA" w14:textId="77777777" w:rsidR="00773F7B" w:rsidRPr="00636BD4" w:rsidRDefault="00773F7B" w:rsidP="00773F7B">
            <w:pPr>
              <w:pStyle w:val="T2"/>
            </w:pPr>
          </w:p>
        </w:tc>
        <w:tc>
          <w:tcPr>
            <w:tcW w:w="1134" w:type="dxa"/>
            <w:tcBorders>
              <w:bottom w:val="single" w:sz="2" w:space="0" w:color="auto"/>
            </w:tcBorders>
          </w:tcPr>
          <w:p w14:paraId="6989D1DB" w14:textId="77777777" w:rsidR="00773F7B" w:rsidRPr="00636BD4" w:rsidRDefault="00773F7B" w:rsidP="00773F7B">
            <w:pPr>
              <w:pStyle w:val="T2"/>
              <w:jc w:val="right"/>
              <w:rPr>
                <w:b/>
              </w:rPr>
            </w:pPr>
            <w:r w:rsidRPr="00636BD4">
              <w:rPr>
                <w:b/>
              </w:rPr>
              <w:t>pence</w:t>
            </w:r>
          </w:p>
        </w:tc>
        <w:tc>
          <w:tcPr>
            <w:tcW w:w="1202" w:type="dxa"/>
            <w:tcBorders>
              <w:bottom w:val="single" w:sz="2" w:space="0" w:color="auto"/>
            </w:tcBorders>
          </w:tcPr>
          <w:p w14:paraId="6744B432" w14:textId="77777777" w:rsidR="00773F7B" w:rsidRPr="00C868A6" w:rsidRDefault="00773F7B" w:rsidP="00773F7B">
            <w:pPr>
              <w:pStyle w:val="T2"/>
              <w:jc w:val="right"/>
            </w:pPr>
            <w:r w:rsidRPr="00636BD4">
              <w:rPr>
                <w:b/>
              </w:rPr>
              <w:t>pence</w:t>
            </w:r>
          </w:p>
        </w:tc>
        <w:tc>
          <w:tcPr>
            <w:tcW w:w="666" w:type="dxa"/>
            <w:tcBorders>
              <w:bottom w:val="single" w:sz="2" w:space="0" w:color="auto"/>
            </w:tcBorders>
            <w:vAlign w:val="bottom"/>
          </w:tcPr>
          <w:p w14:paraId="51C1C2BF" w14:textId="77777777" w:rsidR="00773F7B" w:rsidRPr="00636BD4" w:rsidRDefault="00773F7B" w:rsidP="00773F7B">
            <w:pPr>
              <w:pStyle w:val="T2"/>
              <w:jc w:val="right"/>
              <w:rPr>
                <w:b/>
              </w:rPr>
            </w:pPr>
            <w:r w:rsidRPr="00636BD4">
              <w:rPr>
                <w:b/>
              </w:rPr>
              <w:t>pence</w:t>
            </w:r>
          </w:p>
        </w:tc>
        <w:tc>
          <w:tcPr>
            <w:tcW w:w="1134" w:type="dxa"/>
            <w:tcBorders>
              <w:bottom w:val="single" w:sz="2" w:space="0" w:color="auto"/>
            </w:tcBorders>
            <w:vAlign w:val="bottom"/>
          </w:tcPr>
          <w:p w14:paraId="1158F866" w14:textId="77777777" w:rsidR="00773F7B" w:rsidRPr="00636BD4" w:rsidRDefault="00773F7B" w:rsidP="00773F7B">
            <w:pPr>
              <w:pStyle w:val="T2"/>
              <w:jc w:val="right"/>
            </w:pPr>
            <w:r w:rsidRPr="00636BD4">
              <w:t>pence</w:t>
            </w:r>
          </w:p>
        </w:tc>
        <w:tc>
          <w:tcPr>
            <w:tcW w:w="1202" w:type="dxa"/>
            <w:tcBorders>
              <w:bottom w:val="single" w:sz="2" w:space="0" w:color="auto"/>
            </w:tcBorders>
          </w:tcPr>
          <w:p w14:paraId="1D3E20D2" w14:textId="77777777" w:rsidR="00773F7B" w:rsidRPr="00636BD4" w:rsidRDefault="00773F7B" w:rsidP="00773F7B">
            <w:pPr>
              <w:pStyle w:val="T2"/>
              <w:jc w:val="right"/>
            </w:pPr>
            <w:r w:rsidRPr="00636BD4">
              <w:t>pence</w:t>
            </w:r>
          </w:p>
        </w:tc>
        <w:tc>
          <w:tcPr>
            <w:tcW w:w="662" w:type="dxa"/>
            <w:tcBorders>
              <w:bottom w:val="single" w:sz="2" w:space="0" w:color="auto"/>
            </w:tcBorders>
          </w:tcPr>
          <w:p w14:paraId="737DE1DE" w14:textId="77777777" w:rsidR="00773F7B" w:rsidRPr="00636BD4" w:rsidRDefault="00773F7B" w:rsidP="00773F7B">
            <w:pPr>
              <w:pStyle w:val="T2"/>
              <w:jc w:val="right"/>
            </w:pPr>
            <w:r w:rsidRPr="00636BD4">
              <w:t>pence</w:t>
            </w:r>
          </w:p>
        </w:tc>
      </w:tr>
      <w:tr w:rsidR="00773F7B" w14:paraId="194B808D" w14:textId="77777777" w:rsidTr="005B3BEE">
        <w:trPr>
          <w:jc w:val="center"/>
        </w:trPr>
        <w:tc>
          <w:tcPr>
            <w:tcW w:w="3770" w:type="dxa"/>
            <w:tcBorders>
              <w:top w:val="single" w:sz="2" w:space="0" w:color="auto"/>
              <w:bottom w:val="single" w:sz="8" w:space="0" w:color="auto"/>
            </w:tcBorders>
            <w:vAlign w:val="bottom"/>
          </w:tcPr>
          <w:p w14:paraId="51694396" w14:textId="77777777" w:rsidR="00773F7B" w:rsidRPr="00636BD4" w:rsidRDefault="00773F7B" w:rsidP="00773F7B">
            <w:pPr>
              <w:pStyle w:val="T2"/>
              <w:jc w:val="left"/>
              <w:rPr>
                <w:b/>
              </w:rPr>
            </w:pPr>
            <w:r w:rsidRPr="00636BD4">
              <w:rPr>
                <w:b/>
              </w:rPr>
              <w:t xml:space="preserve">Basic earnings per </w:t>
            </w:r>
            <w:r>
              <w:rPr>
                <w:b/>
              </w:rPr>
              <w:t>O</w:t>
            </w:r>
            <w:r w:rsidRPr="00636BD4">
              <w:rPr>
                <w:b/>
              </w:rPr>
              <w:t xml:space="preserve">rdinary </w:t>
            </w:r>
            <w:r>
              <w:rPr>
                <w:b/>
              </w:rPr>
              <w:t>S</w:t>
            </w:r>
            <w:r w:rsidRPr="00636BD4">
              <w:rPr>
                <w:b/>
              </w:rPr>
              <w:t>hare</w:t>
            </w:r>
          </w:p>
        </w:tc>
        <w:tc>
          <w:tcPr>
            <w:tcW w:w="1134" w:type="dxa"/>
            <w:tcBorders>
              <w:top w:val="single" w:sz="2" w:space="0" w:color="auto"/>
              <w:bottom w:val="single" w:sz="8" w:space="0" w:color="auto"/>
            </w:tcBorders>
          </w:tcPr>
          <w:p w14:paraId="4E52A21D" w14:textId="77777777" w:rsidR="00773F7B" w:rsidRPr="00D62949" w:rsidRDefault="00773F7B" w:rsidP="00773F7B">
            <w:pPr>
              <w:pStyle w:val="T2"/>
              <w:jc w:val="right"/>
              <w:rPr>
                <w:b/>
                <w:bCs/>
              </w:rPr>
            </w:pPr>
            <w:r>
              <w:rPr>
                <w:b/>
                <w:bCs/>
              </w:rPr>
              <w:t>5.3</w:t>
            </w:r>
          </w:p>
        </w:tc>
        <w:tc>
          <w:tcPr>
            <w:tcW w:w="1202" w:type="dxa"/>
            <w:tcBorders>
              <w:top w:val="single" w:sz="2" w:space="0" w:color="auto"/>
              <w:bottom w:val="single" w:sz="8" w:space="0" w:color="auto"/>
            </w:tcBorders>
          </w:tcPr>
          <w:p w14:paraId="53221D75" w14:textId="77777777" w:rsidR="00773F7B" w:rsidRPr="00D62949" w:rsidRDefault="00773F7B" w:rsidP="00773F7B">
            <w:pPr>
              <w:pStyle w:val="T2"/>
              <w:jc w:val="right"/>
              <w:rPr>
                <w:b/>
                <w:bCs/>
              </w:rPr>
            </w:pPr>
            <w:r>
              <w:rPr>
                <w:b/>
                <w:bCs/>
              </w:rPr>
              <w:t>–</w:t>
            </w:r>
          </w:p>
        </w:tc>
        <w:tc>
          <w:tcPr>
            <w:tcW w:w="666" w:type="dxa"/>
            <w:tcBorders>
              <w:top w:val="single" w:sz="2" w:space="0" w:color="auto"/>
              <w:bottom w:val="single" w:sz="8" w:space="0" w:color="auto"/>
            </w:tcBorders>
            <w:vAlign w:val="bottom"/>
          </w:tcPr>
          <w:p w14:paraId="5ED0F30F" w14:textId="77777777" w:rsidR="00773F7B" w:rsidRPr="00D62949" w:rsidRDefault="00773F7B" w:rsidP="00773F7B">
            <w:pPr>
              <w:pStyle w:val="T2"/>
              <w:jc w:val="right"/>
              <w:rPr>
                <w:b/>
                <w:bCs/>
              </w:rPr>
            </w:pPr>
            <w:r>
              <w:rPr>
                <w:b/>
                <w:bCs/>
              </w:rPr>
              <w:t>5.3</w:t>
            </w:r>
          </w:p>
        </w:tc>
        <w:tc>
          <w:tcPr>
            <w:tcW w:w="1134" w:type="dxa"/>
            <w:tcBorders>
              <w:top w:val="single" w:sz="2" w:space="0" w:color="auto"/>
              <w:bottom w:val="single" w:sz="8" w:space="0" w:color="auto"/>
            </w:tcBorders>
            <w:vAlign w:val="bottom"/>
          </w:tcPr>
          <w:p w14:paraId="11097353" w14:textId="77777777" w:rsidR="00773F7B" w:rsidRPr="00636BD4" w:rsidRDefault="00773F7B" w:rsidP="00773F7B">
            <w:pPr>
              <w:pStyle w:val="T2"/>
              <w:jc w:val="right"/>
            </w:pPr>
            <w:r w:rsidRPr="0096767F">
              <w:rPr>
                <w:bCs/>
              </w:rPr>
              <w:t>(0.1)</w:t>
            </w:r>
          </w:p>
        </w:tc>
        <w:tc>
          <w:tcPr>
            <w:tcW w:w="1202" w:type="dxa"/>
            <w:tcBorders>
              <w:top w:val="single" w:sz="2" w:space="0" w:color="auto"/>
              <w:bottom w:val="single" w:sz="8" w:space="0" w:color="auto"/>
            </w:tcBorders>
            <w:vAlign w:val="bottom"/>
          </w:tcPr>
          <w:p w14:paraId="3299E7B5" w14:textId="77777777" w:rsidR="00773F7B" w:rsidRPr="0096767F" w:rsidRDefault="00773F7B" w:rsidP="00773F7B">
            <w:pPr>
              <w:pStyle w:val="T2"/>
              <w:jc w:val="right"/>
              <w:rPr>
                <w:bCs/>
              </w:rPr>
            </w:pPr>
            <w:r w:rsidRPr="0096767F">
              <w:rPr>
                <w:bCs/>
              </w:rPr>
              <w:t>10.6</w:t>
            </w:r>
          </w:p>
        </w:tc>
        <w:tc>
          <w:tcPr>
            <w:tcW w:w="662" w:type="dxa"/>
            <w:tcBorders>
              <w:top w:val="single" w:sz="2" w:space="0" w:color="auto"/>
              <w:bottom w:val="single" w:sz="8" w:space="0" w:color="auto"/>
            </w:tcBorders>
            <w:vAlign w:val="bottom"/>
          </w:tcPr>
          <w:p w14:paraId="555AD934" w14:textId="77777777" w:rsidR="00773F7B" w:rsidRPr="0096767F" w:rsidRDefault="00773F7B" w:rsidP="00773F7B">
            <w:pPr>
              <w:pStyle w:val="T2"/>
              <w:jc w:val="right"/>
              <w:rPr>
                <w:bCs/>
              </w:rPr>
            </w:pPr>
            <w:r w:rsidRPr="0096767F">
              <w:rPr>
                <w:bCs/>
              </w:rPr>
              <w:t>10.5</w:t>
            </w:r>
          </w:p>
        </w:tc>
      </w:tr>
      <w:tr w:rsidR="00773F7B" w14:paraId="1EB1EDC6" w14:textId="77777777" w:rsidTr="005B3BEE">
        <w:trPr>
          <w:jc w:val="center"/>
        </w:trPr>
        <w:tc>
          <w:tcPr>
            <w:tcW w:w="3770" w:type="dxa"/>
            <w:tcBorders>
              <w:top w:val="single" w:sz="8" w:space="0" w:color="auto"/>
            </w:tcBorders>
            <w:vAlign w:val="bottom"/>
          </w:tcPr>
          <w:p w14:paraId="008F60D7" w14:textId="77777777" w:rsidR="00773F7B" w:rsidRPr="00636BD4" w:rsidRDefault="00773F7B" w:rsidP="00773F7B">
            <w:pPr>
              <w:pStyle w:val="T2"/>
            </w:pPr>
          </w:p>
        </w:tc>
        <w:tc>
          <w:tcPr>
            <w:tcW w:w="1134" w:type="dxa"/>
            <w:tcBorders>
              <w:top w:val="single" w:sz="8" w:space="0" w:color="auto"/>
            </w:tcBorders>
          </w:tcPr>
          <w:p w14:paraId="1782D3C0" w14:textId="77777777" w:rsidR="00773F7B" w:rsidRPr="00D62949" w:rsidRDefault="00773F7B" w:rsidP="00773F7B">
            <w:pPr>
              <w:pStyle w:val="T2"/>
              <w:jc w:val="right"/>
              <w:rPr>
                <w:b/>
                <w:bCs/>
              </w:rPr>
            </w:pPr>
          </w:p>
        </w:tc>
        <w:tc>
          <w:tcPr>
            <w:tcW w:w="1202" w:type="dxa"/>
            <w:tcBorders>
              <w:top w:val="single" w:sz="8" w:space="0" w:color="auto"/>
            </w:tcBorders>
          </w:tcPr>
          <w:p w14:paraId="110236B5" w14:textId="77777777" w:rsidR="00773F7B" w:rsidRPr="00D62949" w:rsidRDefault="00773F7B" w:rsidP="00773F7B">
            <w:pPr>
              <w:pStyle w:val="T2"/>
              <w:jc w:val="right"/>
              <w:rPr>
                <w:b/>
                <w:bCs/>
              </w:rPr>
            </w:pPr>
          </w:p>
        </w:tc>
        <w:tc>
          <w:tcPr>
            <w:tcW w:w="666" w:type="dxa"/>
            <w:tcBorders>
              <w:top w:val="single" w:sz="8" w:space="0" w:color="auto"/>
            </w:tcBorders>
            <w:vAlign w:val="bottom"/>
          </w:tcPr>
          <w:p w14:paraId="1CF98773" w14:textId="77777777" w:rsidR="00773F7B" w:rsidRPr="00D62949" w:rsidRDefault="00773F7B" w:rsidP="00773F7B">
            <w:pPr>
              <w:pStyle w:val="T2"/>
              <w:jc w:val="right"/>
              <w:rPr>
                <w:b/>
                <w:bCs/>
              </w:rPr>
            </w:pPr>
          </w:p>
        </w:tc>
        <w:tc>
          <w:tcPr>
            <w:tcW w:w="1134" w:type="dxa"/>
            <w:tcBorders>
              <w:top w:val="single" w:sz="8" w:space="0" w:color="auto"/>
            </w:tcBorders>
            <w:vAlign w:val="bottom"/>
          </w:tcPr>
          <w:p w14:paraId="2BCDFFC3" w14:textId="77777777" w:rsidR="00773F7B" w:rsidRPr="00636BD4" w:rsidRDefault="00773F7B" w:rsidP="00773F7B">
            <w:pPr>
              <w:pStyle w:val="T2"/>
              <w:jc w:val="right"/>
            </w:pPr>
          </w:p>
        </w:tc>
        <w:tc>
          <w:tcPr>
            <w:tcW w:w="1202" w:type="dxa"/>
            <w:tcBorders>
              <w:top w:val="single" w:sz="8" w:space="0" w:color="auto"/>
            </w:tcBorders>
            <w:vAlign w:val="bottom"/>
          </w:tcPr>
          <w:p w14:paraId="18D9A7C8" w14:textId="77777777" w:rsidR="00773F7B" w:rsidRPr="00636BD4" w:rsidRDefault="00773F7B" w:rsidP="00773F7B">
            <w:pPr>
              <w:pStyle w:val="T2"/>
              <w:jc w:val="right"/>
            </w:pPr>
          </w:p>
        </w:tc>
        <w:tc>
          <w:tcPr>
            <w:tcW w:w="662" w:type="dxa"/>
            <w:tcBorders>
              <w:top w:val="single" w:sz="8" w:space="0" w:color="auto"/>
            </w:tcBorders>
            <w:vAlign w:val="bottom"/>
          </w:tcPr>
          <w:p w14:paraId="71066DDF" w14:textId="77777777" w:rsidR="00773F7B" w:rsidRPr="00636BD4" w:rsidRDefault="00773F7B" w:rsidP="00773F7B">
            <w:pPr>
              <w:pStyle w:val="T2"/>
              <w:jc w:val="right"/>
            </w:pPr>
          </w:p>
        </w:tc>
      </w:tr>
      <w:tr w:rsidR="00773F7B" w14:paraId="7485D119" w14:textId="77777777" w:rsidTr="005B3BEE">
        <w:trPr>
          <w:trHeight w:val="60"/>
          <w:jc w:val="center"/>
        </w:trPr>
        <w:tc>
          <w:tcPr>
            <w:tcW w:w="3770" w:type="dxa"/>
            <w:tcBorders>
              <w:bottom w:val="single" w:sz="8" w:space="0" w:color="auto"/>
            </w:tcBorders>
            <w:vAlign w:val="bottom"/>
          </w:tcPr>
          <w:p w14:paraId="2AFB9A6D" w14:textId="77777777" w:rsidR="00773F7B" w:rsidRPr="00636BD4" w:rsidRDefault="00773F7B" w:rsidP="00773F7B">
            <w:pPr>
              <w:pStyle w:val="T2"/>
              <w:jc w:val="left"/>
              <w:rPr>
                <w:b/>
              </w:rPr>
            </w:pPr>
            <w:r w:rsidRPr="00664FA2">
              <w:rPr>
                <w:b/>
              </w:rPr>
              <w:t xml:space="preserve">Diluted earnings per </w:t>
            </w:r>
            <w:r>
              <w:rPr>
                <w:b/>
              </w:rPr>
              <w:t>O</w:t>
            </w:r>
            <w:r w:rsidRPr="00664FA2">
              <w:rPr>
                <w:b/>
              </w:rPr>
              <w:t xml:space="preserve">rdinary </w:t>
            </w:r>
            <w:r>
              <w:rPr>
                <w:b/>
              </w:rPr>
              <w:t>S</w:t>
            </w:r>
            <w:r w:rsidRPr="00664FA2">
              <w:rPr>
                <w:b/>
              </w:rPr>
              <w:t>hare</w:t>
            </w:r>
          </w:p>
        </w:tc>
        <w:tc>
          <w:tcPr>
            <w:tcW w:w="1134" w:type="dxa"/>
            <w:tcBorders>
              <w:bottom w:val="single" w:sz="8" w:space="0" w:color="auto"/>
            </w:tcBorders>
            <w:vAlign w:val="bottom"/>
          </w:tcPr>
          <w:p w14:paraId="116004BE" w14:textId="77777777" w:rsidR="00773F7B" w:rsidRPr="00D62949" w:rsidRDefault="00773F7B" w:rsidP="00773F7B">
            <w:pPr>
              <w:pStyle w:val="T2"/>
              <w:jc w:val="right"/>
              <w:rPr>
                <w:b/>
                <w:bCs/>
              </w:rPr>
            </w:pPr>
            <w:r>
              <w:rPr>
                <w:b/>
              </w:rPr>
              <w:t>5.2</w:t>
            </w:r>
          </w:p>
        </w:tc>
        <w:tc>
          <w:tcPr>
            <w:tcW w:w="1202" w:type="dxa"/>
            <w:tcBorders>
              <w:bottom w:val="single" w:sz="8" w:space="0" w:color="auto"/>
            </w:tcBorders>
            <w:vAlign w:val="bottom"/>
          </w:tcPr>
          <w:p w14:paraId="2BA2A8E5" w14:textId="77777777" w:rsidR="00773F7B" w:rsidRPr="00D62949" w:rsidRDefault="00773F7B" w:rsidP="00773F7B">
            <w:pPr>
              <w:pStyle w:val="T2"/>
              <w:jc w:val="right"/>
              <w:rPr>
                <w:b/>
                <w:bCs/>
              </w:rPr>
            </w:pPr>
            <w:r>
              <w:rPr>
                <w:b/>
              </w:rPr>
              <w:t>–</w:t>
            </w:r>
          </w:p>
        </w:tc>
        <w:tc>
          <w:tcPr>
            <w:tcW w:w="666" w:type="dxa"/>
            <w:tcBorders>
              <w:bottom w:val="single" w:sz="8" w:space="0" w:color="auto"/>
            </w:tcBorders>
            <w:vAlign w:val="bottom"/>
          </w:tcPr>
          <w:p w14:paraId="1A3611B1" w14:textId="77777777" w:rsidR="00773F7B" w:rsidRPr="00D62949" w:rsidRDefault="00773F7B" w:rsidP="00773F7B">
            <w:pPr>
              <w:pStyle w:val="T2"/>
              <w:jc w:val="right"/>
              <w:rPr>
                <w:b/>
                <w:bCs/>
              </w:rPr>
            </w:pPr>
            <w:r>
              <w:rPr>
                <w:b/>
              </w:rPr>
              <w:t>5.2</w:t>
            </w:r>
          </w:p>
        </w:tc>
        <w:tc>
          <w:tcPr>
            <w:tcW w:w="1134" w:type="dxa"/>
            <w:tcBorders>
              <w:bottom w:val="single" w:sz="8" w:space="0" w:color="auto"/>
            </w:tcBorders>
            <w:vAlign w:val="bottom"/>
          </w:tcPr>
          <w:p w14:paraId="27516521" w14:textId="77777777" w:rsidR="00773F7B" w:rsidRPr="00636BD4" w:rsidRDefault="00773F7B" w:rsidP="00773F7B">
            <w:pPr>
              <w:pStyle w:val="T2"/>
              <w:jc w:val="right"/>
            </w:pPr>
            <w:r w:rsidRPr="00BE7509">
              <w:rPr>
                <w:bCs/>
              </w:rPr>
              <w:t>(0.1)</w:t>
            </w:r>
          </w:p>
        </w:tc>
        <w:tc>
          <w:tcPr>
            <w:tcW w:w="1202" w:type="dxa"/>
            <w:tcBorders>
              <w:bottom w:val="single" w:sz="8" w:space="0" w:color="auto"/>
            </w:tcBorders>
            <w:vAlign w:val="bottom"/>
          </w:tcPr>
          <w:p w14:paraId="78A174CF" w14:textId="77777777" w:rsidR="00773F7B" w:rsidRPr="0096767F" w:rsidRDefault="00773F7B" w:rsidP="00773F7B">
            <w:pPr>
              <w:pStyle w:val="T2"/>
              <w:jc w:val="right"/>
              <w:rPr>
                <w:bCs/>
              </w:rPr>
            </w:pPr>
            <w:r w:rsidRPr="00BE7509">
              <w:rPr>
                <w:bCs/>
              </w:rPr>
              <w:t>10.6</w:t>
            </w:r>
          </w:p>
        </w:tc>
        <w:tc>
          <w:tcPr>
            <w:tcW w:w="662" w:type="dxa"/>
            <w:tcBorders>
              <w:bottom w:val="single" w:sz="8" w:space="0" w:color="auto"/>
            </w:tcBorders>
            <w:vAlign w:val="bottom"/>
          </w:tcPr>
          <w:p w14:paraId="650B1086" w14:textId="77777777" w:rsidR="00773F7B" w:rsidRPr="0096767F" w:rsidRDefault="00773F7B" w:rsidP="00773F7B">
            <w:pPr>
              <w:pStyle w:val="T2"/>
              <w:jc w:val="right"/>
              <w:rPr>
                <w:bCs/>
              </w:rPr>
            </w:pPr>
            <w:r w:rsidRPr="00BE7509">
              <w:rPr>
                <w:bCs/>
              </w:rPr>
              <w:t>10.5</w:t>
            </w:r>
          </w:p>
        </w:tc>
      </w:tr>
    </w:tbl>
    <w:p w14:paraId="4CB3A5EA" w14:textId="77777777" w:rsidR="00773F7B" w:rsidRDefault="00773F7B" w:rsidP="00773F7B">
      <w:pPr>
        <w:spacing w:before="160" w:after="0" w:line="240" w:lineRule="auto"/>
        <w:rPr>
          <w:sz w:val="18"/>
          <w:szCs w:val="18"/>
        </w:rPr>
      </w:pPr>
    </w:p>
    <w:p w14:paraId="22F0E956" w14:textId="4C3A9706" w:rsidR="00773F7B" w:rsidRPr="003232EE" w:rsidRDefault="00773F7B" w:rsidP="005B3BEE">
      <w:pPr>
        <w:pStyle w:val="SectionH3"/>
      </w:pPr>
      <w:r>
        <w:t>10</w:t>
      </w:r>
      <w:r w:rsidRPr="003232EE">
        <w:t>.</w:t>
      </w:r>
      <w:r w:rsidR="00C233E1">
        <w:tab/>
      </w:r>
      <w:r w:rsidRPr="00664FA2">
        <w:t>Intangible Assets, Property, Plant and Equipment</w:t>
      </w:r>
      <w:r>
        <w:t xml:space="preserve">, Investment Property, Capital </w:t>
      </w:r>
      <w:r w:rsidRPr="00664FA2">
        <w:t>Expenditure and Commitments</w:t>
      </w:r>
    </w:p>
    <w:p w14:paraId="0F344E3B" w14:textId="3C9AD0EA" w:rsidR="00773F7B" w:rsidRPr="007E56B6" w:rsidRDefault="00773F7B" w:rsidP="00BE7FD5">
      <w:pPr>
        <w:spacing w:after="120" w:line="240" w:lineRule="auto"/>
        <w:jc w:val="both"/>
        <w:rPr>
          <w:sz w:val="18"/>
          <w:szCs w:val="18"/>
        </w:rPr>
      </w:pPr>
      <w:r w:rsidRPr="00AA3589">
        <w:rPr>
          <w:sz w:val="18"/>
          <w:szCs w:val="18"/>
        </w:rPr>
        <w:t xml:space="preserve">During the </w:t>
      </w:r>
      <w:r w:rsidR="00A91DFC" w:rsidRPr="00AA3589">
        <w:rPr>
          <w:sz w:val="18"/>
          <w:szCs w:val="18"/>
        </w:rPr>
        <w:t>six-month</w:t>
      </w:r>
      <w:r w:rsidRPr="007E56B6">
        <w:rPr>
          <w:sz w:val="18"/>
          <w:szCs w:val="18"/>
        </w:rPr>
        <w:t xml:space="preserve"> period to 27 March 2020</w:t>
      </w:r>
      <w:r>
        <w:rPr>
          <w:sz w:val="18"/>
          <w:szCs w:val="18"/>
        </w:rPr>
        <w:t xml:space="preserve">, the </w:t>
      </w:r>
      <w:r w:rsidRPr="007E56B6">
        <w:rPr>
          <w:sz w:val="18"/>
          <w:szCs w:val="18"/>
        </w:rPr>
        <w:t xml:space="preserve">operations of the Group made approximately </w:t>
      </w:r>
      <w:r w:rsidRPr="00FC568F">
        <w:rPr>
          <w:sz w:val="18"/>
          <w:szCs w:val="18"/>
        </w:rPr>
        <w:t>£</w:t>
      </w:r>
      <w:r>
        <w:rPr>
          <w:sz w:val="18"/>
          <w:szCs w:val="18"/>
        </w:rPr>
        <w:t>21.</w:t>
      </w:r>
      <w:r w:rsidR="00F035CB">
        <w:rPr>
          <w:sz w:val="18"/>
          <w:szCs w:val="18"/>
        </w:rPr>
        <w:t>1</w:t>
      </w:r>
      <w:r w:rsidRPr="00FC568F">
        <w:rPr>
          <w:sz w:val="18"/>
          <w:szCs w:val="18"/>
        </w:rPr>
        <w:t>m</w:t>
      </w:r>
      <w:r w:rsidRPr="007E56B6">
        <w:rPr>
          <w:sz w:val="18"/>
          <w:szCs w:val="18"/>
        </w:rPr>
        <w:t xml:space="preserve"> of additions to property, plant and equipment, investment property and intangible assets through ongoing capital expenditure. A total depreciation and amortisation charge of </w:t>
      </w:r>
      <w:r w:rsidRPr="00FC568F">
        <w:rPr>
          <w:sz w:val="18"/>
          <w:szCs w:val="18"/>
        </w:rPr>
        <w:t>£</w:t>
      </w:r>
      <w:r>
        <w:rPr>
          <w:sz w:val="18"/>
          <w:szCs w:val="18"/>
        </w:rPr>
        <w:t>22.2</w:t>
      </w:r>
      <w:r w:rsidRPr="00FC568F">
        <w:rPr>
          <w:sz w:val="18"/>
          <w:szCs w:val="18"/>
        </w:rPr>
        <w:t>m was</w:t>
      </w:r>
      <w:r w:rsidRPr="007E56B6">
        <w:rPr>
          <w:sz w:val="18"/>
          <w:szCs w:val="18"/>
        </w:rPr>
        <w:t xml:space="preserve"> recognised</w:t>
      </w:r>
      <w:r w:rsidRPr="00FC568F">
        <w:rPr>
          <w:sz w:val="18"/>
          <w:szCs w:val="18"/>
        </w:rPr>
        <w:t>, £0.2m of</w:t>
      </w:r>
      <w:r w:rsidRPr="007E56B6">
        <w:rPr>
          <w:sz w:val="18"/>
          <w:szCs w:val="18"/>
        </w:rPr>
        <w:t xml:space="preserve"> assets were disposed of and</w:t>
      </w:r>
      <w:r>
        <w:rPr>
          <w:sz w:val="18"/>
          <w:szCs w:val="18"/>
        </w:rPr>
        <w:t xml:space="preserve"> an </w:t>
      </w:r>
      <w:r w:rsidRPr="007E56B6">
        <w:rPr>
          <w:sz w:val="18"/>
          <w:szCs w:val="18"/>
        </w:rPr>
        <w:t xml:space="preserve">FX </w:t>
      </w:r>
      <w:r>
        <w:rPr>
          <w:sz w:val="18"/>
          <w:szCs w:val="18"/>
        </w:rPr>
        <w:t xml:space="preserve">gain of £0.1m </w:t>
      </w:r>
      <w:r w:rsidRPr="007E56B6">
        <w:rPr>
          <w:sz w:val="18"/>
          <w:szCs w:val="18"/>
        </w:rPr>
        <w:t xml:space="preserve">was incurred. </w:t>
      </w:r>
    </w:p>
    <w:p w14:paraId="64A9D392" w14:textId="77777777" w:rsidR="00773F7B" w:rsidRDefault="00773F7B" w:rsidP="00BE7FD5">
      <w:pPr>
        <w:spacing w:after="120" w:line="240" w:lineRule="auto"/>
        <w:jc w:val="both"/>
        <w:rPr>
          <w:sz w:val="18"/>
          <w:szCs w:val="18"/>
        </w:rPr>
      </w:pPr>
      <w:r w:rsidRPr="007E56B6">
        <w:rPr>
          <w:sz w:val="18"/>
          <w:szCs w:val="18"/>
        </w:rPr>
        <w:t>At 27 March 2020, the Group had entered in</w:t>
      </w:r>
      <w:r>
        <w:rPr>
          <w:sz w:val="18"/>
          <w:szCs w:val="18"/>
        </w:rPr>
        <w:t>to contractual commitments for</w:t>
      </w:r>
      <w:r w:rsidRPr="007E56B6">
        <w:rPr>
          <w:sz w:val="18"/>
          <w:szCs w:val="18"/>
        </w:rPr>
        <w:t xml:space="preserve"> operations for the acquisition of property, plant and equipment amounting </w:t>
      </w:r>
      <w:r w:rsidRPr="008A2066">
        <w:rPr>
          <w:sz w:val="18"/>
          <w:szCs w:val="18"/>
        </w:rPr>
        <w:t xml:space="preserve">to </w:t>
      </w:r>
      <w:r w:rsidRPr="001E1407">
        <w:rPr>
          <w:sz w:val="18"/>
          <w:szCs w:val="18"/>
        </w:rPr>
        <w:t>£10.0m</w:t>
      </w:r>
      <w:r>
        <w:rPr>
          <w:sz w:val="18"/>
          <w:szCs w:val="18"/>
        </w:rPr>
        <w:t xml:space="preserve"> (H1 19</w:t>
      </w:r>
      <w:r w:rsidRPr="007E56B6">
        <w:rPr>
          <w:sz w:val="18"/>
          <w:szCs w:val="18"/>
        </w:rPr>
        <w:t>: £8.9m).</w:t>
      </w:r>
    </w:p>
    <w:p w14:paraId="62267356" w14:textId="06FA4CE2" w:rsidR="00B10F27" w:rsidRDefault="00773F7B" w:rsidP="00B52070">
      <w:pPr>
        <w:spacing w:after="120" w:line="240" w:lineRule="auto"/>
        <w:jc w:val="both"/>
        <w:rPr>
          <w:b/>
          <w:sz w:val="18"/>
          <w:szCs w:val="18"/>
        </w:rPr>
      </w:pPr>
      <w:r w:rsidRPr="00710EBC">
        <w:rPr>
          <w:sz w:val="18"/>
          <w:szCs w:val="18"/>
        </w:rPr>
        <w:t xml:space="preserve">During the prior </w:t>
      </w:r>
      <w:r w:rsidR="004379BF" w:rsidRPr="00710EBC">
        <w:rPr>
          <w:sz w:val="18"/>
          <w:szCs w:val="18"/>
        </w:rPr>
        <w:t>six-month</w:t>
      </w:r>
      <w:r w:rsidRPr="00710EBC">
        <w:rPr>
          <w:sz w:val="18"/>
          <w:szCs w:val="18"/>
        </w:rPr>
        <w:t xml:space="preserve"> period to </w:t>
      </w:r>
      <w:r w:rsidRPr="005D0EFF">
        <w:rPr>
          <w:sz w:val="18"/>
          <w:szCs w:val="18"/>
        </w:rPr>
        <w:t>29</w:t>
      </w:r>
      <w:r w:rsidRPr="00710EBC">
        <w:rPr>
          <w:sz w:val="18"/>
          <w:szCs w:val="18"/>
        </w:rPr>
        <w:t xml:space="preserve"> March 201</w:t>
      </w:r>
      <w:r w:rsidRPr="005D0EFF">
        <w:rPr>
          <w:sz w:val="18"/>
          <w:szCs w:val="18"/>
        </w:rPr>
        <w:t>9</w:t>
      </w:r>
      <w:r w:rsidRPr="00710EBC">
        <w:rPr>
          <w:sz w:val="18"/>
          <w:szCs w:val="18"/>
        </w:rPr>
        <w:t>, the Group made approximately £</w:t>
      </w:r>
      <w:r>
        <w:rPr>
          <w:sz w:val="18"/>
          <w:szCs w:val="18"/>
        </w:rPr>
        <w:t>18.3</w:t>
      </w:r>
      <w:r w:rsidRPr="00710EBC">
        <w:rPr>
          <w:sz w:val="18"/>
          <w:szCs w:val="18"/>
        </w:rPr>
        <w:t>m of additions to property, plant and equipment, investment property and intangible assets through ongoing capital expenditure. A total depreciation and amortisation charge of £</w:t>
      </w:r>
      <w:r>
        <w:rPr>
          <w:sz w:val="18"/>
          <w:szCs w:val="18"/>
        </w:rPr>
        <w:t>18.2</w:t>
      </w:r>
      <w:r w:rsidRPr="00710EBC">
        <w:rPr>
          <w:sz w:val="18"/>
          <w:szCs w:val="18"/>
        </w:rPr>
        <w:t>m was recognised and an FX loss of £</w:t>
      </w:r>
      <w:r>
        <w:rPr>
          <w:sz w:val="18"/>
          <w:szCs w:val="18"/>
        </w:rPr>
        <w:t>0.2</w:t>
      </w:r>
      <w:r w:rsidRPr="00710EBC">
        <w:rPr>
          <w:sz w:val="18"/>
          <w:szCs w:val="18"/>
        </w:rPr>
        <w:t>m was incurred.</w:t>
      </w:r>
    </w:p>
    <w:p w14:paraId="062FE410" w14:textId="1A4D6CC3" w:rsidR="00773F7B" w:rsidRPr="003232EE" w:rsidRDefault="00773F7B" w:rsidP="005B3BEE">
      <w:pPr>
        <w:pStyle w:val="SectionH3"/>
      </w:pPr>
      <w:r>
        <w:t>11</w:t>
      </w:r>
      <w:r w:rsidRPr="003232EE">
        <w:t>.</w:t>
      </w:r>
      <w:r w:rsidR="00C233E1">
        <w:tab/>
      </w:r>
      <w:r>
        <w:t>Leases</w:t>
      </w:r>
      <w:r w:rsidRPr="00B37DA6">
        <w:t xml:space="preserve"> </w:t>
      </w:r>
    </w:p>
    <w:p w14:paraId="764CEC63" w14:textId="275240D2" w:rsidR="00773F7B" w:rsidRDefault="00773F7B" w:rsidP="005B3BEE">
      <w:pPr>
        <w:pStyle w:val="Paragraph"/>
        <w:spacing w:before="0" w:after="120"/>
        <w:jc w:val="both"/>
      </w:pPr>
      <w:r>
        <w:t xml:space="preserve">The Group adopted IFRS 16 </w:t>
      </w:r>
      <w:r w:rsidRPr="002E0E9E">
        <w:rPr>
          <w:i/>
        </w:rPr>
        <w:t>Leases</w:t>
      </w:r>
      <w:r>
        <w:t xml:space="preserve"> with effect from 28 September 2019. At the date of transition, the Group calculated the lease commitments outstanding at that date and applied appropriate discount rates to calculate the present value of the lease commitment which was recognised as a lease liability and a right-of-use leased asset on the Group’s </w:t>
      </w:r>
      <w:r w:rsidR="009A2F48">
        <w:t>Statement of Financial Position.</w:t>
      </w:r>
    </w:p>
    <w:p w14:paraId="54538770" w14:textId="198D72D0" w:rsidR="00CC7515" w:rsidRDefault="00773F7B" w:rsidP="005B3BEE">
      <w:pPr>
        <w:pStyle w:val="Paragraph"/>
        <w:spacing w:before="0" w:after="120"/>
      </w:pPr>
      <w:r>
        <w:t>The movement in the Group’s right-of-use leased assets during the period is as follows:</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1361"/>
        <w:gridCol w:w="1361"/>
        <w:gridCol w:w="1361"/>
        <w:gridCol w:w="1361"/>
      </w:tblGrid>
      <w:tr w:rsidR="00773F7B" w14:paraId="16111BA4" w14:textId="77777777" w:rsidTr="005B3BEE">
        <w:trPr>
          <w:jc w:val="center"/>
        </w:trPr>
        <w:tc>
          <w:tcPr>
            <w:tcW w:w="4337" w:type="dxa"/>
            <w:vAlign w:val="bottom"/>
          </w:tcPr>
          <w:p w14:paraId="237FAB5B" w14:textId="77777777" w:rsidR="00773F7B" w:rsidRPr="006D1798" w:rsidRDefault="00773F7B" w:rsidP="00773F7B">
            <w:pPr>
              <w:pStyle w:val="T2"/>
              <w:jc w:val="left"/>
            </w:pPr>
          </w:p>
        </w:tc>
        <w:tc>
          <w:tcPr>
            <w:tcW w:w="1361" w:type="dxa"/>
          </w:tcPr>
          <w:p w14:paraId="73DD9719" w14:textId="77777777" w:rsidR="00773F7B" w:rsidRPr="005D0EFF" w:rsidRDefault="00773F7B" w:rsidP="00773F7B">
            <w:pPr>
              <w:pStyle w:val="T2"/>
              <w:jc w:val="right"/>
              <w:rPr>
                <w:b/>
              </w:rPr>
            </w:pPr>
            <w:r>
              <w:rPr>
                <w:b/>
              </w:rPr>
              <w:t>Land and buildings</w:t>
            </w:r>
          </w:p>
        </w:tc>
        <w:tc>
          <w:tcPr>
            <w:tcW w:w="1361" w:type="dxa"/>
            <w:vAlign w:val="bottom"/>
          </w:tcPr>
          <w:p w14:paraId="16FAA082" w14:textId="77777777" w:rsidR="00773F7B" w:rsidRPr="005D0EFF" w:rsidRDefault="00773F7B" w:rsidP="00773F7B">
            <w:pPr>
              <w:pStyle w:val="T2"/>
              <w:jc w:val="right"/>
              <w:rPr>
                <w:b/>
              </w:rPr>
            </w:pPr>
            <w:r>
              <w:rPr>
                <w:b/>
              </w:rPr>
              <w:t>Plant &amp; machinery</w:t>
            </w:r>
          </w:p>
        </w:tc>
        <w:tc>
          <w:tcPr>
            <w:tcW w:w="1361" w:type="dxa"/>
            <w:vAlign w:val="bottom"/>
          </w:tcPr>
          <w:p w14:paraId="27EC499C" w14:textId="2DA0AF60" w:rsidR="00773F7B" w:rsidRPr="005D0EFF" w:rsidRDefault="00656003" w:rsidP="00773F7B">
            <w:pPr>
              <w:pStyle w:val="T2"/>
              <w:jc w:val="right"/>
              <w:rPr>
                <w:b/>
              </w:rPr>
            </w:pPr>
            <w:r>
              <w:rPr>
                <w:b/>
              </w:rPr>
              <w:t>Motor vehicles</w:t>
            </w:r>
          </w:p>
        </w:tc>
        <w:tc>
          <w:tcPr>
            <w:tcW w:w="1361" w:type="dxa"/>
            <w:vAlign w:val="bottom"/>
          </w:tcPr>
          <w:p w14:paraId="2ED0A9DC" w14:textId="77777777" w:rsidR="00773F7B" w:rsidRPr="005D0EFF" w:rsidRDefault="00773F7B" w:rsidP="00773F7B">
            <w:pPr>
              <w:pStyle w:val="T2"/>
              <w:jc w:val="right"/>
              <w:rPr>
                <w:b/>
              </w:rPr>
            </w:pPr>
            <w:r>
              <w:rPr>
                <w:b/>
              </w:rPr>
              <w:t>Total</w:t>
            </w:r>
          </w:p>
        </w:tc>
      </w:tr>
      <w:tr w:rsidR="00773F7B" w14:paraId="1BF71961" w14:textId="77777777" w:rsidTr="005B3BEE">
        <w:trPr>
          <w:jc w:val="center"/>
        </w:trPr>
        <w:tc>
          <w:tcPr>
            <w:tcW w:w="4337" w:type="dxa"/>
            <w:tcBorders>
              <w:bottom w:val="single" w:sz="2" w:space="0" w:color="auto"/>
            </w:tcBorders>
            <w:vAlign w:val="bottom"/>
          </w:tcPr>
          <w:p w14:paraId="295E1754" w14:textId="77777777" w:rsidR="00773F7B" w:rsidRPr="006D1798" w:rsidRDefault="00773F7B" w:rsidP="00773F7B">
            <w:pPr>
              <w:pStyle w:val="T2"/>
              <w:jc w:val="left"/>
            </w:pPr>
          </w:p>
        </w:tc>
        <w:tc>
          <w:tcPr>
            <w:tcW w:w="1361" w:type="dxa"/>
            <w:tcBorders>
              <w:bottom w:val="single" w:sz="2" w:space="0" w:color="auto"/>
            </w:tcBorders>
          </w:tcPr>
          <w:p w14:paraId="19B1C690" w14:textId="77777777" w:rsidR="00773F7B" w:rsidRPr="005D0EFF" w:rsidRDefault="00773F7B" w:rsidP="00773F7B">
            <w:pPr>
              <w:pStyle w:val="T2"/>
              <w:jc w:val="right"/>
              <w:rPr>
                <w:b/>
              </w:rPr>
            </w:pPr>
            <w:r w:rsidRPr="005D0EFF">
              <w:rPr>
                <w:b/>
              </w:rPr>
              <w:t>£m</w:t>
            </w:r>
          </w:p>
        </w:tc>
        <w:tc>
          <w:tcPr>
            <w:tcW w:w="1361" w:type="dxa"/>
            <w:tcBorders>
              <w:bottom w:val="single" w:sz="2" w:space="0" w:color="auto"/>
            </w:tcBorders>
            <w:vAlign w:val="bottom"/>
          </w:tcPr>
          <w:p w14:paraId="541B3C02" w14:textId="77777777" w:rsidR="00773F7B" w:rsidRPr="005D0EFF" w:rsidRDefault="00773F7B" w:rsidP="00773F7B">
            <w:pPr>
              <w:pStyle w:val="T2"/>
              <w:jc w:val="right"/>
              <w:rPr>
                <w:b/>
              </w:rPr>
            </w:pPr>
            <w:r w:rsidRPr="005D0EFF">
              <w:rPr>
                <w:b/>
              </w:rPr>
              <w:t>£m</w:t>
            </w:r>
          </w:p>
        </w:tc>
        <w:tc>
          <w:tcPr>
            <w:tcW w:w="1361" w:type="dxa"/>
            <w:tcBorders>
              <w:bottom w:val="single" w:sz="2" w:space="0" w:color="auto"/>
            </w:tcBorders>
            <w:vAlign w:val="bottom"/>
          </w:tcPr>
          <w:p w14:paraId="33D9ED52" w14:textId="77777777" w:rsidR="00773F7B" w:rsidRPr="005D0EFF" w:rsidRDefault="00773F7B" w:rsidP="00773F7B">
            <w:pPr>
              <w:pStyle w:val="T2"/>
              <w:jc w:val="right"/>
              <w:rPr>
                <w:b/>
              </w:rPr>
            </w:pPr>
            <w:r w:rsidRPr="005D0EFF">
              <w:rPr>
                <w:b/>
              </w:rPr>
              <w:t>£m</w:t>
            </w:r>
          </w:p>
        </w:tc>
        <w:tc>
          <w:tcPr>
            <w:tcW w:w="1361" w:type="dxa"/>
            <w:tcBorders>
              <w:bottom w:val="single" w:sz="2" w:space="0" w:color="auto"/>
            </w:tcBorders>
            <w:vAlign w:val="bottom"/>
          </w:tcPr>
          <w:p w14:paraId="4A723F66" w14:textId="77777777" w:rsidR="00773F7B" w:rsidRPr="005D0EFF" w:rsidRDefault="00773F7B" w:rsidP="00773F7B">
            <w:pPr>
              <w:pStyle w:val="T2"/>
              <w:jc w:val="right"/>
              <w:rPr>
                <w:b/>
              </w:rPr>
            </w:pPr>
            <w:r w:rsidRPr="005D0EFF">
              <w:rPr>
                <w:b/>
              </w:rPr>
              <w:t>£m</w:t>
            </w:r>
          </w:p>
        </w:tc>
      </w:tr>
      <w:tr w:rsidR="00773F7B" w14:paraId="2C1523F9" w14:textId="77777777" w:rsidTr="005B3BEE">
        <w:trPr>
          <w:jc w:val="center"/>
        </w:trPr>
        <w:tc>
          <w:tcPr>
            <w:tcW w:w="4337" w:type="dxa"/>
            <w:tcBorders>
              <w:top w:val="single" w:sz="2" w:space="0" w:color="auto"/>
            </w:tcBorders>
            <w:vAlign w:val="bottom"/>
          </w:tcPr>
          <w:p w14:paraId="7195523C" w14:textId="77777777" w:rsidR="00773F7B" w:rsidRPr="006D1798" w:rsidRDefault="00773F7B" w:rsidP="00773F7B">
            <w:pPr>
              <w:pStyle w:val="T2"/>
              <w:jc w:val="left"/>
            </w:pPr>
            <w:r>
              <w:t>At 27 September 2019</w:t>
            </w:r>
          </w:p>
        </w:tc>
        <w:tc>
          <w:tcPr>
            <w:tcW w:w="1361" w:type="dxa"/>
            <w:tcBorders>
              <w:top w:val="single" w:sz="2" w:space="0" w:color="auto"/>
            </w:tcBorders>
          </w:tcPr>
          <w:p w14:paraId="0880CA40" w14:textId="77777777" w:rsidR="00773F7B" w:rsidRPr="005D0EFF" w:rsidRDefault="00773F7B" w:rsidP="00773F7B">
            <w:pPr>
              <w:pStyle w:val="T2"/>
              <w:jc w:val="right"/>
              <w:rPr>
                <w:b/>
              </w:rPr>
            </w:pPr>
            <w:r>
              <w:rPr>
                <w:b/>
              </w:rPr>
              <w:t>–</w:t>
            </w:r>
          </w:p>
        </w:tc>
        <w:tc>
          <w:tcPr>
            <w:tcW w:w="1361" w:type="dxa"/>
            <w:tcBorders>
              <w:top w:val="single" w:sz="2" w:space="0" w:color="auto"/>
            </w:tcBorders>
            <w:vAlign w:val="bottom"/>
          </w:tcPr>
          <w:p w14:paraId="4FDBB5DE" w14:textId="77777777" w:rsidR="00773F7B" w:rsidRPr="005D0EFF" w:rsidRDefault="00773F7B" w:rsidP="00773F7B">
            <w:pPr>
              <w:pStyle w:val="T2"/>
              <w:jc w:val="right"/>
              <w:rPr>
                <w:b/>
                <w:bCs/>
              </w:rPr>
            </w:pPr>
            <w:r>
              <w:rPr>
                <w:b/>
                <w:bCs/>
              </w:rPr>
              <w:t>–</w:t>
            </w:r>
          </w:p>
        </w:tc>
        <w:tc>
          <w:tcPr>
            <w:tcW w:w="1361" w:type="dxa"/>
            <w:tcBorders>
              <w:top w:val="single" w:sz="2" w:space="0" w:color="auto"/>
            </w:tcBorders>
            <w:vAlign w:val="bottom"/>
          </w:tcPr>
          <w:p w14:paraId="3ADCDD77" w14:textId="77777777" w:rsidR="00773F7B" w:rsidRPr="005D0EFF" w:rsidRDefault="00773F7B" w:rsidP="00773F7B">
            <w:pPr>
              <w:pStyle w:val="T2"/>
              <w:jc w:val="right"/>
              <w:rPr>
                <w:b/>
              </w:rPr>
            </w:pPr>
            <w:r>
              <w:rPr>
                <w:b/>
              </w:rPr>
              <w:t>–</w:t>
            </w:r>
          </w:p>
        </w:tc>
        <w:tc>
          <w:tcPr>
            <w:tcW w:w="1361" w:type="dxa"/>
            <w:tcBorders>
              <w:top w:val="single" w:sz="2" w:space="0" w:color="auto"/>
            </w:tcBorders>
            <w:vAlign w:val="bottom"/>
          </w:tcPr>
          <w:p w14:paraId="4628F393" w14:textId="77777777" w:rsidR="00773F7B" w:rsidRPr="005D0EFF" w:rsidRDefault="00773F7B" w:rsidP="00773F7B">
            <w:pPr>
              <w:pStyle w:val="T2"/>
              <w:jc w:val="right"/>
              <w:rPr>
                <w:b/>
              </w:rPr>
            </w:pPr>
            <w:r>
              <w:rPr>
                <w:b/>
              </w:rPr>
              <w:t>–</w:t>
            </w:r>
          </w:p>
        </w:tc>
      </w:tr>
      <w:tr w:rsidR="00773F7B" w14:paraId="132D8D80" w14:textId="77777777" w:rsidTr="005B3BEE">
        <w:trPr>
          <w:jc w:val="center"/>
        </w:trPr>
        <w:tc>
          <w:tcPr>
            <w:tcW w:w="4337" w:type="dxa"/>
            <w:vAlign w:val="bottom"/>
          </w:tcPr>
          <w:p w14:paraId="4211CB91" w14:textId="77777777" w:rsidR="00773F7B" w:rsidRPr="006D1798" w:rsidRDefault="00773F7B" w:rsidP="00773F7B">
            <w:pPr>
              <w:pStyle w:val="T2"/>
              <w:jc w:val="left"/>
            </w:pPr>
            <w:r>
              <w:t>IFRS 16 Transition adjustment (note 2)</w:t>
            </w:r>
          </w:p>
        </w:tc>
        <w:tc>
          <w:tcPr>
            <w:tcW w:w="1361" w:type="dxa"/>
          </w:tcPr>
          <w:p w14:paraId="3FBB57C9" w14:textId="77777777" w:rsidR="00773F7B" w:rsidRPr="00FC1DD8" w:rsidRDefault="00773F7B" w:rsidP="00773F7B">
            <w:pPr>
              <w:pStyle w:val="T2"/>
              <w:jc w:val="right"/>
              <w:rPr>
                <w:b/>
              </w:rPr>
            </w:pPr>
            <w:r w:rsidRPr="00FC1DD8">
              <w:rPr>
                <w:b/>
              </w:rPr>
              <w:t>24.</w:t>
            </w:r>
            <w:r>
              <w:rPr>
                <w:b/>
              </w:rPr>
              <w:t>3</w:t>
            </w:r>
          </w:p>
        </w:tc>
        <w:tc>
          <w:tcPr>
            <w:tcW w:w="1361" w:type="dxa"/>
            <w:vAlign w:val="bottom"/>
          </w:tcPr>
          <w:p w14:paraId="11239942" w14:textId="77777777" w:rsidR="00773F7B" w:rsidRPr="00FC1DD8" w:rsidRDefault="00773F7B" w:rsidP="00773F7B">
            <w:pPr>
              <w:pStyle w:val="T2"/>
              <w:jc w:val="right"/>
              <w:rPr>
                <w:b/>
                <w:bCs/>
              </w:rPr>
            </w:pPr>
            <w:r w:rsidRPr="00FC1DD8">
              <w:rPr>
                <w:b/>
                <w:bCs/>
              </w:rPr>
              <w:t>5.</w:t>
            </w:r>
            <w:r>
              <w:rPr>
                <w:b/>
                <w:bCs/>
              </w:rPr>
              <w:t>2</w:t>
            </w:r>
          </w:p>
        </w:tc>
        <w:tc>
          <w:tcPr>
            <w:tcW w:w="1361" w:type="dxa"/>
            <w:vAlign w:val="bottom"/>
          </w:tcPr>
          <w:p w14:paraId="1DBB2749" w14:textId="77777777" w:rsidR="00773F7B" w:rsidRPr="00FC1DD8" w:rsidRDefault="00773F7B" w:rsidP="00773F7B">
            <w:pPr>
              <w:pStyle w:val="T2"/>
              <w:jc w:val="right"/>
              <w:rPr>
                <w:b/>
              </w:rPr>
            </w:pPr>
            <w:r w:rsidRPr="00FC1DD8">
              <w:rPr>
                <w:b/>
              </w:rPr>
              <w:t>1</w:t>
            </w:r>
            <w:r>
              <w:rPr>
                <w:b/>
              </w:rPr>
              <w:t>1.7</w:t>
            </w:r>
          </w:p>
        </w:tc>
        <w:tc>
          <w:tcPr>
            <w:tcW w:w="1361" w:type="dxa"/>
            <w:vAlign w:val="bottom"/>
          </w:tcPr>
          <w:p w14:paraId="2FDED8BD" w14:textId="77777777" w:rsidR="00773F7B" w:rsidRPr="00FC1DD8" w:rsidRDefault="00773F7B" w:rsidP="00773F7B">
            <w:pPr>
              <w:pStyle w:val="T2"/>
              <w:jc w:val="right"/>
              <w:rPr>
                <w:b/>
              </w:rPr>
            </w:pPr>
            <w:r w:rsidRPr="00FC1DD8">
              <w:rPr>
                <w:b/>
              </w:rPr>
              <w:t>41.</w:t>
            </w:r>
            <w:r>
              <w:rPr>
                <w:b/>
              </w:rPr>
              <w:t>2</w:t>
            </w:r>
          </w:p>
        </w:tc>
      </w:tr>
      <w:tr w:rsidR="00773F7B" w14:paraId="7D8DA953" w14:textId="77777777" w:rsidTr="005B3BEE">
        <w:trPr>
          <w:jc w:val="center"/>
        </w:trPr>
        <w:tc>
          <w:tcPr>
            <w:tcW w:w="4337" w:type="dxa"/>
            <w:vAlign w:val="bottom"/>
          </w:tcPr>
          <w:p w14:paraId="559A1BE0" w14:textId="77777777" w:rsidR="00773F7B" w:rsidRPr="006D1798" w:rsidRDefault="00773F7B" w:rsidP="00773F7B">
            <w:pPr>
              <w:pStyle w:val="T2"/>
              <w:jc w:val="left"/>
            </w:pPr>
            <w:r>
              <w:t>Additions</w:t>
            </w:r>
          </w:p>
        </w:tc>
        <w:tc>
          <w:tcPr>
            <w:tcW w:w="1361" w:type="dxa"/>
          </w:tcPr>
          <w:p w14:paraId="142C38F1" w14:textId="77777777" w:rsidR="00773F7B" w:rsidRPr="00FC1DD8" w:rsidRDefault="00773F7B" w:rsidP="00773F7B">
            <w:pPr>
              <w:pStyle w:val="T2"/>
              <w:jc w:val="right"/>
              <w:rPr>
                <w:b/>
              </w:rPr>
            </w:pPr>
            <w:r w:rsidRPr="00FC1DD8">
              <w:rPr>
                <w:b/>
              </w:rPr>
              <w:t>15.</w:t>
            </w:r>
            <w:r>
              <w:rPr>
                <w:b/>
              </w:rPr>
              <w:t>6</w:t>
            </w:r>
          </w:p>
        </w:tc>
        <w:tc>
          <w:tcPr>
            <w:tcW w:w="1361" w:type="dxa"/>
            <w:vAlign w:val="bottom"/>
          </w:tcPr>
          <w:p w14:paraId="7F9143D9" w14:textId="77777777" w:rsidR="00773F7B" w:rsidRPr="00FC1DD8" w:rsidRDefault="00773F7B" w:rsidP="00773F7B">
            <w:pPr>
              <w:pStyle w:val="T2"/>
              <w:jc w:val="right"/>
              <w:rPr>
                <w:b/>
                <w:bCs/>
              </w:rPr>
            </w:pPr>
            <w:r w:rsidRPr="00FC1DD8">
              <w:rPr>
                <w:b/>
                <w:bCs/>
              </w:rPr>
              <w:t>1.</w:t>
            </w:r>
            <w:r>
              <w:rPr>
                <w:b/>
                <w:bCs/>
              </w:rPr>
              <w:t>0</w:t>
            </w:r>
          </w:p>
        </w:tc>
        <w:tc>
          <w:tcPr>
            <w:tcW w:w="1361" w:type="dxa"/>
            <w:vAlign w:val="bottom"/>
          </w:tcPr>
          <w:p w14:paraId="02E4D4EC" w14:textId="77777777" w:rsidR="00773F7B" w:rsidRPr="00FC1DD8" w:rsidRDefault="00773F7B" w:rsidP="00773F7B">
            <w:pPr>
              <w:pStyle w:val="T2"/>
              <w:jc w:val="right"/>
              <w:rPr>
                <w:b/>
              </w:rPr>
            </w:pPr>
            <w:r w:rsidRPr="00FC1DD8">
              <w:rPr>
                <w:b/>
              </w:rPr>
              <w:t>5.</w:t>
            </w:r>
            <w:r>
              <w:rPr>
                <w:b/>
              </w:rPr>
              <w:t>3</w:t>
            </w:r>
          </w:p>
        </w:tc>
        <w:tc>
          <w:tcPr>
            <w:tcW w:w="1361" w:type="dxa"/>
            <w:vAlign w:val="bottom"/>
          </w:tcPr>
          <w:p w14:paraId="1FC9033B" w14:textId="77777777" w:rsidR="00773F7B" w:rsidRPr="00FC1DD8" w:rsidRDefault="00773F7B" w:rsidP="00773F7B">
            <w:pPr>
              <w:pStyle w:val="T2"/>
              <w:jc w:val="right"/>
              <w:rPr>
                <w:b/>
              </w:rPr>
            </w:pPr>
            <w:r w:rsidRPr="00FC1DD8">
              <w:rPr>
                <w:b/>
              </w:rPr>
              <w:t>2</w:t>
            </w:r>
            <w:r>
              <w:rPr>
                <w:b/>
              </w:rPr>
              <w:t>1</w:t>
            </w:r>
            <w:r w:rsidRPr="00FC1DD8">
              <w:rPr>
                <w:b/>
              </w:rPr>
              <w:t>.9</w:t>
            </w:r>
          </w:p>
        </w:tc>
      </w:tr>
      <w:tr w:rsidR="00773F7B" w14:paraId="1477875A" w14:textId="77777777" w:rsidTr="005B3BEE">
        <w:trPr>
          <w:jc w:val="center"/>
        </w:trPr>
        <w:tc>
          <w:tcPr>
            <w:tcW w:w="4337" w:type="dxa"/>
            <w:vAlign w:val="bottom"/>
          </w:tcPr>
          <w:p w14:paraId="3EA5E384" w14:textId="77777777" w:rsidR="00773F7B" w:rsidRDefault="00773F7B" w:rsidP="00773F7B">
            <w:pPr>
              <w:pStyle w:val="T2"/>
              <w:jc w:val="left"/>
            </w:pPr>
            <w:r>
              <w:t>Disposals</w:t>
            </w:r>
          </w:p>
        </w:tc>
        <w:tc>
          <w:tcPr>
            <w:tcW w:w="1361" w:type="dxa"/>
          </w:tcPr>
          <w:p w14:paraId="7D161D49" w14:textId="77777777" w:rsidR="00773F7B" w:rsidRPr="00FC1DD8" w:rsidRDefault="00773F7B" w:rsidP="00773F7B">
            <w:pPr>
              <w:pStyle w:val="T2"/>
              <w:jc w:val="right"/>
            </w:pPr>
            <w:r w:rsidRPr="00FC1DD8">
              <w:rPr>
                <w:b/>
              </w:rPr>
              <w:t>–</w:t>
            </w:r>
          </w:p>
        </w:tc>
        <w:tc>
          <w:tcPr>
            <w:tcW w:w="1361" w:type="dxa"/>
            <w:vAlign w:val="bottom"/>
          </w:tcPr>
          <w:p w14:paraId="546E6DA8" w14:textId="77777777" w:rsidR="00773F7B" w:rsidRPr="00FC1DD8" w:rsidRDefault="00773F7B" w:rsidP="00773F7B">
            <w:pPr>
              <w:pStyle w:val="T2"/>
              <w:jc w:val="right"/>
            </w:pPr>
            <w:r w:rsidRPr="00FC1DD8">
              <w:rPr>
                <w:b/>
              </w:rPr>
              <w:t>–</w:t>
            </w:r>
          </w:p>
        </w:tc>
        <w:tc>
          <w:tcPr>
            <w:tcW w:w="1361" w:type="dxa"/>
            <w:vAlign w:val="bottom"/>
          </w:tcPr>
          <w:p w14:paraId="2B71B4DA" w14:textId="77777777" w:rsidR="00773F7B" w:rsidRPr="00FC1DD8" w:rsidRDefault="00773F7B" w:rsidP="00773F7B">
            <w:pPr>
              <w:pStyle w:val="T2"/>
              <w:jc w:val="right"/>
              <w:rPr>
                <w:b/>
              </w:rPr>
            </w:pPr>
            <w:r w:rsidRPr="00FC1DD8">
              <w:rPr>
                <w:b/>
              </w:rPr>
              <w:t>(0.</w:t>
            </w:r>
            <w:r>
              <w:rPr>
                <w:b/>
              </w:rPr>
              <w:t>1</w:t>
            </w:r>
            <w:r w:rsidRPr="00FC1DD8">
              <w:rPr>
                <w:b/>
              </w:rPr>
              <w:t>)</w:t>
            </w:r>
          </w:p>
        </w:tc>
        <w:tc>
          <w:tcPr>
            <w:tcW w:w="1361" w:type="dxa"/>
            <w:vAlign w:val="bottom"/>
          </w:tcPr>
          <w:p w14:paraId="4433DB79" w14:textId="77777777" w:rsidR="00773F7B" w:rsidRPr="00FC1DD8" w:rsidRDefault="00773F7B" w:rsidP="00773F7B">
            <w:pPr>
              <w:pStyle w:val="T2"/>
              <w:jc w:val="right"/>
              <w:rPr>
                <w:b/>
              </w:rPr>
            </w:pPr>
            <w:r w:rsidRPr="00FC1DD8">
              <w:rPr>
                <w:b/>
              </w:rPr>
              <w:t>(0.</w:t>
            </w:r>
            <w:r>
              <w:rPr>
                <w:b/>
              </w:rPr>
              <w:t>1</w:t>
            </w:r>
            <w:r w:rsidRPr="00FC1DD8">
              <w:rPr>
                <w:b/>
              </w:rPr>
              <w:t>)</w:t>
            </w:r>
          </w:p>
        </w:tc>
      </w:tr>
      <w:tr w:rsidR="00773F7B" w14:paraId="5A89AEEF" w14:textId="77777777" w:rsidTr="005B3BEE">
        <w:trPr>
          <w:jc w:val="center"/>
        </w:trPr>
        <w:tc>
          <w:tcPr>
            <w:tcW w:w="4337" w:type="dxa"/>
            <w:tcBorders>
              <w:bottom w:val="single" w:sz="4" w:space="0" w:color="auto"/>
            </w:tcBorders>
            <w:vAlign w:val="bottom"/>
          </w:tcPr>
          <w:p w14:paraId="48904BBB" w14:textId="77777777" w:rsidR="00773F7B" w:rsidRPr="006D1798" w:rsidRDefault="00773F7B" w:rsidP="00773F7B">
            <w:pPr>
              <w:pStyle w:val="T2"/>
              <w:jc w:val="left"/>
            </w:pPr>
            <w:r>
              <w:t>Depreciation charge for the period</w:t>
            </w:r>
          </w:p>
        </w:tc>
        <w:tc>
          <w:tcPr>
            <w:tcW w:w="1361" w:type="dxa"/>
            <w:tcBorders>
              <w:bottom w:val="single" w:sz="4" w:space="0" w:color="auto"/>
            </w:tcBorders>
          </w:tcPr>
          <w:p w14:paraId="62B61C13" w14:textId="77777777" w:rsidR="00773F7B" w:rsidRPr="00FC1DD8" w:rsidRDefault="00773F7B" w:rsidP="00773F7B">
            <w:pPr>
              <w:pStyle w:val="T2"/>
              <w:jc w:val="right"/>
              <w:rPr>
                <w:b/>
              </w:rPr>
            </w:pPr>
            <w:r w:rsidRPr="00FC1DD8">
              <w:rPr>
                <w:b/>
              </w:rPr>
              <w:t>(2.</w:t>
            </w:r>
            <w:r>
              <w:rPr>
                <w:b/>
              </w:rPr>
              <w:t>1</w:t>
            </w:r>
            <w:r w:rsidRPr="00FC1DD8">
              <w:rPr>
                <w:b/>
              </w:rPr>
              <w:t>)</w:t>
            </w:r>
          </w:p>
        </w:tc>
        <w:tc>
          <w:tcPr>
            <w:tcW w:w="1361" w:type="dxa"/>
            <w:tcBorders>
              <w:bottom w:val="single" w:sz="4" w:space="0" w:color="auto"/>
            </w:tcBorders>
            <w:vAlign w:val="bottom"/>
          </w:tcPr>
          <w:p w14:paraId="7F5FE841" w14:textId="77777777" w:rsidR="00773F7B" w:rsidRPr="00FC1DD8" w:rsidRDefault="00773F7B" w:rsidP="00773F7B">
            <w:pPr>
              <w:pStyle w:val="T2"/>
              <w:jc w:val="right"/>
              <w:rPr>
                <w:b/>
              </w:rPr>
            </w:pPr>
            <w:r w:rsidRPr="00FC1DD8">
              <w:rPr>
                <w:b/>
              </w:rPr>
              <w:t>(1.1)</w:t>
            </w:r>
          </w:p>
        </w:tc>
        <w:tc>
          <w:tcPr>
            <w:tcW w:w="1361" w:type="dxa"/>
            <w:tcBorders>
              <w:bottom w:val="single" w:sz="4" w:space="0" w:color="auto"/>
            </w:tcBorders>
            <w:vAlign w:val="bottom"/>
          </w:tcPr>
          <w:p w14:paraId="1D5E0046" w14:textId="77777777" w:rsidR="00773F7B" w:rsidRPr="00FC1DD8" w:rsidRDefault="00773F7B" w:rsidP="00773F7B">
            <w:pPr>
              <w:pStyle w:val="T2"/>
              <w:jc w:val="right"/>
              <w:rPr>
                <w:b/>
              </w:rPr>
            </w:pPr>
            <w:r w:rsidRPr="00FC1DD8">
              <w:rPr>
                <w:b/>
              </w:rPr>
              <w:t>(</w:t>
            </w:r>
            <w:r>
              <w:rPr>
                <w:b/>
              </w:rPr>
              <w:t>2.8</w:t>
            </w:r>
            <w:r w:rsidRPr="00FC1DD8">
              <w:rPr>
                <w:b/>
              </w:rPr>
              <w:t>)</w:t>
            </w:r>
          </w:p>
        </w:tc>
        <w:tc>
          <w:tcPr>
            <w:tcW w:w="1361" w:type="dxa"/>
            <w:tcBorders>
              <w:bottom w:val="single" w:sz="4" w:space="0" w:color="auto"/>
            </w:tcBorders>
            <w:vAlign w:val="bottom"/>
          </w:tcPr>
          <w:p w14:paraId="3A3D3E3E" w14:textId="77777777" w:rsidR="00773F7B" w:rsidRPr="00FC1DD8" w:rsidRDefault="00773F7B" w:rsidP="00773F7B">
            <w:pPr>
              <w:pStyle w:val="T2"/>
              <w:jc w:val="right"/>
              <w:rPr>
                <w:b/>
              </w:rPr>
            </w:pPr>
            <w:r w:rsidRPr="00FC1DD8">
              <w:rPr>
                <w:b/>
              </w:rPr>
              <w:t>(6.</w:t>
            </w:r>
            <w:r>
              <w:rPr>
                <w:b/>
              </w:rPr>
              <w:t>0</w:t>
            </w:r>
            <w:r w:rsidRPr="00FC1DD8">
              <w:rPr>
                <w:b/>
              </w:rPr>
              <w:t>)</w:t>
            </w:r>
          </w:p>
        </w:tc>
      </w:tr>
      <w:tr w:rsidR="00773F7B" w14:paraId="568BA527" w14:textId="77777777" w:rsidTr="005B3BEE">
        <w:trPr>
          <w:jc w:val="center"/>
        </w:trPr>
        <w:tc>
          <w:tcPr>
            <w:tcW w:w="4337" w:type="dxa"/>
            <w:tcBorders>
              <w:top w:val="single" w:sz="4" w:space="0" w:color="auto"/>
              <w:bottom w:val="single" w:sz="8" w:space="0" w:color="auto"/>
            </w:tcBorders>
            <w:vAlign w:val="bottom"/>
          </w:tcPr>
          <w:p w14:paraId="6F08DB91" w14:textId="77777777" w:rsidR="00773F7B" w:rsidRPr="005D0EFF" w:rsidRDefault="00773F7B" w:rsidP="00773F7B">
            <w:pPr>
              <w:pStyle w:val="T2"/>
              <w:jc w:val="left"/>
              <w:rPr>
                <w:b/>
              </w:rPr>
            </w:pPr>
            <w:r>
              <w:rPr>
                <w:b/>
              </w:rPr>
              <w:t>Right-of-use leased assets a</w:t>
            </w:r>
            <w:r w:rsidRPr="005D0EFF">
              <w:rPr>
                <w:b/>
              </w:rPr>
              <w:t xml:space="preserve">t </w:t>
            </w:r>
            <w:r>
              <w:rPr>
                <w:b/>
              </w:rPr>
              <w:t>27 March 2020</w:t>
            </w:r>
          </w:p>
        </w:tc>
        <w:tc>
          <w:tcPr>
            <w:tcW w:w="1361" w:type="dxa"/>
            <w:tcBorders>
              <w:top w:val="single" w:sz="4" w:space="0" w:color="auto"/>
              <w:bottom w:val="single" w:sz="8" w:space="0" w:color="auto"/>
            </w:tcBorders>
          </w:tcPr>
          <w:p w14:paraId="41DC3439" w14:textId="77777777" w:rsidR="00773F7B" w:rsidRPr="005D0EFF" w:rsidRDefault="00773F7B" w:rsidP="00773F7B">
            <w:pPr>
              <w:pStyle w:val="T2"/>
              <w:jc w:val="right"/>
              <w:rPr>
                <w:b/>
              </w:rPr>
            </w:pPr>
            <w:r>
              <w:rPr>
                <w:b/>
              </w:rPr>
              <w:t>37.8</w:t>
            </w:r>
          </w:p>
        </w:tc>
        <w:tc>
          <w:tcPr>
            <w:tcW w:w="1361" w:type="dxa"/>
            <w:tcBorders>
              <w:top w:val="single" w:sz="4" w:space="0" w:color="auto"/>
              <w:bottom w:val="single" w:sz="8" w:space="0" w:color="auto"/>
            </w:tcBorders>
            <w:vAlign w:val="bottom"/>
          </w:tcPr>
          <w:p w14:paraId="37CC53F0" w14:textId="77777777" w:rsidR="00773F7B" w:rsidRPr="005D0EFF" w:rsidRDefault="00773F7B" w:rsidP="00773F7B">
            <w:pPr>
              <w:pStyle w:val="T2"/>
              <w:jc w:val="right"/>
              <w:rPr>
                <w:b/>
                <w:bCs/>
              </w:rPr>
            </w:pPr>
            <w:r>
              <w:rPr>
                <w:b/>
                <w:bCs/>
              </w:rPr>
              <w:t>5.1</w:t>
            </w:r>
          </w:p>
        </w:tc>
        <w:tc>
          <w:tcPr>
            <w:tcW w:w="1361" w:type="dxa"/>
            <w:tcBorders>
              <w:top w:val="single" w:sz="4" w:space="0" w:color="auto"/>
              <w:bottom w:val="single" w:sz="8" w:space="0" w:color="auto"/>
            </w:tcBorders>
            <w:vAlign w:val="bottom"/>
          </w:tcPr>
          <w:p w14:paraId="34BCE0E0" w14:textId="77777777" w:rsidR="00773F7B" w:rsidRPr="005D0EFF" w:rsidRDefault="00773F7B" w:rsidP="00773F7B">
            <w:pPr>
              <w:pStyle w:val="T2"/>
              <w:jc w:val="right"/>
              <w:rPr>
                <w:b/>
              </w:rPr>
            </w:pPr>
            <w:r>
              <w:rPr>
                <w:b/>
              </w:rPr>
              <w:t>14.1</w:t>
            </w:r>
          </w:p>
        </w:tc>
        <w:tc>
          <w:tcPr>
            <w:tcW w:w="1361" w:type="dxa"/>
            <w:tcBorders>
              <w:top w:val="single" w:sz="4" w:space="0" w:color="auto"/>
              <w:bottom w:val="single" w:sz="8" w:space="0" w:color="auto"/>
            </w:tcBorders>
            <w:vAlign w:val="bottom"/>
          </w:tcPr>
          <w:p w14:paraId="4D0BBE2D" w14:textId="77777777" w:rsidR="00773F7B" w:rsidRPr="005D0EFF" w:rsidRDefault="00773F7B" w:rsidP="00773F7B">
            <w:pPr>
              <w:pStyle w:val="T2"/>
              <w:jc w:val="right"/>
              <w:rPr>
                <w:b/>
              </w:rPr>
            </w:pPr>
            <w:r>
              <w:rPr>
                <w:b/>
              </w:rPr>
              <w:t>57.0</w:t>
            </w:r>
          </w:p>
        </w:tc>
      </w:tr>
    </w:tbl>
    <w:p w14:paraId="464BBD15" w14:textId="77777777" w:rsidR="00773F7B" w:rsidRDefault="00773F7B" w:rsidP="005B3BEE">
      <w:pPr>
        <w:pStyle w:val="Paragraph"/>
        <w:spacing w:after="120"/>
      </w:pPr>
      <w:r>
        <w:t>T</w:t>
      </w:r>
      <w:r w:rsidRPr="00381039">
        <w:t xml:space="preserve">he movement in the Group’s </w:t>
      </w:r>
      <w:r>
        <w:t>lease liabilities</w:t>
      </w:r>
      <w:r w:rsidRPr="00381039">
        <w:t xml:space="preserve"> during the period is as follows:</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17"/>
      </w:tblGrid>
      <w:tr w:rsidR="00773F7B" w14:paraId="3B640134" w14:textId="77777777" w:rsidTr="005B3BEE">
        <w:trPr>
          <w:jc w:val="center"/>
        </w:trPr>
        <w:tc>
          <w:tcPr>
            <w:tcW w:w="8364" w:type="dxa"/>
            <w:vAlign w:val="bottom"/>
          </w:tcPr>
          <w:p w14:paraId="62A1A864" w14:textId="77777777" w:rsidR="00773F7B" w:rsidRPr="006D1798" w:rsidRDefault="00773F7B" w:rsidP="00773F7B">
            <w:pPr>
              <w:pStyle w:val="T2"/>
              <w:jc w:val="left"/>
            </w:pPr>
          </w:p>
        </w:tc>
        <w:tc>
          <w:tcPr>
            <w:tcW w:w="1417" w:type="dxa"/>
            <w:vAlign w:val="bottom"/>
          </w:tcPr>
          <w:p w14:paraId="6EC5F564" w14:textId="77777777" w:rsidR="00773F7B" w:rsidRPr="006215CC" w:rsidRDefault="00773F7B" w:rsidP="00773F7B">
            <w:pPr>
              <w:pStyle w:val="T2"/>
              <w:jc w:val="right"/>
              <w:rPr>
                <w:b/>
              </w:rPr>
            </w:pPr>
            <w:r>
              <w:rPr>
                <w:b/>
              </w:rPr>
              <w:t>Total</w:t>
            </w:r>
          </w:p>
        </w:tc>
      </w:tr>
      <w:tr w:rsidR="00773F7B" w14:paraId="15E6C932" w14:textId="77777777" w:rsidTr="005B3BEE">
        <w:trPr>
          <w:jc w:val="center"/>
        </w:trPr>
        <w:tc>
          <w:tcPr>
            <w:tcW w:w="8364" w:type="dxa"/>
            <w:tcBorders>
              <w:bottom w:val="single" w:sz="2" w:space="0" w:color="auto"/>
            </w:tcBorders>
            <w:vAlign w:val="bottom"/>
          </w:tcPr>
          <w:p w14:paraId="068EF5BF" w14:textId="77777777" w:rsidR="00773F7B" w:rsidRPr="006D1798" w:rsidRDefault="00773F7B" w:rsidP="00773F7B">
            <w:pPr>
              <w:pStyle w:val="T2"/>
              <w:jc w:val="left"/>
            </w:pPr>
          </w:p>
        </w:tc>
        <w:tc>
          <w:tcPr>
            <w:tcW w:w="1417" w:type="dxa"/>
            <w:tcBorders>
              <w:bottom w:val="single" w:sz="2" w:space="0" w:color="auto"/>
            </w:tcBorders>
            <w:vAlign w:val="bottom"/>
          </w:tcPr>
          <w:p w14:paraId="3576494C" w14:textId="77777777" w:rsidR="00773F7B" w:rsidRPr="006215CC" w:rsidRDefault="00773F7B" w:rsidP="00773F7B">
            <w:pPr>
              <w:pStyle w:val="T2"/>
              <w:jc w:val="right"/>
              <w:rPr>
                <w:b/>
              </w:rPr>
            </w:pPr>
            <w:r w:rsidRPr="006215CC">
              <w:rPr>
                <w:b/>
              </w:rPr>
              <w:t>£m</w:t>
            </w:r>
          </w:p>
        </w:tc>
      </w:tr>
      <w:tr w:rsidR="00773F7B" w14:paraId="5D361218" w14:textId="77777777" w:rsidTr="005B3BEE">
        <w:trPr>
          <w:jc w:val="center"/>
        </w:trPr>
        <w:tc>
          <w:tcPr>
            <w:tcW w:w="8364" w:type="dxa"/>
            <w:tcBorders>
              <w:top w:val="single" w:sz="2" w:space="0" w:color="auto"/>
            </w:tcBorders>
            <w:vAlign w:val="bottom"/>
          </w:tcPr>
          <w:p w14:paraId="51C13BCF" w14:textId="77777777" w:rsidR="00773F7B" w:rsidRPr="006D1798" w:rsidRDefault="00773F7B" w:rsidP="00773F7B">
            <w:pPr>
              <w:pStyle w:val="T2"/>
              <w:jc w:val="left"/>
            </w:pPr>
            <w:r>
              <w:t>At 27 September 2019</w:t>
            </w:r>
          </w:p>
        </w:tc>
        <w:tc>
          <w:tcPr>
            <w:tcW w:w="1417" w:type="dxa"/>
            <w:tcBorders>
              <w:top w:val="single" w:sz="2" w:space="0" w:color="auto"/>
            </w:tcBorders>
            <w:vAlign w:val="bottom"/>
          </w:tcPr>
          <w:p w14:paraId="7D205A53" w14:textId="77777777" w:rsidR="00773F7B" w:rsidRPr="006215CC" w:rsidRDefault="00773F7B" w:rsidP="00773F7B">
            <w:pPr>
              <w:pStyle w:val="T2"/>
              <w:jc w:val="right"/>
              <w:rPr>
                <w:b/>
              </w:rPr>
            </w:pPr>
            <w:r>
              <w:rPr>
                <w:b/>
              </w:rPr>
              <w:t>–</w:t>
            </w:r>
          </w:p>
        </w:tc>
      </w:tr>
      <w:tr w:rsidR="00773F7B" w14:paraId="18F0D750" w14:textId="77777777" w:rsidTr="005B3BEE">
        <w:trPr>
          <w:jc w:val="center"/>
        </w:trPr>
        <w:tc>
          <w:tcPr>
            <w:tcW w:w="8364" w:type="dxa"/>
            <w:vAlign w:val="bottom"/>
          </w:tcPr>
          <w:p w14:paraId="7E610AF1" w14:textId="77777777" w:rsidR="00773F7B" w:rsidRPr="006D1798" w:rsidRDefault="00773F7B" w:rsidP="00773F7B">
            <w:pPr>
              <w:pStyle w:val="T2"/>
              <w:jc w:val="left"/>
            </w:pPr>
            <w:r>
              <w:t>IFRS 16 Transition adjustment (note 2)</w:t>
            </w:r>
          </w:p>
        </w:tc>
        <w:tc>
          <w:tcPr>
            <w:tcW w:w="1417" w:type="dxa"/>
            <w:vAlign w:val="bottom"/>
          </w:tcPr>
          <w:p w14:paraId="6BEDB2CA" w14:textId="77777777" w:rsidR="00773F7B" w:rsidRPr="006215CC" w:rsidRDefault="00773F7B" w:rsidP="00773F7B">
            <w:pPr>
              <w:pStyle w:val="T2"/>
              <w:jc w:val="right"/>
              <w:rPr>
                <w:b/>
              </w:rPr>
            </w:pPr>
            <w:r>
              <w:rPr>
                <w:b/>
              </w:rPr>
              <w:t>46.4</w:t>
            </w:r>
          </w:p>
        </w:tc>
      </w:tr>
      <w:tr w:rsidR="00773F7B" w14:paraId="506201B9" w14:textId="77777777" w:rsidTr="005B3BEE">
        <w:trPr>
          <w:jc w:val="center"/>
        </w:trPr>
        <w:tc>
          <w:tcPr>
            <w:tcW w:w="8364" w:type="dxa"/>
            <w:vAlign w:val="bottom"/>
          </w:tcPr>
          <w:p w14:paraId="6A80C923" w14:textId="77777777" w:rsidR="00773F7B" w:rsidRPr="006D1798" w:rsidRDefault="00773F7B" w:rsidP="00773F7B">
            <w:pPr>
              <w:pStyle w:val="T2"/>
              <w:jc w:val="left"/>
            </w:pPr>
            <w:r>
              <w:t xml:space="preserve">Additions </w:t>
            </w:r>
          </w:p>
        </w:tc>
        <w:tc>
          <w:tcPr>
            <w:tcW w:w="1417" w:type="dxa"/>
            <w:vAlign w:val="bottom"/>
          </w:tcPr>
          <w:p w14:paraId="69B142F1" w14:textId="77777777" w:rsidR="00773F7B" w:rsidRPr="006215CC" w:rsidRDefault="00773F7B" w:rsidP="00773F7B">
            <w:pPr>
              <w:pStyle w:val="T2"/>
              <w:jc w:val="right"/>
              <w:rPr>
                <w:b/>
              </w:rPr>
            </w:pPr>
            <w:r>
              <w:rPr>
                <w:b/>
              </w:rPr>
              <w:t>21.9</w:t>
            </w:r>
          </w:p>
        </w:tc>
      </w:tr>
      <w:tr w:rsidR="00773F7B" w14:paraId="61155EC1" w14:textId="77777777" w:rsidTr="005B3BEE">
        <w:trPr>
          <w:jc w:val="center"/>
        </w:trPr>
        <w:tc>
          <w:tcPr>
            <w:tcW w:w="8364" w:type="dxa"/>
            <w:vAlign w:val="bottom"/>
          </w:tcPr>
          <w:p w14:paraId="5AE8FECE" w14:textId="77777777" w:rsidR="00773F7B" w:rsidRDefault="00773F7B" w:rsidP="00773F7B">
            <w:pPr>
              <w:pStyle w:val="T2"/>
              <w:jc w:val="left"/>
            </w:pPr>
            <w:r>
              <w:t xml:space="preserve">Disposals </w:t>
            </w:r>
          </w:p>
        </w:tc>
        <w:tc>
          <w:tcPr>
            <w:tcW w:w="1417" w:type="dxa"/>
            <w:vAlign w:val="bottom"/>
          </w:tcPr>
          <w:p w14:paraId="3784148E" w14:textId="77777777" w:rsidR="00773F7B" w:rsidRPr="001E1407" w:rsidRDefault="00773F7B" w:rsidP="00773F7B">
            <w:pPr>
              <w:pStyle w:val="T2"/>
              <w:jc w:val="right"/>
              <w:rPr>
                <w:b/>
              </w:rPr>
            </w:pPr>
            <w:r w:rsidRPr="001E1407">
              <w:rPr>
                <w:b/>
              </w:rPr>
              <w:t>(0.</w:t>
            </w:r>
            <w:r>
              <w:rPr>
                <w:b/>
              </w:rPr>
              <w:t>1</w:t>
            </w:r>
            <w:r w:rsidRPr="001E1407">
              <w:rPr>
                <w:b/>
              </w:rPr>
              <w:t>)</w:t>
            </w:r>
          </w:p>
        </w:tc>
      </w:tr>
      <w:tr w:rsidR="00773F7B" w14:paraId="02247CB0" w14:textId="77777777" w:rsidTr="005B3BEE">
        <w:trPr>
          <w:jc w:val="center"/>
        </w:trPr>
        <w:tc>
          <w:tcPr>
            <w:tcW w:w="8364" w:type="dxa"/>
            <w:vAlign w:val="bottom"/>
          </w:tcPr>
          <w:p w14:paraId="0BE103C8" w14:textId="77777777" w:rsidR="00773F7B" w:rsidRPr="006D1798" w:rsidRDefault="00773F7B" w:rsidP="00773F7B">
            <w:pPr>
              <w:pStyle w:val="T2"/>
              <w:jc w:val="left"/>
            </w:pPr>
            <w:r>
              <w:t>Payments</w:t>
            </w:r>
          </w:p>
        </w:tc>
        <w:tc>
          <w:tcPr>
            <w:tcW w:w="1417" w:type="dxa"/>
            <w:vAlign w:val="bottom"/>
          </w:tcPr>
          <w:p w14:paraId="525AD830" w14:textId="77777777" w:rsidR="00773F7B" w:rsidRPr="008A2066" w:rsidRDefault="00773F7B" w:rsidP="00773F7B">
            <w:pPr>
              <w:pStyle w:val="T2"/>
              <w:jc w:val="right"/>
              <w:rPr>
                <w:b/>
              </w:rPr>
            </w:pPr>
            <w:r w:rsidRPr="001E1407">
              <w:rPr>
                <w:b/>
              </w:rPr>
              <w:t>(5.</w:t>
            </w:r>
            <w:r>
              <w:rPr>
                <w:b/>
              </w:rPr>
              <w:t>4</w:t>
            </w:r>
            <w:r w:rsidRPr="001E1407">
              <w:rPr>
                <w:b/>
              </w:rPr>
              <w:t>)</w:t>
            </w:r>
          </w:p>
        </w:tc>
      </w:tr>
      <w:tr w:rsidR="00773F7B" w14:paraId="4CBCC925" w14:textId="77777777" w:rsidTr="005B3BEE">
        <w:trPr>
          <w:jc w:val="center"/>
        </w:trPr>
        <w:tc>
          <w:tcPr>
            <w:tcW w:w="8364" w:type="dxa"/>
            <w:tcBorders>
              <w:bottom w:val="single" w:sz="2" w:space="0" w:color="auto"/>
            </w:tcBorders>
            <w:vAlign w:val="bottom"/>
          </w:tcPr>
          <w:p w14:paraId="4CD017D8" w14:textId="77777777" w:rsidR="00773F7B" w:rsidRDefault="00F035CB" w:rsidP="00773F7B">
            <w:pPr>
              <w:pStyle w:val="T2"/>
              <w:jc w:val="left"/>
            </w:pPr>
            <w:r>
              <w:lastRenderedPageBreak/>
              <w:t xml:space="preserve">Lease interest </w:t>
            </w:r>
          </w:p>
        </w:tc>
        <w:tc>
          <w:tcPr>
            <w:tcW w:w="1417" w:type="dxa"/>
            <w:tcBorders>
              <w:bottom w:val="single" w:sz="2" w:space="0" w:color="auto"/>
            </w:tcBorders>
            <w:vAlign w:val="bottom"/>
          </w:tcPr>
          <w:p w14:paraId="662FA43E" w14:textId="77777777" w:rsidR="00773F7B" w:rsidRPr="006215CC" w:rsidRDefault="00773F7B" w:rsidP="00773F7B">
            <w:pPr>
              <w:pStyle w:val="T2"/>
              <w:jc w:val="right"/>
              <w:rPr>
                <w:b/>
              </w:rPr>
            </w:pPr>
            <w:r>
              <w:rPr>
                <w:b/>
              </w:rPr>
              <w:t>0.5</w:t>
            </w:r>
          </w:p>
        </w:tc>
      </w:tr>
      <w:tr w:rsidR="00773F7B" w14:paraId="7952AAD6" w14:textId="77777777" w:rsidTr="005B3BEE">
        <w:trPr>
          <w:jc w:val="center"/>
        </w:trPr>
        <w:tc>
          <w:tcPr>
            <w:tcW w:w="8364" w:type="dxa"/>
            <w:tcBorders>
              <w:top w:val="single" w:sz="2" w:space="0" w:color="auto"/>
              <w:bottom w:val="single" w:sz="8" w:space="0" w:color="auto"/>
            </w:tcBorders>
            <w:vAlign w:val="bottom"/>
          </w:tcPr>
          <w:p w14:paraId="017D7C7E" w14:textId="77777777" w:rsidR="00773F7B" w:rsidRPr="006215CC" w:rsidRDefault="00773F7B" w:rsidP="00773F7B">
            <w:pPr>
              <w:pStyle w:val="T2"/>
              <w:jc w:val="left"/>
              <w:rPr>
                <w:b/>
              </w:rPr>
            </w:pPr>
            <w:r>
              <w:rPr>
                <w:b/>
              </w:rPr>
              <w:t>Lease liabilities at</w:t>
            </w:r>
            <w:r w:rsidRPr="006215CC">
              <w:rPr>
                <w:b/>
              </w:rPr>
              <w:t xml:space="preserve"> </w:t>
            </w:r>
            <w:r>
              <w:rPr>
                <w:b/>
              </w:rPr>
              <w:t>27 March</w:t>
            </w:r>
            <w:r w:rsidRPr="006215CC">
              <w:rPr>
                <w:b/>
              </w:rPr>
              <w:t xml:space="preserve"> 2020</w:t>
            </w:r>
          </w:p>
        </w:tc>
        <w:tc>
          <w:tcPr>
            <w:tcW w:w="1417" w:type="dxa"/>
            <w:tcBorders>
              <w:top w:val="single" w:sz="2" w:space="0" w:color="auto"/>
              <w:bottom w:val="single" w:sz="8" w:space="0" w:color="auto"/>
            </w:tcBorders>
            <w:vAlign w:val="bottom"/>
          </w:tcPr>
          <w:p w14:paraId="461D9E67" w14:textId="77777777" w:rsidR="00773F7B" w:rsidRPr="006215CC" w:rsidRDefault="00773F7B" w:rsidP="00773F7B">
            <w:pPr>
              <w:pStyle w:val="T2"/>
              <w:jc w:val="right"/>
              <w:rPr>
                <w:b/>
              </w:rPr>
            </w:pPr>
            <w:r>
              <w:rPr>
                <w:b/>
              </w:rPr>
              <w:t>63.3</w:t>
            </w:r>
          </w:p>
        </w:tc>
      </w:tr>
    </w:tbl>
    <w:p w14:paraId="652D8791" w14:textId="77777777" w:rsidR="00EF1A4B" w:rsidRDefault="00EF1A4B" w:rsidP="005B3BEE">
      <w:pPr>
        <w:pStyle w:val="SectionH3"/>
      </w:pPr>
    </w:p>
    <w:p w14:paraId="3A47BBEE" w14:textId="7AF6B292" w:rsidR="007645C9" w:rsidRPr="003232EE" w:rsidRDefault="007645C9" w:rsidP="005B3BEE">
      <w:pPr>
        <w:pStyle w:val="SectionH3"/>
      </w:pPr>
      <w:r>
        <w:t>11</w:t>
      </w:r>
      <w:r w:rsidRPr="003232EE">
        <w:t>.</w:t>
      </w:r>
      <w:r w:rsidR="00E22BB3">
        <w:tab/>
      </w:r>
      <w:r>
        <w:t>Leases</w:t>
      </w:r>
      <w:r w:rsidRPr="00B37DA6">
        <w:t xml:space="preserve"> </w:t>
      </w:r>
      <w:r>
        <w:t>(continued)</w:t>
      </w:r>
    </w:p>
    <w:p w14:paraId="7370BBBD" w14:textId="632650A6" w:rsidR="00773F7B" w:rsidRDefault="00773F7B" w:rsidP="005B3BEE">
      <w:pPr>
        <w:pStyle w:val="Paragraph"/>
        <w:spacing w:before="0" w:after="120"/>
        <w:jc w:val="both"/>
      </w:pPr>
      <w:r w:rsidRPr="00381039">
        <w:t xml:space="preserve">An analysis of the maturity profile </w:t>
      </w:r>
      <w:r>
        <w:t>of the discounted lease liabilities</w:t>
      </w:r>
      <w:r w:rsidRPr="00381039">
        <w:t xml:space="preserve"> arising from the Group’s leasing activities as at </w:t>
      </w:r>
      <w:r>
        <w:t>27 March 2020</w:t>
      </w:r>
      <w:r w:rsidRPr="00381039">
        <w:t xml:space="preserve"> is as follows: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559"/>
        <w:gridCol w:w="1843"/>
        <w:gridCol w:w="1134"/>
      </w:tblGrid>
      <w:tr w:rsidR="00773F7B" w14:paraId="1C261DB5" w14:textId="77777777" w:rsidTr="00773F7B">
        <w:tc>
          <w:tcPr>
            <w:tcW w:w="8647" w:type="dxa"/>
            <w:gridSpan w:val="3"/>
            <w:vAlign w:val="bottom"/>
          </w:tcPr>
          <w:p w14:paraId="46DF465C" w14:textId="77777777" w:rsidR="00773F7B" w:rsidRPr="00453A62" w:rsidRDefault="00773F7B" w:rsidP="00773F7B">
            <w:pPr>
              <w:pStyle w:val="T2"/>
              <w:jc w:val="left"/>
              <w:rPr>
                <w:b/>
              </w:rPr>
            </w:pPr>
          </w:p>
        </w:tc>
        <w:tc>
          <w:tcPr>
            <w:tcW w:w="1134" w:type="dxa"/>
            <w:vAlign w:val="bottom"/>
          </w:tcPr>
          <w:p w14:paraId="7E9B0545" w14:textId="77777777" w:rsidR="00773F7B" w:rsidRPr="00453A62" w:rsidRDefault="00773F7B" w:rsidP="00773F7B">
            <w:pPr>
              <w:pStyle w:val="T2"/>
              <w:jc w:val="right"/>
              <w:rPr>
                <w:b/>
              </w:rPr>
            </w:pPr>
            <w:r>
              <w:rPr>
                <w:b/>
              </w:rPr>
              <w:t xml:space="preserve">27 </w:t>
            </w:r>
            <w:r w:rsidRPr="00453A62">
              <w:rPr>
                <w:b/>
              </w:rPr>
              <w:t>March 20</w:t>
            </w:r>
            <w:r>
              <w:rPr>
                <w:b/>
              </w:rPr>
              <w:t>20</w:t>
            </w:r>
          </w:p>
        </w:tc>
      </w:tr>
      <w:tr w:rsidR="00773F7B" w14:paraId="2AC5944A" w14:textId="77777777" w:rsidTr="00773F7B">
        <w:tc>
          <w:tcPr>
            <w:tcW w:w="8647" w:type="dxa"/>
            <w:gridSpan w:val="3"/>
            <w:tcBorders>
              <w:bottom w:val="single" w:sz="2" w:space="0" w:color="auto"/>
            </w:tcBorders>
            <w:vAlign w:val="bottom"/>
          </w:tcPr>
          <w:p w14:paraId="7D4E631F" w14:textId="77777777" w:rsidR="00773F7B" w:rsidRPr="00453A62" w:rsidRDefault="00773F7B" w:rsidP="00773F7B">
            <w:pPr>
              <w:pStyle w:val="T2"/>
              <w:jc w:val="left"/>
              <w:rPr>
                <w:b/>
              </w:rPr>
            </w:pPr>
          </w:p>
        </w:tc>
        <w:tc>
          <w:tcPr>
            <w:tcW w:w="1134" w:type="dxa"/>
            <w:tcBorders>
              <w:bottom w:val="single" w:sz="2" w:space="0" w:color="auto"/>
            </w:tcBorders>
            <w:vAlign w:val="bottom"/>
          </w:tcPr>
          <w:p w14:paraId="433D8935" w14:textId="77777777" w:rsidR="00773F7B" w:rsidRPr="00453A62" w:rsidRDefault="00773F7B" w:rsidP="00773F7B">
            <w:pPr>
              <w:pStyle w:val="T2"/>
              <w:jc w:val="right"/>
              <w:rPr>
                <w:b/>
              </w:rPr>
            </w:pPr>
            <w:r w:rsidRPr="00453A62">
              <w:rPr>
                <w:b/>
              </w:rPr>
              <w:t>£m</w:t>
            </w:r>
          </w:p>
        </w:tc>
      </w:tr>
      <w:tr w:rsidR="00773F7B" w14:paraId="21155780" w14:textId="77777777" w:rsidTr="00773F7B">
        <w:tc>
          <w:tcPr>
            <w:tcW w:w="8647" w:type="dxa"/>
            <w:gridSpan w:val="3"/>
            <w:tcBorders>
              <w:top w:val="single" w:sz="2" w:space="0" w:color="auto"/>
            </w:tcBorders>
            <w:vAlign w:val="bottom"/>
          </w:tcPr>
          <w:p w14:paraId="78D6B325" w14:textId="77777777" w:rsidR="00773F7B" w:rsidRPr="00D44C1D" w:rsidRDefault="00773F7B" w:rsidP="00773F7B">
            <w:pPr>
              <w:pStyle w:val="T2"/>
              <w:jc w:val="left"/>
            </w:pPr>
            <w:r>
              <w:t>Within one year</w:t>
            </w:r>
            <w:r w:rsidRPr="00D44C1D">
              <w:t xml:space="preserve"> </w:t>
            </w:r>
          </w:p>
        </w:tc>
        <w:tc>
          <w:tcPr>
            <w:tcW w:w="1134" w:type="dxa"/>
            <w:tcBorders>
              <w:top w:val="single" w:sz="2" w:space="0" w:color="auto"/>
            </w:tcBorders>
            <w:vAlign w:val="bottom"/>
          </w:tcPr>
          <w:p w14:paraId="5FA39198" w14:textId="77777777" w:rsidR="00773F7B" w:rsidRPr="00453A62" w:rsidRDefault="00773F7B" w:rsidP="00773F7B">
            <w:pPr>
              <w:pStyle w:val="T2"/>
              <w:jc w:val="right"/>
              <w:rPr>
                <w:b/>
              </w:rPr>
            </w:pPr>
            <w:r>
              <w:rPr>
                <w:b/>
              </w:rPr>
              <w:t>14.3</w:t>
            </w:r>
          </w:p>
        </w:tc>
      </w:tr>
      <w:tr w:rsidR="00773F7B" w14:paraId="4A7FF371" w14:textId="77777777" w:rsidTr="00773F7B">
        <w:tc>
          <w:tcPr>
            <w:tcW w:w="8647" w:type="dxa"/>
            <w:gridSpan w:val="3"/>
            <w:vAlign w:val="bottom"/>
          </w:tcPr>
          <w:p w14:paraId="4ACA96D3" w14:textId="77777777" w:rsidR="00773F7B" w:rsidRPr="00D44C1D" w:rsidRDefault="00773F7B" w:rsidP="00773F7B">
            <w:pPr>
              <w:pStyle w:val="T2"/>
              <w:jc w:val="left"/>
            </w:pPr>
            <w:r>
              <w:t>Between one and five years</w:t>
            </w:r>
          </w:p>
        </w:tc>
        <w:tc>
          <w:tcPr>
            <w:tcW w:w="1134" w:type="dxa"/>
            <w:vAlign w:val="bottom"/>
          </w:tcPr>
          <w:p w14:paraId="590907E0" w14:textId="77777777" w:rsidR="00773F7B" w:rsidRPr="00453A62" w:rsidRDefault="00773F7B" w:rsidP="00773F7B">
            <w:pPr>
              <w:pStyle w:val="T2"/>
              <w:jc w:val="right"/>
              <w:rPr>
                <w:b/>
              </w:rPr>
            </w:pPr>
            <w:r>
              <w:rPr>
                <w:b/>
              </w:rPr>
              <w:t>32.0</w:t>
            </w:r>
          </w:p>
        </w:tc>
      </w:tr>
      <w:tr w:rsidR="00773F7B" w14:paraId="4C556B2C" w14:textId="77777777" w:rsidTr="00773F7B">
        <w:tc>
          <w:tcPr>
            <w:tcW w:w="8647" w:type="dxa"/>
            <w:gridSpan w:val="3"/>
            <w:tcBorders>
              <w:bottom w:val="single" w:sz="2" w:space="0" w:color="auto"/>
            </w:tcBorders>
            <w:vAlign w:val="bottom"/>
          </w:tcPr>
          <w:p w14:paraId="29AB1270" w14:textId="77777777" w:rsidR="00773F7B" w:rsidRPr="00D44C1D" w:rsidRDefault="00773F7B" w:rsidP="00773F7B">
            <w:pPr>
              <w:pStyle w:val="T2"/>
              <w:jc w:val="left"/>
            </w:pPr>
            <w:r>
              <w:t>Over 5 years</w:t>
            </w:r>
          </w:p>
        </w:tc>
        <w:tc>
          <w:tcPr>
            <w:tcW w:w="1134" w:type="dxa"/>
            <w:tcBorders>
              <w:bottom w:val="single" w:sz="2" w:space="0" w:color="auto"/>
            </w:tcBorders>
            <w:vAlign w:val="bottom"/>
          </w:tcPr>
          <w:p w14:paraId="22EF2B1B" w14:textId="77777777" w:rsidR="00773F7B" w:rsidRPr="00453A62" w:rsidRDefault="00773F7B" w:rsidP="00773F7B">
            <w:pPr>
              <w:pStyle w:val="T2"/>
              <w:jc w:val="right"/>
              <w:rPr>
                <w:b/>
              </w:rPr>
            </w:pPr>
            <w:r>
              <w:rPr>
                <w:b/>
              </w:rPr>
              <w:t>17.0</w:t>
            </w:r>
          </w:p>
        </w:tc>
      </w:tr>
      <w:tr w:rsidR="00773F7B" w14:paraId="5EF1FDE6" w14:textId="77777777" w:rsidTr="00773F7B">
        <w:tc>
          <w:tcPr>
            <w:tcW w:w="8647" w:type="dxa"/>
            <w:gridSpan w:val="3"/>
            <w:tcBorders>
              <w:top w:val="single" w:sz="2" w:space="0" w:color="auto"/>
              <w:bottom w:val="single" w:sz="8" w:space="0" w:color="auto"/>
            </w:tcBorders>
            <w:vAlign w:val="bottom"/>
          </w:tcPr>
          <w:p w14:paraId="03FD51F4" w14:textId="77777777" w:rsidR="00773F7B" w:rsidRPr="00453A62" w:rsidRDefault="00773F7B" w:rsidP="00773F7B">
            <w:pPr>
              <w:pStyle w:val="T2"/>
              <w:jc w:val="left"/>
              <w:rPr>
                <w:b/>
              </w:rPr>
            </w:pPr>
            <w:r>
              <w:rPr>
                <w:b/>
              </w:rPr>
              <w:t>Total</w:t>
            </w:r>
          </w:p>
        </w:tc>
        <w:tc>
          <w:tcPr>
            <w:tcW w:w="1134" w:type="dxa"/>
            <w:tcBorders>
              <w:top w:val="single" w:sz="2" w:space="0" w:color="auto"/>
              <w:bottom w:val="single" w:sz="8" w:space="0" w:color="auto"/>
            </w:tcBorders>
            <w:vAlign w:val="bottom"/>
          </w:tcPr>
          <w:p w14:paraId="283D9E63" w14:textId="77777777" w:rsidR="00773F7B" w:rsidRPr="00453A62" w:rsidRDefault="00773F7B" w:rsidP="00773F7B">
            <w:pPr>
              <w:pStyle w:val="T2"/>
              <w:jc w:val="right"/>
              <w:rPr>
                <w:b/>
              </w:rPr>
            </w:pPr>
            <w:r>
              <w:rPr>
                <w:b/>
              </w:rPr>
              <w:t>63.3</w:t>
            </w:r>
          </w:p>
        </w:tc>
      </w:tr>
      <w:tr w:rsidR="00773F7B" w14:paraId="7416ED6E" w14:textId="77777777" w:rsidTr="00773F7B">
        <w:tc>
          <w:tcPr>
            <w:tcW w:w="5245" w:type="dxa"/>
            <w:tcBorders>
              <w:bottom w:val="single" w:sz="2" w:space="0" w:color="auto"/>
            </w:tcBorders>
          </w:tcPr>
          <w:p w14:paraId="04A65AC4" w14:textId="77777777" w:rsidR="00773F7B" w:rsidRPr="00923DB3" w:rsidRDefault="00773F7B" w:rsidP="00773F7B">
            <w:pPr>
              <w:pStyle w:val="T2"/>
            </w:pPr>
          </w:p>
        </w:tc>
        <w:tc>
          <w:tcPr>
            <w:tcW w:w="1559" w:type="dxa"/>
            <w:tcBorders>
              <w:bottom w:val="single" w:sz="2" w:space="0" w:color="auto"/>
            </w:tcBorders>
            <w:vAlign w:val="bottom"/>
          </w:tcPr>
          <w:p w14:paraId="7CF4CE7E" w14:textId="77777777" w:rsidR="00773F7B" w:rsidRPr="00923DB3" w:rsidRDefault="00773F7B" w:rsidP="00773F7B">
            <w:pPr>
              <w:pStyle w:val="T2"/>
              <w:jc w:val="right"/>
              <w:rPr>
                <w:b/>
              </w:rPr>
            </w:pPr>
          </w:p>
        </w:tc>
        <w:tc>
          <w:tcPr>
            <w:tcW w:w="1843" w:type="dxa"/>
            <w:tcBorders>
              <w:bottom w:val="single" w:sz="2" w:space="0" w:color="auto"/>
            </w:tcBorders>
            <w:vAlign w:val="bottom"/>
          </w:tcPr>
          <w:p w14:paraId="56A2A7F1" w14:textId="77777777" w:rsidR="00773F7B" w:rsidRPr="00923DB3" w:rsidRDefault="00773F7B" w:rsidP="00773F7B">
            <w:pPr>
              <w:pStyle w:val="T2"/>
              <w:jc w:val="right"/>
              <w:rPr>
                <w:b/>
              </w:rPr>
            </w:pPr>
          </w:p>
        </w:tc>
        <w:tc>
          <w:tcPr>
            <w:tcW w:w="1134" w:type="dxa"/>
            <w:tcBorders>
              <w:bottom w:val="single" w:sz="2" w:space="0" w:color="auto"/>
            </w:tcBorders>
            <w:vAlign w:val="bottom"/>
          </w:tcPr>
          <w:p w14:paraId="39119F3E" w14:textId="77777777" w:rsidR="00773F7B" w:rsidRPr="00923DB3" w:rsidRDefault="00773F7B" w:rsidP="00773F7B">
            <w:pPr>
              <w:pStyle w:val="T2"/>
              <w:jc w:val="right"/>
            </w:pPr>
          </w:p>
        </w:tc>
      </w:tr>
      <w:tr w:rsidR="00773F7B" w14:paraId="7255EDB9" w14:textId="77777777" w:rsidTr="00773F7B">
        <w:tc>
          <w:tcPr>
            <w:tcW w:w="5245" w:type="dxa"/>
            <w:tcBorders>
              <w:top w:val="single" w:sz="2" w:space="0" w:color="auto"/>
            </w:tcBorders>
            <w:vAlign w:val="bottom"/>
          </w:tcPr>
          <w:p w14:paraId="2E9F81FC" w14:textId="77777777" w:rsidR="00773F7B" w:rsidRPr="00923DB3" w:rsidRDefault="00773F7B" w:rsidP="00773F7B">
            <w:pPr>
              <w:pStyle w:val="T2"/>
              <w:jc w:val="left"/>
              <w:rPr>
                <w:b/>
              </w:rPr>
            </w:pPr>
            <w:r w:rsidRPr="00923DB3">
              <w:rPr>
                <w:b/>
              </w:rPr>
              <w:t xml:space="preserve">Analysed as: </w:t>
            </w:r>
          </w:p>
        </w:tc>
        <w:tc>
          <w:tcPr>
            <w:tcW w:w="1559" w:type="dxa"/>
            <w:tcBorders>
              <w:top w:val="single" w:sz="2" w:space="0" w:color="auto"/>
            </w:tcBorders>
            <w:vAlign w:val="bottom"/>
          </w:tcPr>
          <w:p w14:paraId="384A5F1D" w14:textId="77777777" w:rsidR="00773F7B" w:rsidRPr="00923DB3" w:rsidRDefault="00773F7B" w:rsidP="00773F7B">
            <w:pPr>
              <w:pStyle w:val="T2"/>
              <w:jc w:val="right"/>
            </w:pPr>
          </w:p>
        </w:tc>
        <w:tc>
          <w:tcPr>
            <w:tcW w:w="1843" w:type="dxa"/>
            <w:tcBorders>
              <w:top w:val="single" w:sz="2" w:space="0" w:color="auto"/>
            </w:tcBorders>
            <w:vAlign w:val="bottom"/>
          </w:tcPr>
          <w:p w14:paraId="182FA8B7" w14:textId="77777777" w:rsidR="00773F7B" w:rsidRPr="00923DB3" w:rsidRDefault="00773F7B" w:rsidP="00773F7B">
            <w:pPr>
              <w:pStyle w:val="T2"/>
              <w:jc w:val="right"/>
            </w:pPr>
          </w:p>
        </w:tc>
        <w:tc>
          <w:tcPr>
            <w:tcW w:w="1134" w:type="dxa"/>
            <w:tcBorders>
              <w:top w:val="single" w:sz="2" w:space="0" w:color="auto"/>
            </w:tcBorders>
            <w:vAlign w:val="bottom"/>
          </w:tcPr>
          <w:p w14:paraId="77682B66" w14:textId="77777777" w:rsidR="00773F7B" w:rsidRPr="00923DB3" w:rsidRDefault="00773F7B" w:rsidP="00773F7B">
            <w:pPr>
              <w:pStyle w:val="T2"/>
              <w:jc w:val="right"/>
            </w:pPr>
          </w:p>
        </w:tc>
      </w:tr>
      <w:tr w:rsidR="00773F7B" w14:paraId="14C5D67B" w14:textId="77777777" w:rsidTr="00773F7B">
        <w:tc>
          <w:tcPr>
            <w:tcW w:w="5245" w:type="dxa"/>
            <w:vAlign w:val="bottom"/>
          </w:tcPr>
          <w:p w14:paraId="658DD435" w14:textId="77777777" w:rsidR="00773F7B" w:rsidRPr="00923DB3" w:rsidRDefault="00773F7B" w:rsidP="00773F7B">
            <w:pPr>
              <w:pStyle w:val="T2"/>
              <w:jc w:val="left"/>
            </w:pPr>
            <w:r w:rsidRPr="00923DB3">
              <w:t>Current liabilities</w:t>
            </w:r>
          </w:p>
        </w:tc>
        <w:tc>
          <w:tcPr>
            <w:tcW w:w="1559" w:type="dxa"/>
            <w:vAlign w:val="bottom"/>
          </w:tcPr>
          <w:p w14:paraId="0D12D4CA" w14:textId="77777777" w:rsidR="00773F7B" w:rsidRPr="00453A62" w:rsidRDefault="00773F7B" w:rsidP="00773F7B">
            <w:pPr>
              <w:pStyle w:val="T2"/>
              <w:jc w:val="right"/>
              <w:rPr>
                <w:b/>
              </w:rPr>
            </w:pPr>
          </w:p>
        </w:tc>
        <w:tc>
          <w:tcPr>
            <w:tcW w:w="1843" w:type="dxa"/>
            <w:vAlign w:val="bottom"/>
          </w:tcPr>
          <w:p w14:paraId="267A1390" w14:textId="77777777" w:rsidR="00773F7B" w:rsidRPr="00453A62" w:rsidRDefault="00773F7B" w:rsidP="00773F7B">
            <w:pPr>
              <w:pStyle w:val="T2"/>
              <w:jc w:val="right"/>
              <w:rPr>
                <w:b/>
              </w:rPr>
            </w:pPr>
          </w:p>
        </w:tc>
        <w:tc>
          <w:tcPr>
            <w:tcW w:w="1134" w:type="dxa"/>
            <w:vAlign w:val="bottom"/>
          </w:tcPr>
          <w:p w14:paraId="344D4E69" w14:textId="77777777" w:rsidR="00773F7B" w:rsidRPr="00FC568F" w:rsidRDefault="00773F7B" w:rsidP="00773F7B">
            <w:pPr>
              <w:pStyle w:val="T2"/>
              <w:jc w:val="right"/>
              <w:rPr>
                <w:b/>
              </w:rPr>
            </w:pPr>
            <w:r>
              <w:rPr>
                <w:b/>
              </w:rPr>
              <w:t>14.3</w:t>
            </w:r>
          </w:p>
        </w:tc>
      </w:tr>
      <w:tr w:rsidR="00773F7B" w14:paraId="28877B28" w14:textId="77777777" w:rsidTr="00773F7B">
        <w:tc>
          <w:tcPr>
            <w:tcW w:w="5245" w:type="dxa"/>
            <w:vAlign w:val="bottom"/>
          </w:tcPr>
          <w:p w14:paraId="04C1F957" w14:textId="77777777" w:rsidR="00773F7B" w:rsidRPr="00923DB3" w:rsidRDefault="00773F7B" w:rsidP="00773F7B">
            <w:pPr>
              <w:pStyle w:val="T2"/>
              <w:jc w:val="left"/>
            </w:pPr>
            <w:r w:rsidRPr="00923DB3">
              <w:t>Non</w:t>
            </w:r>
            <w:r>
              <w:t>–</w:t>
            </w:r>
            <w:r w:rsidRPr="00923DB3">
              <w:t>current liabilities</w:t>
            </w:r>
          </w:p>
        </w:tc>
        <w:tc>
          <w:tcPr>
            <w:tcW w:w="1559" w:type="dxa"/>
            <w:vAlign w:val="bottom"/>
          </w:tcPr>
          <w:p w14:paraId="20872B1D" w14:textId="77777777" w:rsidR="00773F7B" w:rsidRPr="00453A62" w:rsidRDefault="00773F7B" w:rsidP="00773F7B">
            <w:pPr>
              <w:pStyle w:val="T2"/>
              <w:jc w:val="right"/>
              <w:rPr>
                <w:b/>
              </w:rPr>
            </w:pPr>
          </w:p>
        </w:tc>
        <w:tc>
          <w:tcPr>
            <w:tcW w:w="1843" w:type="dxa"/>
            <w:vAlign w:val="bottom"/>
          </w:tcPr>
          <w:p w14:paraId="7C8DCD53" w14:textId="77777777" w:rsidR="00773F7B" w:rsidRPr="00453A62" w:rsidRDefault="00773F7B" w:rsidP="00773F7B">
            <w:pPr>
              <w:pStyle w:val="T2"/>
              <w:jc w:val="right"/>
              <w:rPr>
                <w:b/>
              </w:rPr>
            </w:pPr>
          </w:p>
        </w:tc>
        <w:tc>
          <w:tcPr>
            <w:tcW w:w="1134" w:type="dxa"/>
            <w:vAlign w:val="bottom"/>
          </w:tcPr>
          <w:p w14:paraId="670AE887" w14:textId="77777777" w:rsidR="00773F7B" w:rsidRPr="00FC568F" w:rsidRDefault="00773F7B" w:rsidP="00773F7B">
            <w:pPr>
              <w:pStyle w:val="T2"/>
              <w:jc w:val="right"/>
              <w:rPr>
                <w:b/>
              </w:rPr>
            </w:pPr>
            <w:r w:rsidRPr="00FC568F">
              <w:rPr>
                <w:b/>
              </w:rPr>
              <w:t>49.0</w:t>
            </w:r>
          </w:p>
        </w:tc>
      </w:tr>
      <w:tr w:rsidR="00773F7B" w14:paraId="7E26EA52" w14:textId="77777777" w:rsidTr="00773F7B">
        <w:tc>
          <w:tcPr>
            <w:tcW w:w="5245" w:type="dxa"/>
            <w:tcBorders>
              <w:top w:val="single" w:sz="2" w:space="0" w:color="auto"/>
              <w:bottom w:val="single" w:sz="8" w:space="0" w:color="auto"/>
            </w:tcBorders>
            <w:vAlign w:val="bottom"/>
          </w:tcPr>
          <w:p w14:paraId="708C6786" w14:textId="77777777" w:rsidR="00773F7B" w:rsidRPr="004A2ED9" w:rsidRDefault="00773F7B" w:rsidP="00773F7B">
            <w:pPr>
              <w:pStyle w:val="T2"/>
              <w:jc w:val="left"/>
              <w:rPr>
                <w:b/>
                <w:bCs/>
              </w:rPr>
            </w:pPr>
            <w:r w:rsidRPr="004A2ED9">
              <w:rPr>
                <w:b/>
                <w:bCs/>
              </w:rPr>
              <w:t>Total</w:t>
            </w:r>
          </w:p>
        </w:tc>
        <w:tc>
          <w:tcPr>
            <w:tcW w:w="1559" w:type="dxa"/>
            <w:tcBorders>
              <w:top w:val="single" w:sz="2" w:space="0" w:color="auto"/>
              <w:bottom w:val="single" w:sz="8" w:space="0" w:color="auto"/>
            </w:tcBorders>
            <w:vAlign w:val="bottom"/>
          </w:tcPr>
          <w:p w14:paraId="556C7025" w14:textId="77777777" w:rsidR="00773F7B" w:rsidRPr="00453A62" w:rsidRDefault="00773F7B" w:rsidP="00773F7B">
            <w:pPr>
              <w:pStyle w:val="T2"/>
              <w:jc w:val="right"/>
              <w:rPr>
                <w:b/>
              </w:rPr>
            </w:pPr>
          </w:p>
        </w:tc>
        <w:tc>
          <w:tcPr>
            <w:tcW w:w="1843" w:type="dxa"/>
            <w:tcBorders>
              <w:top w:val="single" w:sz="2" w:space="0" w:color="auto"/>
              <w:bottom w:val="single" w:sz="8" w:space="0" w:color="auto"/>
            </w:tcBorders>
            <w:vAlign w:val="bottom"/>
          </w:tcPr>
          <w:p w14:paraId="3C172E02" w14:textId="77777777" w:rsidR="00773F7B" w:rsidRPr="00453A62" w:rsidRDefault="00773F7B" w:rsidP="00773F7B">
            <w:pPr>
              <w:pStyle w:val="T2"/>
              <w:jc w:val="right"/>
              <w:rPr>
                <w:b/>
              </w:rPr>
            </w:pPr>
          </w:p>
        </w:tc>
        <w:tc>
          <w:tcPr>
            <w:tcW w:w="1134" w:type="dxa"/>
            <w:tcBorders>
              <w:top w:val="single" w:sz="2" w:space="0" w:color="auto"/>
              <w:bottom w:val="single" w:sz="8" w:space="0" w:color="auto"/>
            </w:tcBorders>
            <w:vAlign w:val="bottom"/>
          </w:tcPr>
          <w:p w14:paraId="604CD226" w14:textId="77777777" w:rsidR="00773F7B" w:rsidRPr="00FC568F" w:rsidRDefault="00773F7B" w:rsidP="00773F7B">
            <w:pPr>
              <w:pStyle w:val="T2"/>
              <w:jc w:val="right"/>
              <w:rPr>
                <w:b/>
              </w:rPr>
            </w:pPr>
            <w:r w:rsidRPr="00FC568F">
              <w:rPr>
                <w:b/>
              </w:rPr>
              <w:t>6</w:t>
            </w:r>
            <w:r>
              <w:rPr>
                <w:b/>
              </w:rPr>
              <w:t>3.3</w:t>
            </w:r>
          </w:p>
        </w:tc>
      </w:tr>
    </w:tbl>
    <w:p w14:paraId="35F848EC" w14:textId="77777777" w:rsidR="00773F7B" w:rsidRDefault="00773F7B" w:rsidP="005B3BEE">
      <w:pPr>
        <w:pStyle w:val="Paragraph"/>
        <w:spacing w:after="120"/>
        <w:jc w:val="both"/>
      </w:pPr>
      <w:r>
        <w:t>Th</w:t>
      </w:r>
      <w:r w:rsidRPr="00381039">
        <w:t>e Group avails of the exemption from capitalising lease costs for short</w:t>
      </w:r>
      <w:r>
        <w:t>–</w:t>
      </w:r>
      <w:r w:rsidRPr="00381039">
        <w:t>term leases and low</w:t>
      </w:r>
      <w:r>
        <w:t>–</w:t>
      </w:r>
      <w:r w:rsidRPr="00381039">
        <w:t>value assets where the relevant criteria are met. The following lease costs have been charged to the Income Statement as incurred:</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17"/>
      </w:tblGrid>
      <w:tr w:rsidR="00773F7B" w14:paraId="5C33AD57" w14:textId="77777777" w:rsidTr="005B3BEE">
        <w:trPr>
          <w:jc w:val="center"/>
        </w:trPr>
        <w:tc>
          <w:tcPr>
            <w:tcW w:w="8364" w:type="dxa"/>
            <w:vAlign w:val="bottom"/>
          </w:tcPr>
          <w:p w14:paraId="11124667" w14:textId="77777777" w:rsidR="00773F7B" w:rsidRPr="006D1798" w:rsidRDefault="00773F7B" w:rsidP="00773F7B">
            <w:pPr>
              <w:pStyle w:val="T2"/>
              <w:jc w:val="left"/>
            </w:pPr>
          </w:p>
        </w:tc>
        <w:tc>
          <w:tcPr>
            <w:tcW w:w="1417" w:type="dxa"/>
            <w:vAlign w:val="bottom"/>
          </w:tcPr>
          <w:p w14:paraId="05238788" w14:textId="77777777" w:rsidR="00773F7B" w:rsidRDefault="00773F7B" w:rsidP="00773F7B">
            <w:pPr>
              <w:pStyle w:val="T2"/>
              <w:jc w:val="right"/>
              <w:rPr>
                <w:b/>
              </w:rPr>
            </w:pPr>
            <w:r w:rsidRPr="00453A62">
              <w:rPr>
                <w:b/>
              </w:rPr>
              <w:t xml:space="preserve">Half year </w:t>
            </w:r>
          </w:p>
          <w:p w14:paraId="3F132308" w14:textId="77777777" w:rsidR="00773F7B" w:rsidRPr="006215CC" w:rsidRDefault="00773F7B" w:rsidP="00773F7B">
            <w:pPr>
              <w:pStyle w:val="T2"/>
              <w:jc w:val="right"/>
              <w:rPr>
                <w:b/>
              </w:rPr>
            </w:pPr>
            <w:r w:rsidRPr="00453A62">
              <w:rPr>
                <w:b/>
              </w:rPr>
              <w:t>March 20</w:t>
            </w:r>
            <w:r>
              <w:rPr>
                <w:b/>
              </w:rPr>
              <w:t>20</w:t>
            </w:r>
          </w:p>
        </w:tc>
      </w:tr>
      <w:tr w:rsidR="00773F7B" w14:paraId="046899B5" w14:textId="77777777" w:rsidTr="005B3BEE">
        <w:trPr>
          <w:jc w:val="center"/>
        </w:trPr>
        <w:tc>
          <w:tcPr>
            <w:tcW w:w="8364" w:type="dxa"/>
            <w:tcBorders>
              <w:bottom w:val="single" w:sz="2" w:space="0" w:color="auto"/>
            </w:tcBorders>
            <w:vAlign w:val="bottom"/>
          </w:tcPr>
          <w:p w14:paraId="458DCEBA" w14:textId="77777777" w:rsidR="00773F7B" w:rsidRPr="006D1798" w:rsidRDefault="00773F7B" w:rsidP="00773F7B">
            <w:pPr>
              <w:pStyle w:val="T2"/>
              <w:jc w:val="left"/>
            </w:pPr>
          </w:p>
        </w:tc>
        <w:tc>
          <w:tcPr>
            <w:tcW w:w="1417" w:type="dxa"/>
            <w:tcBorders>
              <w:bottom w:val="single" w:sz="2" w:space="0" w:color="auto"/>
            </w:tcBorders>
            <w:vAlign w:val="bottom"/>
          </w:tcPr>
          <w:p w14:paraId="6C409387" w14:textId="77777777" w:rsidR="00773F7B" w:rsidRPr="006215CC" w:rsidRDefault="00773F7B" w:rsidP="00773F7B">
            <w:pPr>
              <w:pStyle w:val="T2"/>
              <w:jc w:val="right"/>
              <w:rPr>
                <w:b/>
              </w:rPr>
            </w:pPr>
            <w:r w:rsidRPr="006215CC">
              <w:rPr>
                <w:b/>
              </w:rPr>
              <w:t>£m</w:t>
            </w:r>
          </w:p>
        </w:tc>
      </w:tr>
      <w:tr w:rsidR="00773F7B" w14:paraId="4F31519B" w14:textId="77777777" w:rsidTr="005B3BEE">
        <w:trPr>
          <w:jc w:val="center"/>
        </w:trPr>
        <w:tc>
          <w:tcPr>
            <w:tcW w:w="8364" w:type="dxa"/>
            <w:tcBorders>
              <w:top w:val="single" w:sz="2" w:space="0" w:color="auto"/>
            </w:tcBorders>
            <w:vAlign w:val="bottom"/>
          </w:tcPr>
          <w:p w14:paraId="3BDD6B61" w14:textId="77777777" w:rsidR="00773F7B" w:rsidRPr="006D1798" w:rsidRDefault="00773F7B" w:rsidP="00773F7B">
            <w:pPr>
              <w:pStyle w:val="T2"/>
              <w:jc w:val="left"/>
            </w:pPr>
            <w:r>
              <w:t>Short–term leases</w:t>
            </w:r>
          </w:p>
        </w:tc>
        <w:tc>
          <w:tcPr>
            <w:tcW w:w="1417" w:type="dxa"/>
            <w:tcBorders>
              <w:top w:val="single" w:sz="2" w:space="0" w:color="auto"/>
            </w:tcBorders>
            <w:vAlign w:val="bottom"/>
          </w:tcPr>
          <w:p w14:paraId="386D2BAD" w14:textId="77777777" w:rsidR="00773F7B" w:rsidRPr="006215CC" w:rsidRDefault="00773F7B" w:rsidP="00773F7B">
            <w:pPr>
              <w:pStyle w:val="T2"/>
              <w:jc w:val="right"/>
              <w:rPr>
                <w:b/>
              </w:rPr>
            </w:pPr>
            <w:r>
              <w:rPr>
                <w:b/>
              </w:rPr>
              <w:t>0.1</w:t>
            </w:r>
          </w:p>
        </w:tc>
      </w:tr>
      <w:tr w:rsidR="00773F7B" w14:paraId="15C1C1B3" w14:textId="77777777" w:rsidTr="005B3BEE">
        <w:trPr>
          <w:jc w:val="center"/>
        </w:trPr>
        <w:tc>
          <w:tcPr>
            <w:tcW w:w="8364" w:type="dxa"/>
            <w:vAlign w:val="bottom"/>
          </w:tcPr>
          <w:p w14:paraId="32148545" w14:textId="77777777" w:rsidR="00773F7B" w:rsidRPr="006D1798" w:rsidRDefault="00773F7B" w:rsidP="00773F7B">
            <w:pPr>
              <w:pStyle w:val="T2"/>
              <w:jc w:val="left"/>
            </w:pPr>
            <w:r>
              <w:t>Leases of low value assets</w:t>
            </w:r>
          </w:p>
        </w:tc>
        <w:tc>
          <w:tcPr>
            <w:tcW w:w="1417" w:type="dxa"/>
            <w:vAlign w:val="bottom"/>
          </w:tcPr>
          <w:p w14:paraId="5849795D" w14:textId="77777777" w:rsidR="00773F7B" w:rsidRPr="006215CC" w:rsidRDefault="00773F7B" w:rsidP="00773F7B">
            <w:pPr>
              <w:pStyle w:val="T2"/>
              <w:jc w:val="right"/>
              <w:rPr>
                <w:b/>
              </w:rPr>
            </w:pPr>
            <w:r>
              <w:rPr>
                <w:b/>
              </w:rPr>
              <w:t>0.5</w:t>
            </w:r>
          </w:p>
        </w:tc>
      </w:tr>
      <w:tr w:rsidR="00773F7B" w14:paraId="44FBCD0A" w14:textId="77777777" w:rsidTr="005B3BEE">
        <w:trPr>
          <w:jc w:val="center"/>
        </w:trPr>
        <w:tc>
          <w:tcPr>
            <w:tcW w:w="8364" w:type="dxa"/>
            <w:tcBorders>
              <w:top w:val="single" w:sz="2" w:space="0" w:color="auto"/>
              <w:bottom w:val="single" w:sz="8" w:space="0" w:color="auto"/>
            </w:tcBorders>
            <w:vAlign w:val="bottom"/>
          </w:tcPr>
          <w:p w14:paraId="4530AC7F" w14:textId="77777777" w:rsidR="00773F7B" w:rsidRPr="006215CC" w:rsidRDefault="00773F7B" w:rsidP="00773F7B">
            <w:pPr>
              <w:pStyle w:val="T2"/>
              <w:jc w:val="left"/>
              <w:rPr>
                <w:b/>
              </w:rPr>
            </w:pPr>
            <w:r>
              <w:rPr>
                <w:b/>
              </w:rPr>
              <w:t>Total</w:t>
            </w:r>
          </w:p>
        </w:tc>
        <w:tc>
          <w:tcPr>
            <w:tcW w:w="1417" w:type="dxa"/>
            <w:tcBorders>
              <w:top w:val="single" w:sz="2" w:space="0" w:color="auto"/>
              <w:bottom w:val="single" w:sz="8" w:space="0" w:color="auto"/>
            </w:tcBorders>
            <w:vAlign w:val="bottom"/>
          </w:tcPr>
          <w:p w14:paraId="77564E03" w14:textId="77777777" w:rsidR="00773F7B" w:rsidRPr="006215CC" w:rsidRDefault="00773F7B" w:rsidP="00773F7B">
            <w:pPr>
              <w:pStyle w:val="T2"/>
              <w:jc w:val="right"/>
              <w:rPr>
                <w:b/>
              </w:rPr>
            </w:pPr>
            <w:r>
              <w:rPr>
                <w:b/>
              </w:rPr>
              <w:t>0.6</w:t>
            </w:r>
          </w:p>
        </w:tc>
      </w:tr>
    </w:tbl>
    <w:p w14:paraId="0AF5CD88" w14:textId="77777777" w:rsidR="00773F7B" w:rsidRDefault="00773F7B" w:rsidP="005B3BEE">
      <w:pPr>
        <w:pStyle w:val="Paragraph"/>
        <w:spacing w:after="120"/>
      </w:pPr>
      <w:r w:rsidRPr="00536D6B">
        <w:t>The total cash outflow for lease payments during the period was as follows:</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17"/>
      </w:tblGrid>
      <w:tr w:rsidR="00773F7B" w14:paraId="28DC4C22" w14:textId="77777777" w:rsidTr="005B3BEE">
        <w:trPr>
          <w:jc w:val="center"/>
        </w:trPr>
        <w:tc>
          <w:tcPr>
            <w:tcW w:w="8364" w:type="dxa"/>
            <w:vAlign w:val="bottom"/>
          </w:tcPr>
          <w:p w14:paraId="12DA862B" w14:textId="77777777" w:rsidR="00773F7B" w:rsidRPr="006D1798" w:rsidRDefault="00773F7B" w:rsidP="00773F7B">
            <w:pPr>
              <w:pStyle w:val="T2"/>
              <w:jc w:val="left"/>
            </w:pPr>
          </w:p>
        </w:tc>
        <w:tc>
          <w:tcPr>
            <w:tcW w:w="1417" w:type="dxa"/>
            <w:vAlign w:val="bottom"/>
          </w:tcPr>
          <w:p w14:paraId="6459D618" w14:textId="77777777" w:rsidR="00773F7B" w:rsidRDefault="00773F7B" w:rsidP="00773F7B">
            <w:pPr>
              <w:pStyle w:val="T2"/>
              <w:jc w:val="right"/>
              <w:rPr>
                <w:b/>
              </w:rPr>
            </w:pPr>
            <w:r w:rsidRPr="00453A62">
              <w:rPr>
                <w:b/>
              </w:rPr>
              <w:t xml:space="preserve">Half year </w:t>
            </w:r>
          </w:p>
          <w:p w14:paraId="65773294" w14:textId="77777777" w:rsidR="00773F7B" w:rsidRPr="006215CC" w:rsidRDefault="00773F7B" w:rsidP="00773F7B">
            <w:pPr>
              <w:pStyle w:val="T2"/>
              <w:jc w:val="right"/>
              <w:rPr>
                <w:b/>
              </w:rPr>
            </w:pPr>
            <w:r w:rsidRPr="00453A62">
              <w:rPr>
                <w:b/>
              </w:rPr>
              <w:t>March 20</w:t>
            </w:r>
            <w:r>
              <w:rPr>
                <w:b/>
              </w:rPr>
              <w:t>20</w:t>
            </w:r>
          </w:p>
        </w:tc>
      </w:tr>
      <w:tr w:rsidR="00773F7B" w14:paraId="5F833368" w14:textId="77777777" w:rsidTr="005B3BEE">
        <w:trPr>
          <w:jc w:val="center"/>
        </w:trPr>
        <w:tc>
          <w:tcPr>
            <w:tcW w:w="8364" w:type="dxa"/>
            <w:tcBorders>
              <w:bottom w:val="single" w:sz="2" w:space="0" w:color="auto"/>
            </w:tcBorders>
            <w:vAlign w:val="bottom"/>
          </w:tcPr>
          <w:p w14:paraId="26616B33" w14:textId="77777777" w:rsidR="00773F7B" w:rsidRPr="006D1798" w:rsidRDefault="00773F7B" w:rsidP="00773F7B">
            <w:pPr>
              <w:pStyle w:val="T2"/>
              <w:jc w:val="left"/>
            </w:pPr>
          </w:p>
        </w:tc>
        <w:tc>
          <w:tcPr>
            <w:tcW w:w="1417" w:type="dxa"/>
            <w:tcBorders>
              <w:bottom w:val="single" w:sz="2" w:space="0" w:color="auto"/>
            </w:tcBorders>
            <w:vAlign w:val="bottom"/>
          </w:tcPr>
          <w:p w14:paraId="025A5BDF" w14:textId="77777777" w:rsidR="00773F7B" w:rsidRPr="006215CC" w:rsidRDefault="00773F7B" w:rsidP="00773F7B">
            <w:pPr>
              <w:pStyle w:val="T2"/>
              <w:jc w:val="right"/>
              <w:rPr>
                <w:b/>
              </w:rPr>
            </w:pPr>
            <w:r w:rsidRPr="006215CC">
              <w:rPr>
                <w:b/>
              </w:rPr>
              <w:t>£m</w:t>
            </w:r>
          </w:p>
        </w:tc>
      </w:tr>
      <w:tr w:rsidR="00773F7B" w14:paraId="114CFF5C" w14:textId="77777777" w:rsidTr="005B3BEE">
        <w:trPr>
          <w:jc w:val="center"/>
        </w:trPr>
        <w:tc>
          <w:tcPr>
            <w:tcW w:w="8364" w:type="dxa"/>
            <w:tcBorders>
              <w:top w:val="single" w:sz="2" w:space="0" w:color="auto"/>
            </w:tcBorders>
            <w:vAlign w:val="bottom"/>
          </w:tcPr>
          <w:p w14:paraId="4757FBDE" w14:textId="77777777" w:rsidR="00773F7B" w:rsidRPr="006D1798" w:rsidRDefault="00773F7B" w:rsidP="00773F7B">
            <w:pPr>
              <w:pStyle w:val="T2"/>
              <w:jc w:val="left"/>
            </w:pPr>
            <w:r>
              <w:t>Cash outflow for short–term leases and leases of low value</w:t>
            </w:r>
          </w:p>
        </w:tc>
        <w:tc>
          <w:tcPr>
            <w:tcW w:w="1417" w:type="dxa"/>
            <w:tcBorders>
              <w:top w:val="single" w:sz="2" w:space="0" w:color="auto"/>
            </w:tcBorders>
            <w:vAlign w:val="bottom"/>
          </w:tcPr>
          <w:p w14:paraId="15665163" w14:textId="77777777" w:rsidR="00773F7B" w:rsidRPr="006215CC" w:rsidRDefault="00773F7B" w:rsidP="00773F7B">
            <w:pPr>
              <w:pStyle w:val="T2"/>
              <w:jc w:val="right"/>
              <w:rPr>
                <w:b/>
              </w:rPr>
            </w:pPr>
            <w:r>
              <w:rPr>
                <w:b/>
              </w:rPr>
              <w:t>0.5</w:t>
            </w:r>
          </w:p>
        </w:tc>
      </w:tr>
      <w:tr w:rsidR="00773F7B" w14:paraId="40D29BF0" w14:textId="77777777" w:rsidTr="005B3BEE">
        <w:trPr>
          <w:jc w:val="center"/>
        </w:trPr>
        <w:tc>
          <w:tcPr>
            <w:tcW w:w="8364" w:type="dxa"/>
            <w:vAlign w:val="bottom"/>
          </w:tcPr>
          <w:p w14:paraId="51ED2F55" w14:textId="77777777" w:rsidR="00773F7B" w:rsidRPr="006D1798" w:rsidRDefault="00773F7B" w:rsidP="00773F7B">
            <w:pPr>
              <w:pStyle w:val="T2"/>
              <w:jc w:val="left"/>
            </w:pPr>
            <w:r>
              <w:t>Lease payments relating to capitalised right-of-use leased assets</w:t>
            </w:r>
          </w:p>
        </w:tc>
        <w:tc>
          <w:tcPr>
            <w:tcW w:w="1417" w:type="dxa"/>
            <w:vAlign w:val="bottom"/>
          </w:tcPr>
          <w:p w14:paraId="133DB197" w14:textId="77777777" w:rsidR="00773F7B" w:rsidRPr="006215CC" w:rsidRDefault="00773F7B" w:rsidP="00773F7B">
            <w:pPr>
              <w:pStyle w:val="T2"/>
              <w:jc w:val="right"/>
              <w:rPr>
                <w:b/>
              </w:rPr>
            </w:pPr>
            <w:r>
              <w:rPr>
                <w:b/>
              </w:rPr>
              <w:t>5.4</w:t>
            </w:r>
          </w:p>
        </w:tc>
      </w:tr>
      <w:tr w:rsidR="00773F7B" w14:paraId="2FED3BAA" w14:textId="77777777" w:rsidTr="005B3BEE">
        <w:trPr>
          <w:jc w:val="center"/>
        </w:trPr>
        <w:tc>
          <w:tcPr>
            <w:tcW w:w="8364" w:type="dxa"/>
            <w:tcBorders>
              <w:top w:val="single" w:sz="2" w:space="0" w:color="auto"/>
              <w:bottom w:val="single" w:sz="8" w:space="0" w:color="auto"/>
            </w:tcBorders>
            <w:vAlign w:val="bottom"/>
          </w:tcPr>
          <w:p w14:paraId="6AB514DC" w14:textId="77777777" w:rsidR="00773F7B" w:rsidRPr="006215CC" w:rsidRDefault="00773F7B" w:rsidP="00773F7B">
            <w:pPr>
              <w:pStyle w:val="T2"/>
              <w:jc w:val="left"/>
              <w:rPr>
                <w:b/>
              </w:rPr>
            </w:pPr>
            <w:r>
              <w:rPr>
                <w:b/>
              </w:rPr>
              <w:t>Total</w:t>
            </w:r>
          </w:p>
        </w:tc>
        <w:tc>
          <w:tcPr>
            <w:tcW w:w="1417" w:type="dxa"/>
            <w:tcBorders>
              <w:top w:val="single" w:sz="2" w:space="0" w:color="auto"/>
              <w:bottom w:val="single" w:sz="8" w:space="0" w:color="auto"/>
            </w:tcBorders>
            <w:vAlign w:val="bottom"/>
          </w:tcPr>
          <w:p w14:paraId="3FEE317C" w14:textId="77777777" w:rsidR="00773F7B" w:rsidRPr="006215CC" w:rsidRDefault="00773F7B" w:rsidP="00773F7B">
            <w:pPr>
              <w:pStyle w:val="T2"/>
              <w:jc w:val="right"/>
              <w:rPr>
                <w:b/>
              </w:rPr>
            </w:pPr>
            <w:r>
              <w:rPr>
                <w:b/>
              </w:rPr>
              <w:t>5.9</w:t>
            </w:r>
          </w:p>
        </w:tc>
      </w:tr>
    </w:tbl>
    <w:p w14:paraId="3B16A586" w14:textId="77777777" w:rsidR="00B10F27" w:rsidRDefault="00B10F27" w:rsidP="00773F7B">
      <w:pPr>
        <w:spacing w:after="0" w:line="240" w:lineRule="auto"/>
        <w:rPr>
          <w:rStyle w:val="ParagraphChar"/>
          <w:b/>
        </w:rPr>
      </w:pPr>
    </w:p>
    <w:p w14:paraId="6ED8EB6E" w14:textId="0784BF7E" w:rsidR="00773F7B" w:rsidRPr="00EE7CDD" w:rsidRDefault="00773F7B" w:rsidP="005B3BEE">
      <w:pPr>
        <w:pStyle w:val="SectionH3"/>
        <w:rPr>
          <w:rStyle w:val="ParagraphChar"/>
        </w:rPr>
      </w:pPr>
      <w:r w:rsidRPr="00EE7CDD">
        <w:rPr>
          <w:rStyle w:val="ParagraphChar"/>
        </w:rPr>
        <w:t>12.</w:t>
      </w:r>
      <w:r w:rsidR="00EE7CDD">
        <w:rPr>
          <w:rStyle w:val="ParagraphChar"/>
        </w:rPr>
        <w:tab/>
      </w:r>
      <w:r w:rsidRPr="00EE7CDD">
        <w:rPr>
          <w:rStyle w:val="ParagraphChar"/>
        </w:rPr>
        <w:t xml:space="preserve">Borrowings and </w:t>
      </w:r>
      <w:r w:rsidR="00F035CB" w:rsidRPr="00EE7CDD">
        <w:rPr>
          <w:rStyle w:val="ParagraphChar"/>
        </w:rPr>
        <w:t>D</w:t>
      </w:r>
      <w:r w:rsidRPr="00EE7CDD">
        <w:rPr>
          <w:rStyle w:val="ParagraphChar"/>
        </w:rPr>
        <w:t>erivatives</w:t>
      </w:r>
    </w:p>
    <w:tbl>
      <w:tblPr>
        <w:tblStyle w:val="TableGrid"/>
        <w:tblW w:w="9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6"/>
        <w:gridCol w:w="992"/>
        <w:gridCol w:w="1134"/>
        <w:gridCol w:w="1076"/>
      </w:tblGrid>
      <w:tr w:rsidR="00773F7B" w14:paraId="439DA209" w14:textId="77777777" w:rsidTr="005B3BEE">
        <w:trPr>
          <w:trHeight w:val="440"/>
          <w:jc w:val="center"/>
        </w:trPr>
        <w:tc>
          <w:tcPr>
            <w:tcW w:w="6576" w:type="dxa"/>
            <w:vAlign w:val="bottom"/>
          </w:tcPr>
          <w:p w14:paraId="12CCCE6E" w14:textId="77777777" w:rsidR="00773F7B" w:rsidRPr="006D1798" w:rsidRDefault="00773F7B" w:rsidP="00773F7B">
            <w:pPr>
              <w:pStyle w:val="T2"/>
              <w:jc w:val="left"/>
            </w:pPr>
          </w:p>
        </w:tc>
        <w:tc>
          <w:tcPr>
            <w:tcW w:w="992" w:type="dxa"/>
            <w:vAlign w:val="bottom"/>
          </w:tcPr>
          <w:p w14:paraId="561801FD" w14:textId="77777777" w:rsidR="00773F7B" w:rsidRPr="005C7C70" w:rsidRDefault="00773F7B" w:rsidP="00773F7B">
            <w:pPr>
              <w:pStyle w:val="T2"/>
              <w:jc w:val="right"/>
              <w:rPr>
                <w:b/>
              </w:rPr>
            </w:pPr>
            <w:r w:rsidRPr="005C7C70">
              <w:rPr>
                <w:b/>
              </w:rPr>
              <w:t>March</w:t>
            </w:r>
          </w:p>
          <w:p w14:paraId="7211314E" w14:textId="77777777" w:rsidR="00773F7B" w:rsidRPr="006910FB" w:rsidRDefault="00773F7B" w:rsidP="00773F7B">
            <w:pPr>
              <w:pStyle w:val="T2"/>
              <w:jc w:val="right"/>
              <w:rPr>
                <w:b/>
              </w:rPr>
            </w:pPr>
            <w:r w:rsidRPr="005C7C70">
              <w:rPr>
                <w:b/>
              </w:rPr>
              <w:t>20</w:t>
            </w:r>
            <w:r>
              <w:rPr>
                <w:b/>
              </w:rPr>
              <w:t>20</w:t>
            </w:r>
          </w:p>
        </w:tc>
        <w:tc>
          <w:tcPr>
            <w:tcW w:w="1134" w:type="dxa"/>
          </w:tcPr>
          <w:p w14:paraId="189D7AD8" w14:textId="77777777" w:rsidR="00773F7B" w:rsidRPr="00405D63" w:rsidRDefault="00773F7B" w:rsidP="00773F7B">
            <w:pPr>
              <w:pStyle w:val="T2"/>
              <w:jc w:val="right"/>
            </w:pPr>
            <w:r w:rsidRPr="00405D63">
              <w:t>September 2019</w:t>
            </w:r>
          </w:p>
        </w:tc>
        <w:tc>
          <w:tcPr>
            <w:tcW w:w="1076" w:type="dxa"/>
          </w:tcPr>
          <w:p w14:paraId="6C7E6D88" w14:textId="77777777" w:rsidR="00773F7B" w:rsidRPr="00405D63" w:rsidRDefault="00773F7B" w:rsidP="00773F7B">
            <w:pPr>
              <w:pStyle w:val="T2"/>
              <w:jc w:val="right"/>
            </w:pPr>
            <w:r w:rsidRPr="00405D63">
              <w:t xml:space="preserve"> March </w:t>
            </w:r>
          </w:p>
          <w:p w14:paraId="493CFC08" w14:textId="77777777" w:rsidR="00773F7B" w:rsidRPr="00405D63" w:rsidRDefault="00773F7B" w:rsidP="00773F7B">
            <w:pPr>
              <w:pStyle w:val="T2"/>
              <w:jc w:val="right"/>
            </w:pPr>
            <w:r>
              <w:t>2019</w:t>
            </w:r>
          </w:p>
        </w:tc>
      </w:tr>
      <w:tr w:rsidR="00773F7B" w14:paraId="14C90A3B" w14:textId="77777777" w:rsidTr="005B3BEE">
        <w:trPr>
          <w:trHeight w:val="211"/>
          <w:jc w:val="center"/>
        </w:trPr>
        <w:tc>
          <w:tcPr>
            <w:tcW w:w="6576" w:type="dxa"/>
            <w:tcBorders>
              <w:bottom w:val="single" w:sz="2" w:space="0" w:color="auto"/>
            </w:tcBorders>
            <w:vAlign w:val="bottom"/>
          </w:tcPr>
          <w:p w14:paraId="115E1906" w14:textId="77777777" w:rsidR="00773F7B" w:rsidRPr="006D1798" w:rsidRDefault="00773F7B" w:rsidP="00773F7B">
            <w:pPr>
              <w:pStyle w:val="T2"/>
              <w:jc w:val="left"/>
            </w:pPr>
          </w:p>
        </w:tc>
        <w:tc>
          <w:tcPr>
            <w:tcW w:w="992" w:type="dxa"/>
            <w:tcBorders>
              <w:bottom w:val="single" w:sz="2" w:space="0" w:color="auto"/>
            </w:tcBorders>
            <w:vAlign w:val="bottom"/>
          </w:tcPr>
          <w:p w14:paraId="61F2C847" w14:textId="77777777" w:rsidR="00773F7B" w:rsidRDefault="00773F7B" w:rsidP="00773F7B">
            <w:pPr>
              <w:pStyle w:val="T2"/>
              <w:jc w:val="right"/>
              <w:rPr>
                <w:b/>
              </w:rPr>
            </w:pPr>
            <w:r w:rsidRPr="005C7C70">
              <w:rPr>
                <w:b/>
              </w:rPr>
              <w:t>£m</w:t>
            </w:r>
          </w:p>
        </w:tc>
        <w:tc>
          <w:tcPr>
            <w:tcW w:w="1134" w:type="dxa"/>
            <w:tcBorders>
              <w:bottom w:val="single" w:sz="2" w:space="0" w:color="auto"/>
            </w:tcBorders>
          </w:tcPr>
          <w:p w14:paraId="39FA4879" w14:textId="77777777" w:rsidR="00773F7B" w:rsidRPr="00405D63" w:rsidRDefault="00773F7B" w:rsidP="00773F7B">
            <w:pPr>
              <w:pStyle w:val="T2"/>
              <w:jc w:val="right"/>
            </w:pPr>
            <w:r w:rsidRPr="00405D63">
              <w:t>£m</w:t>
            </w:r>
          </w:p>
        </w:tc>
        <w:tc>
          <w:tcPr>
            <w:tcW w:w="1076" w:type="dxa"/>
            <w:tcBorders>
              <w:bottom w:val="single" w:sz="2" w:space="0" w:color="auto"/>
            </w:tcBorders>
            <w:vAlign w:val="bottom"/>
          </w:tcPr>
          <w:p w14:paraId="51BB2D63" w14:textId="77777777" w:rsidR="00773F7B" w:rsidRPr="00405D63" w:rsidRDefault="00773F7B" w:rsidP="00773F7B">
            <w:pPr>
              <w:pStyle w:val="T2"/>
              <w:jc w:val="right"/>
            </w:pPr>
            <w:r w:rsidRPr="00405D63">
              <w:t>£m</w:t>
            </w:r>
          </w:p>
        </w:tc>
      </w:tr>
      <w:tr w:rsidR="00773F7B" w14:paraId="678B5B16" w14:textId="77777777" w:rsidTr="005B3BEE">
        <w:trPr>
          <w:trHeight w:val="211"/>
          <w:jc w:val="center"/>
        </w:trPr>
        <w:tc>
          <w:tcPr>
            <w:tcW w:w="6576" w:type="dxa"/>
            <w:vAlign w:val="bottom"/>
          </w:tcPr>
          <w:p w14:paraId="7F9A360C" w14:textId="77777777" w:rsidR="00773F7B" w:rsidRPr="006D1798" w:rsidRDefault="00773F7B" w:rsidP="00773F7B">
            <w:pPr>
              <w:pStyle w:val="T2"/>
              <w:jc w:val="left"/>
            </w:pPr>
            <w:r w:rsidRPr="006D1798">
              <w:t>Bank borrowings</w:t>
            </w:r>
          </w:p>
        </w:tc>
        <w:tc>
          <w:tcPr>
            <w:tcW w:w="992" w:type="dxa"/>
          </w:tcPr>
          <w:p w14:paraId="5A18688A" w14:textId="77777777" w:rsidR="00773F7B" w:rsidRPr="005D0EFF" w:rsidRDefault="00773F7B" w:rsidP="00773F7B">
            <w:pPr>
              <w:pStyle w:val="T2"/>
              <w:jc w:val="right"/>
              <w:rPr>
                <w:b/>
                <w:bCs/>
              </w:rPr>
            </w:pPr>
            <w:r>
              <w:rPr>
                <w:b/>
                <w:bCs/>
              </w:rPr>
              <w:t>(230.7)</w:t>
            </w:r>
          </w:p>
        </w:tc>
        <w:tc>
          <w:tcPr>
            <w:tcW w:w="1134" w:type="dxa"/>
          </w:tcPr>
          <w:p w14:paraId="756F4B79" w14:textId="77777777" w:rsidR="00773F7B" w:rsidRPr="00405D63" w:rsidRDefault="00773F7B" w:rsidP="00773F7B">
            <w:pPr>
              <w:pStyle w:val="T2"/>
              <w:jc w:val="right"/>
              <w:rPr>
                <w:bCs/>
              </w:rPr>
            </w:pPr>
            <w:r w:rsidRPr="00405D63">
              <w:rPr>
                <w:bCs/>
              </w:rPr>
              <w:t>(213.9)</w:t>
            </w:r>
          </w:p>
        </w:tc>
        <w:tc>
          <w:tcPr>
            <w:tcW w:w="1076" w:type="dxa"/>
            <w:vAlign w:val="bottom"/>
          </w:tcPr>
          <w:p w14:paraId="49AF5CE3" w14:textId="77777777" w:rsidR="00773F7B" w:rsidRPr="005D0EFF" w:rsidRDefault="00773F7B" w:rsidP="00773F7B">
            <w:pPr>
              <w:pStyle w:val="T2"/>
              <w:jc w:val="right"/>
              <w:rPr>
                <w:bCs/>
              </w:rPr>
            </w:pPr>
            <w:r>
              <w:rPr>
                <w:bCs/>
              </w:rPr>
              <w:t>(189.0)</w:t>
            </w:r>
          </w:p>
        </w:tc>
      </w:tr>
      <w:tr w:rsidR="00773F7B" w14:paraId="2C5F9256" w14:textId="77777777" w:rsidTr="005B3BEE">
        <w:trPr>
          <w:trHeight w:val="211"/>
          <w:jc w:val="center"/>
        </w:trPr>
        <w:tc>
          <w:tcPr>
            <w:tcW w:w="6576" w:type="dxa"/>
            <w:tcBorders>
              <w:bottom w:val="single" w:sz="4" w:space="0" w:color="auto"/>
            </w:tcBorders>
            <w:vAlign w:val="bottom"/>
          </w:tcPr>
          <w:p w14:paraId="68324709" w14:textId="77777777" w:rsidR="00773F7B" w:rsidRPr="006D1798" w:rsidRDefault="00773F7B" w:rsidP="00773F7B">
            <w:pPr>
              <w:pStyle w:val="T2"/>
              <w:jc w:val="left"/>
            </w:pPr>
            <w:r w:rsidRPr="006D1798">
              <w:t xml:space="preserve">Private </w:t>
            </w:r>
            <w:r>
              <w:t>p</w:t>
            </w:r>
            <w:r w:rsidRPr="006D1798">
              <w:t xml:space="preserve">lacement </w:t>
            </w:r>
            <w:r>
              <w:t>n</w:t>
            </w:r>
            <w:r w:rsidRPr="006D1798">
              <w:t>otes</w:t>
            </w:r>
          </w:p>
        </w:tc>
        <w:tc>
          <w:tcPr>
            <w:tcW w:w="992" w:type="dxa"/>
            <w:tcBorders>
              <w:bottom w:val="single" w:sz="4" w:space="0" w:color="auto"/>
            </w:tcBorders>
          </w:tcPr>
          <w:p w14:paraId="6BDC219F" w14:textId="77777777" w:rsidR="00773F7B" w:rsidRPr="005D0EFF" w:rsidRDefault="00773F7B" w:rsidP="00773F7B">
            <w:pPr>
              <w:pStyle w:val="T2"/>
              <w:jc w:val="right"/>
              <w:rPr>
                <w:b/>
                <w:bCs/>
              </w:rPr>
            </w:pPr>
            <w:r>
              <w:rPr>
                <w:b/>
                <w:bCs/>
              </w:rPr>
              <w:t>(114.9)</w:t>
            </w:r>
          </w:p>
        </w:tc>
        <w:tc>
          <w:tcPr>
            <w:tcW w:w="1134" w:type="dxa"/>
            <w:tcBorders>
              <w:bottom w:val="single" w:sz="4" w:space="0" w:color="auto"/>
            </w:tcBorders>
          </w:tcPr>
          <w:p w14:paraId="7702CC8A" w14:textId="77777777" w:rsidR="00773F7B" w:rsidRPr="00405D63" w:rsidRDefault="00773F7B" w:rsidP="00773F7B">
            <w:pPr>
              <w:pStyle w:val="T2"/>
              <w:jc w:val="right"/>
              <w:rPr>
                <w:bCs/>
              </w:rPr>
            </w:pPr>
            <w:r w:rsidRPr="00405D63">
              <w:rPr>
                <w:bCs/>
              </w:rPr>
              <w:t>(116.2)</w:t>
            </w:r>
          </w:p>
        </w:tc>
        <w:tc>
          <w:tcPr>
            <w:tcW w:w="1076" w:type="dxa"/>
            <w:tcBorders>
              <w:bottom w:val="single" w:sz="4" w:space="0" w:color="auto"/>
            </w:tcBorders>
            <w:vAlign w:val="bottom"/>
          </w:tcPr>
          <w:p w14:paraId="416DCD08" w14:textId="77777777" w:rsidR="00773F7B" w:rsidRPr="005D0EFF" w:rsidRDefault="00773F7B" w:rsidP="00773F7B">
            <w:pPr>
              <w:pStyle w:val="T2"/>
              <w:jc w:val="right"/>
              <w:rPr>
                <w:bCs/>
              </w:rPr>
            </w:pPr>
            <w:r>
              <w:rPr>
                <w:bCs/>
              </w:rPr>
              <w:t>(110.6)</w:t>
            </w:r>
          </w:p>
        </w:tc>
      </w:tr>
      <w:tr w:rsidR="00773F7B" w14:paraId="01F0F31D" w14:textId="77777777" w:rsidTr="005B3BEE">
        <w:trPr>
          <w:trHeight w:val="211"/>
          <w:jc w:val="center"/>
        </w:trPr>
        <w:tc>
          <w:tcPr>
            <w:tcW w:w="6576" w:type="dxa"/>
            <w:tcBorders>
              <w:top w:val="single" w:sz="4" w:space="0" w:color="auto"/>
              <w:bottom w:val="single" w:sz="8" w:space="0" w:color="auto"/>
            </w:tcBorders>
            <w:vAlign w:val="bottom"/>
          </w:tcPr>
          <w:p w14:paraId="697DAC54" w14:textId="77777777" w:rsidR="00773F7B" w:rsidRPr="0026155F" w:rsidRDefault="00773F7B" w:rsidP="00773F7B">
            <w:pPr>
              <w:pStyle w:val="T2"/>
              <w:jc w:val="left"/>
              <w:rPr>
                <w:b/>
              </w:rPr>
            </w:pPr>
            <w:r>
              <w:rPr>
                <w:b/>
              </w:rPr>
              <w:t>Total borrowings</w:t>
            </w:r>
          </w:p>
        </w:tc>
        <w:tc>
          <w:tcPr>
            <w:tcW w:w="992" w:type="dxa"/>
            <w:tcBorders>
              <w:top w:val="single" w:sz="4" w:space="0" w:color="auto"/>
              <w:bottom w:val="single" w:sz="8" w:space="0" w:color="auto"/>
            </w:tcBorders>
          </w:tcPr>
          <w:p w14:paraId="15491079" w14:textId="77777777" w:rsidR="00773F7B" w:rsidRPr="0026155F" w:rsidRDefault="00773F7B" w:rsidP="00773F7B">
            <w:pPr>
              <w:pStyle w:val="T2"/>
              <w:jc w:val="right"/>
              <w:rPr>
                <w:b/>
                <w:bCs/>
              </w:rPr>
            </w:pPr>
            <w:r>
              <w:rPr>
                <w:b/>
                <w:bCs/>
              </w:rPr>
              <w:t>(345.6)</w:t>
            </w:r>
          </w:p>
        </w:tc>
        <w:tc>
          <w:tcPr>
            <w:tcW w:w="1134" w:type="dxa"/>
            <w:tcBorders>
              <w:top w:val="single" w:sz="4" w:space="0" w:color="auto"/>
              <w:bottom w:val="single" w:sz="8" w:space="0" w:color="auto"/>
            </w:tcBorders>
          </w:tcPr>
          <w:p w14:paraId="2F09B266" w14:textId="77777777" w:rsidR="00773F7B" w:rsidRPr="001E1407" w:rsidRDefault="00773F7B" w:rsidP="00773F7B">
            <w:pPr>
              <w:pStyle w:val="T2"/>
              <w:jc w:val="right"/>
              <w:rPr>
                <w:bCs/>
              </w:rPr>
            </w:pPr>
            <w:r w:rsidRPr="001E1407">
              <w:rPr>
                <w:bCs/>
              </w:rPr>
              <w:t>(330.1)</w:t>
            </w:r>
          </w:p>
        </w:tc>
        <w:tc>
          <w:tcPr>
            <w:tcW w:w="1076" w:type="dxa"/>
            <w:tcBorders>
              <w:top w:val="single" w:sz="4" w:space="0" w:color="auto"/>
              <w:bottom w:val="single" w:sz="8" w:space="0" w:color="auto"/>
            </w:tcBorders>
            <w:vAlign w:val="bottom"/>
          </w:tcPr>
          <w:p w14:paraId="220DAEA0" w14:textId="77777777" w:rsidR="00773F7B" w:rsidRPr="001E1407" w:rsidRDefault="00773F7B" w:rsidP="00773F7B">
            <w:pPr>
              <w:pStyle w:val="T2"/>
              <w:jc w:val="right"/>
              <w:rPr>
                <w:bCs/>
              </w:rPr>
            </w:pPr>
            <w:r w:rsidRPr="001E1407">
              <w:rPr>
                <w:bCs/>
              </w:rPr>
              <w:t>(299.6)</w:t>
            </w:r>
          </w:p>
        </w:tc>
      </w:tr>
    </w:tbl>
    <w:p w14:paraId="13AB61DA" w14:textId="77777777" w:rsidR="00773F7B" w:rsidRDefault="00773F7B" w:rsidP="005B3BEE">
      <w:pPr>
        <w:pStyle w:val="Paragraph"/>
        <w:spacing w:after="120"/>
      </w:pPr>
      <w:r>
        <w:t>The maturity profile of the Group’s borrowings is as follows:</w:t>
      </w:r>
    </w:p>
    <w:tbl>
      <w:tblPr>
        <w:tblStyle w:val="TableGrid"/>
        <w:tblW w:w="9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6"/>
        <w:gridCol w:w="992"/>
        <w:gridCol w:w="1134"/>
        <w:gridCol w:w="1076"/>
      </w:tblGrid>
      <w:tr w:rsidR="00773F7B" w14:paraId="32DDE4B4" w14:textId="77777777" w:rsidTr="005B3BEE">
        <w:trPr>
          <w:trHeight w:val="440"/>
          <w:jc w:val="center"/>
        </w:trPr>
        <w:tc>
          <w:tcPr>
            <w:tcW w:w="6576" w:type="dxa"/>
            <w:vAlign w:val="bottom"/>
          </w:tcPr>
          <w:p w14:paraId="30D59229" w14:textId="77777777" w:rsidR="00773F7B" w:rsidRPr="006D1798" w:rsidRDefault="00773F7B" w:rsidP="00773F7B">
            <w:pPr>
              <w:pStyle w:val="T2"/>
              <w:jc w:val="left"/>
            </w:pPr>
          </w:p>
        </w:tc>
        <w:tc>
          <w:tcPr>
            <w:tcW w:w="992" w:type="dxa"/>
            <w:vAlign w:val="bottom"/>
          </w:tcPr>
          <w:p w14:paraId="0C54EE96" w14:textId="77777777" w:rsidR="00773F7B" w:rsidRPr="005C7C70" w:rsidRDefault="00773F7B" w:rsidP="00773F7B">
            <w:pPr>
              <w:pStyle w:val="T2"/>
              <w:jc w:val="right"/>
              <w:rPr>
                <w:b/>
              </w:rPr>
            </w:pPr>
            <w:r w:rsidRPr="005C7C70">
              <w:rPr>
                <w:b/>
              </w:rPr>
              <w:t>March</w:t>
            </w:r>
          </w:p>
          <w:p w14:paraId="3151B31B" w14:textId="77777777" w:rsidR="00773F7B" w:rsidRPr="006910FB" w:rsidRDefault="00773F7B" w:rsidP="00773F7B">
            <w:pPr>
              <w:pStyle w:val="T2"/>
              <w:jc w:val="right"/>
              <w:rPr>
                <w:b/>
              </w:rPr>
            </w:pPr>
            <w:r w:rsidRPr="005C7C70">
              <w:rPr>
                <w:b/>
              </w:rPr>
              <w:t>20</w:t>
            </w:r>
            <w:r>
              <w:rPr>
                <w:b/>
              </w:rPr>
              <w:t>20</w:t>
            </w:r>
          </w:p>
        </w:tc>
        <w:tc>
          <w:tcPr>
            <w:tcW w:w="1134" w:type="dxa"/>
          </w:tcPr>
          <w:p w14:paraId="2650D8A5" w14:textId="77777777" w:rsidR="00773F7B" w:rsidRPr="00405D63" w:rsidRDefault="00773F7B" w:rsidP="00773F7B">
            <w:pPr>
              <w:pStyle w:val="T2"/>
              <w:jc w:val="right"/>
            </w:pPr>
            <w:r w:rsidRPr="00405D63">
              <w:t>September 2019</w:t>
            </w:r>
          </w:p>
        </w:tc>
        <w:tc>
          <w:tcPr>
            <w:tcW w:w="1076" w:type="dxa"/>
          </w:tcPr>
          <w:p w14:paraId="0693F083" w14:textId="77777777" w:rsidR="00773F7B" w:rsidRPr="00405D63" w:rsidRDefault="00773F7B" w:rsidP="00773F7B">
            <w:pPr>
              <w:pStyle w:val="T2"/>
              <w:jc w:val="right"/>
            </w:pPr>
            <w:r w:rsidRPr="00405D63">
              <w:t xml:space="preserve"> March </w:t>
            </w:r>
          </w:p>
          <w:p w14:paraId="747E7866" w14:textId="77777777" w:rsidR="00773F7B" w:rsidRPr="00405D63" w:rsidRDefault="00773F7B" w:rsidP="00773F7B">
            <w:pPr>
              <w:pStyle w:val="T2"/>
              <w:jc w:val="right"/>
            </w:pPr>
            <w:r>
              <w:t>2019</w:t>
            </w:r>
          </w:p>
        </w:tc>
      </w:tr>
      <w:tr w:rsidR="00773F7B" w14:paraId="4C0ED452" w14:textId="77777777" w:rsidTr="005B3BEE">
        <w:trPr>
          <w:trHeight w:val="211"/>
          <w:jc w:val="center"/>
        </w:trPr>
        <w:tc>
          <w:tcPr>
            <w:tcW w:w="6576" w:type="dxa"/>
            <w:tcBorders>
              <w:bottom w:val="single" w:sz="2" w:space="0" w:color="auto"/>
            </w:tcBorders>
            <w:vAlign w:val="bottom"/>
          </w:tcPr>
          <w:p w14:paraId="059BACC7" w14:textId="77777777" w:rsidR="00773F7B" w:rsidRPr="006D1798" w:rsidRDefault="00773F7B" w:rsidP="00773F7B">
            <w:pPr>
              <w:pStyle w:val="T2"/>
              <w:jc w:val="left"/>
            </w:pPr>
          </w:p>
        </w:tc>
        <w:tc>
          <w:tcPr>
            <w:tcW w:w="992" w:type="dxa"/>
            <w:tcBorders>
              <w:bottom w:val="single" w:sz="2" w:space="0" w:color="auto"/>
            </w:tcBorders>
            <w:vAlign w:val="bottom"/>
          </w:tcPr>
          <w:p w14:paraId="40400A89" w14:textId="77777777" w:rsidR="00773F7B" w:rsidRDefault="00773F7B" w:rsidP="00773F7B">
            <w:pPr>
              <w:pStyle w:val="T2"/>
              <w:jc w:val="right"/>
              <w:rPr>
                <w:b/>
              </w:rPr>
            </w:pPr>
            <w:r w:rsidRPr="005C7C70">
              <w:rPr>
                <w:b/>
              </w:rPr>
              <w:t>£m</w:t>
            </w:r>
          </w:p>
        </w:tc>
        <w:tc>
          <w:tcPr>
            <w:tcW w:w="1134" w:type="dxa"/>
            <w:tcBorders>
              <w:bottom w:val="single" w:sz="2" w:space="0" w:color="auto"/>
            </w:tcBorders>
          </w:tcPr>
          <w:p w14:paraId="73E1051B" w14:textId="77777777" w:rsidR="00773F7B" w:rsidRPr="00405D63" w:rsidRDefault="00773F7B" w:rsidP="00773F7B">
            <w:pPr>
              <w:pStyle w:val="T2"/>
              <w:jc w:val="right"/>
            </w:pPr>
            <w:r w:rsidRPr="00405D63">
              <w:t>£m</w:t>
            </w:r>
          </w:p>
        </w:tc>
        <w:tc>
          <w:tcPr>
            <w:tcW w:w="1076" w:type="dxa"/>
            <w:tcBorders>
              <w:bottom w:val="single" w:sz="2" w:space="0" w:color="auto"/>
            </w:tcBorders>
            <w:vAlign w:val="bottom"/>
          </w:tcPr>
          <w:p w14:paraId="1A8DC6C3" w14:textId="77777777" w:rsidR="00773F7B" w:rsidRPr="00405D63" w:rsidRDefault="00773F7B" w:rsidP="00773F7B">
            <w:pPr>
              <w:pStyle w:val="T2"/>
              <w:jc w:val="right"/>
            </w:pPr>
            <w:r w:rsidRPr="00405D63">
              <w:t>£m</w:t>
            </w:r>
          </w:p>
        </w:tc>
      </w:tr>
      <w:tr w:rsidR="00773F7B" w14:paraId="71CF0F5E" w14:textId="77777777" w:rsidTr="005B3BEE">
        <w:trPr>
          <w:trHeight w:val="202"/>
          <w:jc w:val="center"/>
        </w:trPr>
        <w:tc>
          <w:tcPr>
            <w:tcW w:w="6576" w:type="dxa"/>
            <w:tcBorders>
              <w:top w:val="single" w:sz="2" w:space="0" w:color="auto"/>
            </w:tcBorders>
            <w:vAlign w:val="bottom"/>
          </w:tcPr>
          <w:p w14:paraId="6FF43171" w14:textId="77777777" w:rsidR="00773F7B" w:rsidRPr="006D1798" w:rsidRDefault="00773F7B" w:rsidP="00773F7B">
            <w:pPr>
              <w:pStyle w:val="T2"/>
              <w:jc w:val="left"/>
            </w:pPr>
            <w:r>
              <w:t>Between one and two years</w:t>
            </w:r>
          </w:p>
        </w:tc>
        <w:tc>
          <w:tcPr>
            <w:tcW w:w="992" w:type="dxa"/>
            <w:tcBorders>
              <w:top w:val="single" w:sz="2" w:space="0" w:color="auto"/>
            </w:tcBorders>
          </w:tcPr>
          <w:p w14:paraId="0619AC39" w14:textId="77777777" w:rsidR="00773F7B" w:rsidRPr="005D0EFF" w:rsidRDefault="00773F7B" w:rsidP="00773F7B">
            <w:pPr>
              <w:pStyle w:val="T2"/>
              <w:jc w:val="right"/>
              <w:rPr>
                <w:b/>
                <w:bCs/>
              </w:rPr>
            </w:pPr>
            <w:r>
              <w:rPr>
                <w:b/>
                <w:bCs/>
              </w:rPr>
              <w:t>(102.1)</w:t>
            </w:r>
          </w:p>
        </w:tc>
        <w:tc>
          <w:tcPr>
            <w:tcW w:w="1134" w:type="dxa"/>
            <w:tcBorders>
              <w:top w:val="single" w:sz="2" w:space="0" w:color="auto"/>
            </w:tcBorders>
          </w:tcPr>
          <w:p w14:paraId="21F0B70A" w14:textId="77777777" w:rsidR="00773F7B" w:rsidRPr="00405D63" w:rsidRDefault="00773F7B" w:rsidP="00773F7B">
            <w:pPr>
              <w:pStyle w:val="T2"/>
              <w:jc w:val="right"/>
              <w:rPr>
                <w:bCs/>
              </w:rPr>
            </w:pPr>
            <w:r>
              <w:rPr>
                <w:bCs/>
              </w:rPr>
              <w:t>–</w:t>
            </w:r>
          </w:p>
        </w:tc>
        <w:tc>
          <w:tcPr>
            <w:tcW w:w="1076" w:type="dxa"/>
            <w:tcBorders>
              <w:top w:val="single" w:sz="2" w:space="0" w:color="auto"/>
            </w:tcBorders>
            <w:vAlign w:val="bottom"/>
          </w:tcPr>
          <w:p w14:paraId="2AAAB42E" w14:textId="77777777" w:rsidR="00773F7B" w:rsidRPr="005D0EFF" w:rsidRDefault="00773F7B" w:rsidP="00773F7B">
            <w:pPr>
              <w:pStyle w:val="T2"/>
              <w:jc w:val="right"/>
              <w:rPr>
                <w:bCs/>
              </w:rPr>
            </w:pPr>
            <w:r>
              <w:rPr>
                <w:bCs/>
              </w:rPr>
              <w:t>–</w:t>
            </w:r>
          </w:p>
        </w:tc>
      </w:tr>
      <w:tr w:rsidR="00773F7B" w14:paraId="40AA35E6" w14:textId="77777777" w:rsidTr="005B3BEE">
        <w:trPr>
          <w:trHeight w:val="211"/>
          <w:jc w:val="center"/>
        </w:trPr>
        <w:tc>
          <w:tcPr>
            <w:tcW w:w="6576" w:type="dxa"/>
            <w:vAlign w:val="bottom"/>
          </w:tcPr>
          <w:p w14:paraId="2F8D6E01" w14:textId="77777777" w:rsidR="00773F7B" w:rsidRPr="006D1798" w:rsidRDefault="00773F7B" w:rsidP="00773F7B">
            <w:pPr>
              <w:pStyle w:val="T2"/>
              <w:jc w:val="left"/>
            </w:pPr>
            <w:r>
              <w:t>Between two and five years</w:t>
            </w:r>
          </w:p>
        </w:tc>
        <w:tc>
          <w:tcPr>
            <w:tcW w:w="992" w:type="dxa"/>
          </w:tcPr>
          <w:p w14:paraId="5FC1E2B8" w14:textId="77777777" w:rsidR="00773F7B" w:rsidRPr="005D0EFF" w:rsidRDefault="00773F7B" w:rsidP="00773F7B">
            <w:pPr>
              <w:pStyle w:val="T2"/>
              <w:jc w:val="right"/>
              <w:rPr>
                <w:b/>
                <w:bCs/>
              </w:rPr>
            </w:pPr>
            <w:r>
              <w:rPr>
                <w:b/>
                <w:bCs/>
              </w:rPr>
              <w:t>(212.1)</w:t>
            </w:r>
          </w:p>
        </w:tc>
        <w:tc>
          <w:tcPr>
            <w:tcW w:w="1134" w:type="dxa"/>
          </w:tcPr>
          <w:p w14:paraId="2C239C30" w14:textId="77777777" w:rsidR="00773F7B" w:rsidRPr="00405D63" w:rsidRDefault="00773F7B" w:rsidP="00773F7B">
            <w:pPr>
              <w:pStyle w:val="T2"/>
              <w:jc w:val="right"/>
              <w:rPr>
                <w:bCs/>
              </w:rPr>
            </w:pPr>
            <w:r>
              <w:rPr>
                <w:bCs/>
              </w:rPr>
              <w:t>(298.4)</w:t>
            </w:r>
          </w:p>
        </w:tc>
        <w:tc>
          <w:tcPr>
            <w:tcW w:w="1076" w:type="dxa"/>
            <w:vAlign w:val="bottom"/>
          </w:tcPr>
          <w:p w14:paraId="6D2BB421" w14:textId="77777777" w:rsidR="00773F7B" w:rsidRPr="005D0EFF" w:rsidRDefault="00773F7B" w:rsidP="00773F7B">
            <w:pPr>
              <w:pStyle w:val="T2"/>
              <w:jc w:val="right"/>
              <w:rPr>
                <w:bCs/>
              </w:rPr>
            </w:pPr>
            <w:r>
              <w:rPr>
                <w:bCs/>
              </w:rPr>
              <w:t>(254.0)</w:t>
            </w:r>
          </w:p>
        </w:tc>
      </w:tr>
      <w:tr w:rsidR="00773F7B" w14:paraId="747FF7A2" w14:textId="77777777" w:rsidTr="005B3BEE">
        <w:trPr>
          <w:trHeight w:val="211"/>
          <w:jc w:val="center"/>
        </w:trPr>
        <w:tc>
          <w:tcPr>
            <w:tcW w:w="6576" w:type="dxa"/>
            <w:tcBorders>
              <w:bottom w:val="single" w:sz="4" w:space="0" w:color="auto"/>
            </w:tcBorders>
            <w:vAlign w:val="bottom"/>
          </w:tcPr>
          <w:p w14:paraId="5CE27F36" w14:textId="77777777" w:rsidR="00773F7B" w:rsidRPr="006D1798" w:rsidRDefault="00773F7B" w:rsidP="00773F7B">
            <w:pPr>
              <w:pStyle w:val="T2"/>
              <w:jc w:val="left"/>
            </w:pPr>
            <w:r>
              <w:t>Over five years</w:t>
            </w:r>
          </w:p>
        </w:tc>
        <w:tc>
          <w:tcPr>
            <w:tcW w:w="992" w:type="dxa"/>
            <w:tcBorders>
              <w:bottom w:val="single" w:sz="4" w:space="0" w:color="auto"/>
            </w:tcBorders>
          </w:tcPr>
          <w:p w14:paraId="78371F78" w14:textId="77777777" w:rsidR="00773F7B" w:rsidRPr="005D0EFF" w:rsidRDefault="00773F7B" w:rsidP="00773F7B">
            <w:pPr>
              <w:pStyle w:val="T2"/>
              <w:jc w:val="right"/>
              <w:rPr>
                <w:b/>
                <w:bCs/>
              </w:rPr>
            </w:pPr>
            <w:r>
              <w:rPr>
                <w:b/>
                <w:bCs/>
              </w:rPr>
              <w:t>(31.4)</w:t>
            </w:r>
          </w:p>
        </w:tc>
        <w:tc>
          <w:tcPr>
            <w:tcW w:w="1134" w:type="dxa"/>
            <w:tcBorders>
              <w:bottom w:val="single" w:sz="4" w:space="0" w:color="auto"/>
            </w:tcBorders>
          </w:tcPr>
          <w:p w14:paraId="75BF2B29" w14:textId="77777777" w:rsidR="00773F7B" w:rsidRPr="00405D63" w:rsidRDefault="00773F7B" w:rsidP="00773F7B">
            <w:pPr>
              <w:pStyle w:val="T2"/>
              <w:jc w:val="right"/>
              <w:rPr>
                <w:bCs/>
              </w:rPr>
            </w:pPr>
            <w:r>
              <w:rPr>
                <w:bCs/>
              </w:rPr>
              <w:t>(31.7)</w:t>
            </w:r>
          </w:p>
        </w:tc>
        <w:tc>
          <w:tcPr>
            <w:tcW w:w="1076" w:type="dxa"/>
            <w:tcBorders>
              <w:bottom w:val="single" w:sz="4" w:space="0" w:color="auto"/>
            </w:tcBorders>
            <w:vAlign w:val="bottom"/>
          </w:tcPr>
          <w:p w14:paraId="41E7CBBD" w14:textId="77777777" w:rsidR="00773F7B" w:rsidRPr="005D0EFF" w:rsidRDefault="00773F7B" w:rsidP="00773F7B">
            <w:pPr>
              <w:pStyle w:val="T2"/>
              <w:jc w:val="right"/>
              <w:rPr>
                <w:bCs/>
              </w:rPr>
            </w:pPr>
            <w:r>
              <w:rPr>
                <w:bCs/>
              </w:rPr>
              <w:t>(45.6)</w:t>
            </w:r>
          </w:p>
        </w:tc>
      </w:tr>
      <w:tr w:rsidR="00773F7B" w14:paraId="78B7BB3C" w14:textId="77777777" w:rsidTr="005B3BEE">
        <w:trPr>
          <w:trHeight w:val="211"/>
          <w:jc w:val="center"/>
        </w:trPr>
        <w:tc>
          <w:tcPr>
            <w:tcW w:w="6576" w:type="dxa"/>
            <w:tcBorders>
              <w:top w:val="single" w:sz="4" w:space="0" w:color="auto"/>
              <w:bottom w:val="single" w:sz="8" w:space="0" w:color="auto"/>
            </w:tcBorders>
            <w:vAlign w:val="bottom"/>
          </w:tcPr>
          <w:p w14:paraId="6C4C0A38" w14:textId="77777777" w:rsidR="00773F7B" w:rsidRPr="0026155F" w:rsidRDefault="00773F7B" w:rsidP="00773F7B">
            <w:pPr>
              <w:pStyle w:val="T2"/>
              <w:jc w:val="left"/>
              <w:rPr>
                <w:b/>
              </w:rPr>
            </w:pPr>
          </w:p>
        </w:tc>
        <w:tc>
          <w:tcPr>
            <w:tcW w:w="992" w:type="dxa"/>
            <w:tcBorders>
              <w:top w:val="single" w:sz="4" w:space="0" w:color="auto"/>
              <w:bottom w:val="single" w:sz="8" w:space="0" w:color="auto"/>
            </w:tcBorders>
          </w:tcPr>
          <w:p w14:paraId="3C30F6A9" w14:textId="77777777" w:rsidR="00773F7B" w:rsidRPr="0026155F" w:rsidRDefault="00773F7B" w:rsidP="00773F7B">
            <w:pPr>
              <w:pStyle w:val="T2"/>
              <w:jc w:val="right"/>
              <w:rPr>
                <w:b/>
                <w:bCs/>
              </w:rPr>
            </w:pPr>
            <w:r>
              <w:rPr>
                <w:b/>
                <w:bCs/>
              </w:rPr>
              <w:t>(345.6)</w:t>
            </w:r>
          </w:p>
        </w:tc>
        <w:tc>
          <w:tcPr>
            <w:tcW w:w="1134" w:type="dxa"/>
            <w:tcBorders>
              <w:top w:val="single" w:sz="4" w:space="0" w:color="auto"/>
              <w:bottom w:val="single" w:sz="8" w:space="0" w:color="auto"/>
            </w:tcBorders>
          </w:tcPr>
          <w:p w14:paraId="3D739606" w14:textId="77777777" w:rsidR="00773F7B" w:rsidRPr="007D2418" w:rsidRDefault="00773F7B" w:rsidP="00773F7B">
            <w:pPr>
              <w:pStyle w:val="T2"/>
              <w:jc w:val="right"/>
              <w:rPr>
                <w:bCs/>
              </w:rPr>
            </w:pPr>
            <w:r>
              <w:rPr>
                <w:bCs/>
              </w:rPr>
              <w:t>(</w:t>
            </w:r>
            <w:r w:rsidRPr="007D2418">
              <w:rPr>
                <w:bCs/>
              </w:rPr>
              <w:t>330.1</w:t>
            </w:r>
            <w:r>
              <w:rPr>
                <w:bCs/>
              </w:rPr>
              <w:t>)</w:t>
            </w:r>
          </w:p>
        </w:tc>
        <w:tc>
          <w:tcPr>
            <w:tcW w:w="1076" w:type="dxa"/>
            <w:tcBorders>
              <w:top w:val="single" w:sz="4" w:space="0" w:color="auto"/>
              <w:bottom w:val="single" w:sz="8" w:space="0" w:color="auto"/>
            </w:tcBorders>
            <w:vAlign w:val="bottom"/>
          </w:tcPr>
          <w:p w14:paraId="164F3BD9" w14:textId="77777777" w:rsidR="00773F7B" w:rsidRPr="007D2418" w:rsidRDefault="00773F7B" w:rsidP="00773F7B">
            <w:pPr>
              <w:pStyle w:val="T2"/>
              <w:jc w:val="right"/>
              <w:rPr>
                <w:bCs/>
              </w:rPr>
            </w:pPr>
            <w:r>
              <w:rPr>
                <w:bCs/>
              </w:rPr>
              <w:t>(</w:t>
            </w:r>
            <w:r w:rsidRPr="007D2418">
              <w:rPr>
                <w:bCs/>
              </w:rPr>
              <w:t>299.6</w:t>
            </w:r>
            <w:r>
              <w:rPr>
                <w:bCs/>
              </w:rPr>
              <w:t>)</w:t>
            </w:r>
          </w:p>
        </w:tc>
      </w:tr>
    </w:tbl>
    <w:p w14:paraId="643121A7" w14:textId="77777777" w:rsidR="00EF1A4B" w:rsidRDefault="00EF1A4B" w:rsidP="005B3BEE">
      <w:pPr>
        <w:pStyle w:val="SectionH3"/>
        <w:spacing w:before="160"/>
      </w:pPr>
    </w:p>
    <w:p w14:paraId="3B96F0F9" w14:textId="1EB6C1AF" w:rsidR="00773F7B" w:rsidRDefault="00773F7B" w:rsidP="005B3BEE">
      <w:pPr>
        <w:pStyle w:val="SectionH3"/>
        <w:spacing w:before="160"/>
      </w:pPr>
      <w:r w:rsidRPr="0026155F">
        <w:t>Bank Borrowings</w:t>
      </w:r>
    </w:p>
    <w:p w14:paraId="28A743D2" w14:textId="77777777" w:rsidR="00773F7B" w:rsidRDefault="00773F7B" w:rsidP="005B3BEE">
      <w:pPr>
        <w:pStyle w:val="Paragraph"/>
        <w:spacing w:before="0" w:after="120"/>
        <w:jc w:val="both"/>
      </w:pPr>
      <w:r>
        <w:t>In the period the Group extended the maturity of its £340m committed bank facility by one year to 2025 and secured an</w:t>
      </w:r>
      <w:r w:rsidRPr="00C868A6">
        <w:t xml:space="preserve"> additional £75m committed debt facility which matures in March 2021. </w:t>
      </w:r>
      <w:r>
        <w:t>The Group’s bank borrowings, net of finance fees comprised of £230.7m at 27 March 2020 (September 2019: £213.9m</w:t>
      </w:r>
      <w:r w:rsidRPr="006E36B3">
        <w:t>)</w:t>
      </w:r>
      <w:r>
        <w:t xml:space="preserve"> </w:t>
      </w:r>
      <w:r w:rsidRPr="006E36B3">
        <w:t>with maturities ranging from January 202</w:t>
      </w:r>
      <w:r w:rsidR="00D94413">
        <w:t>2</w:t>
      </w:r>
      <w:r w:rsidRPr="006E36B3">
        <w:t xml:space="preserve"> to January 2025</w:t>
      </w:r>
      <w:r w:rsidR="00D94413">
        <w:t xml:space="preserve">, the earliest of which is the Group’s </w:t>
      </w:r>
      <w:r w:rsidRPr="006E36B3">
        <w:t>£50m bank bilateral facility which matures in January 2022. The Group had £233m (September 2019: £175m) of undrawn</w:t>
      </w:r>
      <w:r>
        <w:t xml:space="preserve"> </w:t>
      </w:r>
      <w:r>
        <w:lastRenderedPageBreak/>
        <w:t xml:space="preserve">committed bank facilities in respect of which all conditions precedent had been met. Uncommitted facilities undrawn at 27 March 2020 amounted </w:t>
      </w:r>
      <w:r w:rsidRPr="00E5521C">
        <w:t xml:space="preserve">to £6.5m (September </w:t>
      </w:r>
      <w:r>
        <w:t>2019: £7.0m).</w:t>
      </w:r>
      <w:r w:rsidRPr="00270329">
        <w:t xml:space="preserve"> </w:t>
      </w:r>
    </w:p>
    <w:p w14:paraId="43710915" w14:textId="77777777" w:rsidR="002D4204" w:rsidRDefault="002D4204" w:rsidP="00B8208C">
      <w:pPr>
        <w:pStyle w:val="Paragraph"/>
        <w:spacing w:before="120"/>
        <w:jc w:val="both"/>
        <w:rPr>
          <w:highlight w:val="yellow"/>
        </w:rPr>
      </w:pPr>
    </w:p>
    <w:p w14:paraId="12CAF80E" w14:textId="5192B1E7" w:rsidR="007645C9" w:rsidRPr="003E1652" w:rsidRDefault="007645C9" w:rsidP="005B3BEE">
      <w:pPr>
        <w:pStyle w:val="SectionH3"/>
        <w:rPr>
          <w:rStyle w:val="ParagraphChar"/>
        </w:rPr>
      </w:pPr>
      <w:r w:rsidRPr="003E1652">
        <w:rPr>
          <w:rStyle w:val="ParagraphChar"/>
        </w:rPr>
        <w:t>12.</w:t>
      </w:r>
      <w:r w:rsidR="003E1652">
        <w:rPr>
          <w:rStyle w:val="ParagraphChar"/>
        </w:rPr>
        <w:tab/>
      </w:r>
      <w:r w:rsidRPr="003E1652">
        <w:rPr>
          <w:rStyle w:val="ParagraphChar"/>
        </w:rPr>
        <w:t>Borrowings and Derivatives (continued)</w:t>
      </w:r>
    </w:p>
    <w:p w14:paraId="4EC6262B" w14:textId="4AFFA25E" w:rsidR="00FE64FF" w:rsidRPr="00254DCD" w:rsidRDefault="00FE64FF" w:rsidP="00FE64FF">
      <w:pPr>
        <w:pStyle w:val="Paragraph"/>
        <w:spacing w:before="0" w:after="120"/>
        <w:jc w:val="both"/>
        <w:rPr>
          <w:rFonts w:eastAsia="Times New Roman"/>
        </w:rPr>
      </w:pPr>
      <w:r w:rsidRPr="00B52070">
        <w:t xml:space="preserve">Subsequent to the period end, the Group secured formal agreement with its lending syndicate of banks to waive its </w:t>
      </w:r>
      <w:r w:rsidR="006D0A46" w:rsidRPr="00B52070">
        <w:t>N</w:t>
      </w:r>
      <w:r w:rsidRPr="00B52070">
        <w:t xml:space="preserve">et </w:t>
      </w:r>
      <w:r w:rsidR="006D0A46" w:rsidRPr="00B52070">
        <w:t>D</w:t>
      </w:r>
      <w:r w:rsidRPr="00B52070">
        <w:t>ebt: EBITDA covenant condition for the September 2020 and March 2021 test periods.</w:t>
      </w:r>
    </w:p>
    <w:p w14:paraId="714D380B" w14:textId="71087FD5" w:rsidR="00773F7B" w:rsidRDefault="00773F7B" w:rsidP="005B3BEE">
      <w:pPr>
        <w:pStyle w:val="SectionH3"/>
      </w:pPr>
      <w:r>
        <w:t>Private Placement Notes</w:t>
      </w:r>
    </w:p>
    <w:p w14:paraId="5AB64B46" w14:textId="6E1D06A3" w:rsidR="00773F7B" w:rsidRPr="007D2418" w:rsidRDefault="00773F7B" w:rsidP="00B52070">
      <w:pPr>
        <w:spacing w:after="120" w:line="240" w:lineRule="auto"/>
        <w:jc w:val="both"/>
        <w:rPr>
          <w:sz w:val="18"/>
          <w:szCs w:val="18"/>
        </w:rPr>
      </w:pPr>
      <w:r w:rsidRPr="007D2418">
        <w:rPr>
          <w:sz w:val="18"/>
          <w:szCs w:val="18"/>
        </w:rPr>
        <w:t>The Group’s outstanding Private Placement Notes net of finance fees comprised of £114.9m (denominated as $120.9m and £18m) at 27 March 2020 (September 2019: £116.2m, denominated as $120.9m and £18m). These were issued as fixed rate debt in October 2013 ($65m) and June 2016 ($74.5m and £18m) with maturities ranging between October 2021 and June 2026.</w:t>
      </w:r>
    </w:p>
    <w:p w14:paraId="0317661E" w14:textId="77777777" w:rsidR="00FE64FF" w:rsidRDefault="00773F7B" w:rsidP="00B52070">
      <w:pPr>
        <w:pStyle w:val="Paragraph"/>
        <w:spacing w:before="0" w:after="120"/>
        <w:jc w:val="both"/>
      </w:pPr>
      <w:r w:rsidRPr="007D2418">
        <w:t>The Group ha</w:t>
      </w:r>
      <w:r w:rsidR="00D9430C">
        <w:t>s</w:t>
      </w:r>
      <w:r w:rsidRPr="007D2418">
        <w:t xml:space="preserve"> swapped the $120.9m Private Placement Notes from fixed rate US Dollar to fixed rate sterling using cross</w:t>
      </w:r>
      <w:r>
        <w:t>–</w:t>
      </w:r>
      <w:r w:rsidRPr="007D2418">
        <w:t>currency interest rate swaps. The fixed rate US dollar to fixed rate sterling swaps are designated as cash flow hedges under IAS</w:t>
      </w:r>
      <w:r>
        <w:t xml:space="preserve"> </w:t>
      </w:r>
      <w:r w:rsidRPr="007D2418">
        <w:t xml:space="preserve">39 </w:t>
      </w:r>
      <w:r w:rsidRPr="00FC568F">
        <w:rPr>
          <w:i/>
          <w:iCs/>
        </w:rPr>
        <w:t>Financial Instruments; Recognition and Measurement</w:t>
      </w:r>
      <w:r w:rsidRPr="007D2418">
        <w:t>.</w:t>
      </w:r>
    </w:p>
    <w:p w14:paraId="7857E999" w14:textId="03BA16C3" w:rsidR="00C006CB" w:rsidRPr="00B52070" w:rsidRDefault="00C006CB" w:rsidP="00B52070">
      <w:pPr>
        <w:jc w:val="both"/>
        <w:rPr>
          <w:sz w:val="18"/>
          <w:szCs w:val="18"/>
        </w:rPr>
      </w:pPr>
      <w:r w:rsidRPr="00B52070">
        <w:rPr>
          <w:sz w:val="18"/>
          <w:szCs w:val="18"/>
        </w:rPr>
        <w:t xml:space="preserve">The </w:t>
      </w:r>
      <w:r>
        <w:rPr>
          <w:sz w:val="18"/>
          <w:szCs w:val="18"/>
        </w:rPr>
        <w:t>Group</w:t>
      </w:r>
      <w:r w:rsidRPr="00B52070">
        <w:rPr>
          <w:sz w:val="18"/>
          <w:szCs w:val="18"/>
        </w:rPr>
        <w:t xml:space="preserve"> is in advanced stages of discussions with the </w:t>
      </w:r>
      <w:r>
        <w:rPr>
          <w:sz w:val="18"/>
          <w:szCs w:val="18"/>
        </w:rPr>
        <w:t>P</w:t>
      </w:r>
      <w:r w:rsidRPr="00B52070">
        <w:rPr>
          <w:sz w:val="18"/>
          <w:szCs w:val="18"/>
        </w:rPr>
        <w:t xml:space="preserve">rivate </w:t>
      </w:r>
      <w:r>
        <w:rPr>
          <w:sz w:val="18"/>
          <w:szCs w:val="18"/>
        </w:rPr>
        <w:t>P</w:t>
      </w:r>
      <w:r w:rsidRPr="00B52070">
        <w:rPr>
          <w:sz w:val="18"/>
          <w:szCs w:val="18"/>
        </w:rPr>
        <w:t xml:space="preserve">lacement holders in respect of a waiver of the September 2020 and March 2021 leverage covenants contained in the </w:t>
      </w:r>
      <w:r>
        <w:rPr>
          <w:sz w:val="18"/>
          <w:szCs w:val="18"/>
        </w:rPr>
        <w:t>P</w:t>
      </w:r>
      <w:r w:rsidRPr="00B52070">
        <w:rPr>
          <w:sz w:val="18"/>
          <w:szCs w:val="18"/>
        </w:rPr>
        <w:t xml:space="preserve">rivate </w:t>
      </w:r>
      <w:r>
        <w:rPr>
          <w:sz w:val="18"/>
          <w:szCs w:val="18"/>
        </w:rPr>
        <w:t>P</w:t>
      </w:r>
      <w:r w:rsidRPr="00B52070">
        <w:rPr>
          <w:sz w:val="18"/>
          <w:szCs w:val="18"/>
        </w:rPr>
        <w:t xml:space="preserve">lacement documentation and the </w:t>
      </w:r>
      <w:r>
        <w:rPr>
          <w:sz w:val="18"/>
          <w:szCs w:val="18"/>
        </w:rPr>
        <w:t>Group</w:t>
      </w:r>
      <w:r w:rsidRPr="00B52070">
        <w:rPr>
          <w:sz w:val="18"/>
          <w:szCs w:val="18"/>
        </w:rPr>
        <w:t xml:space="preserve"> expects that an agreement in respect of such waivers will be finalised and concluded in the coming weeks.</w:t>
      </w:r>
    </w:p>
    <w:p w14:paraId="309C1CF8" w14:textId="77777777" w:rsidR="00773F7B" w:rsidRDefault="00773F7B" w:rsidP="005B3BEE">
      <w:pPr>
        <w:pStyle w:val="Paragraph"/>
        <w:spacing w:before="0" w:after="120"/>
        <w:rPr>
          <w:b/>
        </w:rPr>
      </w:pPr>
      <w:r>
        <w:rPr>
          <w:b/>
        </w:rPr>
        <w:t xml:space="preserve">Derivatives </w:t>
      </w:r>
      <w:r w:rsidRPr="00662216">
        <w:rPr>
          <w:b/>
        </w:rPr>
        <w:t xml:space="preserve">Fair value hierarchy </w:t>
      </w:r>
      <w:r>
        <w:rPr>
          <w:b/>
        </w:rPr>
        <w:t>–</w:t>
      </w:r>
      <w:r w:rsidRPr="00662216">
        <w:rPr>
          <w:b/>
        </w:rPr>
        <w:t xml:space="preserve"> IFRS 13 (level 2 inputs)*</w:t>
      </w:r>
    </w:p>
    <w:tbl>
      <w:tblPr>
        <w:tblStyle w:val="TableGrid"/>
        <w:tblW w:w="97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5"/>
        <w:gridCol w:w="1027"/>
        <w:gridCol w:w="1028"/>
        <w:gridCol w:w="1030"/>
      </w:tblGrid>
      <w:tr w:rsidR="00773F7B" w14:paraId="0669A0C5" w14:textId="77777777" w:rsidTr="005B3BEE">
        <w:trPr>
          <w:jc w:val="center"/>
        </w:trPr>
        <w:tc>
          <w:tcPr>
            <w:tcW w:w="6695" w:type="dxa"/>
          </w:tcPr>
          <w:p w14:paraId="701014BB" w14:textId="77777777" w:rsidR="00773F7B" w:rsidRPr="00C0338D" w:rsidRDefault="00773F7B" w:rsidP="00773F7B">
            <w:pPr>
              <w:pStyle w:val="T2"/>
            </w:pPr>
          </w:p>
        </w:tc>
        <w:tc>
          <w:tcPr>
            <w:tcW w:w="1027" w:type="dxa"/>
            <w:vAlign w:val="bottom"/>
          </w:tcPr>
          <w:p w14:paraId="33F84471" w14:textId="77777777" w:rsidR="00773F7B" w:rsidRPr="00C0338D" w:rsidRDefault="00773F7B" w:rsidP="00773F7B">
            <w:pPr>
              <w:pStyle w:val="T2"/>
              <w:jc w:val="right"/>
              <w:rPr>
                <w:b/>
              </w:rPr>
            </w:pPr>
            <w:r w:rsidRPr="00C0338D">
              <w:rPr>
                <w:b/>
              </w:rPr>
              <w:t>March 20</w:t>
            </w:r>
            <w:r>
              <w:rPr>
                <w:b/>
              </w:rPr>
              <w:t>20</w:t>
            </w:r>
          </w:p>
        </w:tc>
        <w:tc>
          <w:tcPr>
            <w:tcW w:w="1028" w:type="dxa"/>
            <w:vAlign w:val="bottom"/>
          </w:tcPr>
          <w:p w14:paraId="56667C4A" w14:textId="77777777" w:rsidR="00773F7B" w:rsidRPr="00C0338D" w:rsidRDefault="00773F7B" w:rsidP="00773F7B">
            <w:pPr>
              <w:pStyle w:val="T2"/>
              <w:jc w:val="right"/>
            </w:pPr>
            <w:r w:rsidRPr="00C0338D">
              <w:t>September 201</w:t>
            </w:r>
            <w:r>
              <w:t>9</w:t>
            </w:r>
          </w:p>
        </w:tc>
        <w:tc>
          <w:tcPr>
            <w:tcW w:w="1028" w:type="dxa"/>
            <w:vAlign w:val="bottom"/>
          </w:tcPr>
          <w:p w14:paraId="34BB0989" w14:textId="77777777" w:rsidR="00773F7B" w:rsidRPr="00C0338D" w:rsidRDefault="00773F7B" w:rsidP="00773F7B">
            <w:pPr>
              <w:pStyle w:val="T2"/>
              <w:jc w:val="right"/>
            </w:pPr>
            <w:r w:rsidRPr="00C0338D">
              <w:t>March 201</w:t>
            </w:r>
            <w:r>
              <w:t>9</w:t>
            </w:r>
          </w:p>
        </w:tc>
      </w:tr>
      <w:tr w:rsidR="00773F7B" w14:paraId="2E6560BA" w14:textId="77777777" w:rsidTr="005B3BEE">
        <w:trPr>
          <w:jc w:val="center"/>
        </w:trPr>
        <w:tc>
          <w:tcPr>
            <w:tcW w:w="6695" w:type="dxa"/>
            <w:vAlign w:val="bottom"/>
          </w:tcPr>
          <w:p w14:paraId="1D494A6F" w14:textId="77777777" w:rsidR="00773F7B" w:rsidRPr="00C0338D" w:rsidRDefault="00773F7B" w:rsidP="00773F7B">
            <w:pPr>
              <w:pStyle w:val="T2"/>
              <w:jc w:val="left"/>
            </w:pPr>
          </w:p>
        </w:tc>
        <w:tc>
          <w:tcPr>
            <w:tcW w:w="1027" w:type="dxa"/>
            <w:vAlign w:val="bottom"/>
          </w:tcPr>
          <w:p w14:paraId="1FB945E4" w14:textId="77777777" w:rsidR="00773F7B" w:rsidRPr="00C0338D" w:rsidRDefault="00773F7B" w:rsidP="00773F7B">
            <w:pPr>
              <w:pStyle w:val="T2"/>
              <w:jc w:val="right"/>
              <w:rPr>
                <w:b/>
              </w:rPr>
            </w:pPr>
            <w:r w:rsidRPr="00C0338D">
              <w:rPr>
                <w:b/>
              </w:rPr>
              <w:t xml:space="preserve">Level 2* </w:t>
            </w:r>
          </w:p>
        </w:tc>
        <w:tc>
          <w:tcPr>
            <w:tcW w:w="1028" w:type="dxa"/>
            <w:vAlign w:val="bottom"/>
          </w:tcPr>
          <w:p w14:paraId="21BAECD5" w14:textId="77777777" w:rsidR="00773F7B" w:rsidRPr="00C0338D" w:rsidRDefault="00773F7B" w:rsidP="00773F7B">
            <w:pPr>
              <w:pStyle w:val="T2"/>
              <w:jc w:val="right"/>
            </w:pPr>
            <w:r w:rsidRPr="00C0338D">
              <w:t xml:space="preserve">Level 2* </w:t>
            </w:r>
          </w:p>
        </w:tc>
        <w:tc>
          <w:tcPr>
            <w:tcW w:w="1028" w:type="dxa"/>
            <w:vAlign w:val="bottom"/>
          </w:tcPr>
          <w:p w14:paraId="1B1C7947" w14:textId="77777777" w:rsidR="00773F7B" w:rsidRPr="00C0338D" w:rsidRDefault="00773F7B" w:rsidP="00773F7B">
            <w:pPr>
              <w:pStyle w:val="T2"/>
              <w:jc w:val="right"/>
            </w:pPr>
            <w:r w:rsidRPr="00C0338D">
              <w:t xml:space="preserve">Level 2* </w:t>
            </w:r>
          </w:p>
        </w:tc>
      </w:tr>
      <w:tr w:rsidR="00773F7B" w14:paraId="498C0EB7" w14:textId="77777777" w:rsidTr="005B3BEE">
        <w:trPr>
          <w:jc w:val="center"/>
        </w:trPr>
        <w:tc>
          <w:tcPr>
            <w:tcW w:w="6695" w:type="dxa"/>
            <w:tcBorders>
              <w:bottom w:val="single" w:sz="2" w:space="0" w:color="auto"/>
            </w:tcBorders>
            <w:vAlign w:val="bottom"/>
          </w:tcPr>
          <w:p w14:paraId="023C8170" w14:textId="77777777" w:rsidR="00773F7B" w:rsidRPr="00C0338D" w:rsidRDefault="00773F7B" w:rsidP="00773F7B">
            <w:pPr>
              <w:pStyle w:val="T2"/>
              <w:jc w:val="left"/>
            </w:pPr>
          </w:p>
        </w:tc>
        <w:tc>
          <w:tcPr>
            <w:tcW w:w="1027" w:type="dxa"/>
            <w:tcBorders>
              <w:bottom w:val="single" w:sz="2" w:space="0" w:color="auto"/>
            </w:tcBorders>
            <w:vAlign w:val="bottom"/>
          </w:tcPr>
          <w:p w14:paraId="663E4C33" w14:textId="77777777" w:rsidR="00773F7B" w:rsidRPr="00C0338D" w:rsidRDefault="00773F7B" w:rsidP="00773F7B">
            <w:pPr>
              <w:pStyle w:val="T2"/>
              <w:jc w:val="right"/>
              <w:rPr>
                <w:b/>
              </w:rPr>
            </w:pPr>
            <w:r w:rsidRPr="00C0338D">
              <w:rPr>
                <w:b/>
              </w:rPr>
              <w:t>£m</w:t>
            </w:r>
          </w:p>
        </w:tc>
        <w:tc>
          <w:tcPr>
            <w:tcW w:w="1028" w:type="dxa"/>
            <w:tcBorders>
              <w:bottom w:val="single" w:sz="2" w:space="0" w:color="auto"/>
            </w:tcBorders>
            <w:vAlign w:val="bottom"/>
          </w:tcPr>
          <w:p w14:paraId="7EFE284D" w14:textId="77777777" w:rsidR="00773F7B" w:rsidRPr="00C0338D" w:rsidRDefault="00773F7B" w:rsidP="00773F7B">
            <w:pPr>
              <w:pStyle w:val="T2"/>
              <w:jc w:val="right"/>
            </w:pPr>
            <w:r w:rsidRPr="00C0338D">
              <w:t>£m</w:t>
            </w:r>
          </w:p>
        </w:tc>
        <w:tc>
          <w:tcPr>
            <w:tcW w:w="1028" w:type="dxa"/>
            <w:tcBorders>
              <w:bottom w:val="single" w:sz="2" w:space="0" w:color="auto"/>
            </w:tcBorders>
            <w:vAlign w:val="bottom"/>
          </w:tcPr>
          <w:p w14:paraId="775D18C4" w14:textId="77777777" w:rsidR="00773F7B" w:rsidRPr="00C0338D" w:rsidRDefault="00773F7B" w:rsidP="00773F7B">
            <w:pPr>
              <w:pStyle w:val="T2"/>
              <w:jc w:val="right"/>
            </w:pPr>
            <w:r w:rsidRPr="00C0338D">
              <w:t>£m</w:t>
            </w:r>
          </w:p>
        </w:tc>
      </w:tr>
      <w:tr w:rsidR="00773F7B" w14:paraId="5E388682" w14:textId="77777777" w:rsidTr="005B3BEE">
        <w:trPr>
          <w:jc w:val="center"/>
        </w:trPr>
        <w:tc>
          <w:tcPr>
            <w:tcW w:w="6695" w:type="dxa"/>
            <w:tcBorders>
              <w:top w:val="single" w:sz="2" w:space="0" w:color="auto"/>
            </w:tcBorders>
            <w:vAlign w:val="bottom"/>
          </w:tcPr>
          <w:p w14:paraId="1D1D5188" w14:textId="77777777" w:rsidR="00773F7B" w:rsidRPr="00C0338D" w:rsidRDefault="00773F7B" w:rsidP="00773F7B">
            <w:pPr>
              <w:pStyle w:val="T2"/>
              <w:jc w:val="left"/>
              <w:rPr>
                <w:b/>
              </w:rPr>
            </w:pPr>
            <w:r w:rsidRPr="00C0338D">
              <w:rPr>
                <w:b/>
              </w:rPr>
              <w:t xml:space="preserve">Assets carried at fair value </w:t>
            </w:r>
          </w:p>
        </w:tc>
        <w:tc>
          <w:tcPr>
            <w:tcW w:w="1027" w:type="dxa"/>
            <w:tcBorders>
              <w:top w:val="single" w:sz="2" w:space="0" w:color="auto"/>
            </w:tcBorders>
            <w:vAlign w:val="bottom"/>
          </w:tcPr>
          <w:p w14:paraId="08CD9A16" w14:textId="77777777" w:rsidR="00773F7B" w:rsidRPr="00B074E8" w:rsidRDefault="00773F7B" w:rsidP="00773F7B">
            <w:pPr>
              <w:pStyle w:val="T2"/>
              <w:jc w:val="right"/>
            </w:pPr>
          </w:p>
        </w:tc>
        <w:tc>
          <w:tcPr>
            <w:tcW w:w="1028" w:type="dxa"/>
            <w:tcBorders>
              <w:top w:val="single" w:sz="2" w:space="0" w:color="auto"/>
            </w:tcBorders>
            <w:vAlign w:val="bottom"/>
          </w:tcPr>
          <w:p w14:paraId="529D0300" w14:textId="77777777" w:rsidR="00773F7B" w:rsidRPr="00C0338D" w:rsidRDefault="00773F7B" w:rsidP="00773F7B">
            <w:pPr>
              <w:pStyle w:val="T2"/>
              <w:jc w:val="right"/>
            </w:pPr>
          </w:p>
        </w:tc>
        <w:tc>
          <w:tcPr>
            <w:tcW w:w="1028" w:type="dxa"/>
            <w:tcBorders>
              <w:top w:val="single" w:sz="2" w:space="0" w:color="auto"/>
            </w:tcBorders>
            <w:vAlign w:val="bottom"/>
          </w:tcPr>
          <w:p w14:paraId="6C88FC00" w14:textId="77777777" w:rsidR="00773F7B" w:rsidRPr="00C0338D" w:rsidRDefault="00773F7B" w:rsidP="00773F7B">
            <w:pPr>
              <w:pStyle w:val="T2"/>
              <w:jc w:val="right"/>
            </w:pPr>
          </w:p>
        </w:tc>
      </w:tr>
      <w:tr w:rsidR="00773F7B" w14:paraId="264BCB7F" w14:textId="77777777" w:rsidTr="005B3BEE">
        <w:trPr>
          <w:jc w:val="center"/>
        </w:trPr>
        <w:tc>
          <w:tcPr>
            <w:tcW w:w="6695" w:type="dxa"/>
            <w:vAlign w:val="bottom"/>
          </w:tcPr>
          <w:p w14:paraId="398D0278" w14:textId="77777777" w:rsidR="00773F7B" w:rsidRPr="00C0338D" w:rsidRDefault="00773F7B" w:rsidP="00773F7B">
            <w:pPr>
              <w:pStyle w:val="T2"/>
              <w:jc w:val="left"/>
            </w:pPr>
            <w:r>
              <w:t xml:space="preserve">Cross–currency interest rate swaps – </w:t>
            </w:r>
            <w:r w:rsidRPr="00C0338D">
              <w:t>cash flow hedges</w:t>
            </w:r>
          </w:p>
        </w:tc>
        <w:tc>
          <w:tcPr>
            <w:tcW w:w="1027" w:type="dxa"/>
            <w:vAlign w:val="bottom"/>
          </w:tcPr>
          <w:p w14:paraId="71A475E1" w14:textId="77777777" w:rsidR="00773F7B" w:rsidRPr="00E5521C" w:rsidRDefault="00773F7B" w:rsidP="00773F7B">
            <w:pPr>
              <w:pStyle w:val="T2"/>
              <w:jc w:val="right"/>
              <w:rPr>
                <w:b/>
              </w:rPr>
            </w:pPr>
            <w:r w:rsidRPr="00E5521C">
              <w:rPr>
                <w:b/>
              </w:rPr>
              <w:t>6.5</w:t>
            </w:r>
          </w:p>
        </w:tc>
        <w:tc>
          <w:tcPr>
            <w:tcW w:w="1028" w:type="dxa"/>
            <w:vAlign w:val="bottom"/>
          </w:tcPr>
          <w:p w14:paraId="4D4B3318" w14:textId="77777777" w:rsidR="00773F7B" w:rsidRDefault="00773F7B" w:rsidP="00773F7B">
            <w:pPr>
              <w:pStyle w:val="T2"/>
              <w:jc w:val="right"/>
            </w:pPr>
            <w:r>
              <w:t>5.5</w:t>
            </w:r>
          </w:p>
        </w:tc>
        <w:tc>
          <w:tcPr>
            <w:tcW w:w="1028" w:type="dxa"/>
            <w:vAlign w:val="bottom"/>
          </w:tcPr>
          <w:p w14:paraId="58F41162" w14:textId="77777777" w:rsidR="00773F7B" w:rsidRPr="0096767F" w:rsidRDefault="00773F7B" w:rsidP="00773F7B">
            <w:pPr>
              <w:pStyle w:val="T2"/>
              <w:jc w:val="right"/>
            </w:pPr>
            <w:r>
              <w:t>–</w:t>
            </w:r>
          </w:p>
        </w:tc>
      </w:tr>
      <w:tr w:rsidR="00773F7B" w14:paraId="157C4855" w14:textId="77777777" w:rsidTr="005B3BEE">
        <w:trPr>
          <w:jc w:val="center"/>
        </w:trPr>
        <w:tc>
          <w:tcPr>
            <w:tcW w:w="6695" w:type="dxa"/>
            <w:tcBorders>
              <w:bottom w:val="single" w:sz="4" w:space="0" w:color="auto"/>
            </w:tcBorders>
            <w:vAlign w:val="bottom"/>
          </w:tcPr>
          <w:p w14:paraId="44CA9A62" w14:textId="77777777" w:rsidR="00773F7B" w:rsidRPr="00C0338D" w:rsidRDefault="00773F7B" w:rsidP="00773F7B">
            <w:pPr>
              <w:pStyle w:val="T2"/>
              <w:jc w:val="left"/>
            </w:pPr>
            <w:r w:rsidRPr="00C0338D">
              <w:t xml:space="preserve">Interest rate swaps </w:t>
            </w:r>
            <w:r>
              <w:t>–</w:t>
            </w:r>
            <w:r w:rsidRPr="00C0338D">
              <w:t xml:space="preserve"> not designated as hedges</w:t>
            </w:r>
          </w:p>
        </w:tc>
        <w:tc>
          <w:tcPr>
            <w:tcW w:w="1027" w:type="dxa"/>
            <w:tcBorders>
              <w:bottom w:val="single" w:sz="4" w:space="0" w:color="auto"/>
            </w:tcBorders>
            <w:vAlign w:val="bottom"/>
          </w:tcPr>
          <w:p w14:paraId="2B9173E0" w14:textId="77777777" w:rsidR="00773F7B" w:rsidRPr="00E5521C" w:rsidRDefault="00773F7B" w:rsidP="00773F7B">
            <w:pPr>
              <w:pStyle w:val="T2"/>
              <w:jc w:val="right"/>
              <w:rPr>
                <w:b/>
              </w:rPr>
            </w:pPr>
            <w:r>
              <w:rPr>
                <w:b/>
              </w:rPr>
              <w:t>–</w:t>
            </w:r>
          </w:p>
        </w:tc>
        <w:tc>
          <w:tcPr>
            <w:tcW w:w="1028" w:type="dxa"/>
            <w:tcBorders>
              <w:bottom w:val="single" w:sz="4" w:space="0" w:color="auto"/>
            </w:tcBorders>
            <w:vAlign w:val="bottom"/>
          </w:tcPr>
          <w:p w14:paraId="06171CCA" w14:textId="77777777" w:rsidR="00773F7B" w:rsidRPr="00C0338D" w:rsidRDefault="00773F7B" w:rsidP="00773F7B">
            <w:pPr>
              <w:pStyle w:val="T2"/>
              <w:jc w:val="right"/>
            </w:pPr>
            <w:r>
              <w:t>–</w:t>
            </w:r>
          </w:p>
        </w:tc>
        <w:tc>
          <w:tcPr>
            <w:tcW w:w="1028" w:type="dxa"/>
            <w:tcBorders>
              <w:bottom w:val="single" w:sz="4" w:space="0" w:color="auto"/>
            </w:tcBorders>
            <w:vAlign w:val="bottom"/>
          </w:tcPr>
          <w:p w14:paraId="3FB81EA4" w14:textId="77777777" w:rsidR="00773F7B" w:rsidRPr="00C0338D" w:rsidRDefault="00773F7B" w:rsidP="00773F7B">
            <w:pPr>
              <w:pStyle w:val="T2"/>
              <w:jc w:val="right"/>
            </w:pPr>
            <w:r w:rsidRPr="0096767F">
              <w:t>0.1</w:t>
            </w:r>
          </w:p>
        </w:tc>
      </w:tr>
      <w:tr w:rsidR="00773F7B" w14:paraId="115314EA" w14:textId="77777777" w:rsidTr="005B3BEE">
        <w:trPr>
          <w:jc w:val="center"/>
        </w:trPr>
        <w:tc>
          <w:tcPr>
            <w:tcW w:w="6695" w:type="dxa"/>
            <w:tcBorders>
              <w:top w:val="single" w:sz="4" w:space="0" w:color="auto"/>
              <w:bottom w:val="single" w:sz="8" w:space="0" w:color="auto"/>
            </w:tcBorders>
            <w:vAlign w:val="bottom"/>
          </w:tcPr>
          <w:p w14:paraId="5BEF94AF" w14:textId="77777777" w:rsidR="00773F7B" w:rsidRPr="00C0338D" w:rsidRDefault="00773F7B" w:rsidP="00773F7B">
            <w:pPr>
              <w:pStyle w:val="T2"/>
              <w:jc w:val="left"/>
            </w:pPr>
            <w:r w:rsidRPr="00C0338D">
              <w:t> </w:t>
            </w:r>
          </w:p>
        </w:tc>
        <w:tc>
          <w:tcPr>
            <w:tcW w:w="1027" w:type="dxa"/>
            <w:tcBorders>
              <w:top w:val="single" w:sz="4" w:space="0" w:color="auto"/>
              <w:bottom w:val="single" w:sz="8" w:space="0" w:color="auto"/>
            </w:tcBorders>
            <w:vAlign w:val="bottom"/>
          </w:tcPr>
          <w:p w14:paraId="1127D312" w14:textId="77777777" w:rsidR="00773F7B" w:rsidRPr="00E5521C" w:rsidRDefault="00773F7B" w:rsidP="00773F7B">
            <w:pPr>
              <w:pStyle w:val="T2"/>
              <w:jc w:val="right"/>
              <w:rPr>
                <w:b/>
              </w:rPr>
            </w:pPr>
            <w:r>
              <w:rPr>
                <w:b/>
              </w:rPr>
              <w:t>6.5</w:t>
            </w:r>
          </w:p>
        </w:tc>
        <w:tc>
          <w:tcPr>
            <w:tcW w:w="1028" w:type="dxa"/>
            <w:tcBorders>
              <w:top w:val="single" w:sz="4" w:space="0" w:color="auto"/>
              <w:bottom w:val="single" w:sz="8" w:space="0" w:color="auto"/>
            </w:tcBorders>
            <w:vAlign w:val="bottom"/>
          </w:tcPr>
          <w:p w14:paraId="3FD916AE" w14:textId="77777777" w:rsidR="00773F7B" w:rsidRPr="00C0338D" w:rsidRDefault="00773F7B" w:rsidP="00773F7B">
            <w:pPr>
              <w:pStyle w:val="T2"/>
              <w:jc w:val="right"/>
            </w:pPr>
            <w:r>
              <w:t>5.5</w:t>
            </w:r>
          </w:p>
        </w:tc>
        <w:tc>
          <w:tcPr>
            <w:tcW w:w="1028" w:type="dxa"/>
            <w:tcBorders>
              <w:top w:val="single" w:sz="4" w:space="0" w:color="auto"/>
              <w:bottom w:val="single" w:sz="8" w:space="0" w:color="auto"/>
            </w:tcBorders>
            <w:vAlign w:val="bottom"/>
          </w:tcPr>
          <w:p w14:paraId="0647F372" w14:textId="77777777" w:rsidR="00773F7B" w:rsidRPr="00C0338D" w:rsidRDefault="00773F7B" w:rsidP="00773F7B">
            <w:pPr>
              <w:pStyle w:val="T2"/>
              <w:jc w:val="right"/>
            </w:pPr>
            <w:r w:rsidRPr="0096767F">
              <w:t>0.1</w:t>
            </w:r>
          </w:p>
        </w:tc>
      </w:tr>
      <w:tr w:rsidR="00773F7B" w14:paraId="0AAB7DB0" w14:textId="77777777" w:rsidTr="005B3BEE">
        <w:trPr>
          <w:jc w:val="center"/>
        </w:trPr>
        <w:tc>
          <w:tcPr>
            <w:tcW w:w="6695" w:type="dxa"/>
            <w:tcBorders>
              <w:top w:val="single" w:sz="8" w:space="0" w:color="auto"/>
            </w:tcBorders>
            <w:vAlign w:val="bottom"/>
          </w:tcPr>
          <w:p w14:paraId="3B5606D6" w14:textId="77777777" w:rsidR="00773F7B" w:rsidRPr="00C0338D" w:rsidRDefault="00773F7B" w:rsidP="00773F7B">
            <w:pPr>
              <w:pStyle w:val="T2"/>
              <w:jc w:val="left"/>
            </w:pPr>
          </w:p>
        </w:tc>
        <w:tc>
          <w:tcPr>
            <w:tcW w:w="1027" w:type="dxa"/>
            <w:tcBorders>
              <w:top w:val="single" w:sz="8" w:space="0" w:color="auto"/>
            </w:tcBorders>
            <w:vAlign w:val="bottom"/>
          </w:tcPr>
          <w:p w14:paraId="6E511190" w14:textId="77777777" w:rsidR="00773F7B" w:rsidRPr="00E5521C" w:rsidRDefault="00773F7B" w:rsidP="00773F7B">
            <w:pPr>
              <w:pStyle w:val="T2"/>
              <w:jc w:val="right"/>
              <w:rPr>
                <w:b/>
              </w:rPr>
            </w:pPr>
          </w:p>
        </w:tc>
        <w:tc>
          <w:tcPr>
            <w:tcW w:w="1028" w:type="dxa"/>
            <w:tcBorders>
              <w:top w:val="single" w:sz="8" w:space="0" w:color="auto"/>
            </w:tcBorders>
            <w:vAlign w:val="bottom"/>
          </w:tcPr>
          <w:p w14:paraId="371BA8A4" w14:textId="77777777" w:rsidR="00773F7B" w:rsidRPr="00C0338D" w:rsidRDefault="00773F7B" w:rsidP="00773F7B">
            <w:pPr>
              <w:pStyle w:val="T2"/>
              <w:jc w:val="right"/>
            </w:pPr>
          </w:p>
        </w:tc>
        <w:tc>
          <w:tcPr>
            <w:tcW w:w="1028" w:type="dxa"/>
            <w:tcBorders>
              <w:top w:val="single" w:sz="8" w:space="0" w:color="auto"/>
            </w:tcBorders>
            <w:vAlign w:val="bottom"/>
          </w:tcPr>
          <w:p w14:paraId="3B2161A3" w14:textId="77777777" w:rsidR="00773F7B" w:rsidRPr="00C0338D" w:rsidRDefault="00773F7B" w:rsidP="00773F7B">
            <w:pPr>
              <w:pStyle w:val="T2"/>
              <w:jc w:val="right"/>
            </w:pPr>
          </w:p>
        </w:tc>
      </w:tr>
      <w:tr w:rsidR="00773F7B" w14:paraId="78AF4711" w14:textId="77777777" w:rsidTr="005B3BEE">
        <w:trPr>
          <w:jc w:val="center"/>
        </w:trPr>
        <w:tc>
          <w:tcPr>
            <w:tcW w:w="6695" w:type="dxa"/>
            <w:vAlign w:val="bottom"/>
          </w:tcPr>
          <w:p w14:paraId="700189BF" w14:textId="77777777" w:rsidR="00773F7B" w:rsidRPr="00C0338D" w:rsidRDefault="00773F7B" w:rsidP="00773F7B">
            <w:pPr>
              <w:pStyle w:val="T2"/>
              <w:jc w:val="left"/>
              <w:rPr>
                <w:b/>
              </w:rPr>
            </w:pPr>
            <w:r w:rsidRPr="00C0338D">
              <w:rPr>
                <w:b/>
              </w:rPr>
              <w:t xml:space="preserve">Liabilities carried at fair value </w:t>
            </w:r>
          </w:p>
        </w:tc>
        <w:tc>
          <w:tcPr>
            <w:tcW w:w="1027" w:type="dxa"/>
            <w:vAlign w:val="bottom"/>
          </w:tcPr>
          <w:p w14:paraId="060E692A" w14:textId="77777777" w:rsidR="00773F7B" w:rsidRPr="00E5521C" w:rsidRDefault="00773F7B" w:rsidP="00773F7B">
            <w:pPr>
              <w:pStyle w:val="T2"/>
              <w:jc w:val="right"/>
              <w:rPr>
                <w:b/>
              </w:rPr>
            </w:pPr>
          </w:p>
        </w:tc>
        <w:tc>
          <w:tcPr>
            <w:tcW w:w="1028" w:type="dxa"/>
            <w:vAlign w:val="bottom"/>
          </w:tcPr>
          <w:p w14:paraId="71E51EA3" w14:textId="77777777" w:rsidR="00773F7B" w:rsidRPr="00C0338D" w:rsidRDefault="00773F7B" w:rsidP="00773F7B">
            <w:pPr>
              <w:pStyle w:val="T2"/>
              <w:jc w:val="right"/>
            </w:pPr>
          </w:p>
        </w:tc>
        <w:tc>
          <w:tcPr>
            <w:tcW w:w="1028" w:type="dxa"/>
            <w:vAlign w:val="bottom"/>
          </w:tcPr>
          <w:p w14:paraId="7DD53DC2" w14:textId="77777777" w:rsidR="00773F7B" w:rsidRPr="00C0338D" w:rsidRDefault="00773F7B" w:rsidP="00773F7B">
            <w:pPr>
              <w:pStyle w:val="T2"/>
              <w:jc w:val="right"/>
            </w:pPr>
          </w:p>
        </w:tc>
      </w:tr>
      <w:tr w:rsidR="00773F7B" w14:paraId="7A994854" w14:textId="77777777" w:rsidTr="005B3BEE">
        <w:trPr>
          <w:jc w:val="center"/>
        </w:trPr>
        <w:tc>
          <w:tcPr>
            <w:tcW w:w="6695" w:type="dxa"/>
            <w:vAlign w:val="bottom"/>
          </w:tcPr>
          <w:p w14:paraId="7746404C" w14:textId="77777777" w:rsidR="00773F7B" w:rsidRPr="00C0338D" w:rsidRDefault="00773F7B" w:rsidP="00773F7B">
            <w:pPr>
              <w:pStyle w:val="T2"/>
              <w:jc w:val="left"/>
            </w:pPr>
            <w:r w:rsidRPr="00C0338D">
              <w:t xml:space="preserve">Interest rate swaps </w:t>
            </w:r>
            <w:r>
              <w:t>–</w:t>
            </w:r>
            <w:r w:rsidRPr="00C0338D">
              <w:t xml:space="preserve"> cash flow hedges </w:t>
            </w:r>
          </w:p>
        </w:tc>
        <w:tc>
          <w:tcPr>
            <w:tcW w:w="1027" w:type="dxa"/>
            <w:vAlign w:val="bottom"/>
          </w:tcPr>
          <w:p w14:paraId="5D1D9DD1" w14:textId="77777777" w:rsidR="00773F7B" w:rsidRPr="00E5521C" w:rsidRDefault="00773F7B" w:rsidP="00773F7B">
            <w:pPr>
              <w:pStyle w:val="T2"/>
              <w:jc w:val="right"/>
              <w:rPr>
                <w:b/>
              </w:rPr>
            </w:pPr>
            <w:r w:rsidRPr="00E5521C">
              <w:rPr>
                <w:b/>
              </w:rPr>
              <w:t>(2.8)</w:t>
            </w:r>
          </w:p>
        </w:tc>
        <w:tc>
          <w:tcPr>
            <w:tcW w:w="1028" w:type="dxa"/>
            <w:vAlign w:val="bottom"/>
          </w:tcPr>
          <w:p w14:paraId="543C3EA8" w14:textId="77777777" w:rsidR="00773F7B" w:rsidRPr="00C0338D" w:rsidRDefault="00773F7B" w:rsidP="00773F7B">
            <w:pPr>
              <w:pStyle w:val="T2"/>
              <w:jc w:val="right"/>
            </w:pPr>
            <w:r>
              <w:t>(2.9)</w:t>
            </w:r>
          </w:p>
        </w:tc>
        <w:tc>
          <w:tcPr>
            <w:tcW w:w="1028" w:type="dxa"/>
            <w:vAlign w:val="bottom"/>
          </w:tcPr>
          <w:p w14:paraId="263C83CE" w14:textId="77777777" w:rsidR="00773F7B" w:rsidRPr="00C0338D" w:rsidRDefault="00773F7B" w:rsidP="00773F7B">
            <w:pPr>
              <w:pStyle w:val="T2"/>
              <w:jc w:val="right"/>
            </w:pPr>
            <w:r w:rsidRPr="0096767F">
              <w:t>(2.6)</w:t>
            </w:r>
          </w:p>
        </w:tc>
      </w:tr>
      <w:tr w:rsidR="00773F7B" w14:paraId="513E2755" w14:textId="77777777" w:rsidTr="005B3BEE">
        <w:trPr>
          <w:jc w:val="center"/>
        </w:trPr>
        <w:tc>
          <w:tcPr>
            <w:tcW w:w="6695" w:type="dxa"/>
            <w:vAlign w:val="bottom"/>
          </w:tcPr>
          <w:p w14:paraId="6578BE31" w14:textId="77777777" w:rsidR="00773F7B" w:rsidRPr="00C0338D" w:rsidRDefault="00773F7B" w:rsidP="00773F7B">
            <w:pPr>
              <w:pStyle w:val="T2"/>
              <w:jc w:val="left"/>
            </w:pPr>
            <w:r w:rsidRPr="00C0338D">
              <w:t xml:space="preserve">Cross currency interest rate swaps </w:t>
            </w:r>
            <w:r>
              <w:t>–</w:t>
            </w:r>
            <w:r w:rsidRPr="00C0338D">
              <w:t xml:space="preserve"> cash flow hedges </w:t>
            </w:r>
          </w:p>
        </w:tc>
        <w:tc>
          <w:tcPr>
            <w:tcW w:w="1027" w:type="dxa"/>
            <w:vAlign w:val="bottom"/>
          </w:tcPr>
          <w:p w14:paraId="64254B6B" w14:textId="52ABB9D0" w:rsidR="005F0358" w:rsidRPr="005B3BEE" w:rsidRDefault="005F0358">
            <w:pPr>
              <w:pStyle w:val="T2"/>
              <w:jc w:val="right"/>
              <w:rPr>
                <w:bCs/>
              </w:rPr>
            </w:pPr>
            <w:r>
              <w:t>–</w:t>
            </w:r>
          </w:p>
        </w:tc>
        <w:tc>
          <w:tcPr>
            <w:tcW w:w="1028" w:type="dxa"/>
            <w:vAlign w:val="bottom"/>
          </w:tcPr>
          <w:p w14:paraId="05CB3E1D" w14:textId="77777777" w:rsidR="00773F7B" w:rsidRPr="00C0338D" w:rsidRDefault="00773F7B" w:rsidP="00773F7B">
            <w:pPr>
              <w:pStyle w:val="T2"/>
              <w:jc w:val="right"/>
            </w:pPr>
            <w:r>
              <w:t>–</w:t>
            </w:r>
          </w:p>
        </w:tc>
        <w:tc>
          <w:tcPr>
            <w:tcW w:w="1028" w:type="dxa"/>
            <w:vAlign w:val="bottom"/>
          </w:tcPr>
          <w:p w14:paraId="611A83C6" w14:textId="77777777" w:rsidR="00773F7B" w:rsidRPr="00C0338D" w:rsidRDefault="00773F7B" w:rsidP="00773F7B">
            <w:pPr>
              <w:pStyle w:val="T2"/>
              <w:jc w:val="right"/>
            </w:pPr>
            <w:r w:rsidRPr="0096767F">
              <w:t>(1.6)</w:t>
            </w:r>
          </w:p>
        </w:tc>
      </w:tr>
      <w:tr w:rsidR="00773F7B" w14:paraId="24361D32" w14:textId="77777777" w:rsidTr="005B3BEE">
        <w:trPr>
          <w:jc w:val="center"/>
        </w:trPr>
        <w:tc>
          <w:tcPr>
            <w:tcW w:w="6695" w:type="dxa"/>
            <w:tcBorders>
              <w:bottom w:val="single" w:sz="2" w:space="0" w:color="auto"/>
            </w:tcBorders>
            <w:vAlign w:val="bottom"/>
          </w:tcPr>
          <w:p w14:paraId="5877D101" w14:textId="77777777" w:rsidR="00773F7B" w:rsidRPr="00C0338D" w:rsidRDefault="00773F7B" w:rsidP="00773F7B">
            <w:pPr>
              <w:pStyle w:val="T2"/>
              <w:jc w:val="left"/>
            </w:pPr>
            <w:r w:rsidRPr="00C0338D">
              <w:t xml:space="preserve">Forward foreign exchange contracts </w:t>
            </w:r>
            <w:r>
              <w:t>–</w:t>
            </w:r>
            <w:r w:rsidRPr="00C0338D">
              <w:t xml:space="preserve"> not designated as hedges </w:t>
            </w:r>
          </w:p>
        </w:tc>
        <w:tc>
          <w:tcPr>
            <w:tcW w:w="1027" w:type="dxa"/>
            <w:tcBorders>
              <w:bottom w:val="single" w:sz="2" w:space="0" w:color="auto"/>
            </w:tcBorders>
            <w:vAlign w:val="bottom"/>
          </w:tcPr>
          <w:p w14:paraId="0799E723" w14:textId="77777777" w:rsidR="00773F7B" w:rsidRPr="00E5521C" w:rsidRDefault="00773F7B" w:rsidP="00773F7B">
            <w:pPr>
              <w:pStyle w:val="T2"/>
              <w:jc w:val="right"/>
              <w:rPr>
                <w:b/>
              </w:rPr>
            </w:pPr>
            <w:r w:rsidRPr="00E5521C">
              <w:rPr>
                <w:b/>
              </w:rPr>
              <w:t>(0.2)</w:t>
            </w:r>
          </w:p>
        </w:tc>
        <w:tc>
          <w:tcPr>
            <w:tcW w:w="1028" w:type="dxa"/>
            <w:tcBorders>
              <w:bottom w:val="single" w:sz="2" w:space="0" w:color="auto"/>
            </w:tcBorders>
            <w:vAlign w:val="bottom"/>
          </w:tcPr>
          <w:p w14:paraId="3644E00A" w14:textId="77777777" w:rsidR="00773F7B" w:rsidRPr="00C0338D" w:rsidRDefault="00773F7B" w:rsidP="00773F7B">
            <w:pPr>
              <w:pStyle w:val="T2"/>
              <w:jc w:val="right"/>
            </w:pPr>
            <w:r>
              <w:t>(0.7)</w:t>
            </w:r>
          </w:p>
        </w:tc>
        <w:tc>
          <w:tcPr>
            <w:tcW w:w="1028" w:type="dxa"/>
            <w:tcBorders>
              <w:bottom w:val="single" w:sz="2" w:space="0" w:color="auto"/>
            </w:tcBorders>
            <w:vAlign w:val="bottom"/>
          </w:tcPr>
          <w:p w14:paraId="0B53AD90" w14:textId="77777777" w:rsidR="00773F7B" w:rsidRPr="00C0338D" w:rsidRDefault="00773F7B" w:rsidP="00773F7B">
            <w:pPr>
              <w:pStyle w:val="T2"/>
              <w:jc w:val="right"/>
            </w:pPr>
            <w:r w:rsidRPr="0096767F">
              <w:t>(0.2)</w:t>
            </w:r>
          </w:p>
        </w:tc>
      </w:tr>
      <w:tr w:rsidR="00773F7B" w14:paraId="23AC1C81" w14:textId="77777777" w:rsidTr="005B3BEE">
        <w:trPr>
          <w:jc w:val="center"/>
        </w:trPr>
        <w:tc>
          <w:tcPr>
            <w:tcW w:w="6695" w:type="dxa"/>
            <w:tcBorders>
              <w:top w:val="single" w:sz="2" w:space="0" w:color="auto"/>
              <w:bottom w:val="single" w:sz="8" w:space="0" w:color="auto"/>
            </w:tcBorders>
          </w:tcPr>
          <w:p w14:paraId="4B0ABD43" w14:textId="77777777" w:rsidR="00773F7B" w:rsidRPr="00C0338D" w:rsidRDefault="00773F7B" w:rsidP="00773F7B">
            <w:pPr>
              <w:pStyle w:val="T2"/>
            </w:pPr>
          </w:p>
        </w:tc>
        <w:tc>
          <w:tcPr>
            <w:tcW w:w="1027" w:type="dxa"/>
            <w:tcBorders>
              <w:top w:val="single" w:sz="2" w:space="0" w:color="auto"/>
              <w:bottom w:val="single" w:sz="8" w:space="0" w:color="auto"/>
            </w:tcBorders>
            <w:vAlign w:val="bottom"/>
          </w:tcPr>
          <w:p w14:paraId="760B92B8" w14:textId="77777777" w:rsidR="00773F7B" w:rsidRPr="00E5521C" w:rsidRDefault="00773F7B" w:rsidP="00773F7B">
            <w:pPr>
              <w:pStyle w:val="T2"/>
              <w:jc w:val="right"/>
              <w:rPr>
                <w:b/>
              </w:rPr>
            </w:pPr>
            <w:r w:rsidRPr="00E5521C">
              <w:rPr>
                <w:b/>
              </w:rPr>
              <w:t>(3.0)</w:t>
            </w:r>
          </w:p>
        </w:tc>
        <w:tc>
          <w:tcPr>
            <w:tcW w:w="1028" w:type="dxa"/>
            <w:tcBorders>
              <w:top w:val="single" w:sz="2" w:space="0" w:color="auto"/>
              <w:bottom w:val="single" w:sz="8" w:space="0" w:color="auto"/>
            </w:tcBorders>
            <w:vAlign w:val="bottom"/>
          </w:tcPr>
          <w:p w14:paraId="3508A5D0" w14:textId="77777777" w:rsidR="00773F7B" w:rsidRPr="00C0338D" w:rsidRDefault="00773F7B" w:rsidP="00773F7B">
            <w:pPr>
              <w:pStyle w:val="T2"/>
              <w:jc w:val="right"/>
            </w:pPr>
            <w:r>
              <w:t>(3.6)</w:t>
            </w:r>
          </w:p>
        </w:tc>
        <w:tc>
          <w:tcPr>
            <w:tcW w:w="1028" w:type="dxa"/>
            <w:tcBorders>
              <w:top w:val="single" w:sz="2" w:space="0" w:color="auto"/>
              <w:bottom w:val="single" w:sz="8" w:space="0" w:color="auto"/>
            </w:tcBorders>
            <w:vAlign w:val="bottom"/>
          </w:tcPr>
          <w:p w14:paraId="27CDF7E7" w14:textId="77777777" w:rsidR="00773F7B" w:rsidRPr="00C0338D" w:rsidRDefault="00773F7B" w:rsidP="00773F7B">
            <w:pPr>
              <w:pStyle w:val="T2"/>
              <w:jc w:val="right"/>
            </w:pPr>
            <w:r w:rsidRPr="0096767F">
              <w:t>(4.4)</w:t>
            </w:r>
          </w:p>
        </w:tc>
      </w:tr>
      <w:tr w:rsidR="00773F7B" w14:paraId="328EC7AB" w14:textId="77777777" w:rsidTr="005B3BEE">
        <w:trPr>
          <w:jc w:val="center"/>
        </w:trPr>
        <w:tc>
          <w:tcPr>
            <w:tcW w:w="9780" w:type="dxa"/>
            <w:gridSpan w:val="4"/>
            <w:tcBorders>
              <w:top w:val="single" w:sz="8" w:space="0" w:color="auto"/>
            </w:tcBorders>
            <w:vAlign w:val="bottom"/>
          </w:tcPr>
          <w:p w14:paraId="1CCE5490" w14:textId="77777777" w:rsidR="00773F7B" w:rsidRPr="00E02FFC" w:rsidRDefault="00773F7B" w:rsidP="00773F7B">
            <w:pPr>
              <w:pStyle w:val="T2"/>
              <w:jc w:val="left"/>
              <w:rPr>
                <w:sz w:val="16"/>
                <w:szCs w:val="16"/>
              </w:rPr>
            </w:pPr>
            <w:r w:rsidRPr="00E02FFC">
              <w:rPr>
                <w:sz w:val="16"/>
                <w:szCs w:val="16"/>
              </w:rPr>
              <w:t>* For definition of level 2 inputs please refer to the 201</w:t>
            </w:r>
            <w:r>
              <w:rPr>
                <w:sz w:val="16"/>
                <w:szCs w:val="16"/>
              </w:rPr>
              <w:t>9</w:t>
            </w:r>
            <w:r w:rsidRPr="00E02FFC">
              <w:rPr>
                <w:sz w:val="16"/>
                <w:szCs w:val="16"/>
              </w:rPr>
              <w:t xml:space="preserve"> Annual Report.</w:t>
            </w:r>
          </w:p>
        </w:tc>
      </w:tr>
    </w:tbl>
    <w:p w14:paraId="40FBF07D" w14:textId="77777777" w:rsidR="00773F7B" w:rsidRDefault="00773F7B" w:rsidP="005B3BEE">
      <w:pPr>
        <w:pStyle w:val="SectionH3"/>
        <w:spacing w:before="160"/>
      </w:pPr>
      <w:r>
        <w:t>13</w:t>
      </w:r>
      <w:r w:rsidRPr="003232EE">
        <w:t>.</w:t>
      </w:r>
      <w:r w:rsidRPr="003232EE">
        <w:tab/>
      </w:r>
      <w:r w:rsidRPr="00B37DA6">
        <w:t xml:space="preserve">Provisions </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559"/>
        <w:gridCol w:w="1843"/>
        <w:gridCol w:w="1134"/>
      </w:tblGrid>
      <w:tr w:rsidR="00773F7B" w14:paraId="07D5C67B" w14:textId="77777777" w:rsidTr="00773F7B">
        <w:tc>
          <w:tcPr>
            <w:tcW w:w="8647" w:type="dxa"/>
            <w:gridSpan w:val="3"/>
            <w:vAlign w:val="bottom"/>
          </w:tcPr>
          <w:p w14:paraId="1C45CB65" w14:textId="77777777" w:rsidR="00773F7B" w:rsidRPr="00453A62" w:rsidRDefault="00773F7B" w:rsidP="00773F7B">
            <w:pPr>
              <w:pStyle w:val="T2"/>
              <w:jc w:val="left"/>
              <w:rPr>
                <w:b/>
              </w:rPr>
            </w:pPr>
          </w:p>
        </w:tc>
        <w:tc>
          <w:tcPr>
            <w:tcW w:w="1134" w:type="dxa"/>
            <w:vAlign w:val="bottom"/>
          </w:tcPr>
          <w:p w14:paraId="3C98AF51" w14:textId="77777777" w:rsidR="00773F7B" w:rsidRDefault="00773F7B" w:rsidP="00773F7B">
            <w:pPr>
              <w:pStyle w:val="T2"/>
              <w:jc w:val="right"/>
              <w:rPr>
                <w:b/>
              </w:rPr>
            </w:pPr>
            <w:r w:rsidRPr="00453A62">
              <w:rPr>
                <w:b/>
              </w:rPr>
              <w:t xml:space="preserve">Half year </w:t>
            </w:r>
          </w:p>
          <w:p w14:paraId="488A9728" w14:textId="77777777" w:rsidR="00773F7B" w:rsidRPr="00453A62" w:rsidRDefault="00773F7B" w:rsidP="00773F7B">
            <w:pPr>
              <w:pStyle w:val="T2"/>
              <w:jc w:val="right"/>
              <w:rPr>
                <w:b/>
              </w:rPr>
            </w:pPr>
            <w:r w:rsidRPr="00453A62">
              <w:rPr>
                <w:b/>
              </w:rPr>
              <w:t>March 20</w:t>
            </w:r>
            <w:r>
              <w:rPr>
                <w:b/>
              </w:rPr>
              <w:t>20</w:t>
            </w:r>
          </w:p>
        </w:tc>
      </w:tr>
      <w:tr w:rsidR="00773F7B" w14:paraId="05CCD82A" w14:textId="77777777" w:rsidTr="00773F7B">
        <w:tc>
          <w:tcPr>
            <w:tcW w:w="8647" w:type="dxa"/>
            <w:gridSpan w:val="3"/>
            <w:tcBorders>
              <w:bottom w:val="single" w:sz="2" w:space="0" w:color="auto"/>
            </w:tcBorders>
            <w:vAlign w:val="bottom"/>
          </w:tcPr>
          <w:p w14:paraId="2F2C1435" w14:textId="77777777" w:rsidR="00773F7B" w:rsidRPr="00453A62" w:rsidRDefault="00773F7B" w:rsidP="00773F7B">
            <w:pPr>
              <w:pStyle w:val="T2"/>
              <w:jc w:val="left"/>
              <w:rPr>
                <w:b/>
              </w:rPr>
            </w:pPr>
          </w:p>
        </w:tc>
        <w:tc>
          <w:tcPr>
            <w:tcW w:w="1134" w:type="dxa"/>
            <w:tcBorders>
              <w:bottom w:val="single" w:sz="2" w:space="0" w:color="auto"/>
            </w:tcBorders>
            <w:vAlign w:val="bottom"/>
          </w:tcPr>
          <w:p w14:paraId="490FFF95" w14:textId="77777777" w:rsidR="00773F7B" w:rsidRPr="00453A62" w:rsidRDefault="00773F7B" w:rsidP="00773F7B">
            <w:pPr>
              <w:pStyle w:val="T2"/>
              <w:jc w:val="right"/>
              <w:rPr>
                <w:b/>
              </w:rPr>
            </w:pPr>
            <w:r w:rsidRPr="00453A62">
              <w:rPr>
                <w:b/>
              </w:rPr>
              <w:t>£m</w:t>
            </w:r>
          </w:p>
        </w:tc>
      </w:tr>
      <w:tr w:rsidR="00773F7B" w14:paraId="0F7523EA" w14:textId="77777777" w:rsidTr="00773F7B">
        <w:tc>
          <w:tcPr>
            <w:tcW w:w="8647" w:type="dxa"/>
            <w:gridSpan w:val="3"/>
            <w:tcBorders>
              <w:top w:val="single" w:sz="2" w:space="0" w:color="auto"/>
            </w:tcBorders>
            <w:vAlign w:val="bottom"/>
          </w:tcPr>
          <w:p w14:paraId="1E8D7F5A" w14:textId="77777777" w:rsidR="00773F7B" w:rsidRPr="00D44C1D" w:rsidRDefault="00773F7B" w:rsidP="00773F7B">
            <w:pPr>
              <w:pStyle w:val="T2"/>
              <w:jc w:val="left"/>
            </w:pPr>
            <w:r w:rsidRPr="00D44C1D">
              <w:t xml:space="preserve">At beginning of period </w:t>
            </w:r>
          </w:p>
        </w:tc>
        <w:tc>
          <w:tcPr>
            <w:tcW w:w="1134" w:type="dxa"/>
            <w:tcBorders>
              <w:top w:val="single" w:sz="2" w:space="0" w:color="auto"/>
            </w:tcBorders>
            <w:vAlign w:val="bottom"/>
          </w:tcPr>
          <w:p w14:paraId="355B6D19" w14:textId="77777777" w:rsidR="00773F7B" w:rsidRPr="00453A62" w:rsidRDefault="00773F7B" w:rsidP="00773F7B">
            <w:pPr>
              <w:pStyle w:val="T2"/>
              <w:jc w:val="right"/>
              <w:rPr>
                <w:b/>
              </w:rPr>
            </w:pPr>
            <w:r>
              <w:rPr>
                <w:b/>
              </w:rPr>
              <w:t>12.2</w:t>
            </w:r>
          </w:p>
        </w:tc>
      </w:tr>
      <w:tr w:rsidR="00773F7B" w14:paraId="7F3CFF4A" w14:textId="77777777" w:rsidTr="00773F7B">
        <w:tc>
          <w:tcPr>
            <w:tcW w:w="8647" w:type="dxa"/>
            <w:gridSpan w:val="3"/>
            <w:vAlign w:val="bottom"/>
          </w:tcPr>
          <w:p w14:paraId="1BEF7498" w14:textId="77777777" w:rsidR="00773F7B" w:rsidRPr="00D44C1D" w:rsidRDefault="00773F7B" w:rsidP="00773F7B">
            <w:pPr>
              <w:pStyle w:val="T2"/>
              <w:jc w:val="left"/>
            </w:pPr>
            <w:r w:rsidRPr="00D44C1D">
              <w:t>Utilised in period</w:t>
            </w:r>
          </w:p>
        </w:tc>
        <w:tc>
          <w:tcPr>
            <w:tcW w:w="1134" w:type="dxa"/>
            <w:vAlign w:val="bottom"/>
          </w:tcPr>
          <w:p w14:paraId="4C58A19E" w14:textId="77777777" w:rsidR="00773F7B" w:rsidRPr="00453A62" w:rsidRDefault="00773F7B" w:rsidP="00773F7B">
            <w:pPr>
              <w:pStyle w:val="T2"/>
              <w:jc w:val="right"/>
              <w:rPr>
                <w:b/>
              </w:rPr>
            </w:pPr>
            <w:r>
              <w:rPr>
                <w:b/>
              </w:rPr>
              <w:t>(1.</w:t>
            </w:r>
            <w:r w:rsidR="00B10F27">
              <w:rPr>
                <w:b/>
              </w:rPr>
              <w:t>2</w:t>
            </w:r>
            <w:r>
              <w:rPr>
                <w:b/>
              </w:rPr>
              <w:t>)</w:t>
            </w:r>
          </w:p>
        </w:tc>
      </w:tr>
      <w:tr w:rsidR="00773F7B" w14:paraId="7E484B68" w14:textId="77777777" w:rsidTr="00773F7B">
        <w:tc>
          <w:tcPr>
            <w:tcW w:w="8647" w:type="dxa"/>
            <w:gridSpan w:val="3"/>
            <w:vAlign w:val="bottom"/>
          </w:tcPr>
          <w:p w14:paraId="621AB25E" w14:textId="77777777" w:rsidR="00773F7B" w:rsidRPr="00D44C1D" w:rsidRDefault="00773F7B" w:rsidP="00773F7B">
            <w:pPr>
              <w:pStyle w:val="T2"/>
              <w:jc w:val="left"/>
            </w:pPr>
            <w:r>
              <w:t>Released</w:t>
            </w:r>
            <w:r w:rsidRPr="00D44C1D">
              <w:t xml:space="preserve"> in period</w:t>
            </w:r>
          </w:p>
        </w:tc>
        <w:tc>
          <w:tcPr>
            <w:tcW w:w="1134" w:type="dxa"/>
            <w:vAlign w:val="bottom"/>
          </w:tcPr>
          <w:p w14:paraId="35399CFC" w14:textId="77777777" w:rsidR="00773F7B" w:rsidRPr="00453A62" w:rsidRDefault="00773F7B" w:rsidP="00773F7B">
            <w:pPr>
              <w:pStyle w:val="T2"/>
              <w:jc w:val="right"/>
              <w:rPr>
                <w:b/>
              </w:rPr>
            </w:pPr>
            <w:r>
              <w:rPr>
                <w:b/>
              </w:rPr>
              <w:t>(2.2)</w:t>
            </w:r>
          </w:p>
        </w:tc>
      </w:tr>
      <w:tr w:rsidR="00773F7B" w14:paraId="409457E1" w14:textId="77777777" w:rsidTr="00773F7B">
        <w:tc>
          <w:tcPr>
            <w:tcW w:w="8647" w:type="dxa"/>
            <w:gridSpan w:val="3"/>
            <w:tcBorders>
              <w:top w:val="single" w:sz="2" w:space="0" w:color="auto"/>
              <w:bottom w:val="single" w:sz="8" w:space="0" w:color="auto"/>
            </w:tcBorders>
            <w:vAlign w:val="bottom"/>
          </w:tcPr>
          <w:p w14:paraId="3681C925" w14:textId="77777777" w:rsidR="00773F7B" w:rsidRPr="00453A62" w:rsidRDefault="00773F7B" w:rsidP="00773F7B">
            <w:pPr>
              <w:pStyle w:val="T2"/>
              <w:jc w:val="left"/>
              <w:rPr>
                <w:b/>
              </w:rPr>
            </w:pPr>
            <w:r w:rsidRPr="00453A62">
              <w:rPr>
                <w:b/>
              </w:rPr>
              <w:t>At end of period</w:t>
            </w:r>
          </w:p>
        </w:tc>
        <w:tc>
          <w:tcPr>
            <w:tcW w:w="1134" w:type="dxa"/>
            <w:tcBorders>
              <w:top w:val="single" w:sz="2" w:space="0" w:color="auto"/>
              <w:bottom w:val="single" w:sz="8" w:space="0" w:color="auto"/>
            </w:tcBorders>
            <w:vAlign w:val="bottom"/>
          </w:tcPr>
          <w:p w14:paraId="2C0E6DBB" w14:textId="77777777" w:rsidR="00773F7B" w:rsidRPr="00453A62" w:rsidRDefault="00773F7B" w:rsidP="00773F7B">
            <w:pPr>
              <w:pStyle w:val="T2"/>
              <w:jc w:val="right"/>
              <w:rPr>
                <w:b/>
              </w:rPr>
            </w:pPr>
            <w:r>
              <w:rPr>
                <w:b/>
              </w:rPr>
              <w:t>8.</w:t>
            </w:r>
            <w:r w:rsidR="00B10F27">
              <w:rPr>
                <w:b/>
              </w:rPr>
              <w:t>8</w:t>
            </w:r>
          </w:p>
        </w:tc>
      </w:tr>
      <w:tr w:rsidR="00773F7B" w14:paraId="5881A668" w14:textId="77777777" w:rsidTr="00773F7B">
        <w:tc>
          <w:tcPr>
            <w:tcW w:w="5245" w:type="dxa"/>
            <w:tcBorders>
              <w:top w:val="single" w:sz="8" w:space="0" w:color="auto"/>
            </w:tcBorders>
          </w:tcPr>
          <w:p w14:paraId="15FC2E61" w14:textId="77777777" w:rsidR="00773F7B" w:rsidRPr="00923DB3" w:rsidRDefault="00773F7B" w:rsidP="00773F7B">
            <w:pPr>
              <w:pStyle w:val="T2"/>
            </w:pPr>
          </w:p>
        </w:tc>
        <w:tc>
          <w:tcPr>
            <w:tcW w:w="1559" w:type="dxa"/>
            <w:tcBorders>
              <w:top w:val="single" w:sz="8" w:space="0" w:color="auto"/>
            </w:tcBorders>
            <w:vAlign w:val="bottom"/>
          </w:tcPr>
          <w:p w14:paraId="068BF856" w14:textId="77777777" w:rsidR="00773F7B" w:rsidRPr="00923DB3" w:rsidRDefault="00773F7B" w:rsidP="00773F7B">
            <w:pPr>
              <w:pStyle w:val="T2"/>
              <w:jc w:val="right"/>
              <w:rPr>
                <w:b/>
              </w:rPr>
            </w:pPr>
          </w:p>
        </w:tc>
        <w:tc>
          <w:tcPr>
            <w:tcW w:w="1843" w:type="dxa"/>
            <w:tcBorders>
              <w:top w:val="single" w:sz="8" w:space="0" w:color="auto"/>
            </w:tcBorders>
            <w:vAlign w:val="bottom"/>
          </w:tcPr>
          <w:p w14:paraId="42C2BE74" w14:textId="77777777" w:rsidR="00773F7B" w:rsidRDefault="00773F7B" w:rsidP="00773F7B">
            <w:pPr>
              <w:pStyle w:val="T2"/>
              <w:jc w:val="right"/>
              <w:rPr>
                <w:b/>
              </w:rPr>
            </w:pPr>
            <w:r w:rsidRPr="00923DB3">
              <w:rPr>
                <w:b/>
              </w:rPr>
              <w:t xml:space="preserve">March </w:t>
            </w:r>
          </w:p>
          <w:p w14:paraId="44113F5B" w14:textId="77777777" w:rsidR="00773F7B" w:rsidRPr="00923DB3" w:rsidRDefault="00773F7B" w:rsidP="00773F7B">
            <w:pPr>
              <w:pStyle w:val="T2"/>
              <w:jc w:val="right"/>
              <w:rPr>
                <w:b/>
              </w:rPr>
            </w:pPr>
            <w:r w:rsidRPr="00923DB3">
              <w:rPr>
                <w:b/>
              </w:rPr>
              <w:t>20</w:t>
            </w:r>
            <w:r>
              <w:rPr>
                <w:b/>
              </w:rPr>
              <w:t>20</w:t>
            </w:r>
          </w:p>
        </w:tc>
        <w:tc>
          <w:tcPr>
            <w:tcW w:w="1134" w:type="dxa"/>
            <w:tcBorders>
              <w:top w:val="single" w:sz="8" w:space="0" w:color="auto"/>
            </w:tcBorders>
            <w:vAlign w:val="bottom"/>
          </w:tcPr>
          <w:p w14:paraId="64B87061" w14:textId="77777777" w:rsidR="00773F7B" w:rsidRDefault="00773F7B" w:rsidP="00773F7B">
            <w:pPr>
              <w:pStyle w:val="T2"/>
              <w:jc w:val="right"/>
            </w:pPr>
            <w:r w:rsidRPr="00923DB3">
              <w:t xml:space="preserve">September </w:t>
            </w:r>
          </w:p>
          <w:p w14:paraId="12BC2FC7" w14:textId="77777777" w:rsidR="00773F7B" w:rsidRPr="00923DB3" w:rsidRDefault="00773F7B" w:rsidP="00773F7B">
            <w:pPr>
              <w:pStyle w:val="T2"/>
              <w:jc w:val="right"/>
            </w:pPr>
            <w:r w:rsidRPr="00923DB3">
              <w:t>201</w:t>
            </w:r>
            <w:r>
              <w:t>9</w:t>
            </w:r>
          </w:p>
        </w:tc>
      </w:tr>
      <w:tr w:rsidR="00773F7B" w14:paraId="4ED86C91" w14:textId="77777777" w:rsidTr="00773F7B">
        <w:tc>
          <w:tcPr>
            <w:tcW w:w="5245" w:type="dxa"/>
            <w:tcBorders>
              <w:bottom w:val="single" w:sz="2" w:space="0" w:color="auto"/>
            </w:tcBorders>
          </w:tcPr>
          <w:p w14:paraId="00D9B7B5" w14:textId="77777777" w:rsidR="00773F7B" w:rsidRPr="00923DB3" w:rsidRDefault="00773F7B" w:rsidP="00773F7B">
            <w:pPr>
              <w:pStyle w:val="T2"/>
            </w:pPr>
          </w:p>
        </w:tc>
        <w:tc>
          <w:tcPr>
            <w:tcW w:w="1559" w:type="dxa"/>
            <w:tcBorders>
              <w:bottom w:val="single" w:sz="2" w:space="0" w:color="auto"/>
            </w:tcBorders>
            <w:vAlign w:val="bottom"/>
          </w:tcPr>
          <w:p w14:paraId="3B6938A7" w14:textId="77777777" w:rsidR="00773F7B" w:rsidRPr="00923DB3" w:rsidRDefault="00773F7B" w:rsidP="00773F7B">
            <w:pPr>
              <w:pStyle w:val="T2"/>
              <w:jc w:val="right"/>
              <w:rPr>
                <w:b/>
              </w:rPr>
            </w:pPr>
          </w:p>
        </w:tc>
        <w:tc>
          <w:tcPr>
            <w:tcW w:w="1843" w:type="dxa"/>
            <w:tcBorders>
              <w:bottom w:val="single" w:sz="2" w:space="0" w:color="auto"/>
            </w:tcBorders>
            <w:vAlign w:val="bottom"/>
          </w:tcPr>
          <w:p w14:paraId="4EAF245A" w14:textId="77777777" w:rsidR="00773F7B" w:rsidRPr="00923DB3" w:rsidRDefault="00773F7B" w:rsidP="00773F7B">
            <w:pPr>
              <w:pStyle w:val="T2"/>
              <w:jc w:val="right"/>
              <w:rPr>
                <w:b/>
              </w:rPr>
            </w:pPr>
            <w:r w:rsidRPr="00923DB3">
              <w:rPr>
                <w:b/>
              </w:rPr>
              <w:t>£m</w:t>
            </w:r>
          </w:p>
        </w:tc>
        <w:tc>
          <w:tcPr>
            <w:tcW w:w="1134" w:type="dxa"/>
            <w:tcBorders>
              <w:bottom w:val="single" w:sz="2" w:space="0" w:color="auto"/>
            </w:tcBorders>
            <w:vAlign w:val="bottom"/>
          </w:tcPr>
          <w:p w14:paraId="30127327" w14:textId="77777777" w:rsidR="00773F7B" w:rsidRPr="00923DB3" w:rsidRDefault="00773F7B" w:rsidP="00773F7B">
            <w:pPr>
              <w:pStyle w:val="T2"/>
              <w:jc w:val="right"/>
            </w:pPr>
            <w:r w:rsidRPr="00923DB3">
              <w:t>£m</w:t>
            </w:r>
          </w:p>
        </w:tc>
      </w:tr>
      <w:tr w:rsidR="00773F7B" w14:paraId="23AE1164" w14:textId="77777777" w:rsidTr="00773F7B">
        <w:tc>
          <w:tcPr>
            <w:tcW w:w="5245" w:type="dxa"/>
            <w:tcBorders>
              <w:top w:val="single" w:sz="2" w:space="0" w:color="auto"/>
            </w:tcBorders>
            <w:vAlign w:val="bottom"/>
          </w:tcPr>
          <w:p w14:paraId="5FC9E8DD" w14:textId="77777777" w:rsidR="00773F7B" w:rsidRPr="00923DB3" w:rsidRDefault="00773F7B" w:rsidP="00773F7B">
            <w:pPr>
              <w:pStyle w:val="T2"/>
              <w:jc w:val="left"/>
              <w:rPr>
                <w:b/>
              </w:rPr>
            </w:pPr>
            <w:r w:rsidRPr="00923DB3">
              <w:rPr>
                <w:b/>
              </w:rPr>
              <w:t xml:space="preserve">Analysed as: </w:t>
            </w:r>
          </w:p>
        </w:tc>
        <w:tc>
          <w:tcPr>
            <w:tcW w:w="1559" w:type="dxa"/>
            <w:tcBorders>
              <w:top w:val="single" w:sz="2" w:space="0" w:color="auto"/>
            </w:tcBorders>
            <w:vAlign w:val="bottom"/>
          </w:tcPr>
          <w:p w14:paraId="5FF75F98" w14:textId="77777777" w:rsidR="00773F7B" w:rsidRPr="00923DB3" w:rsidRDefault="00773F7B" w:rsidP="00773F7B">
            <w:pPr>
              <w:pStyle w:val="T2"/>
              <w:jc w:val="right"/>
            </w:pPr>
          </w:p>
        </w:tc>
        <w:tc>
          <w:tcPr>
            <w:tcW w:w="1843" w:type="dxa"/>
            <w:tcBorders>
              <w:top w:val="single" w:sz="2" w:space="0" w:color="auto"/>
            </w:tcBorders>
            <w:vAlign w:val="bottom"/>
          </w:tcPr>
          <w:p w14:paraId="301B26FB" w14:textId="77777777" w:rsidR="00773F7B" w:rsidRPr="00923DB3" w:rsidRDefault="00773F7B" w:rsidP="00773F7B">
            <w:pPr>
              <w:pStyle w:val="T2"/>
              <w:jc w:val="right"/>
            </w:pPr>
          </w:p>
        </w:tc>
        <w:tc>
          <w:tcPr>
            <w:tcW w:w="1134" w:type="dxa"/>
            <w:tcBorders>
              <w:top w:val="single" w:sz="2" w:space="0" w:color="auto"/>
            </w:tcBorders>
            <w:vAlign w:val="bottom"/>
          </w:tcPr>
          <w:p w14:paraId="1CB34014" w14:textId="77777777" w:rsidR="00773F7B" w:rsidRPr="00923DB3" w:rsidRDefault="00773F7B" w:rsidP="00773F7B">
            <w:pPr>
              <w:pStyle w:val="T2"/>
              <w:jc w:val="right"/>
            </w:pPr>
          </w:p>
        </w:tc>
      </w:tr>
      <w:tr w:rsidR="00F035CB" w14:paraId="0A2E1BA4" w14:textId="77777777" w:rsidTr="00773F7B">
        <w:tc>
          <w:tcPr>
            <w:tcW w:w="5245" w:type="dxa"/>
            <w:vAlign w:val="bottom"/>
          </w:tcPr>
          <w:p w14:paraId="67DDDFCD" w14:textId="77777777" w:rsidR="00F035CB" w:rsidRPr="00923DB3" w:rsidRDefault="00F035CB" w:rsidP="00F035CB">
            <w:pPr>
              <w:pStyle w:val="T2"/>
              <w:jc w:val="left"/>
            </w:pPr>
            <w:r w:rsidRPr="00923DB3">
              <w:t>Current liabilities</w:t>
            </w:r>
          </w:p>
        </w:tc>
        <w:tc>
          <w:tcPr>
            <w:tcW w:w="1559" w:type="dxa"/>
            <w:vAlign w:val="bottom"/>
          </w:tcPr>
          <w:p w14:paraId="45DF9756" w14:textId="77777777" w:rsidR="00F035CB" w:rsidRPr="00453A62" w:rsidRDefault="00F035CB" w:rsidP="00F035CB">
            <w:pPr>
              <w:pStyle w:val="T2"/>
              <w:jc w:val="right"/>
              <w:rPr>
                <w:b/>
              </w:rPr>
            </w:pPr>
          </w:p>
        </w:tc>
        <w:tc>
          <w:tcPr>
            <w:tcW w:w="1843" w:type="dxa"/>
            <w:vAlign w:val="bottom"/>
          </w:tcPr>
          <w:p w14:paraId="2DBD8C3E" w14:textId="77777777" w:rsidR="00F035CB" w:rsidRDefault="00F035CB" w:rsidP="00F035CB">
            <w:pPr>
              <w:pStyle w:val="T2"/>
              <w:jc w:val="right"/>
              <w:rPr>
                <w:b/>
              </w:rPr>
            </w:pPr>
            <w:r>
              <w:rPr>
                <w:b/>
              </w:rPr>
              <w:t>3.7</w:t>
            </w:r>
          </w:p>
        </w:tc>
        <w:tc>
          <w:tcPr>
            <w:tcW w:w="1134" w:type="dxa"/>
            <w:vAlign w:val="bottom"/>
          </w:tcPr>
          <w:p w14:paraId="5BBA03BC" w14:textId="77777777" w:rsidR="00F035CB" w:rsidRDefault="00F035CB" w:rsidP="00F035CB">
            <w:pPr>
              <w:pStyle w:val="T2"/>
              <w:jc w:val="right"/>
            </w:pPr>
            <w:r>
              <w:t>5.5</w:t>
            </w:r>
          </w:p>
        </w:tc>
      </w:tr>
      <w:tr w:rsidR="00F035CB" w14:paraId="303F685B" w14:textId="77777777" w:rsidTr="00773F7B">
        <w:tc>
          <w:tcPr>
            <w:tcW w:w="5245" w:type="dxa"/>
            <w:vAlign w:val="bottom"/>
          </w:tcPr>
          <w:p w14:paraId="25E71BFA" w14:textId="77777777" w:rsidR="00F035CB" w:rsidRPr="00923DB3" w:rsidRDefault="00F035CB" w:rsidP="00F035CB">
            <w:pPr>
              <w:pStyle w:val="T2"/>
              <w:jc w:val="left"/>
            </w:pPr>
            <w:r w:rsidRPr="00923DB3">
              <w:t>Non</w:t>
            </w:r>
            <w:r>
              <w:t>–</w:t>
            </w:r>
            <w:r w:rsidRPr="00923DB3">
              <w:t>current liabilities</w:t>
            </w:r>
          </w:p>
        </w:tc>
        <w:tc>
          <w:tcPr>
            <w:tcW w:w="1559" w:type="dxa"/>
            <w:vAlign w:val="bottom"/>
          </w:tcPr>
          <w:p w14:paraId="2E28FE8B" w14:textId="77777777" w:rsidR="00F035CB" w:rsidRPr="00453A62" w:rsidRDefault="00F035CB" w:rsidP="00F035CB">
            <w:pPr>
              <w:pStyle w:val="T2"/>
              <w:jc w:val="right"/>
              <w:rPr>
                <w:b/>
              </w:rPr>
            </w:pPr>
          </w:p>
        </w:tc>
        <w:tc>
          <w:tcPr>
            <w:tcW w:w="1843" w:type="dxa"/>
            <w:vAlign w:val="bottom"/>
          </w:tcPr>
          <w:p w14:paraId="75B9E13A" w14:textId="77777777" w:rsidR="00F035CB" w:rsidRPr="00453A62" w:rsidRDefault="00F035CB" w:rsidP="00F035CB">
            <w:pPr>
              <w:pStyle w:val="T2"/>
              <w:jc w:val="right"/>
              <w:rPr>
                <w:b/>
              </w:rPr>
            </w:pPr>
            <w:r>
              <w:rPr>
                <w:b/>
              </w:rPr>
              <w:t>5.1</w:t>
            </w:r>
          </w:p>
        </w:tc>
        <w:tc>
          <w:tcPr>
            <w:tcW w:w="1134" w:type="dxa"/>
            <w:vAlign w:val="bottom"/>
          </w:tcPr>
          <w:p w14:paraId="770259E4" w14:textId="77777777" w:rsidR="00F035CB" w:rsidRPr="00923DB3" w:rsidRDefault="00F035CB" w:rsidP="00F035CB">
            <w:pPr>
              <w:pStyle w:val="T2"/>
              <w:jc w:val="right"/>
            </w:pPr>
            <w:r>
              <w:t>6.7</w:t>
            </w:r>
          </w:p>
        </w:tc>
      </w:tr>
      <w:tr w:rsidR="00F035CB" w14:paraId="60019D58" w14:textId="77777777" w:rsidTr="00773F7B">
        <w:tc>
          <w:tcPr>
            <w:tcW w:w="5245" w:type="dxa"/>
            <w:tcBorders>
              <w:top w:val="single" w:sz="2" w:space="0" w:color="auto"/>
              <w:bottom w:val="single" w:sz="8" w:space="0" w:color="auto"/>
            </w:tcBorders>
            <w:vAlign w:val="bottom"/>
          </w:tcPr>
          <w:p w14:paraId="0B932D86" w14:textId="77777777" w:rsidR="00F035CB" w:rsidRPr="00923DB3" w:rsidRDefault="00F035CB" w:rsidP="00F035CB">
            <w:pPr>
              <w:pStyle w:val="T2"/>
            </w:pPr>
          </w:p>
        </w:tc>
        <w:tc>
          <w:tcPr>
            <w:tcW w:w="1559" w:type="dxa"/>
            <w:tcBorders>
              <w:top w:val="single" w:sz="2" w:space="0" w:color="auto"/>
              <w:bottom w:val="single" w:sz="8" w:space="0" w:color="auto"/>
            </w:tcBorders>
            <w:vAlign w:val="bottom"/>
          </w:tcPr>
          <w:p w14:paraId="28462594" w14:textId="77777777" w:rsidR="00F035CB" w:rsidRPr="00453A62" w:rsidRDefault="00F035CB" w:rsidP="00F035CB">
            <w:pPr>
              <w:pStyle w:val="T2"/>
              <w:jc w:val="right"/>
              <w:rPr>
                <w:b/>
              </w:rPr>
            </w:pPr>
          </w:p>
        </w:tc>
        <w:tc>
          <w:tcPr>
            <w:tcW w:w="1843" w:type="dxa"/>
            <w:tcBorders>
              <w:top w:val="single" w:sz="2" w:space="0" w:color="auto"/>
              <w:bottom w:val="single" w:sz="8" w:space="0" w:color="auto"/>
            </w:tcBorders>
            <w:vAlign w:val="bottom"/>
          </w:tcPr>
          <w:p w14:paraId="261C6593" w14:textId="77777777" w:rsidR="00F035CB" w:rsidRPr="00453A62" w:rsidRDefault="00F035CB" w:rsidP="00F035CB">
            <w:pPr>
              <w:pStyle w:val="T2"/>
              <w:jc w:val="right"/>
              <w:rPr>
                <w:b/>
              </w:rPr>
            </w:pPr>
            <w:r>
              <w:rPr>
                <w:b/>
              </w:rPr>
              <w:t>8.8</w:t>
            </w:r>
          </w:p>
        </w:tc>
        <w:tc>
          <w:tcPr>
            <w:tcW w:w="1134" w:type="dxa"/>
            <w:tcBorders>
              <w:top w:val="single" w:sz="2" w:space="0" w:color="auto"/>
              <w:bottom w:val="single" w:sz="8" w:space="0" w:color="auto"/>
            </w:tcBorders>
            <w:vAlign w:val="bottom"/>
          </w:tcPr>
          <w:p w14:paraId="2A7184D5" w14:textId="77777777" w:rsidR="00F035CB" w:rsidRPr="00923DB3" w:rsidRDefault="00F035CB" w:rsidP="00F035CB">
            <w:pPr>
              <w:pStyle w:val="T2"/>
              <w:jc w:val="right"/>
            </w:pPr>
            <w:r>
              <w:t>12.2</w:t>
            </w:r>
          </w:p>
        </w:tc>
      </w:tr>
    </w:tbl>
    <w:p w14:paraId="07637285" w14:textId="77777777" w:rsidR="00773F7B" w:rsidRDefault="00773F7B" w:rsidP="005B3BEE">
      <w:pPr>
        <w:pStyle w:val="Style1"/>
        <w:numPr>
          <w:ilvl w:val="0"/>
          <w:numId w:val="0"/>
        </w:numPr>
        <w:spacing w:before="160" w:after="120"/>
        <w:jc w:val="both"/>
        <w:rPr>
          <w:b w:val="0"/>
        </w:rPr>
      </w:pPr>
      <w:r w:rsidRPr="00D13EF1">
        <w:rPr>
          <w:b w:val="0"/>
        </w:rPr>
        <w:t>In the current</w:t>
      </w:r>
      <w:r>
        <w:rPr>
          <w:b w:val="0"/>
        </w:rPr>
        <w:t xml:space="preserve"> period, the Group settled a legacy US legal case which was </w:t>
      </w:r>
      <w:r w:rsidR="00F035CB">
        <w:rPr>
          <w:b w:val="0"/>
        </w:rPr>
        <w:t>re-</w:t>
      </w:r>
      <w:r>
        <w:rPr>
          <w:b w:val="0"/>
        </w:rPr>
        <w:t>covered under the Group’s insurance policy resulting in a provision release of £2.2m which was accounted for as an exceptional item (note 5).</w:t>
      </w:r>
    </w:p>
    <w:p w14:paraId="261855A4" w14:textId="77777777" w:rsidR="00EF1A4B" w:rsidRDefault="00EF1A4B" w:rsidP="005B3BEE">
      <w:pPr>
        <w:pStyle w:val="SectionH3"/>
      </w:pPr>
    </w:p>
    <w:p w14:paraId="0D2D0E45" w14:textId="4BE4DDA8" w:rsidR="00773F7B" w:rsidRPr="004905D4" w:rsidRDefault="00773F7B" w:rsidP="005B3BEE">
      <w:pPr>
        <w:pStyle w:val="SectionH3"/>
      </w:pPr>
      <w:r w:rsidRPr="004905D4">
        <w:t>14.</w:t>
      </w:r>
      <w:r w:rsidR="004905D4">
        <w:tab/>
      </w:r>
      <w:r w:rsidRPr="004905D4">
        <w:t>Retirement Benefit Obligations</w:t>
      </w:r>
    </w:p>
    <w:p w14:paraId="14891827" w14:textId="77777777" w:rsidR="00773F7B" w:rsidRDefault="00773F7B" w:rsidP="005B3BEE">
      <w:pPr>
        <w:pStyle w:val="Paragraph"/>
        <w:spacing w:before="0" w:after="120"/>
        <w:jc w:val="both"/>
      </w:pPr>
      <w:r>
        <w:t>The Group operates three</w:t>
      </w:r>
      <w:r w:rsidRPr="00F91BA7">
        <w:t xml:space="preserve"> legacy defined benefit pension schemes in the Republic of Irel</w:t>
      </w:r>
      <w:r>
        <w:t>and (the Irish schemes) and two</w:t>
      </w:r>
      <w:r w:rsidRPr="00F91BA7">
        <w:t xml:space="preserve"> legacy defined benefit pension schemes and one legacy defined benefit commitment in the UK (the UK scheme</w:t>
      </w:r>
      <w:r>
        <w:t>s</w:t>
      </w:r>
      <w:r w:rsidRPr="00F91BA7">
        <w:t>). These are all closed to future accrual and there is an assumption applied in the valuation of the schemes that there will be no discretionary increases in pension</w:t>
      </w:r>
      <w:r>
        <w:t xml:space="preserve"> </w:t>
      </w:r>
      <w:r w:rsidRPr="00F91BA7">
        <w:t>payment</w:t>
      </w:r>
      <w:r>
        <w:t>s</w:t>
      </w:r>
      <w:r w:rsidRPr="00F91BA7">
        <w:t xml:space="preserve">. </w:t>
      </w:r>
      <w:r w:rsidRPr="00F91BA7">
        <w:lastRenderedPageBreak/>
        <w:t>The scheme assets are held in separate Trustee administered funds. The Group continues to seek ways to reduce its liabilities through various restructuring initiatives in co</w:t>
      </w:r>
      <w:r>
        <w:t>-</w:t>
      </w:r>
      <w:r w:rsidRPr="00F91BA7">
        <w:t xml:space="preserve">operation with the respective schemes. </w:t>
      </w:r>
    </w:p>
    <w:p w14:paraId="3101BE04" w14:textId="77777777" w:rsidR="002D4204" w:rsidRDefault="002D4204" w:rsidP="002D4204">
      <w:pPr>
        <w:pStyle w:val="Paragraph"/>
        <w:spacing w:before="0" w:after="120"/>
        <w:jc w:val="both"/>
      </w:pPr>
      <w:r w:rsidRPr="00F91BA7">
        <w:t>In consultation with the independent actuaries to the scheme, the valuation of pension obligations have been updated to reflect current market discount rates, rates of increase in salaries, pension payments and inflation, current market values of investments and actual investment returns.</w:t>
      </w:r>
    </w:p>
    <w:p w14:paraId="62744AE2" w14:textId="77777777" w:rsidR="007645C9" w:rsidRDefault="007645C9" w:rsidP="00773F7B">
      <w:pPr>
        <w:pStyle w:val="Paragraph"/>
        <w:jc w:val="both"/>
      </w:pPr>
    </w:p>
    <w:p w14:paraId="2AE07A6C" w14:textId="71F9372E" w:rsidR="007645C9" w:rsidRDefault="007645C9" w:rsidP="005B3BEE">
      <w:pPr>
        <w:pStyle w:val="SectionH3"/>
      </w:pPr>
      <w:r w:rsidRPr="00313181">
        <w:t>1</w:t>
      </w:r>
      <w:r>
        <w:t>4</w:t>
      </w:r>
      <w:r w:rsidRPr="00313181">
        <w:t>.</w:t>
      </w:r>
      <w:r w:rsidRPr="00313181">
        <w:tab/>
      </w:r>
      <w:r w:rsidRPr="00DD6493">
        <w:t xml:space="preserve">Retirement Benefit </w:t>
      </w:r>
      <w:r>
        <w:t>Obligations (continued)</w:t>
      </w:r>
    </w:p>
    <w:p w14:paraId="726C6541" w14:textId="77777777" w:rsidR="00773F7B" w:rsidRDefault="00773F7B" w:rsidP="005B3BEE">
      <w:pPr>
        <w:pStyle w:val="Paragraph"/>
        <w:spacing w:before="0" w:after="120"/>
        <w:jc w:val="both"/>
      </w:pPr>
      <w:r w:rsidRPr="00B71062">
        <w:t xml:space="preserve">The Group’s </w:t>
      </w:r>
      <w:r>
        <w:t>retirement</w:t>
      </w:r>
      <w:r w:rsidRPr="00B71062">
        <w:t xml:space="preserve"> benefit obligations moved from a net</w:t>
      </w:r>
      <w:r>
        <w:t xml:space="preserve"> liability of £92.0m at 27 September 2019 to a net liability of £52.3m at 27 March 2020.</w:t>
      </w:r>
      <w:r w:rsidRPr="00B71062">
        <w:t xml:space="preserve"> This movement was primarily driven by an actuarial </w:t>
      </w:r>
      <w:r>
        <w:t>gain</w:t>
      </w:r>
      <w:r w:rsidRPr="00B71062">
        <w:t xml:space="preserve"> on liabilities arising from </w:t>
      </w:r>
      <w:r>
        <w:t>an increase</w:t>
      </w:r>
      <w:r w:rsidRPr="00B71062">
        <w:t xml:space="preserve"> in the discount rates used to value these liabilities. </w:t>
      </w:r>
      <w:r>
        <w:t xml:space="preserve">The move in the discount rate is driven by the corporate bond rate. </w:t>
      </w:r>
    </w:p>
    <w:p w14:paraId="43755F9B" w14:textId="77777777" w:rsidR="00773F7B" w:rsidRPr="005F112A" w:rsidRDefault="00773F7B" w:rsidP="005B3BEE">
      <w:pPr>
        <w:pStyle w:val="Paragraph"/>
        <w:spacing w:before="0" w:after="120"/>
        <w:jc w:val="both"/>
      </w:pPr>
      <w:r w:rsidRPr="005F112A">
        <w:t>During the period, the Trustees of one of the smaller UK legacy defined benefit schemes, completed a buy-out of the scheme, transferring insurance policies to individual scheme members</w:t>
      </w:r>
      <w:r w:rsidR="00665CB5">
        <w:t xml:space="preserve"> and </w:t>
      </w:r>
      <w:r w:rsidRPr="005F112A">
        <w:t>removing</w:t>
      </w:r>
      <w:r w:rsidR="00665CB5">
        <w:t xml:space="preserve"> the scheme liabilities from the Group’s Statement of Financial Position</w:t>
      </w:r>
      <w:r w:rsidRPr="005F112A">
        <w:t>.</w:t>
      </w:r>
    </w:p>
    <w:p w14:paraId="08E193DB" w14:textId="41A200C7" w:rsidR="00773F7B" w:rsidRPr="00B71062" w:rsidRDefault="00773F7B" w:rsidP="005B3BEE">
      <w:pPr>
        <w:pStyle w:val="Paragraph"/>
        <w:spacing w:before="0" w:after="120"/>
        <w:jc w:val="both"/>
      </w:pPr>
      <w:r>
        <w:t>A full valuation of the UK legacy defined benefit scheme</w:t>
      </w:r>
      <w:r w:rsidR="004C3417">
        <w:t xml:space="preserve"> is in progress</w:t>
      </w:r>
      <w:r w:rsidR="00023BDE">
        <w:t xml:space="preserve"> </w:t>
      </w:r>
      <w:r w:rsidR="004C3417">
        <w:t xml:space="preserve">with a valuation date of March 2020. </w:t>
      </w:r>
    </w:p>
    <w:p w14:paraId="50F1E42B" w14:textId="77777777" w:rsidR="00773F7B" w:rsidRDefault="00773F7B" w:rsidP="005B3BEE">
      <w:pPr>
        <w:pStyle w:val="Paragraph"/>
        <w:spacing w:before="0" w:after="120"/>
      </w:pPr>
      <w:r w:rsidRPr="00202019">
        <w:t>The principal actuarial assumptions are as follo</w:t>
      </w:r>
      <w:r>
        <w:t>w</w:t>
      </w:r>
      <w:r w:rsidRPr="00202019">
        <w:t>s:</w:t>
      </w:r>
    </w:p>
    <w:tbl>
      <w:tblPr>
        <w:tblStyle w:val="TableGrid"/>
        <w:tblW w:w="97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0"/>
        <w:gridCol w:w="877"/>
        <w:gridCol w:w="877"/>
        <w:gridCol w:w="877"/>
        <w:gridCol w:w="879"/>
      </w:tblGrid>
      <w:tr w:rsidR="00773F7B" w14:paraId="7BD6A428" w14:textId="77777777" w:rsidTr="005B3BEE">
        <w:trPr>
          <w:jc w:val="center"/>
        </w:trPr>
        <w:tc>
          <w:tcPr>
            <w:tcW w:w="6270" w:type="dxa"/>
            <w:vAlign w:val="bottom"/>
          </w:tcPr>
          <w:p w14:paraId="6ACB1485" w14:textId="77777777" w:rsidR="00773F7B" w:rsidRPr="00B7240B" w:rsidRDefault="00773F7B" w:rsidP="00773F7B">
            <w:pPr>
              <w:pStyle w:val="T2"/>
              <w:jc w:val="left"/>
            </w:pPr>
          </w:p>
        </w:tc>
        <w:tc>
          <w:tcPr>
            <w:tcW w:w="1754" w:type="dxa"/>
            <w:gridSpan w:val="2"/>
            <w:vAlign w:val="bottom"/>
          </w:tcPr>
          <w:p w14:paraId="0BDF166D" w14:textId="77777777" w:rsidR="00773F7B" w:rsidRPr="00F91BA7" w:rsidRDefault="00773F7B" w:rsidP="00773F7B">
            <w:pPr>
              <w:pStyle w:val="T2"/>
              <w:rPr>
                <w:b/>
              </w:rPr>
            </w:pPr>
            <w:r w:rsidRPr="00F91BA7">
              <w:rPr>
                <w:b/>
              </w:rPr>
              <w:t xml:space="preserve">March </w:t>
            </w:r>
            <w:r w:rsidRPr="00F91BA7">
              <w:rPr>
                <w:b/>
              </w:rPr>
              <w:br/>
              <w:t>20</w:t>
            </w:r>
            <w:r>
              <w:rPr>
                <w:b/>
              </w:rPr>
              <w:t>20</w:t>
            </w:r>
          </w:p>
        </w:tc>
        <w:tc>
          <w:tcPr>
            <w:tcW w:w="1755" w:type="dxa"/>
            <w:gridSpan w:val="2"/>
            <w:vAlign w:val="bottom"/>
          </w:tcPr>
          <w:p w14:paraId="086BFA7D" w14:textId="77777777" w:rsidR="00773F7B" w:rsidRDefault="00773F7B" w:rsidP="00773F7B">
            <w:pPr>
              <w:pStyle w:val="T2"/>
            </w:pPr>
            <w:r w:rsidRPr="00B7240B">
              <w:t xml:space="preserve">September </w:t>
            </w:r>
          </w:p>
          <w:p w14:paraId="31754B4D" w14:textId="77777777" w:rsidR="00773F7B" w:rsidRPr="00B7240B" w:rsidRDefault="00773F7B" w:rsidP="00773F7B">
            <w:pPr>
              <w:pStyle w:val="T2"/>
            </w:pPr>
            <w:r w:rsidRPr="00B7240B">
              <w:t>201</w:t>
            </w:r>
            <w:r>
              <w:t>9</w:t>
            </w:r>
          </w:p>
        </w:tc>
      </w:tr>
      <w:tr w:rsidR="00773F7B" w14:paraId="28E3C18B" w14:textId="77777777" w:rsidTr="005B3BEE">
        <w:trPr>
          <w:jc w:val="center"/>
        </w:trPr>
        <w:tc>
          <w:tcPr>
            <w:tcW w:w="6270" w:type="dxa"/>
            <w:tcBorders>
              <w:bottom w:val="single" w:sz="2" w:space="0" w:color="auto"/>
            </w:tcBorders>
            <w:vAlign w:val="bottom"/>
          </w:tcPr>
          <w:p w14:paraId="746494E7" w14:textId="77777777" w:rsidR="00773F7B" w:rsidRPr="00B7240B" w:rsidRDefault="00773F7B" w:rsidP="00773F7B">
            <w:pPr>
              <w:pStyle w:val="T2"/>
              <w:jc w:val="left"/>
            </w:pPr>
          </w:p>
        </w:tc>
        <w:tc>
          <w:tcPr>
            <w:tcW w:w="877" w:type="dxa"/>
            <w:tcBorders>
              <w:bottom w:val="single" w:sz="2" w:space="0" w:color="auto"/>
            </w:tcBorders>
            <w:vAlign w:val="bottom"/>
          </w:tcPr>
          <w:p w14:paraId="51B16438" w14:textId="77777777" w:rsidR="00773F7B" w:rsidRPr="00F91BA7" w:rsidRDefault="00773F7B" w:rsidP="00773F7B">
            <w:pPr>
              <w:pStyle w:val="T2"/>
              <w:jc w:val="right"/>
              <w:rPr>
                <w:b/>
              </w:rPr>
            </w:pPr>
            <w:r w:rsidRPr="00F91BA7">
              <w:rPr>
                <w:b/>
              </w:rPr>
              <w:t>UK</w:t>
            </w:r>
          </w:p>
        </w:tc>
        <w:tc>
          <w:tcPr>
            <w:tcW w:w="877" w:type="dxa"/>
            <w:tcBorders>
              <w:bottom w:val="single" w:sz="2" w:space="0" w:color="auto"/>
            </w:tcBorders>
            <w:vAlign w:val="bottom"/>
          </w:tcPr>
          <w:p w14:paraId="1D5E8D64" w14:textId="77777777" w:rsidR="00773F7B" w:rsidRPr="00F91BA7" w:rsidRDefault="00773F7B" w:rsidP="00773F7B">
            <w:pPr>
              <w:pStyle w:val="T2"/>
              <w:jc w:val="right"/>
              <w:rPr>
                <w:b/>
              </w:rPr>
            </w:pPr>
            <w:r w:rsidRPr="00F91BA7">
              <w:rPr>
                <w:b/>
              </w:rPr>
              <w:t>Ireland</w:t>
            </w:r>
          </w:p>
        </w:tc>
        <w:tc>
          <w:tcPr>
            <w:tcW w:w="877" w:type="dxa"/>
            <w:tcBorders>
              <w:bottom w:val="single" w:sz="2" w:space="0" w:color="auto"/>
            </w:tcBorders>
            <w:vAlign w:val="bottom"/>
          </w:tcPr>
          <w:p w14:paraId="4F62EF06" w14:textId="77777777" w:rsidR="00773F7B" w:rsidRPr="00B7240B" w:rsidRDefault="00773F7B" w:rsidP="00773F7B">
            <w:pPr>
              <w:pStyle w:val="T2"/>
              <w:jc w:val="right"/>
            </w:pPr>
            <w:r w:rsidRPr="00B7240B">
              <w:t>UK</w:t>
            </w:r>
          </w:p>
        </w:tc>
        <w:tc>
          <w:tcPr>
            <w:tcW w:w="878" w:type="dxa"/>
            <w:tcBorders>
              <w:bottom w:val="single" w:sz="2" w:space="0" w:color="auto"/>
            </w:tcBorders>
            <w:vAlign w:val="bottom"/>
          </w:tcPr>
          <w:p w14:paraId="21788DC7" w14:textId="77777777" w:rsidR="00773F7B" w:rsidRPr="00B7240B" w:rsidRDefault="00773F7B" w:rsidP="00773F7B">
            <w:pPr>
              <w:pStyle w:val="T2"/>
              <w:jc w:val="right"/>
            </w:pPr>
            <w:r w:rsidRPr="00B7240B">
              <w:t>Ireland</w:t>
            </w:r>
          </w:p>
        </w:tc>
      </w:tr>
      <w:tr w:rsidR="00773F7B" w14:paraId="17699634" w14:textId="77777777" w:rsidTr="005B3BEE">
        <w:trPr>
          <w:jc w:val="center"/>
        </w:trPr>
        <w:tc>
          <w:tcPr>
            <w:tcW w:w="6270" w:type="dxa"/>
            <w:tcBorders>
              <w:top w:val="single" w:sz="2" w:space="0" w:color="auto"/>
            </w:tcBorders>
            <w:vAlign w:val="bottom"/>
          </w:tcPr>
          <w:p w14:paraId="4484B874" w14:textId="77777777" w:rsidR="00773F7B" w:rsidRPr="00B7240B" w:rsidRDefault="00773F7B" w:rsidP="00773F7B">
            <w:pPr>
              <w:pStyle w:val="T2"/>
              <w:jc w:val="left"/>
            </w:pPr>
            <w:r w:rsidRPr="00B7240B">
              <w:t>Rate of increase in pension payments *</w:t>
            </w:r>
          </w:p>
        </w:tc>
        <w:tc>
          <w:tcPr>
            <w:tcW w:w="877" w:type="dxa"/>
            <w:tcBorders>
              <w:top w:val="single" w:sz="2" w:space="0" w:color="auto"/>
            </w:tcBorders>
            <w:vAlign w:val="bottom"/>
          </w:tcPr>
          <w:p w14:paraId="32A51481" w14:textId="77777777" w:rsidR="00773F7B" w:rsidRPr="00AE76AF" w:rsidRDefault="00773F7B" w:rsidP="00773F7B">
            <w:pPr>
              <w:pStyle w:val="T2"/>
              <w:jc w:val="right"/>
              <w:rPr>
                <w:b/>
                <w:bCs/>
              </w:rPr>
            </w:pPr>
            <w:r w:rsidRPr="00AE76AF">
              <w:rPr>
                <w:b/>
                <w:bCs/>
              </w:rPr>
              <w:t>2.50%</w:t>
            </w:r>
          </w:p>
        </w:tc>
        <w:tc>
          <w:tcPr>
            <w:tcW w:w="877" w:type="dxa"/>
            <w:tcBorders>
              <w:top w:val="single" w:sz="2" w:space="0" w:color="auto"/>
            </w:tcBorders>
            <w:vAlign w:val="bottom"/>
          </w:tcPr>
          <w:p w14:paraId="021074F4" w14:textId="77777777" w:rsidR="00773F7B" w:rsidRPr="00AE76AF" w:rsidRDefault="00773F7B" w:rsidP="00773F7B">
            <w:pPr>
              <w:pStyle w:val="T2"/>
              <w:jc w:val="right"/>
              <w:rPr>
                <w:b/>
                <w:bCs/>
              </w:rPr>
            </w:pPr>
            <w:r w:rsidRPr="00AE76AF">
              <w:rPr>
                <w:b/>
                <w:bCs/>
              </w:rPr>
              <w:t>0.00%</w:t>
            </w:r>
          </w:p>
        </w:tc>
        <w:tc>
          <w:tcPr>
            <w:tcW w:w="877" w:type="dxa"/>
            <w:tcBorders>
              <w:top w:val="single" w:sz="2" w:space="0" w:color="auto"/>
            </w:tcBorders>
            <w:vAlign w:val="bottom"/>
          </w:tcPr>
          <w:p w14:paraId="4C63712F" w14:textId="77777777" w:rsidR="00773F7B" w:rsidRPr="00B7240B" w:rsidRDefault="00773F7B" w:rsidP="00773F7B">
            <w:pPr>
              <w:pStyle w:val="T2"/>
              <w:jc w:val="right"/>
            </w:pPr>
            <w:r>
              <w:rPr>
                <w:bCs/>
              </w:rPr>
              <w:t>2.95</w:t>
            </w:r>
            <w:r w:rsidRPr="0096767F">
              <w:rPr>
                <w:bCs/>
              </w:rPr>
              <w:t>%</w:t>
            </w:r>
          </w:p>
        </w:tc>
        <w:tc>
          <w:tcPr>
            <w:tcW w:w="878" w:type="dxa"/>
            <w:tcBorders>
              <w:top w:val="single" w:sz="2" w:space="0" w:color="auto"/>
            </w:tcBorders>
            <w:vAlign w:val="bottom"/>
          </w:tcPr>
          <w:p w14:paraId="1DF9E8ED" w14:textId="77777777" w:rsidR="00773F7B" w:rsidRPr="00B7240B" w:rsidRDefault="00773F7B" w:rsidP="00773F7B">
            <w:pPr>
              <w:pStyle w:val="T2"/>
              <w:jc w:val="right"/>
            </w:pPr>
            <w:r w:rsidRPr="0096767F">
              <w:rPr>
                <w:bCs/>
              </w:rPr>
              <w:t>0.00%</w:t>
            </w:r>
          </w:p>
        </w:tc>
      </w:tr>
      <w:tr w:rsidR="00773F7B" w14:paraId="4AA19C3F" w14:textId="77777777" w:rsidTr="005B3BEE">
        <w:trPr>
          <w:jc w:val="center"/>
        </w:trPr>
        <w:tc>
          <w:tcPr>
            <w:tcW w:w="6270" w:type="dxa"/>
            <w:vAlign w:val="bottom"/>
          </w:tcPr>
          <w:p w14:paraId="48B41504" w14:textId="77777777" w:rsidR="00773F7B" w:rsidRPr="00B7240B" w:rsidRDefault="00773F7B" w:rsidP="00773F7B">
            <w:pPr>
              <w:pStyle w:val="T2"/>
              <w:jc w:val="left"/>
            </w:pPr>
            <w:r w:rsidRPr="00B7240B">
              <w:t>Discount rate</w:t>
            </w:r>
          </w:p>
        </w:tc>
        <w:tc>
          <w:tcPr>
            <w:tcW w:w="877" w:type="dxa"/>
            <w:vAlign w:val="bottom"/>
          </w:tcPr>
          <w:p w14:paraId="3F972946" w14:textId="77777777" w:rsidR="00773F7B" w:rsidRPr="00AE76AF" w:rsidRDefault="00773F7B" w:rsidP="00773F7B">
            <w:pPr>
              <w:pStyle w:val="T2"/>
              <w:jc w:val="right"/>
              <w:rPr>
                <w:b/>
                <w:bCs/>
              </w:rPr>
            </w:pPr>
            <w:r w:rsidRPr="00AE76AF">
              <w:rPr>
                <w:b/>
                <w:bCs/>
              </w:rPr>
              <w:t>2.35%</w:t>
            </w:r>
          </w:p>
        </w:tc>
        <w:tc>
          <w:tcPr>
            <w:tcW w:w="877" w:type="dxa"/>
            <w:vAlign w:val="bottom"/>
          </w:tcPr>
          <w:p w14:paraId="25172EB5" w14:textId="77777777" w:rsidR="00773F7B" w:rsidRPr="00AE76AF" w:rsidRDefault="00773F7B" w:rsidP="00773F7B">
            <w:pPr>
              <w:pStyle w:val="T2"/>
              <w:jc w:val="right"/>
              <w:rPr>
                <w:b/>
                <w:bCs/>
              </w:rPr>
            </w:pPr>
            <w:r w:rsidRPr="00AE76AF">
              <w:rPr>
                <w:b/>
                <w:bCs/>
              </w:rPr>
              <w:t>1.65%</w:t>
            </w:r>
          </w:p>
        </w:tc>
        <w:tc>
          <w:tcPr>
            <w:tcW w:w="877" w:type="dxa"/>
            <w:vAlign w:val="bottom"/>
          </w:tcPr>
          <w:p w14:paraId="0567AC26" w14:textId="77777777" w:rsidR="00773F7B" w:rsidRPr="00B7240B" w:rsidRDefault="00773F7B" w:rsidP="00773F7B">
            <w:pPr>
              <w:pStyle w:val="T2"/>
              <w:jc w:val="right"/>
            </w:pPr>
            <w:r>
              <w:rPr>
                <w:bCs/>
              </w:rPr>
              <w:t>1.80</w:t>
            </w:r>
            <w:r w:rsidRPr="0096767F">
              <w:rPr>
                <w:bCs/>
              </w:rPr>
              <w:t>%</w:t>
            </w:r>
          </w:p>
        </w:tc>
        <w:tc>
          <w:tcPr>
            <w:tcW w:w="878" w:type="dxa"/>
            <w:vAlign w:val="bottom"/>
          </w:tcPr>
          <w:p w14:paraId="7543F1D6" w14:textId="77777777" w:rsidR="00773F7B" w:rsidRPr="00B7240B" w:rsidRDefault="00773F7B" w:rsidP="00773F7B">
            <w:pPr>
              <w:pStyle w:val="T2"/>
              <w:jc w:val="right"/>
            </w:pPr>
            <w:r>
              <w:rPr>
                <w:bCs/>
              </w:rPr>
              <w:t>0.85</w:t>
            </w:r>
            <w:r w:rsidRPr="0096767F">
              <w:rPr>
                <w:bCs/>
              </w:rPr>
              <w:t>%</w:t>
            </w:r>
          </w:p>
        </w:tc>
      </w:tr>
      <w:tr w:rsidR="00773F7B" w14:paraId="2BF56B3A" w14:textId="77777777" w:rsidTr="005B3BEE">
        <w:trPr>
          <w:jc w:val="center"/>
        </w:trPr>
        <w:tc>
          <w:tcPr>
            <w:tcW w:w="6270" w:type="dxa"/>
            <w:tcBorders>
              <w:bottom w:val="single" w:sz="2" w:space="0" w:color="auto"/>
            </w:tcBorders>
            <w:vAlign w:val="bottom"/>
          </w:tcPr>
          <w:p w14:paraId="34F40051" w14:textId="77777777" w:rsidR="00773F7B" w:rsidRPr="00B7240B" w:rsidRDefault="00773F7B" w:rsidP="00773F7B">
            <w:pPr>
              <w:pStyle w:val="T2"/>
              <w:jc w:val="left"/>
            </w:pPr>
            <w:r w:rsidRPr="00B7240B">
              <w:t>Inflation rate</w:t>
            </w:r>
          </w:p>
        </w:tc>
        <w:tc>
          <w:tcPr>
            <w:tcW w:w="877" w:type="dxa"/>
            <w:tcBorders>
              <w:bottom w:val="single" w:sz="2" w:space="0" w:color="auto"/>
            </w:tcBorders>
            <w:vAlign w:val="bottom"/>
          </w:tcPr>
          <w:p w14:paraId="0FBCFEB1" w14:textId="77777777" w:rsidR="00773F7B" w:rsidRPr="00AE76AF" w:rsidRDefault="00773F7B" w:rsidP="00773F7B">
            <w:pPr>
              <w:pStyle w:val="T2"/>
              <w:jc w:val="right"/>
              <w:rPr>
                <w:b/>
                <w:bCs/>
              </w:rPr>
            </w:pPr>
            <w:r w:rsidRPr="00AE76AF">
              <w:rPr>
                <w:b/>
                <w:bCs/>
              </w:rPr>
              <w:t>2.60%</w:t>
            </w:r>
          </w:p>
        </w:tc>
        <w:tc>
          <w:tcPr>
            <w:tcW w:w="877" w:type="dxa"/>
            <w:tcBorders>
              <w:bottom w:val="single" w:sz="2" w:space="0" w:color="auto"/>
            </w:tcBorders>
            <w:vAlign w:val="bottom"/>
          </w:tcPr>
          <w:p w14:paraId="608388EB" w14:textId="77777777" w:rsidR="00773F7B" w:rsidRPr="00AE76AF" w:rsidRDefault="00773F7B" w:rsidP="00773F7B">
            <w:pPr>
              <w:pStyle w:val="T2"/>
              <w:jc w:val="right"/>
              <w:rPr>
                <w:b/>
                <w:bCs/>
              </w:rPr>
            </w:pPr>
            <w:r w:rsidRPr="00AE76AF">
              <w:rPr>
                <w:b/>
                <w:bCs/>
              </w:rPr>
              <w:t>1.00%</w:t>
            </w:r>
          </w:p>
        </w:tc>
        <w:tc>
          <w:tcPr>
            <w:tcW w:w="877" w:type="dxa"/>
            <w:tcBorders>
              <w:bottom w:val="single" w:sz="2" w:space="0" w:color="auto"/>
            </w:tcBorders>
            <w:vAlign w:val="bottom"/>
          </w:tcPr>
          <w:p w14:paraId="31287730" w14:textId="77777777" w:rsidR="00773F7B" w:rsidRPr="00B7240B" w:rsidRDefault="00773F7B" w:rsidP="00773F7B">
            <w:pPr>
              <w:pStyle w:val="T2"/>
              <w:jc w:val="right"/>
            </w:pPr>
            <w:r w:rsidRPr="0096767F">
              <w:rPr>
                <w:bCs/>
              </w:rPr>
              <w:t>3.</w:t>
            </w:r>
            <w:r>
              <w:rPr>
                <w:bCs/>
              </w:rPr>
              <w:t>05</w:t>
            </w:r>
            <w:r w:rsidRPr="0096767F">
              <w:rPr>
                <w:bCs/>
              </w:rPr>
              <w:t>%</w:t>
            </w:r>
          </w:p>
        </w:tc>
        <w:tc>
          <w:tcPr>
            <w:tcW w:w="878" w:type="dxa"/>
            <w:tcBorders>
              <w:bottom w:val="single" w:sz="2" w:space="0" w:color="auto"/>
            </w:tcBorders>
            <w:vAlign w:val="bottom"/>
          </w:tcPr>
          <w:p w14:paraId="787141C7" w14:textId="77777777" w:rsidR="00773F7B" w:rsidRPr="00B7240B" w:rsidRDefault="00773F7B" w:rsidP="00773F7B">
            <w:pPr>
              <w:pStyle w:val="T2"/>
              <w:jc w:val="right"/>
            </w:pPr>
            <w:r w:rsidRPr="0096767F">
              <w:rPr>
                <w:bCs/>
              </w:rPr>
              <w:t>1.</w:t>
            </w:r>
            <w:r>
              <w:rPr>
                <w:bCs/>
              </w:rPr>
              <w:t>50</w:t>
            </w:r>
            <w:r w:rsidRPr="0096767F">
              <w:rPr>
                <w:bCs/>
              </w:rPr>
              <w:t>%</w:t>
            </w:r>
          </w:p>
        </w:tc>
      </w:tr>
      <w:tr w:rsidR="00773F7B" w14:paraId="29F30690" w14:textId="77777777" w:rsidTr="005B3BEE">
        <w:trPr>
          <w:jc w:val="center"/>
        </w:trPr>
        <w:tc>
          <w:tcPr>
            <w:tcW w:w="9780" w:type="dxa"/>
            <w:gridSpan w:val="5"/>
            <w:tcBorders>
              <w:top w:val="single" w:sz="2" w:space="0" w:color="auto"/>
            </w:tcBorders>
          </w:tcPr>
          <w:p w14:paraId="011F5456" w14:textId="77777777" w:rsidR="00773F7B" w:rsidRPr="00E05961" w:rsidRDefault="00773F7B" w:rsidP="00773F7B">
            <w:pPr>
              <w:pStyle w:val="T2"/>
              <w:jc w:val="left"/>
              <w:rPr>
                <w:sz w:val="16"/>
                <w:szCs w:val="16"/>
              </w:rPr>
            </w:pPr>
            <w:r w:rsidRPr="00E05961">
              <w:rPr>
                <w:sz w:val="16"/>
                <w:szCs w:val="16"/>
              </w:rPr>
              <w:t xml:space="preserve">* The pension increase rate shown above applies to the majority of the liability base. However there are certain categories within the </w:t>
            </w:r>
            <w:r>
              <w:rPr>
                <w:sz w:val="16"/>
                <w:szCs w:val="16"/>
              </w:rPr>
              <w:t>G</w:t>
            </w:r>
            <w:r w:rsidRPr="00E05961">
              <w:rPr>
                <w:sz w:val="16"/>
                <w:szCs w:val="16"/>
              </w:rPr>
              <w:t>roup that have an entitlement to pension indexation and this is allowed for in the calculation.</w:t>
            </w:r>
          </w:p>
        </w:tc>
      </w:tr>
    </w:tbl>
    <w:p w14:paraId="44FD76D6" w14:textId="77777777" w:rsidR="00773F7B" w:rsidRDefault="00773F7B" w:rsidP="005B3BEE">
      <w:pPr>
        <w:pStyle w:val="Paragraph"/>
        <w:spacing w:after="120"/>
      </w:pPr>
      <w:r>
        <w:t>T</w:t>
      </w:r>
      <w:r w:rsidRPr="005D5C34">
        <w:t>he financial position of the schemes was as follows:</w:t>
      </w:r>
    </w:p>
    <w:tbl>
      <w:tblPr>
        <w:tblStyle w:val="TableGrid"/>
        <w:tblW w:w="97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992"/>
        <w:gridCol w:w="992"/>
        <w:gridCol w:w="851"/>
        <w:gridCol w:w="921"/>
        <w:gridCol w:w="863"/>
        <w:gridCol w:w="739"/>
      </w:tblGrid>
      <w:tr w:rsidR="00773F7B" w14:paraId="3148FC02" w14:textId="77777777" w:rsidTr="005B3BEE">
        <w:trPr>
          <w:jc w:val="center"/>
        </w:trPr>
        <w:tc>
          <w:tcPr>
            <w:tcW w:w="4422" w:type="dxa"/>
          </w:tcPr>
          <w:p w14:paraId="4AC4C6CF" w14:textId="77777777" w:rsidR="00773F7B" w:rsidRPr="00496A2A" w:rsidRDefault="00773F7B" w:rsidP="00773F7B">
            <w:pPr>
              <w:pStyle w:val="T2"/>
            </w:pPr>
          </w:p>
        </w:tc>
        <w:tc>
          <w:tcPr>
            <w:tcW w:w="2835" w:type="dxa"/>
            <w:gridSpan w:val="3"/>
            <w:vAlign w:val="bottom"/>
          </w:tcPr>
          <w:p w14:paraId="7A0BCF95" w14:textId="77777777" w:rsidR="00773F7B" w:rsidRPr="00892F5E" w:rsidRDefault="00773F7B" w:rsidP="00773F7B">
            <w:pPr>
              <w:pStyle w:val="T2"/>
              <w:rPr>
                <w:b/>
              </w:rPr>
            </w:pPr>
            <w:r w:rsidRPr="00892F5E">
              <w:rPr>
                <w:b/>
              </w:rPr>
              <w:t xml:space="preserve"> March 20</w:t>
            </w:r>
            <w:r>
              <w:rPr>
                <w:b/>
              </w:rPr>
              <w:t>20</w:t>
            </w:r>
          </w:p>
        </w:tc>
        <w:tc>
          <w:tcPr>
            <w:tcW w:w="2520" w:type="dxa"/>
            <w:gridSpan w:val="3"/>
            <w:vAlign w:val="bottom"/>
          </w:tcPr>
          <w:p w14:paraId="322785E9" w14:textId="77777777" w:rsidR="00773F7B" w:rsidRPr="00496A2A" w:rsidRDefault="00773F7B" w:rsidP="00773F7B">
            <w:pPr>
              <w:pStyle w:val="T2"/>
            </w:pPr>
            <w:r w:rsidRPr="00496A2A">
              <w:t>September 201</w:t>
            </w:r>
            <w:r>
              <w:t>9</w:t>
            </w:r>
          </w:p>
        </w:tc>
      </w:tr>
      <w:tr w:rsidR="00773F7B" w14:paraId="37DCB426" w14:textId="77777777" w:rsidTr="005B3BEE">
        <w:trPr>
          <w:jc w:val="center"/>
        </w:trPr>
        <w:tc>
          <w:tcPr>
            <w:tcW w:w="4422" w:type="dxa"/>
          </w:tcPr>
          <w:p w14:paraId="57F8B3B0" w14:textId="77777777" w:rsidR="00773F7B" w:rsidRPr="00496A2A" w:rsidRDefault="00773F7B" w:rsidP="00773F7B">
            <w:pPr>
              <w:pStyle w:val="T2"/>
            </w:pPr>
          </w:p>
        </w:tc>
        <w:tc>
          <w:tcPr>
            <w:tcW w:w="992" w:type="dxa"/>
            <w:vAlign w:val="bottom"/>
          </w:tcPr>
          <w:p w14:paraId="7B125468" w14:textId="77777777" w:rsidR="00773F7B" w:rsidRPr="00892F5E" w:rsidRDefault="00773F7B" w:rsidP="00773F7B">
            <w:pPr>
              <w:pStyle w:val="T2"/>
              <w:jc w:val="right"/>
              <w:rPr>
                <w:b/>
              </w:rPr>
            </w:pPr>
            <w:r w:rsidRPr="00892F5E">
              <w:rPr>
                <w:b/>
              </w:rPr>
              <w:t>UK</w:t>
            </w:r>
            <w:r w:rsidRPr="00892F5E">
              <w:rPr>
                <w:b/>
              </w:rPr>
              <w:br/>
              <w:t xml:space="preserve"> Schemes</w:t>
            </w:r>
          </w:p>
        </w:tc>
        <w:tc>
          <w:tcPr>
            <w:tcW w:w="992" w:type="dxa"/>
            <w:vAlign w:val="bottom"/>
          </w:tcPr>
          <w:p w14:paraId="093D0216" w14:textId="77777777" w:rsidR="00773F7B" w:rsidRPr="00892F5E" w:rsidRDefault="00773F7B" w:rsidP="00773F7B">
            <w:pPr>
              <w:pStyle w:val="T2"/>
              <w:jc w:val="right"/>
              <w:rPr>
                <w:b/>
              </w:rPr>
            </w:pPr>
            <w:r w:rsidRPr="00892F5E">
              <w:rPr>
                <w:b/>
              </w:rPr>
              <w:t>Irish Schemes</w:t>
            </w:r>
          </w:p>
        </w:tc>
        <w:tc>
          <w:tcPr>
            <w:tcW w:w="851" w:type="dxa"/>
            <w:vAlign w:val="bottom"/>
          </w:tcPr>
          <w:p w14:paraId="0485B37A" w14:textId="77777777" w:rsidR="00773F7B" w:rsidRPr="00892F5E" w:rsidRDefault="00773F7B" w:rsidP="00773F7B">
            <w:pPr>
              <w:pStyle w:val="T2"/>
              <w:jc w:val="right"/>
              <w:rPr>
                <w:b/>
              </w:rPr>
            </w:pPr>
            <w:r w:rsidRPr="00892F5E">
              <w:rPr>
                <w:b/>
              </w:rPr>
              <w:t>Total</w:t>
            </w:r>
          </w:p>
        </w:tc>
        <w:tc>
          <w:tcPr>
            <w:tcW w:w="921" w:type="dxa"/>
            <w:vAlign w:val="bottom"/>
          </w:tcPr>
          <w:p w14:paraId="18430C9D" w14:textId="77777777" w:rsidR="00773F7B" w:rsidRPr="00496A2A" w:rsidRDefault="00773F7B" w:rsidP="00773F7B">
            <w:pPr>
              <w:pStyle w:val="T2"/>
              <w:jc w:val="right"/>
            </w:pPr>
            <w:r w:rsidRPr="00496A2A">
              <w:t>UK</w:t>
            </w:r>
            <w:r w:rsidRPr="00496A2A">
              <w:br/>
              <w:t xml:space="preserve"> Schemes</w:t>
            </w:r>
          </w:p>
        </w:tc>
        <w:tc>
          <w:tcPr>
            <w:tcW w:w="863" w:type="dxa"/>
            <w:vAlign w:val="bottom"/>
          </w:tcPr>
          <w:p w14:paraId="5F47ACD7" w14:textId="77777777" w:rsidR="00773F7B" w:rsidRPr="00496A2A" w:rsidRDefault="00773F7B" w:rsidP="00773F7B">
            <w:pPr>
              <w:pStyle w:val="T2"/>
              <w:jc w:val="right"/>
            </w:pPr>
            <w:r w:rsidRPr="00496A2A">
              <w:t>Irish Schemes</w:t>
            </w:r>
          </w:p>
        </w:tc>
        <w:tc>
          <w:tcPr>
            <w:tcW w:w="736" w:type="dxa"/>
            <w:vAlign w:val="bottom"/>
          </w:tcPr>
          <w:p w14:paraId="5BBE8AB9" w14:textId="77777777" w:rsidR="00773F7B" w:rsidRPr="00496A2A" w:rsidRDefault="00773F7B" w:rsidP="00773F7B">
            <w:pPr>
              <w:pStyle w:val="T2"/>
              <w:jc w:val="right"/>
            </w:pPr>
            <w:r w:rsidRPr="00496A2A">
              <w:t>Total</w:t>
            </w:r>
          </w:p>
        </w:tc>
      </w:tr>
      <w:tr w:rsidR="00773F7B" w14:paraId="0EE032C6" w14:textId="77777777" w:rsidTr="005B3BEE">
        <w:trPr>
          <w:jc w:val="center"/>
        </w:trPr>
        <w:tc>
          <w:tcPr>
            <w:tcW w:w="4422" w:type="dxa"/>
            <w:tcBorders>
              <w:bottom w:val="single" w:sz="2" w:space="0" w:color="auto"/>
            </w:tcBorders>
          </w:tcPr>
          <w:p w14:paraId="28F7E096" w14:textId="77777777" w:rsidR="00773F7B" w:rsidRPr="00496A2A" w:rsidRDefault="00773F7B" w:rsidP="00773F7B">
            <w:pPr>
              <w:pStyle w:val="T2"/>
            </w:pPr>
          </w:p>
        </w:tc>
        <w:tc>
          <w:tcPr>
            <w:tcW w:w="992" w:type="dxa"/>
            <w:tcBorders>
              <w:bottom w:val="single" w:sz="2" w:space="0" w:color="auto"/>
            </w:tcBorders>
            <w:vAlign w:val="bottom"/>
          </w:tcPr>
          <w:p w14:paraId="486F989C" w14:textId="77777777" w:rsidR="00773F7B" w:rsidRPr="008F29DE" w:rsidRDefault="00773F7B" w:rsidP="00773F7B">
            <w:pPr>
              <w:pStyle w:val="T2"/>
              <w:jc w:val="right"/>
              <w:rPr>
                <w:b/>
              </w:rPr>
            </w:pPr>
            <w:r w:rsidRPr="008F29DE">
              <w:rPr>
                <w:b/>
              </w:rPr>
              <w:t>£m</w:t>
            </w:r>
          </w:p>
        </w:tc>
        <w:tc>
          <w:tcPr>
            <w:tcW w:w="992" w:type="dxa"/>
            <w:tcBorders>
              <w:bottom w:val="single" w:sz="2" w:space="0" w:color="auto"/>
            </w:tcBorders>
            <w:vAlign w:val="bottom"/>
          </w:tcPr>
          <w:p w14:paraId="7C3E6266" w14:textId="77777777" w:rsidR="00773F7B" w:rsidRPr="008F29DE" w:rsidRDefault="00773F7B" w:rsidP="00773F7B">
            <w:pPr>
              <w:pStyle w:val="T2"/>
              <w:jc w:val="right"/>
              <w:rPr>
                <w:b/>
              </w:rPr>
            </w:pPr>
            <w:r w:rsidRPr="008F29DE">
              <w:rPr>
                <w:b/>
              </w:rPr>
              <w:t>£m</w:t>
            </w:r>
          </w:p>
        </w:tc>
        <w:tc>
          <w:tcPr>
            <w:tcW w:w="851" w:type="dxa"/>
            <w:tcBorders>
              <w:bottom w:val="single" w:sz="2" w:space="0" w:color="auto"/>
            </w:tcBorders>
            <w:vAlign w:val="bottom"/>
          </w:tcPr>
          <w:p w14:paraId="0051D912" w14:textId="77777777" w:rsidR="00773F7B" w:rsidRPr="008F29DE" w:rsidRDefault="00773F7B" w:rsidP="00773F7B">
            <w:pPr>
              <w:pStyle w:val="T2"/>
              <w:jc w:val="right"/>
              <w:rPr>
                <w:b/>
              </w:rPr>
            </w:pPr>
            <w:r w:rsidRPr="008F29DE">
              <w:rPr>
                <w:b/>
              </w:rPr>
              <w:t>£m</w:t>
            </w:r>
          </w:p>
        </w:tc>
        <w:tc>
          <w:tcPr>
            <w:tcW w:w="921" w:type="dxa"/>
            <w:tcBorders>
              <w:bottom w:val="single" w:sz="2" w:space="0" w:color="auto"/>
            </w:tcBorders>
            <w:vAlign w:val="bottom"/>
          </w:tcPr>
          <w:p w14:paraId="5F013E4F" w14:textId="77777777" w:rsidR="00773F7B" w:rsidRPr="00496A2A" w:rsidRDefault="00773F7B" w:rsidP="00773F7B">
            <w:pPr>
              <w:pStyle w:val="T2"/>
              <w:jc w:val="right"/>
            </w:pPr>
            <w:r w:rsidRPr="00496A2A">
              <w:t>£m</w:t>
            </w:r>
          </w:p>
        </w:tc>
        <w:tc>
          <w:tcPr>
            <w:tcW w:w="863" w:type="dxa"/>
            <w:tcBorders>
              <w:bottom w:val="single" w:sz="2" w:space="0" w:color="auto"/>
            </w:tcBorders>
            <w:vAlign w:val="bottom"/>
          </w:tcPr>
          <w:p w14:paraId="4DC05470" w14:textId="77777777" w:rsidR="00773F7B" w:rsidRPr="00496A2A" w:rsidRDefault="00773F7B" w:rsidP="00773F7B">
            <w:pPr>
              <w:pStyle w:val="T2"/>
              <w:jc w:val="right"/>
            </w:pPr>
            <w:r w:rsidRPr="00496A2A">
              <w:t>£m</w:t>
            </w:r>
          </w:p>
        </w:tc>
        <w:tc>
          <w:tcPr>
            <w:tcW w:w="736" w:type="dxa"/>
            <w:tcBorders>
              <w:bottom w:val="single" w:sz="2" w:space="0" w:color="auto"/>
            </w:tcBorders>
            <w:vAlign w:val="bottom"/>
          </w:tcPr>
          <w:p w14:paraId="66741896" w14:textId="77777777" w:rsidR="00773F7B" w:rsidRPr="00496A2A" w:rsidRDefault="00773F7B" w:rsidP="00773F7B">
            <w:pPr>
              <w:pStyle w:val="T2"/>
              <w:jc w:val="right"/>
            </w:pPr>
            <w:r w:rsidRPr="00496A2A">
              <w:t>£m</w:t>
            </w:r>
          </w:p>
        </w:tc>
      </w:tr>
      <w:tr w:rsidR="00773F7B" w14:paraId="3A0FBC3E" w14:textId="77777777" w:rsidTr="005B3BEE">
        <w:trPr>
          <w:jc w:val="center"/>
        </w:trPr>
        <w:tc>
          <w:tcPr>
            <w:tcW w:w="4422" w:type="dxa"/>
            <w:tcBorders>
              <w:top w:val="single" w:sz="2" w:space="0" w:color="auto"/>
            </w:tcBorders>
            <w:vAlign w:val="bottom"/>
          </w:tcPr>
          <w:p w14:paraId="4A088835" w14:textId="77777777" w:rsidR="00773F7B" w:rsidRPr="00496A2A" w:rsidRDefault="00773F7B" w:rsidP="00773F7B">
            <w:pPr>
              <w:pStyle w:val="T2"/>
              <w:jc w:val="left"/>
            </w:pPr>
            <w:r>
              <w:t>Fair value of plan assets</w:t>
            </w:r>
          </w:p>
        </w:tc>
        <w:tc>
          <w:tcPr>
            <w:tcW w:w="992" w:type="dxa"/>
            <w:tcBorders>
              <w:top w:val="single" w:sz="2" w:space="0" w:color="auto"/>
            </w:tcBorders>
            <w:vAlign w:val="bottom"/>
          </w:tcPr>
          <w:p w14:paraId="445E2E86" w14:textId="77777777" w:rsidR="00773F7B" w:rsidRPr="005226E7" w:rsidRDefault="00773F7B" w:rsidP="00773F7B">
            <w:pPr>
              <w:pStyle w:val="T2"/>
              <w:jc w:val="right"/>
              <w:rPr>
                <w:b/>
              </w:rPr>
            </w:pPr>
            <w:r>
              <w:rPr>
                <w:b/>
              </w:rPr>
              <w:t>205.4</w:t>
            </w:r>
          </w:p>
        </w:tc>
        <w:tc>
          <w:tcPr>
            <w:tcW w:w="992" w:type="dxa"/>
            <w:tcBorders>
              <w:top w:val="single" w:sz="2" w:space="0" w:color="auto"/>
            </w:tcBorders>
            <w:vAlign w:val="bottom"/>
          </w:tcPr>
          <w:p w14:paraId="6C2B9947" w14:textId="77777777" w:rsidR="00773F7B" w:rsidRPr="005226E7" w:rsidRDefault="00773F7B" w:rsidP="00773F7B">
            <w:pPr>
              <w:pStyle w:val="T2"/>
              <w:jc w:val="right"/>
              <w:rPr>
                <w:b/>
              </w:rPr>
            </w:pPr>
            <w:r>
              <w:rPr>
                <w:b/>
              </w:rPr>
              <w:t>254.8</w:t>
            </w:r>
          </w:p>
        </w:tc>
        <w:tc>
          <w:tcPr>
            <w:tcW w:w="851" w:type="dxa"/>
            <w:tcBorders>
              <w:top w:val="single" w:sz="2" w:space="0" w:color="auto"/>
            </w:tcBorders>
            <w:vAlign w:val="bottom"/>
          </w:tcPr>
          <w:p w14:paraId="5FA42763" w14:textId="77777777" w:rsidR="00773F7B" w:rsidRPr="005226E7" w:rsidRDefault="00773F7B" w:rsidP="00773F7B">
            <w:pPr>
              <w:pStyle w:val="T2"/>
              <w:jc w:val="right"/>
              <w:rPr>
                <w:b/>
              </w:rPr>
            </w:pPr>
            <w:r>
              <w:rPr>
                <w:b/>
              </w:rPr>
              <w:t>460.2</w:t>
            </w:r>
          </w:p>
        </w:tc>
        <w:tc>
          <w:tcPr>
            <w:tcW w:w="921" w:type="dxa"/>
            <w:tcBorders>
              <w:top w:val="single" w:sz="2" w:space="0" w:color="auto"/>
            </w:tcBorders>
            <w:vAlign w:val="bottom"/>
          </w:tcPr>
          <w:p w14:paraId="3787DEB3" w14:textId="77777777" w:rsidR="00773F7B" w:rsidRPr="00496A2A" w:rsidRDefault="00773F7B" w:rsidP="00773F7B">
            <w:pPr>
              <w:pStyle w:val="T2"/>
              <w:jc w:val="right"/>
            </w:pPr>
            <w:r>
              <w:t>251.3</w:t>
            </w:r>
          </w:p>
        </w:tc>
        <w:tc>
          <w:tcPr>
            <w:tcW w:w="863" w:type="dxa"/>
            <w:tcBorders>
              <w:top w:val="single" w:sz="2" w:space="0" w:color="auto"/>
            </w:tcBorders>
            <w:vAlign w:val="bottom"/>
          </w:tcPr>
          <w:p w14:paraId="72775BC8" w14:textId="77777777" w:rsidR="00773F7B" w:rsidRPr="00496A2A" w:rsidRDefault="00773F7B" w:rsidP="00773F7B">
            <w:pPr>
              <w:pStyle w:val="T2"/>
              <w:jc w:val="right"/>
            </w:pPr>
            <w:r>
              <w:t>273.4</w:t>
            </w:r>
          </w:p>
        </w:tc>
        <w:tc>
          <w:tcPr>
            <w:tcW w:w="736" w:type="dxa"/>
            <w:tcBorders>
              <w:top w:val="single" w:sz="2" w:space="0" w:color="auto"/>
            </w:tcBorders>
            <w:vAlign w:val="bottom"/>
          </w:tcPr>
          <w:p w14:paraId="6808F0EE" w14:textId="77777777" w:rsidR="00773F7B" w:rsidRPr="00496A2A" w:rsidRDefault="00773F7B" w:rsidP="00773F7B">
            <w:pPr>
              <w:pStyle w:val="T2"/>
              <w:jc w:val="right"/>
            </w:pPr>
            <w:r>
              <w:t>524.7</w:t>
            </w:r>
          </w:p>
        </w:tc>
      </w:tr>
      <w:tr w:rsidR="00773F7B" w14:paraId="4A48476B" w14:textId="77777777" w:rsidTr="005B3BEE">
        <w:trPr>
          <w:jc w:val="center"/>
        </w:trPr>
        <w:tc>
          <w:tcPr>
            <w:tcW w:w="4422" w:type="dxa"/>
            <w:tcBorders>
              <w:bottom w:val="single" w:sz="2" w:space="0" w:color="auto"/>
            </w:tcBorders>
            <w:vAlign w:val="bottom"/>
          </w:tcPr>
          <w:p w14:paraId="08B571F1" w14:textId="77777777" w:rsidR="00773F7B" w:rsidRPr="00496A2A" w:rsidRDefault="00773F7B" w:rsidP="00773F7B">
            <w:pPr>
              <w:pStyle w:val="T2"/>
              <w:jc w:val="left"/>
            </w:pPr>
            <w:r w:rsidRPr="00496A2A">
              <w:t>Present value of scheme liabilities</w:t>
            </w:r>
          </w:p>
        </w:tc>
        <w:tc>
          <w:tcPr>
            <w:tcW w:w="992" w:type="dxa"/>
            <w:tcBorders>
              <w:bottom w:val="single" w:sz="2" w:space="0" w:color="auto"/>
            </w:tcBorders>
            <w:vAlign w:val="bottom"/>
          </w:tcPr>
          <w:p w14:paraId="33E0CEBE" w14:textId="77777777" w:rsidR="00773F7B" w:rsidRPr="005226E7" w:rsidRDefault="00773F7B" w:rsidP="00773F7B">
            <w:pPr>
              <w:pStyle w:val="T2"/>
              <w:jc w:val="right"/>
              <w:rPr>
                <w:b/>
              </w:rPr>
            </w:pPr>
            <w:r>
              <w:rPr>
                <w:b/>
              </w:rPr>
              <w:t>(306.2)</w:t>
            </w:r>
          </w:p>
        </w:tc>
        <w:tc>
          <w:tcPr>
            <w:tcW w:w="992" w:type="dxa"/>
            <w:tcBorders>
              <w:bottom w:val="single" w:sz="2" w:space="0" w:color="auto"/>
            </w:tcBorders>
            <w:vAlign w:val="bottom"/>
          </w:tcPr>
          <w:p w14:paraId="52681E99" w14:textId="77777777" w:rsidR="00773F7B" w:rsidRPr="005226E7" w:rsidRDefault="00773F7B" w:rsidP="00773F7B">
            <w:pPr>
              <w:pStyle w:val="T2"/>
              <w:jc w:val="right"/>
              <w:rPr>
                <w:b/>
              </w:rPr>
            </w:pPr>
            <w:r>
              <w:rPr>
                <w:b/>
              </w:rPr>
              <w:t>(206.3)</w:t>
            </w:r>
          </w:p>
        </w:tc>
        <w:tc>
          <w:tcPr>
            <w:tcW w:w="851" w:type="dxa"/>
            <w:tcBorders>
              <w:bottom w:val="single" w:sz="2" w:space="0" w:color="auto"/>
            </w:tcBorders>
            <w:vAlign w:val="bottom"/>
          </w:tcPr>
          <w:p w14:paraId="7F6AA9AC" w14:textId="77777777" w:rsidR="00773F7B" w:rsidRPr="005226E7" w:rsidRDefault="00773F7B" w:rsidP="00773F7B">
            <w:pPr>
              <w:pStyle w:val="T2"/>
              <w:jc w:val="right"/>
              <w:rPr>
                <w:b/>
              </w:rPr>
            </w:pPr>
            <w:r>
              <w:rPr>
                <w:b/>
              </w:rPr>
              <w:t>(512.5)</w:t>
            </w:r>
          </w:p>
        </w:tc>
        <w:tc>
          <w:tcPr>
            <w:tcW w:w="921" w:type="dxa"/>
            <w:tcBorders>
              <w:bottom w:val="single" w:sz="2" w:space="0" w:color="auto"/>
            </w:tcBorders>
            <w:vAlign w:val="bottom"/>
          </w:tcPr>
          <w:p w14:paraId="39FC2060" w14:textId="77777777" w:rsidR="00773F7B" w:rsidRPr="00496A2A" w:rsidRDefault="00773F7B" w:rsidP="00773F7B">
            <w:pPr>
              <w:pStyle w:val="T2"/>
              <w:jc w:val="right"/>
            </w:pPr>
            <w:r>
              <w:t>(378.8)</w:t>
            </w:r>
          </w:p>
        </w:tc>
        <w:tc>
          <w:tcPr>
            <w:tcW w:w="863" w:type="dxa"/>
            <w:tcBorders>
              <w:bottom w:val="single" w:sz="2" w:space="0" w:color="auto"/>
            </w:tcBorders>
            <w:vAlign w:val="bottom"/>
          </w:tcPr>
          <w:p w14:paraId="1872C424" w14:textId="77777777" w:rsidR="00773F7B" w:rsidRPr="00496A2A" w:rsidRDefault="00773F7B" w:rsidP="00773F7B">
            <w:pPr>
              <w:pStyle w:val="T2"/>
              <w:jc w:val="right"/>
            </w:pPr>
            <w:r>
              <w:t>(237.9)</w:t>
            </w:r>
          </w:p>
        </w:tc>
        <w:tc>
          <w:tcPr>
            <w:tcW w:w="736" w:type="dxa"/>
            <w:tcBorders>
              <w:bottom w:val="single" w:sz="2" w:space="0" w:color="auto"/>
            </w:tcBorders>
            <w:vAlign w:val="bottom"/>
          </w:tcPr>
          <w:p w14:paraId="05DB5493" w14:textId="77777777" w:rsidR="00773F7B" w:rsidRPr="00496A2A" w:rsidRDefault="00773F7B" w:rsidP="00773F7B">
            <w:pPr>
              <w:pStyle w:val="T2"/>
              <w:jc w:val="right"/>
            </w:pPr>
            <w:r>
              <w:t>(616.7)</w:t>
            </w:r>
          </w:p>
        </w:tc>
      </w:tr>
      <w:tr w:rsidR="00773F7B" w14:paraId="0F1F7CE2" w14:textId="77777777" w:rsidTr="005B3BEE">
        <w:trPr>
          <w:jc w:val="center"/>
        </w:trPr>
        <w:tc>
          <w:tcPr>
            <w:tcW w:w="4422" w:type="dxa"/>
            <w:tcBorders>
              <w:top w:val="single" w:sz="2" w:space="0" w:color="auto"/>
            </w:tcBorders>
            <w:vAlign w:val="bottom"/>
          </w:tcPr>
          <w:p w14:paraId="51E8C0AB" w14:textId="77777777" w:rsidR="00773F7B" w:rsidRPr="00496A2A" w:rsidRDefault="00773F7B" w:rsidP="00773F7B">
            <w:pPr>
              <w:pStyle w:val="T2"/>
              <w:jc w:val="left"/>
            </w:pPr>
            <w:r w:rsidRPr="00496A2A">
              <w:t>(Deficit)/surplus in schemes</w:t>
            </w:r>
          </w:p>
        </w:tc>
        <w:tc>
          <w:tcPr>
            <w:tcW w:w="992" w:type="dxa"/>
            <w:tcBorders>
              <w:top w:val="single" w:sz="2" w:space="0" w:color="auto"/>
            </w:tcBorders>
            <w:vAlign w:val="bottom"/>
          </w:tcPr>
          <w:p w14:paraId="69343011" w14:textId="77777777" w:rsidR="00773F7B" w:rsidRPr="005226E7" w:rsidRDefault="00773F7B" w:rsidP="00773F7B">
            <w:pPr>
              <w:pStyle w:val="T2"/>
              <w:jc w:val="right"/>
              <w:rPr>
                <w:b/>
              </w:rPr>
            </w:pPr>
            <w:r>
              <w:rPr>
                <w:b/>
              </w:rPr>
              <w:t>(100.8)</w:t>
            </w:r>
          </w:p>
        </w:tc>
        <w:tc>
          <w:tcPr>
            <w:tcW w:w="992" w:type="dxa"/>
            <w:tcBorders>
              <w:top w:val="single" w:sz="2" w:space="0" w:color="auto"/>
            </w:tcBorders>
            <w:vAlign w:val="bottom"/>
          </w:tcPr>
          <w:p w14:paraId="1224F51D" w14:textId="77777777" w:rsidR="00773F7B" w:rsidRPr="005226E7" w:rsidRDefault="00773F7B" w:rsidP="00773F7B">
            <w:pPr>
              <w:pStyle w:val="T2"/>
              <w:jc w:val="right"/>
              <w:rPr>
                <w:b/>
              </w:rPr>
            </w:pPr>
            <w:r>
              <w:rPr>
                <w:b/>
              </w:rPr>
              <w:t>48.5</w:t>
            </w:r>
          </w:p>
        </w:tc>
        <w:tc>
          <w:tcPr>
            <w:tcW w:w="851" w:type="dxa"/>
            <w:tcBorders>
              <w:top w:val="single" w:sz="2" w:space="0" w:color="auto"/>
            </w:tcBorders>
            <w:vAlign w:val="bottom"/>
          </w:tcPr>
          <w:p w14:paraId="2EDC1375" w14:textId="77777777" w:rsidR="00773F7B" w:rsidRPr="005226E7" w:rsidRDefault="00773F7B" w:rsidP="00773F7B">
            <w:pPr>
              <w:pStyle w:val="T2"/>
              <w:jc w:val="right"/>
              <w:rPr>
                <w:b/>
              </w:rPr>
            </w:pPr>
            <w:r>
              <w:rPr>
                <w:b/>
              </w:rPr>
              <w:t>(52.3)</w:t>
            </w:r>
          </w:p>
        </w:tc>
        <w:tc>
          <w:tcPr>
            <w:tcW w:w="921" w:type="dxa"/>
            <w:tcBorders>
              <w:top w:val="single" w:sz="2" w:space="0" w:color="auto"/>
            </w:tcBorders>
            <w:vAlign w:val="bottom"/>
          </w:tcPr>
          <w:p w14:paraId="4BE332A4" w14:textId="77777777" w:rsidR="00773F7B" w:rsidRPr="00496A2A" w:rsidRDefault="00773F7B" w:rsidP="00773F7B">
            <w:pPr>
              <w:pStyle w:val="T2"/>
              <w:jc w:val="right"/>
            </w:pPr>
            <w:r>
              <w:t>(127.5)</w:t>
            </w:r>
          </w:p>
        </w:tc>
        <w:tc>
          <w:tcPr>
            <w:tcW w:w="863" w:type="dxa"/>
            <w:tcBorders>
              <w:top w:val="single" w:sz="2" w:space="0" w:color="auto"/>
            </w:tcBorders>
            <w:vAlign w:val="bottom"/>
          </w:tcPr>
          <w:p w14:paraId="661A8DD3" w14:textId="77777777" w:rsidR="00773F7B" w:rsidRPr="00496A2A" w:rsidRDefault="00773F7B" w:rsidP="00773F7B">
            <w:pPr>
              <w:pStyle w:val="T2"/>
              <w:jc w:val="right"/>
            </w:pPr>
            <w:r>
              <w:t>35.5</w:t>
            </w:r>
          </w:p>
        </w:tc>
        <w:tc>
          <w:tcPr>
            <w:tcW w:w="736" w:type="dxa"/>
            <w:tcBorders>
              <w:top w:val="single" w:sz="2" w:space="0" w:color="auto"/>
            </w:tcBorders>
            <w:vAlign w:val="bottom"/>
          </w:tcPr>
          <w:p w14:paraId="23BFC619" w14:textId="77777777" w:rsidR="00773F7B" w:rsidRPr="00496A2A" w:rsidRDefault="00773F7B" w:rsidP="00773F7B">
            <w:pPr>
              <w:pStyle w:val="T2"/>
              <w:jc w:val="right"/>
            </w:pPr>
            <w:r>
              <w:t>(92.0)</w:t>
            </w:r>
          </w:p>
        </w:tc>
      </w:tr>
      <w:tr w:rsidR="00773F7B" w14:paraId="46217616" w14:textId="77777777" w:rsidTr="005B3BEE">
        <w:trPr>
          <w:jc w:val="center"/>
        </w:trPr>
        <w:tc>
          <w:tcPr>
            <w:tcW w:w="4422" w:type="dxa"/>
            <w:tcBorders>
              <w:bottom w:val="single" w:sz="2" w:space="0" w:color="auto"/>
            </w:tcBorders>
            <w:vAlign w:val="bottom"/>
          </w:tcPr>
          <w:p w14:paraId="4606AEBC" w14:textId="77777777" w:rsidR="00773F7B" w:rsidRPr="00496A2A" w:rsidRDefault="00773F7B" w:rsidP="00773F7B">
            <w:pPr>
              <w:pStyle w:val="T2"/>
              <w:jc w:val="left"/>
            </w:pPr>
            <w:r w:rsidRPr="00496A2A">
              <w:t>Deferred tax asset</w:t>
            </w:r>
            <w:r>
              <w:t>/(liability)</w:t>
            </w:r>
          </w:p>
        </w:tc>
        <w:tc>
          <w:tcPr>
            <w:tcW w:w="992" w:type="dxa"/>
            <w:tcBorders>
              <w:bottom w:val="single" w:sz="2" w:space="0" w:color="auto"/>
            </w:tcBorders>
            <w:vAlign w:val="bottom"/>
          </w:tcPr>
          <w:p w14:paraId="096A4AD3" w14:textId="77777777" w:rsidR="00773F7B" w:rsidRPr="001E1407" w:rsidRDefault="00773F7B" w:rsidP="00773F7B">
            <w:pPr>
              <w:pStyle w:val="T2"/>
              <w:jc w:val="right"/>
              <w:rPr>
                <w:b/>
              </w:rPr>
            </w:pPr>
            <w:r w:rsidRPr="001E1407">
              <w:rPr>
                <w:b/>
              </w:rPr>
              <w:t>19.1</w:t>
            </w:r>
          </w:p>
        </w:tc>
        <w:tc>
          <w:tcPr>
            <w:tcW w:w="992" w:type="dxa"/>
            <w:tcBorders>
              <w:bottom w:val="single" w:sz="2" w:space="0" w:color="auto"/>
            </w:tcBorders>
            <w:vAlign w:val="bottom"/>
          </w:tcPr>
          <w:p w14:paraId="4DC5430A" w14:textId="77777777" w:rsidR="00773F7B" w:rsidRPr="001E1407" w:rsidRDefault="00773F7B" w:rsidP="00773F7B">
            <w:pPr>
              <w:pStyle w:val="T2"/>
              <w:jc w:val="right"/>
              <w:rPr>
                <w:b/>
              </w:rPr>
            </w:pPr>
            <w:r w:rsidRPr="001E1407">
              <w:rPr>
                <w:b/>
              </w:rPr>
              <w:t>(6.0)</w:t>
            </w:r>
          </w:p>
        </w:tc>
        <w:tc>
          <w:tcPr>
            <w:tcW w:w="851" w:type="dxa"/>
            <w:tcBorders>
              <w:bottom w:val="single" w:sz="2" w:space="0" w:color="auto"/>
            </w:tcBorders>
            <w:vAlign w:val="bottom"/>
          </w:tcPr>
          <w:p w14:paraId="23A9ADED" w14:textId="77777777" w:rsidR="00773F7B" w:rsidRPr="001E1407" w:rsidRDefault="00773F7B" w:rsidP="00773F7B">
            <w:pPr>
              <w:pStyle w:val="T2"/>
              <w:jc w:val="right"/>
              <w:rPr>
                <w:b/>
              </w:rPr>
            </w:pPr>
            <w:r w:rsidRPr="001E1407">
              <w:rPr>
                <w:b/>
              </w:rPr>
              <w:t>13.1</w:t>
            </w:r>
          </w:p>
        </w:tc>
        <w:tc>
          <w:tcPr>
            <w:tcW w:w="921" w:type="dxa"/>
            <w:tcBorders>
              <w:bottom w:val="single" w:sz="2" w:space="0" w:color="auto"/>
            </w:tcBorders>
            <w:vAlign w:val="bottom"/>
          </w:tcPr>
          <w:p w14:paraId="3F822807" w14:textId="77777777" w:rsidR="00773F7B" w:rsidRPr="00496A2A" w:rsidRDefault="00773F7B" w:rsidP="00773F7B">
            <w:pPr>
              <w:pStyle w:val="T2"/>
              <w:jc w:val="right"/>
            </w:pPr>
            <w:r>
              <w:t>21.6</w:t>
            </w:r>
          </w:p>
        </w:tc>
        <w:tc>
          <w:tcPr>
            <w:tcW w:w="863" w:type="dxa"/>
            <w:tcBorders>
              <w:bottom w:val="single" w:sz="2" w:space="0" w:color="auto"/>
            </w:tcBorders>
            <w:vAlign w:val="bottom"/>
          </w:tcPr>
          <w:p w14:paraId="7F466097" w14:textId="77777777" w:rsidR="00773F7B" w:rsidRPr="00496A2A" w:rsidRDefault="00773F7B" w:rsidP="00773F7B">
            <w:pPr>
              <w:pStyle w:val="T2"/>
              <w:jc w:val="right"/>
            </w:pPr>
            <w:r>
              <w:t>(4.4)</w:t>
            </w:r>
          </w:p>
        </w:tc>
        <w:tc>
          <w:tcPr>
            <w:tcW w:w="736" w:type="dxa"/>
            <w:tcBorders>
              <w:bottom w:val="single" w:sz="2" w:space="0" w:color="auto"/>
            </w:tcBorders>
            <w:vAlign w:val="bottom"/>
          </w:tcPr>
          <w:p w14:paraId="49F48F12" w14:textId="77777777" w:rsidR="00773F7B" w:rsidRPr="00496A2A" w:rsidRDefault="00773F7B" w:rsidP="00773F7B">
            <w:pPr>
              <w:pStyle w:val="T2"/>
              <w:jc w:val="right"/>
            </w:pPr>
            <w:r>
              <w:t>17.2</w:t>
            </w:r>
          </w:p>
        </w:tc>
      </w:tr>
      <w:tr w:rsidR="00773F7B" w14:paraId="074F6980" w14:textId="77777777" w:rsidTr="005B3BEE">
        <w:trPr>
          <w:jc w:val="center"/>
        </w:trPr>
        <w:tc>
          <w:tcPr>
            <w:tcW w:w="4422" w:type="dxa"/>
            <w:tcBorders>
              <w:top w:val="single" w:sz="2" w:space="0" w:color="auto"/>
              <w:bottom w:val="single" w:sz="8" w:space="0" w:color="auto"/>
            </w:tcBorders>
            <w:vAlign w:val="bottom"/>
          </w:tcPr>
          <w:p w14:paraId="0CBC0DF3" w14:textId="77777777" w:rsidR="00773F7B" w:rsidRPr="00496A2A" w:rsidRDefault="00773F7B" w:rsidP="00773F7B">
            <w:pPr>
              <w:pStyle w:val="T2"/>
              <w:jc w:val="left"/>
            </w:pPr>
            <w:r w:rsidRPr="00496A2A">
              <w:t>Net (liability)/asset at end of the period</w:t>
            </w:r>
          </w:p>
        </w:tc>
        <w:tc>
          <w:tcPr>
            <w:tcW w:w="992" w:type="dxa"/>
            <w:tcBorders>
              <w:top w:val="single" w:sz="2" w:space="0" w:color="auto"/>
              <w:bottom w:val="single" w:sz="8" w:space="0" w:color="auto"/>
            </w:tcBorders>
            <w:vAlign w:val="bottom"/>
          </w:tcPr>
          <w:p w14:paraId="256FE298" w14:textId="77777777" w:rsidR="00773F7B" w:rsidRPr="005226E7" w:rsidRDefault="00773F7B" w:rsidP="00773F7B">
            <w:pPr>
              <w:pStyle w:val="T2"/>
              <w:jc w:val="right"/>
              <w:rPr>
                <w:b/>
              </w:rPr>
            </w:pPr>
            <w:r>
              <w:rPr>
                <w:b/>
              </w:rPr>
              <w:t>(81.7)</w:t>
            </w:r>
          </w:p>
        </w:tc>
        <w:tc>
          <w:tcPr>
            <w:tcW w:w="992" w:type="dxa"/>
            <w:tcBorders>
              <w:top w:val="single" w:sz="2" w:space="0" w:color="auto"/>
              <w:bottom w:val="single" w:sz="8" w:space="0" w:color="auto"/>
            </w:tcBorders>
            <w:vAlign w:val="bottom"/>
          </w:tcPr>
          <w:p w14:paraId="5054A75A" w14:textId="77777777" w:rsidR="00773F7B" w:rsidRPr="005226E7" w:rsidRDefault="00773F7B" w:rsidP="00773F7B">
            <w:pPr>
              <w:pStyle w:val="T2"/>
              <w:jc w:val="right"/>
              <w:rPr>
                <w:b/>
              </w:rPr>
            </w:pPr>
            <w:r>
              <w:rPr>
                <w:b/>
              </w:rPr>
              <w:t>42.5</w:t>
            </w:r>
          </w:p>
        </w:tc>
        <w:tc>
          <w:tcPr>
            <w:tcW w:w="851" w:type="dxa"/>
            <w:tcBorders>
              <w:top w:val="single" w:sz="2" w:space="0" w:color="auto"/>
              <w:bottom w:val="single" w:sz="8" w:space="0" w:color="auto"/>
            </w:tcBorders>
            <w:vAlign w:val="bottom"/>
          </w:tcPr>
          <w:p w14:paraId="5AA50222" w14:textId="77777777" w:rsidR="00773F7B" w:rsidRPr="005226E7" w:rsidRDefault="00773F7B" w:rsidP="00773F7B">
            <w:pPr>
              <w:pStyle w:val="T2"/>
              <w:jc w:val="right"/>
              <w:rPr>
                <w:b/>
              </w:rPr>
            </w:pPr>
            <w:r>
              <w:rPr>
                <w:b/>
              </w:rPr>
              <w:t>(39.2)</w:t>
            </w:r>
          </w:p>
        </w:tc>
        <w:tc>
          <w:tcPr>
            <w:tcW w:w="921" w:type="dxa"/>
            <w:tcBorders>
              <w:top w:val="single" w:sz="2" w:space="0" w:color="auto"/>
              <w:bottom w:val="single" w:sz="8" w:space="0" w:color="auto"/>
            </w:tcBorders>
            <w:vAlign w:val="bottom"/>
          </w:tcPr>
          <w:p w14:paraId="074FB569" w14:textId="77777777" w:rsidR="00773F7B" w:rsidRPr="00496A2A" w:rsidRDefault="00773F7B" w:rsidP="00773F7B">
            <w:pPr>
              <w:pStyle w:val="T2"/>
              <w:jc w:val="right"/>
            </w:pPr>
            <w:r>
              <w:t>(105.9)</w:t>
            </w:r>
          </w:p>
        </w:tc>
        <w:tc>
          <w:tcPr>
            <w:tcW w:w="863" w:type="dxa"/>
            <w:tcBorders>
              <w:top w:val="single" w:sz="2" w:space="0" w:color="auto"/>
              <w:bottom w:val="single" w:sz="8" w:space="0" w:color="auto"/>
            </w:tcBorders>
            <w:vAlign w:val="bottom"/>
          </w:tcPr>
          <w:p w14:paraId="17EF3591" w14:textId="77777777" w:rsidR="00773F7B" w:rsidRPr="00496A2A" w:rsidRDefault="00773F7B" w:rsidP="00773F7B">
            <w:pPr>
              <w:pStyle w:val="T2"/>
              <w:jc w:val="right"/>
            </w:pPr>
            <w:r>
              <w:t>31.1</w:t>
            </w:r>
          </w:p>
        </w:tc>
        <w:tc>
          <w:tcPr>
            <w:tcW w:w="736" w:type="dxa"/>
            <w:tcBorders>
              <w:top w:val="single" w:sz="2" w:space="0" w:color="auto"/>
              <w:bottom w:val="single" w:sz="8" w:space="0" w:color="auto"/>
            </w:tcBorders>
            <w:vAlign w:val="bottom"/>
          </w:tcPr>
          <w:p w14:paraId="4EE6CCE6" w14:textId="77777777" w:rsidR="00773F7B" w:rsidRPr="00496A2A" w:rsidRDefault="00773F7B" w:rsidP="00773F7B">
            <w:pPr>
              <w:pStyle w:val="T2"/>
              <w:jc w:val="right"/>
            </w:pPr>
            <w:r>
              <w:t>(74.8)</w:t>
            </w:r>
          </w:p>
        </w:tc>
      </w:tr>
      <w:tr w:rsidR="00773F7B" w14:paraId="5B8A1B75" w14:textId="77777777" w:rsidTr="005B3BEE">
        <w:trPr>
          <w:jc w:val="center"/>
        </w:trPr>
        <w:tc>
          <w:tcPr>
            <w:tcW w:w="4422" w:type="dxa"/>
            <w:tcBorders>
              <w:top w:val="single" w:sz="8" w:space="0" w:color="auto"/>
            </w:tcBorders>
            <w:vAlign w:val="bottom"/>
          </w:tcPr>
          <w:p w14:paraId="0C8F1417" w14:textId="77777777" w:rsidR="00773F7B" w:rsidRPr="00E31429" w:rsidRDefault="00773F7B" w:rsidP="00773F7B">
            <w:pPr>
              <w:pStyle w:val="T2"/>
              <w:jc w:val="left"/>
              <w:rPr>
                <w:b/>
              </w:rPr>
            </w:pPr>
            <w:r w:rsidRPr="00E31429">
              <w:rPr>
                <w:b/>
              </w:rPr>
              <w:t>Presented as:</w:t>
            </w:r>
          </w:p>
        </w:tc>
        <w:tc>
          <w:tcPr>
            <w:tcW w:w="992" w:type="dxa"/>
            <w:tcBorders>
              <w:top w:val="single" w:sz="8" w:space="0" w:color="auto"/>
            </w:tcBorders>
            <w:vAlign w:val="bottom"/>
          </w:tcPr>
          <w:p w14:paraId="68027FDC" w14:textId="77777777" w:rsidR="00773F7B" w:rsidRPr="005226E7" w:rsidRDefault="00773F7B" w:rsidP="00773F7B">
            <w:pPr>
              <w:pStyle w:val="T2"/>
              <w:jc w:val="right"/>
              <w:rPr>
                <w:b/>
              </w:rPr>
            </w:pPr>
          </w:p>
        </w:tc>
        <w:tc>
          <w:tcPr>
            <w:tcW w:w="992" w:type="dxa"/>
            <w:tcBorders>
              <w:top w:val="single" w:sz="8" w:space="0" w:color="auto"/>
            </w:tcBorders>
            <w:vAlign w:val="bottom"/>
          </w:tcPr>
          <w:p w14:paraId="42EFFC07" w14:textId="77777777" w:rsidR="00773F7B" w:rsidRPr="005226E7" w:rsidRDefault="00773F7B" w:rsidP="00773F7B">
            <w:pPr>
              <w:pStyle w:val="T2"/>
              <w:jc w:val="right"/>
              <w:rPr>
                <w:b/>
              </w:rPr>
            </w:pPr>
          </w:p>
        </w:tc>
        <w:tc>
          <w:tcPr>
            <w:tcW w:w="851" w:type="dxa"/>
            <w:tcBorders>
              <w:top w:val="single" w:sz="8" w:space="0" w:color="auto"/>
            </w:tcBorders>
            <w:vAlign w:val="bottom"/>
          </w:tcPr>
          <w:p w14:paraId="0BA481F8" w14:textId="77777777" w:rsidR="00773F7B" w:rsidRPr="005226E7" w:rsidRDefault="00773F7B" w:rsidP="00773F7B">
            <w:pPr>
              <w:pStyle w:val="T2"/>
              <w:jc w:val="right"/>
              <w:rPr>
                <w:b/>
              </w:rPr>
            </w:pPr>
          </w:p>
        </w:tc>
        <w:tc>
          <w:tcPr>
            <w:tcW w:w="921" w:type="dxa"/>
            <w:tcBorders>
              <w:top w:val="single" w:sz="8" w:space="0" w:color="auto"/>
            </w:tcBorders>
            <w:vAlign w:val="bottom"/>
          </w:tcPr>
          <w:p w14:paraId="411AD060" w14:textId="77777777" w:rsidR="00773F7B" w:rsidRPr="00496A2A" w:rsidRDefault="00773F7B" w:rsidP="00773F7B">
            <w:pPr>
              <w:pStyle w:val="T2"/>
              <w:jc w:val="right"/>
            </w:pPr>
          </w:p>
        </w:tc>
        <w:tc>
          <w:tcPr>
            <w:tcW w:w="863" w:type="dxa"/>
            <w:tcBorders>
              <w:top w:val="single" w:sz="8" w:space="0" w:color="auto"/>
            </w:tcBorders>
            <w:vAlign w:val="bottom"/>
          </w:tcPr>
          <w:p w14:paraId="3CB8BF14" w14:textId="77777777" w:rsidR="00773F7B" w:rsidRPr="00496A2A" w:rsidRDefault="00773F7B" w:rsidP="00773F7B">
            <w:pPr>
              <w:pStyle w:val="T2"/>
              <w:jc w:val="right"/>
            </w:pPr>
          </w:p>
        </w:tc>
        <w:tc>
          <w:tcPr>
            <w:tcW w:w="736" w:type="dxa"/>
            <w:tcBorders>
              <w:top w:val="single" w:sz="8" w:space="0" w:color="auto"/>
            </w:tcBorders>
            <w:vAlign w:val="bottom"/>
          </w:tcPr>
          <w:p w14:paraId="168731B1" w14:textId="77777777" w:rsidR="00773F7B" w:rsidRPr="00496A2A" w:rsidRDefault="00773F7B" w:rsidP="00773F7B">
            <w:pPr>
              <w:pStyle w:val="T2"/>
              <w:jc w:val="right"/>
            </w:pPr>
          </w:p>
        </w:tc>
      </w:tr>
      <w:tr w:rsidR="00773F7B" w14:paraId="1F7A69E0" w14:textId="77777777" w:rsidTr="005B3BEE">
        <w:trPr>
          <w:jc w:val="center"/>
        </w:trPr>
        <w:tc>
          <w:tcPr>
            <w:tcW w:w="4422" w:type="dxa"/>
            <w:vAlign w:val="bottom"/>
          </w:tcPr>
          <w:p w14:paraId="5C4C2E45" w14:textId="77777777" w:rsidR="00773F7B" w:rsidRPr="00496A2A" w:rsidRDefault="00773F7B" w:rsidP="00773F7B">
            <w:pPr>
              <w:pStyle w:val="T2"/>
              <w:jc w:val="left"/>
            </w:pPr>
            <w:r w:rsidRPr="00496A2A">
              <w:t>Retirement benefit asset**</w:t>
            </w:r>
          </w:p>
        </w:tc>
        <w:tc>
          <w:tcPr>
            <w:tcW w:w="992" w:type="dxa"/>
            <w:vAlign w:val="bottom"/>
          </w:tcPr>
          <w:p w14:paraId="7197F3F1" w14:textId="77777777" w:rsidR="00773F7B" w:rsidRPr="005226E7" w:rsidRDefault="00773F7B" w:rsidP="00773F7B">
            <w:pPr>
              <w:pStyle w:val="T2"/>
              <w:jc w:val="right"/>
              <w:rPr>
                <w:b/>
              </w:rPr>
            </w:pPr>
          </w:p>
        </w:tc>
        <w:tc>
          <w:tcPr>
            <w:tcW w:w="992" w:type="dxa"/>
            <w:vAlign w:val="bottom"/>
          </w:tcPr>
          <w:p w14:paraId="6D764D73" w14:textId="77777777" w:rsidR="00773F7B" w:rsidRPr="005226E7" w:rsidRDefault="00773F7B" w:rsidP="00773F7B">
            <w:pPr>
              <w:pStyle w:val="T2"/>
              <w:jc w:val="right"/>
              <w:rPr>
                <w:b/>
              </w:rPr>
            </w:pPr>
          </w:p>
        </w:tc>
        <w:tc>
          <w:tcPr>
            <w:tcW w:w="851" w:type="dxa"/>
            <w:vAlign w:val="bottom"/>
          </w:tcPr>
          <w:p w14:paraId="6E861A01" w14:textId="77777777" w:rsidR="00773F7B" w:rsidRPr="005226E7" w:rsidRDefault="00773F7B" w:rsidP="00773F7B">
            <w:pPr>
              <w:pStyle w:val="T2"/>
              <w:jc w:val="right"/>
              <w:rPr>
                <w:b/>
              </w:rPr>
            </w:pPr>
            <w:r>
              <w:rPr>
                <w:b/>
              </w:rPr>
              <w:t>49.3</w:t>
            </w:r>
          </w:p>
        </w:tc>
        <w:tc>
          <w:tcPr>
            <w:tcW w:w="921" w:type="dxa"/>
            <w:vAlign w:val="bottom"/>
          </w:tcPr>
          <w:p w14:paraId="29A0817D" w14:textId="77777777" w:rsidR="00773F7B" w:rsidRPr="00496A2A" w:rsidRDefault="00773F7B" w:rsidP="00773F7B">
            <w:pPr>
              <w:pStyle w:val="T2"/>
              <w:jc w:val="right"/>
            </w:pPr>
          </w:p>
        </w:tc>
        <w:tc>
          <w:tcPr>
            <w:tcW w:w="863" w:type="dxa"/>
            <w:vAlign w:val="bottom"/>
          </w:tcPr>
          <w:p w14:paraId="0D946C42" w14:textId="77777777" w:rsidR="00773F7B" w:rsidRPr="00496A2A" w:rsidRDefault="00773F7B" w:rsidP="00773F7B">
            <w:pPr>
              <w:pStyle w:val="T2"/>
              <w:jc w:val="right"/>
            </w:pPr>
          </w:p>
        </w:tc>
        <w:tc>
          <w:tcPr>
            <w:tcW w:w="736" w:type="dxa"/>
            <w:vAlign w:val="bottom"/>
          </w:tcPr>
          <w:p w14:paraId="1209DD45" w14:textId="77777777" w:rsidR="00773F7B" w:rsidRPr="00496A2A" w:rsidRDefault="00773F7B" w:rsidP="00773F7B">
            <w:pPr>
              <w:pStyle w:val="T2"/>
              <w:jc w:val="right"/>
            </w:pPr>
            <w:r>
              <w:t>36.4</w:t>
            </w:r>
          </w:p>
        </w:tc>
      </w:tr>
      <w:tr w:rsidR="00773F7B" w14:paraId="2EA652BF" w14:textId="77777777" w:rsidTr="005B3BEE">
        <w:trPr>
          <w:jc w:val="center"/>
        </w:trPr>
        <w:tc>
          <w:tcPr>
            <w:tcW w:w="4422" w:type="dxa"/>
            <w:tcBorders>
              <w:bottom w:val="single" w:sz="8" w:space="0" w:color="auto"/>
            </w:tcBorders>
            <w:vAlign w:val="bottom"/>
          </w:tcPr>
          <w:p w14:paraId="363C66A1" w14:textId="77777777" w:rsidR="00773F7B" w:rsidRPr="00496A2A" w:rsidRDefault="00773F7B" w:rsidP="00773F7B">
            <w:pPr>
              <w:pStyle w:val="T2"/>
              <w:jc w:val="left"/>
            </w:pPr>
            <w:r w:rsidRPr="00496A2A">
              <w:t>Retirement benefit obligation</w:t>
            </w:r>
          </w:p>
        </w:tc>
        <w:tc>
          <w:tcPr>
            <w:tcW w:w="992" w:type="dxa"/>
            <w:tcBorders>
              <w:bottom w:val="single" w:sz="8" w:space="0" w:color="auto"/>
            </w:tcBorders>
            <w:vAlign w:val="bottom"/>
          </w:tcPr>
          <w:p w14:paraId="463A076E" w14:textId="77777777" w:rsidR="00773F7B" w:rsidRPr="005226E7" w:rsidRDefault="00773F7B" w:rsidP="00773F7B">
            <w:pPr>
              <w:pStyle w:val="T2"/>
              <w:jc w:val="right"/>
              <w:rPr>
                <w:b/>
              </w:rPr>
            </w:pPr>
          </w:p>
        </w:tc>
        <w:tc>
          <w:tcPr>
            <w:tcW w:w="992" w:type="dxa"/>
            <w:tcBorders>
              <w:bottom w:val="single" w:sz="8" w:space="0" w:color="auto"/>
            </w:tcBorders>
            <w:vAlign w:val="bottom"/>
          </w:tcPr>
          <w:p w14:paraId="3B3BD1BD" w14:textId="77777777" w:rsidR="00773F7B" w:rsidRPr="005226E7" w:rsidRDefault="00773F7B" w:rsidP="00773F7B">
            <w:pPr>
              <w:pStyle w:val="T2"/>
              <w:jc w:val="right"/>
              <w:rPr>
                <w:b/>
              </w:rPr>
            </w:pPr>
          </w:p>
        </w:tc>
        <w:tc>
          <w:tcPr>
            <w:tcW w:w="851" w:type="dxa"/>
            <w:tcBorders>
              <w:bottom w:val="single" w:sz="8" w:space="0" w:color="auto"/>
            </w:tcBorders>
            <w:vAlign w:val="bottom"/>
          </w:tcPr>
          <w:p w14:paraId="00EA2425" w14:textId="77777777" w:rsidR="00773F7B" w:rsidRPr="005226E7" w:rsidRDefault="00773F7B" w:rsidP="00773F7B">
            <w:pPr>
              <w:pStyle w:val="T2"/>
              <w:jc w:val="right"/>
              <w:rPr>
                <w:b/>
              </w:rPr>
            </w:pPr>
            <w:r>
              <w:rPr>
                <w:b/>
              </w:rPr>
              <w:t>(101.6)</w:t>
            </w:r>
          </w:p>
        </w:tc>
        <w:tc>
          <w:tcPr>
            <w:tcW w:w="921" w:type="dxa"/>
            <w:tcBorders>
              <w:bottom w:val="single" w:sz="8" w:space="0" w:color="auto"/>
            </w:tcBorders>
            <w:vAlign w:val="bottom"/>
          </w:tcPr>
          <w:p w14:paraId="317942CF" w14:textId="77777777" w:rsidR="00773F7B" w:rsidRPr="00496A2A" w:rsidRDefault="00773F7B" w:rsidP="00773F7B">
            <w:pPr>
              <w:pStyle w:val="T2"/>
              <w:jc w:val="right"/>
            </w:pPr>
          </w:p>
        </w:tc>
        <w:tc>
          <w:tcPr>
            <w:tcW w:w="863" w:type="dxa"/>
            <w:tcBorders>
              <w:bottom w:val="single" w:sz="8" w:space="0" w:color="auto"/>
            </w:tcBorders>
            <w:vAlign w:val="bottom"/>
          </w:tcPr>
          <w:p w14:paraId="1404CEDA" w14:textId="77777777" w:rsidR="00773F7B" w:rsidRPr="00496A2A" w:rsidRDefault="00773F7B" w:rsidP="00773F7B">
            <w:pPr>
              <w:pStyle w:val="T2"/>
              <w:jc w:val="right"/>
            </w:pPr>
          </w:p>
        </w:tc>
        <w:tc>
          <w:tcPr>
            <w:tcW w:w="736" w:type="dxa"/>
            <w:tcBorders>
              <w:bottom w:val="single" w:sz="8" w:space="0" w:color="auto"/>
            </w:tcBorders>
            <w:vAlign w:val="bottom"/>
          </w:tcPr>
          <w:p w14:paraId="17804366" w14:textId="77777777" w:rsidR="00773F7B" w:rsidRPr="00496A2A" w:rsidRDefault="00773F7B" w:rsidP="00773F7B">
            <w:pPr>
              <w:pStyle w:val="T2"/>
              <w:jc w:val="right"/>
            </w:pPr>
            <w:r>
              <w:t>(128.4)</w:t>
            </w:r>
          </w:p>
        </w:tc>
      </w:tr>
      <w:tr w:rsidR="00773F7B" w14:paraId="36AC32CE" w14:textId="77777777" w:rsidTr="005B3BEE">
        <w:trPr>
          <w:jc w:val="center"/>
        </w:trPr>
        <w:tc>
          <w:tcPr>
            <w:tcW w:w="9780" w:type="dxa"/>
            <w:gridSpan w:val="7"/>
            <w:tcBorders>
              <w:top w:val="single" w:sz="8" w:space="0" w:color="auto"/>
            </w:tcBorders>
            <w:vAlign w:val="bottom"/>
          </w:tcPr>
          <w:p w14:paraId="3DC12B70" w14:textId="77777777" w:rsidR="00773F7B" w:rsidRPr="00E05961" w:rsidRDefault="00773F7B" w:rsidP="00773F7B">
            <w:pPr>
              <w:pStyle w:val="T2"/>
              <w:jc w:val="left"/>
              <w:rPr>
                <w:sz w:val="16"/>
                <w:szCs w:val="16"/>
              </w:rPr>
            </w:pPr>
            <w:r w:rsidRPr="00E05961">
              <w:rPr>
                <w:sz w:val="16"/>
                <w:szCs w:val="16"/>
              </w:rPr>
              <w:t>** The value of a net pension benefit asset is the value of any amount the Group reasonably expects to recover by way of a refund of a surplus from the remaining assets of a plan at the end of the plan’s life.</w:t>
            </w:r>
          </w:p>
        </w:tc>
      </w:tr>
    </w:tbl>
    <w:p w14:paraId="0725D32B" w14:textId="77777777" w:rsidR="00773F7B" w:rsidRPr="00E31429" w:rsidRDefault="00773F7B" w:rsidP="005B3BEE">
      <w:pPr>
        <w:pStyle w:val="Paragraph"/>
        <w:spacing w:after="120"/>
        <w:rPr>
          <w:b/>
        </w:rPr>
      </w:pPr>
      <w:r w:rsidRPr="00E31429">
        <w:rPr>
          <w:b/>
        </w:rPr>
        <w:t>Sensitivity of pension liability to judgemental assumptions</w:t>
      </w:r>
    </w:p>
    <w:tbl>
      <w:tblPr>
        <w:tblStyle w:val="TableGrid"/>
        <w:tblW w:w="9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4706"/>
        <w:gridCol w:w="1075"/>
        <w:gridCol w:w="1075"/>
        <w:gridCol w:w="1075"/>
      </w:tblGrid>
      <w:tr w:rsidR="00773F7B" w14:paraId="3C87D38E" w14:textId="77777777" w:rsidTr="005B3BEE">
        <w:trPr>
          <w:jc w:val="center"/>
        </w:trPr>
        <w:tc>
          <w:tcPr>
            <w:tcW w:w="1842" w:type="dxa"/>
            <w:vAlign w:val="bottom"/>
          </w:tcPr>
          <w:p w14:paraId="5122D34A" w14:textId="77777777" w:rsidR="00773F7B" w:rsidRPr="00E31429" w:rsidRDefault="00773F7B" w:rsidP="00773F7B">
            <w:pPr>
              <w:pStyle w:val="T2"/>
              <w:jc w:val="left"/>
            </w:pPr>
          </w:p>
        </w:tc>
        <w:tc>
          <w:tcPr>
            <w:tcW w:w="4706" w:type="dxa"/>
            <w:vAlign w:val="bottom"/>
          </w:tcPr>
          <w:p w14:paraId="4010A057" w14:textId="77777777" w:rsidR="00773F7B" w:rsidRPr="00E31429" w:rsidRDefault="00773F7B" w:rsidP="00773F7B">
            <w:pPr>
              <w:pStyle w:val="T2"/>
              <w:jc w:val="left"/>
            </w:pPr>
          </w:p>
        </w:tc>
        <w:tc>
          <w:tcPr>
            <w:tcW w:w="3225" w:type="dxa"/>
            <w:gridSpan w:val="3"/>
          </w:tcPr>
          <w:p w14:paraId="58E3F701" w14:textId="77777777" w:rsidR="00773F7B" w:rsidRPr="003F23F5" w:rsidRDefault="00773F7B" w:rsidP="00773F7B">
            <w:pPr>
              <w:pStyle w:val="T2"/>
              <w:rPr>
                <w:b/>
              </w:rPr>
            </w:pPr>
            <w:r w:rsidRPr="003F23F5">
              <w:rPr>
                <w:b/>
              </w:rPr>
              <w:t>Increase in Scheme Liabilities</w:t>
            </w:r>
          </w:p>
        </w:tc>
      </w:tr>
      <w:tr w:rsidR="00773F7B" w14:paraId="42A8662F" w14:textId="77777777" w:rsidTr="005B3BEE">
        <w:trPr>
          <w:jc w:val="center"/>
        </w:trPr>
        <w:tc>
          <w:tcPr>
            <w:tcW w:w="1842" w:type="dxa"/>
            <w:tcBorders>
              <w:bottom w:val="single" w:sz="2" w:space="0" w:color="auto"/>
            </w:tcBorders>
            <w:vAlign w:val="bottom"/>
          </w:tcPr>
          <w:p w14:paraId="41CBC188" w14:textId="77777777" w:rsidR="00773F7B" w:rsidRPr="00422360" w:rsidRDefault="00773F7B" w:rsidP="00773F7B">
            <w:pPr>
              <w:pStyle w:val="T2"/>
              <w:jc w:val="left"/>
              <w:rPr>
                <w:b/>
              </w:rPr>
            </w:pPr>
            <w:r w:rsidRPr="00422360">
              <w:rPr>
                <w:b/>
              </w:rPr>
              <w:t>Assumption</w:t>
            </w:r>
          </w:p>
        </w:tc>
        <w:tc>
          <w:tcPr>
            <w:tcW w:w="4706" w:type="dxa"/>
            <w:tcBorders>
              <w:bottom w:val="single" w:sz="2" w:space="0" w:color="auto"/>
            </w:tcBorders>
            <w:vAlign w:val="bottom"/>
          </w:tcPr>
          <w:p w14:paraId="40CC5B2B" w14:textId="77777777" w:rsidR="00773F7B" w:rsidRPr="00422360" w:rsidRDefault="00773F7B" w:rsidP="00773F7B">
            <w:pPr>
              <w:pStyle w:val="T2"/>
              <w:jc w:val="left"/>
              <w:rPr>
                <w:b/>
              </w:rPr>
            </w:pPr>
            <w:r w:rsidRPr="00422360">
              <w:rPr>
                <w:b/>
              </w:rPr>
              <w:t>Change in assumption</w:t>
            </w:r>
          </w:p>
        </w:tc>
        <w:tc>
          <w:tcPr>
            <w:tcW w:w="1075" w:type="dxa"/>
            <w:tcBorders>
              <w:bottom w:val="single" w:sz="2" w:space="0" w:color="auto"/>
            </w:tcBorders>
            <w:vAlign w:val="bottom"/>
          </w:tcPr>
          <w:p w14:paraId="7AD25583" w14:textId="77777777" w:rsidR="00773F7B" w:rsidRDefault="00773F7B" w:rsidP="00773F7B">
            <w:pPr>
              <w:pStyle w:val="T2"/>
              <w:jc w:val="right"/>
              <w:rPr>
                <w:b/>
              </w:rPr>
            </w:pPr>
            <w:r w:rsidRPr="00422360">
              <w:rPr>
                <w:b/>
              </w:rPr>
              <w:t xml:space="preserve">UK </w:t>
            </w:r>
          </w:p>
          <w:p w14:paraId="72277B12" w14:textId="77777777" w:rsidR="00773F7B" w:rsidRPr="00422360" w:rsidRDefault="00773F7B" w:rsidP="00773F7B">
            <w:pPr>
              <w:pStyle w:val="T2"/>
              <w:jc w:val="right"/>
              <w:rPr>
                <w:b/>
              </w:rPr>
            </w:pPr>
            <w:r w:rsidRPr="00422360">
              <w:rPr>
                <w:b/>
              </w:rPr>
              <w:t>Schemes</w:t>
            </w:r>
          </w:p>
        </w:tc>
        <w:tc>
          <w:tcPr>
            <w:tcW w:w="1075" w:type="dxa"/>
            <w:tcBorders>
              <w:bottom w:val="single" w:sz="2" w:space="0" w:color="auto"/>
            </w:tcBorders>
            <w:vAlign w:val="bottom"/>
          </w:tcPr>
          <w:p w14:paraId="6FA964BC" w14:textId="77777777" w:rsidR="00773F7B" w:rsidRDefault="00773F7B" w:rsidP="00773F7B">
            <w:pPr>
              <w:pStyle w:val="T2"/>
              <w:jc w:val="right"/>
              <w:rPr>
                <w:b/>
              </w:rPr>
            </w:pPr>
            <w:r w:rsidRPr="00422360">
              <w:rPr>
                <w:b/>
              </w:rPr>
              <w:t xml:space="preserve">Irish </w:t>
            </w:r>
          </w:p>
          <w:p w14:paraId="508A8299" w14:textId="77777777" w:rsidR="00773F7B" w:rsidRPr="00422360" w:rsidRDefault="00773F7B" w:rsidP="00773F7B">
            <w:pPr>
              <w:pStyle w:val="T2"/>
              <w:jc w:val="right"/>
              <w:rPr>
                <w:b/>
              </w:rPr>
            </w:pPr>
            <w:r w:rsidRPr="00422360">
              <w:rPr>
                <w:b/>
              </w:rPr>
              <w:t>Schemes</w:t>
            </w:r>
          </w:p>
        </w:tc>
        <w:tc>
          <w:tcPr>
            <w:tcW w:w="1075" w:type="dxa"/>
            <w:tcBorders>
              <w:bottom w:val="single" w:sz="2" w:space="0" w:color="auto"/>
            </w:tcBorders>
            <w:vAlign w:val="bottom"/>
          </w:tcPr>
          <w:p w14:paraId="6CC0FCA0" w14:textId="77777777" w:rsidR="00773F7B" w:rsidRPr="00422360" w:rsidRDefault="00773F7B" w:rsidP="00773F7B">
            <w:pPr>
              <w:pStyle w:val="T2"/>
              <w:jc w:val="right"/>
              <w:rPr>
                <w:b/>
              </w:rPr>
            </w:pPr>
            <w:r w:rsidRPr="00422360">
              <w:rPr>
                <w:b/>
              </w:rPr>
              <w:t>Total</w:t>
            </w:r>
          </w:p>
        </w:tc>
      </w:tr>
      <w:tr w:rsidR="00773F7B" w14:paraId="2416EA00" w14:textId="77777777" w:rsidTr="005B3BEE">
        <w:trPr>
          <w:jc w:val="center"/>
        </w:trPr>
        <w:tc>
          <w:tcPr>
            <w:tcW w:w="1842" w:type="dxa"/>
            <w:tcBorders>
              <w:top w:val="single" w:sz="2" w:space="0" w:color="auto"/>
            </w:tcBorders>
            <w:vAlign w:val="bottom"/>
          </w:tcPr>
          <w:p w14:paraId="5164EDD1" w14:textId="77777777" w:rsidR="00773F7B" w:rsidRPr="00422360" w:rsidRDefault="00773F7B" w:rsidP="00773F7B">
            <w:pPr>
              <w:pStyle w:val="T2"/>
              <w:jc w:val="left"/>
            </w:pPr>
            <w:r w:rsidRPr="00422360">
              <w:t>Discount rate</w:t>
            </w:r>
          </w:p>
        </w:tc>
        <w:tc>
          <w:tcPr>
            <w:tcW w:w="4706" w:type="dxa"/>
            <w:tcBorders>
              <w:top w:val="single" w:sz="2" w:space="0" w:color="auto"/>
            </w:tcBorders>
            <w:vAlign w:val="bottom"/>
          </w:tcPr>
          <w:p w14:paraId="2804557A" w14:textId="77777777" w:rsidR="00773F7B" w:rsidRPr="00422360" w:rsidRDefault="00773F7B" w:rsidP="00773F7B">
            <w:pPr>
              <w:pStyle w:val="T2"/>
              <w:jc w:val="left"/>
            </w:pPr>
            <w:r w:rsidRPr="00422360">
              <w:t>Decrease by 0.5%</w:t>
            </w:r>
          </w:p>
        </w:tc>
        <w:tc>
          <w:tcPr>
            <w:tcW w:w="1075" w:type="dxa"/>
            <w:tcBorders>
              <w:top w:val="single" w:sz="2" w:space="0" w:color="auto"/>
            </w:tcBorders>
            <w:vAlign w:val="bottom"/>
          </w:tcPr>
          <w:p w14:paraId="494FE809" w14:textId="77777777" w:rsidR="00773F7B" w:rsidRPr="00422360" w:rsidRDefault="00773F7B" w:rsidP="00773F7B">
            <w:pPr>
              <w:pStyle w:val="T2"/>
              <w:jc w:val="right"/>
            </w:pPr>
            <w:r>
              <w:t>27.7</w:t>
            </w:r>
          </w:p>
        </w:tc>
        <w:tc>
          <w:tcPr>
            <w:tcW w:w="1075" w:type="dxa"/>
            <w:tcBorders>
              <w:top w:val="single" w:sz="2" w:space="0" w:color="auto"/>
            </w:tcBorders>
            <w:vAlign w:val="bottom"/>
          </w:tcPr>
          <w:p w14:paraId="19857C63" w14:textId="77777777" w:rsidR="00773F7B" w:rsidRPr="00422360" w:rsidRDefault="00773F7B" w:rsidP="00773F7B">
            <w:pPr>
              <w:pStyle w:val="T2"/>
              <w:jc w:val="right"/>
            </w:pPr>
            <w:r>
              <w:t>12.8</w:t>
            </w:r>
          </w:p>
        </w:tc>
        <w:tc>
          <w:tcPr>
            <w:tcW w:w="1075" w:type="dxa"/>
            <w:tcBorders>
              <w:top w:val="single" w:sz="2" w:space="0" w:color="auto"/>
            </w:tcBorders>
            <w:vAlign w:val="bottom"/>
          </w:tcPr>
          <w:p w14:paraId="310190A5" w14:textId="77777777" w:rsidR="00773F7B" w:rsidRPr="00422360" w:rsidRDefault="00773F7B" w:rsidP="00773F7B">
            <w:pPr>
              <w:pStyle w:val="T2"/>
              <w:jc w:val="right"/>
            </w:pPr>
            <w:r>
              <w:t>40.5</w:t>
            </w:r>
          </w:p>
        </w:tc>
      </w:tr>
      <w:tr w:rsidR="00773F7B" w14:paraId="69C41398" w14:textId="77777777" w:rsidTr="005B3BEE">
        <w:trPr>
          <w:jc w:val="center"/>
        </w:trPr>
        <w:tc>
          <w:tcPr>
            <w:tcW w:w="1842" w:type="dxa"/>
            <w:vAlign w:val="bottom"/>
          </w:tcPr>
          <w:p w14:paraId="1E1BD699" w14:textId="77777777" w:rsidR="00773F7B" w:rsidRPr="00422360" w:rsidRDefault="00773F7B" w:rsidP="00773F7B">
            <w:pPr>
              <w:pStyle w:val="T2"/>
              <w:jc w:val="left"/>
            </w:pPr>
            <w:r w:rsidRPr="00422360">
              <w:t>Rate of inflation</w:t>
            </w:r>
          </w:p>
        </w:tc>
        <w:tc>
          <w:tcPr>
            <w:tcW w:w="4706" w:type="dxa"/>
            <w:vAlign w:val="bottom"/>
          </w:tcPr>
          <w:p w14:paraId="2D0461D5" w14:textId="77777777" w:rsidR="00773F7B" w:rsidRPr="00422360" w:rsidRDefault="00773F7B" w:rsidP="00773F7B">
            <w:pPr>
              <w:pStyle w:val="T2"/>
              <w:jc w:val="left"/>
            </w:pPr>
            <w:r w:rsidRPr="00422360">
              <w:t>Increase by 0.5%</w:t>
            </w:r>
          </w:p>
        </w:tc>
        <w:tc>
          <w:tcPr>
            <w:tcW w:w="1075" w:type="dxa"/>
            <w:vAlign w:val="bottom"/>
          </w:tcPr>
          <w:p w14:paraId="1C29EF57" w14:textId="77777777" w:rsidR="00773F7B" w:rsidRPr="00422360" w:rsidRDefault="00773F7B" w:rsidP="00773F7B">
            <w:pPr>
              <w:pStyle w:val="T2"/>
              <w:jc w:val="right"/>
            </w:pPr>
            <w:r>
              <w:t>20.0</w:t>
            </w:r>
          </w:p>
        </w:tc>
        <w:tc>
          <w:tcPr>
            <w:tcW w:w="1075" w:type="dxa"/>
            <w:vAlign w:val="bottom"/>
          </w:tcPr>
          <w:p w14:paraId="0FCF909C" w14:textId="77777777" w:rsidR="00773F7B" w:rsidRPr="00422360" w:rsidRDefault="00773F7B" w:rsidP="00773F7B">
            <w:pPr>
              <w:pStyle w:val="T2"/>
              <w:jc w:val="right"/>
            </w:pPr>
            <w:r>
              <w:t>4.2</w:t>
            </w:r>
          </w:p>
        </w:tc>
        <w:tc>
          <w:tcPr>
            <w:tcW w:w="1075" w:type="dxa"/>
            <w:vAlign w:val="bottom"/>
          </w:tcPr>
          <w:p w14:paraId="28EB6666" w14:textId="77777777" w:rsidR="00773F7B" w:rsidRPr="00422360" w:rsidRDefault="00773F7B" w:rsidP="00773F7B">
            <w:pPr>
              <w:pStyle w:val="T2"/>
              <w:jc w:val="right"/>
            </w:pPr>
            <w:r>
              <w:t>24.2</w:t>
            </w:r>
          </w:p>
        </w:tc>
      </w:tr>
      <w:tr w:rsidR="00773F7B" w14:paraId="4DFD6237" w14:textId="77777777" w:rsidTr="005B3BEE">
        <w:trPr>
          <w:jc w:val="center"/>
        </w:trPr>
        <w:tc>
          <w:tcPr>
            <w:tcW w:w="1842" w:type="dxa"/>
            <w:tcBorders>
              <w:bottom w:val="single" w:sz="2" w:space="0" w:color="auto"/>
            </w:tcBorders>
            <w:vAlign w:val="bottom"/>
          </w:tcPr>
          <w:p w14:paraId="2230A56F" w14:textId="77777777" w:rsidR="00773F7B" w:rsidRPr="00422360" w:rsidRDefault="00773F7B" w:rsidP="00773F7B">
            <w:pPr>
              <w:pStyle w:val="T2"/>
              <w:jc w:val="left"/>
            </w:pPr>
            <w:r w:rsidRPr="00422360">
              <w:t>Rate of mortality</w:t>
            </w:r>
          </w:p>
        </w:tc>
        <w:tc>
          <w:tcPr>
            <w:tcW w:w="4706" w:type="dxa"/>
            <w:tcBorders>
              <w:bottom w:val="single" w:sz="2" w:space="0" w:color="auto"/>
            </w:tcBorders>
            <w:vAlign w:val="bottom"/>
          </w:tcPr>
          <w:p w14:paraId="3F47466D" w14:textId="77777777" w:rsidR="00773F7B" w:rsidRPr="00422360" w:rsidRDefault="00773F7B" w:rsidP="00773F7B">
            <w:pPr>
              <w:pStyle w:val="T2"/>
              <w:jc w:val="left"/>
            </w:pPr>
            <w:r w:rsidRPr="00422360">
              <w:t>Members assumed to live 1 year longer</w:t>
            </w:r>
          </w:p>
        </w:tc>
        <w:tc>
          <w:tcPr>
            <w:tcW w:w="1075" w:type="dxa"/>
            <w:tcBorders>
              <w:bottom w:val="single" w:sz="2" w:space="0" w:color="auto"/>
            </w:tcBorders>
            <w:vAlign w:val="bottom"/>
          </w:tcPr>
          <w:p w14:paraId="2C6598CB" w14:textId="77777777" w:rsidR="00773F7B" w:rsidRPr="00422360" w:rsidRDefault="00773F7B" w:rsidP="00773F7B">
            <w:pPr>
              <w:pStyle w:val="T2"/>
              <w:jc w:val="right"/>
            </w:pPr>
            <w:r>
              <w:t>9.5</w:t>
            </w:r>
          </w:p>
        </w:tc>
        <w:tc>
          <w:tcPr>
            <w:tcW w:w="1075" w:type="dxa"/>
            <w:tcBorders>
              <w:bottom w:val="single" w:sz="2" w:space="0" w:color="auto"/>
            </w:tcBorders>
            <w:vAlign w:val="bottom"/>
          </w:tcPr>
          <w:p w14:paraId="50A36B60" w14:textId="77777777" w:rsidR="00773F7B" w:rsidRPr="00422360" w:rsidRDefault="00773F7B" w:rsidP="00773F7B">
            <w:pPr>
              <w:pStyle w:val="T2"/>
              <w:jc w:val="right"/>
            </w:pPr>
            <w:r>
              <w:t>8.2</w:t>
            </w:r>
          </w:p>
        </w:tc>
        <w:tc>
          <w:tcPr>
            <w:tcW w:w="1075" w:type="dxa"/>
            <w:tcBorders>
              <w:bottom w:val="single" w:sz="2" w:space="0" w:color="auto"/>
            </w:tcBorders>
            <w:vAlign w:val="bottom"/>
          </w:tcPr>
          <w:p w14:paraId="285B3498" w14:textId="77777777" w:rsidR="00773F7B" w:rsidRPr="00422360" w:rsidRDefault="00773F7B" w:rsidP="00773F7B">
            <w:pPr>
              <w:pStyle w:val="T2"/>
              <w:jc w:val="right"/>
            </w:pPr>
            <w:r>
              <w:t>17.7</w:t>
            </w:r>
          </w:p>
        </w:tc>
      </w:tr>
      <w:tr w:rsidR="00773F7B" w14:paraId="7C39AEC7" w14:textId="77777777" w:rsidTr="005B3BEE">
        <w:trPr>
          <w:jc w:val="center"/>
        </w:trPr>
        <w:tc>
          <w:tcPr>
            <w:tcW w:w="6548" w:type="dxa"/>
            <w:gridSpan w:val="2"/>
            <w:tcBorders>
              <w:top w:val="single" w:sz="2" w:space="0" w:color="auto"/>
            </w:tcBorders>
            <w:vAlign w:val="bottom"/>
          </w:tcPr>
          <w:p w14:paraId="0CADBE43" w14:textId="77777777" w:rsidR="00773F7B" w:rsidRPr="00422360" w:rsidRDefault="00773F7B" w:rsidP="00773F7B">
            <w:pPr>
              <w:pStyle w:val="T2"/>
              <w:ind w:left="-108"/>
              <w:jc w:val="left"/>
              <w:rPr>
                <w:b/>
              </w:rPr>
            </w:pPr>
            <w:r w:rsidRPr="00422360">
              <w:br/>
            </w:r>
            <w:r w:rsidRPr="00422360">
              <w:rPr>
                <w:b/>
              </w:rPr>
              <w:t>Sensitivity of pension scheme assets to yield movements</w:t>
            </w:r>
          </w:p>
        </w:tc>
        <w:tc>
          <w:tcPr>
            <w:tcW w:w="1075" w:type="dxa"/>
            <w:tcBorders>
              <w:top w:val="single" w:sz="2" w:space="0" w:color="auto"/>
            </w:tcBorders>
          </w:tcPr>
          <w:p w14:paraId="0068C17F" w14:textId="77777777" w:rsidR="00773F7B" w:rsidRPr="00422360" w:rsidRDefault="00773F7B" w:rsidP="00773F7B">
            <w:pPr>
              <w:pStyle w:val="T2"/>
            </w:pPr>
          </w:p>
        </w:tc>
        <w:tc>
          <w:tcPr>
            <w:tcW w:w="1075" w:type="dxa"/>
            <w:tcBorders>
              <w:top w:val="single" w:sz="2" w:space="0" w:color="auto"/>
            </w:tcBorders>
          </w:tcPr>
          <w:p w14:paraId="4DD3DE9B" w14:textId="77777777" w:rsidR="00773F7B" w:rsidRPr="00422360" w:rsidRDefault="00773F7B" w:rsidP="00773F7B">
            <w:pPr>
              <w:pStyle w:val="T2"/>
            </w:pPr>
          </w:p>
        </w:tc>
        <w:tc>
          <w:tcPr>
            <w:tcW w:w="1075" w:type="dxa"/>
            <w:tcBorders>
              <w:top w:val="single" w:sz="2" w:space="0" w:color="auto"/>
            </w:tcBorders>
          </w:tcPr>
          <w:p w14:paraId="540FC65D" w14:textId="77777777" w:rsidR="00773F7B" w:rsidRPr="00422360" w:rsidRDefault="00773F7B" w:rsidP="00773F7B">
            <w:pPr>
              <w:pStyle w:val="T2"/>
            </w:pPr>
          </w:p>
        </w:tc>
      </w:tr>
      <w:tr w:rsidR="00773F7B" w14:paraId="7A3152C7" w14:textId="77777777" w:rsidTr="005B3BEE">
        <w:trPr>
          <w:jc w:val="center"/>
        </w:trPr>
        <w:tc>
          <w:tcPr>
            <w:tcW w:w="1842" w:type="dxa"/>
            <w:vAlign w:val="bottom"/>
          </w:tcPr>
          <w:p w14:paraId="4BF3160F" w14:textId="77777777" w:rsidR="00773F7B" w:rsidRPr="00422360" w:rsidRDefault="00773F7B" w:rsidP="00773F7B">
            <w:pPr>
              <w:pStyle w:val="T2"/>
              <w:jc w:val="left"/>
            </w:pPr>
          </w:p>
        </w:tc>
        <w:tc>
          <w:tcPr>
            <w:tcW w:w="4706" w:type="dxa"/>
            <w:vAlign w:val="bottom"/>
          </w:tcPr>
          <w:p w14:paraId="47A20A67" w14:textId="77777777" w:rsidR="00773F7B" w:rsidRPr="00422360" w:rsidRDefault="00773F7B" w:rsidP="00773F7B">
            <w:pPr>
              <w:pStyle w:val="T2"/>
              <w:jc w:val="left"/>
            </w:pPr>
          </w:p>
        </w:tc>
        <w:tc>
          <w:tcPr>
            <w:tcW w:w="3225" w:type="dxa"/>
            <w:gridSpan w:val="3"/>
          </w:tcPr>
          <w:p w14:paraId="2E75D9CD" w14:textId="77777777" w:rsidR="00773F7B" w:rsidRPr="00422360" w:rsidRDefault="00773F7B" w:rsidP="00773F7B">
            <w:pPr>
              <w:pStyle w:val="T2"/>
              <w:rPr>
                <w:b/>
              </w:rPr>
            </w:pPr>
            <w:r w:rsidRPr="00422360">
              <w:rPr>
                <w:b/>
              </w:rPr>
              <w:t>Increase in Scheme Assets</w:t>
            </w:r>
          </w:p>
        </w:tc>
      </w:tr>
      <w:tr w:rsidR="00773F7B" w14:paraId="7DAA4947" w14:textId="77777777" w:rsidTr="005B3BEE">
        <w:trPr>
          <w:jc w:val="center"/>
        </w:trPr>
        <w:tc>
          <w:tcPr>
            <w:tcW w:w="1842" w:type="dxa"/>
            <w:tcBorders>
              <w:bottom w:val="single" w:sz="2" w:space="0" w:color="auto"/>
            </w:tcBorders>
            <w:vAlign w:val="bottom"/>
          </w:tcPr>
          <w:p w14:paraId="51419D2B" w14:textId="77777777" w:rsidR="00773F7B" w:rsidRPr="00422360" w:rsidRDefault="00773F7B" w:rsidP="00773F7B">
            <w:pPr>
              <w:pStyle w:val="T2"/>
              <w:jc w:val="left"/>
              <w:rPr>
                <w:b/>
              </w:rPr>
            </w:pPr>
            <w:r w:rsidRPr="00422360">
              <w:rPr>
                <w:b/>
              </w:rPr>
              <w:t>Assumption</w:t>
            </w:r>
          </w:p>
        </w:tc>
        <w:tc>
          <w:tcPr>
            <w:tcW w:w="4706" w:type="dxa"/>
            <w:tcBorders>
              <w:bottom w:val="single" w:sz="2" w:space="0" w:color="auto"/>
            </w:tcBorders>
            <w:vAlign w:val="bottom"/>
          </w:tcPr>
          <w:p w14:paraId="5D3764A5" w14:textId="77777777" w:rsidR="00773F7B" w:rsidRPr="00422360" w:rsidRDefault="00773F7B" w:rsidP="00773F7B">
            <w:pPr>
              <w:pStyle w:val="T2"/>
              <w:jc w:val="left"/>
              <w:rPr>
                <w:b/>
              </w:rPr>
            </w:pPr>
            <w:r w:rsidRPr="00422360">
              <w:rPr>
                <w:b/>
              </w:rPr>
              <w:t>Change in assumption</w:t>
            </w:r>
          </w:p>
        </w:tc>
        <w:tc>
          <w:tcPr>
            <w:tcW w:w="1075" w:type="dxa"/>
            <w:tcBorders>
              <w:bottom w:val="single" w:sz="2" w:space="0" w:color="auto"/>
            </w:tcBorders>
            <w:vAlign w:val="bottom"/>
          </w:tcPr>
          <w:p w14:paraId="311CE89B" w14:textId="77777777" w:rsidR="00773F7B" w:rsidRDefault="00773F7B" w:rsidP="00773F7B">
            <w:pPr>
              <w:pStyle w:val="T2"/>
              <w:jc w:val="right"/>
              <w:rPr>
                <w:b/>
              </w:rPr>
            </w:pPr>
            <w:r w:rsidRPr="00422360">
              <w:rPr>
                <w:b/>
              </w:rPr>
              <w:t xml:space="preserve">UK </w:t>
            </w:r>
          </w:p>
          <w:p w14:paraId="3D1453E8" w14:textId="77777777" w:rsidR="00773F7B" w:rsidRPr="00422360" w:rsidRDefault="00773F7B" w:rsidP="00773F7B">
            <w:pPr>
              <w:pStyle w:val="T2"/>
              <w:jc w:val="right"/>
              <w:rPr>
                <w:b/>
              </w:rPr>
            </w:pPr>
            <w:r w:rsidRPr="00422360">
              <w:rPr>
                <w:b/>
              </w:rPr>
              <w:t>Schemes</w:t>
            </w:r>
          </w:p>
        </w:tc>
        <w:tc>
          <w:tcPr>
            <w:tcW w:w="1075" w:type="dxa"/>
            <w:tcBorders>
              <w:bottom w:val="single" w:sz="2" w:space="0" w:color="auto"/>
            </w:tcBorders>
            <w:vAlign w:val="bottom"/>
          </w:tcPr>
          <w:p w14:paraId="4FE3BDB4" w14:textId="77777777" w:rsidR="00773F7B" w:rsidRDefault="00773F7B" w:rsidP="00773F7B">
            <w:pPr>
              <w:pStyle w:val="T2"/>
              <w:jc w:val="right"/>
              <w:rPr>
                <w:b/>
              </w:rPr>
            </w:pPr>
            <w:r w:rsidRPr="00422360">
              <w:rPr>
                <w:b/>
              </w:rPr>
              <w:t xml:space="preserve">Irish </w:t>
            </w:r>
          </w:p>
          <w:p w14:paraId="6EF174BC" w14:textId="77777777" w:rsidR="00773F7B" w:rsidRPr="00422360" w:rsidRDefault="00773F7B" w:rsidP="00773F7B">
            <w:pPr>
              <w:pStyle w:val="T2"/>
              <w:jc w:val="right"/>
              <w:rPr>
                <w:b/>
              </w:rPr>
            </w:pPr>
            <w:r w:rsidRPr="00422360">
              <w:rPr>
                <w:b/>
              </w:rPr>
              <w:t>Schemes</w:t>
            </w:r>
          </w:p>
        </w:tc>
        <w:tc>
          <w:tcPr>
            <w:tcW w:w="1075" w:type="dxa"/>
            <w:tcBorders>
              <w:bottom w:val="single" w:sz="2" w:space="0" w:color="auto"/>
            </w:tcBorders>
            <w:vAlign w:val="bottom"/>
          </w:tcPr>
          <w:p w14:paraId="4018420A" w14:textId="77777777" w:rsidR="00773F7B" w:rsidRPr="00422360" w:rsidRDefault="00773F7B" w:rsidP="00773F7B">
            <w:pPr>
              <w:pStyle w:val="T2"/>
              <w:jc w:val="right"/>
              <w:rPr>
                <w:b/>
              </w:rPr>
            </w:pPr>
            <w:r w:rsidRPr="00422360">
              <w:rPr>
                <w:b/>
              </w:rPr>
              <w:t xml:space="preserve"> Total </w:t>
            </w:r>
          </w:p>
        </w:tc>
      </w:tr>
      <w:tr w:rsidR="00773F7B" w14:paraId="496018CB" w14:textId="77777777" w:rsidTr="005B3BEE">
        <w:trPr>
          <w:jc w:val="center"/>
        </w:trPr>
        <w:tc>
          <w:tcPr>
            <w:tcW w:w="1842" w:type="dxa"/>
            <w:tcBorders>
              <w:top w:val="single" w:sz="2" w:space="0" w:color="auto"/>
              <w:bottom w:val="single" w:sz="4" w:space="0" w:color="auto"/>
            </w:tcBorders>
            <w:vAlign w:val="bottom"/>
          </w:tcPr>
          <w:p w14:paraId="08CA2C39" w14:textId="77777777" w:rsidR="00773F7B" w:rsidRPr="00422360" w:rsidRDefault="00773F7B" w:rsidP="00773F7B">
            <w:pPr>
              <w:pStyle w:val="T2"/>
              <w:jc w:val="left"/>
            </w:pPr>
            <w:r w:rsidRPr="00422360">
              <w:t>Change in bond yields</w:t>
            </w:r>
          </w:p>
        </w:tc>
        <w:tc>
          <w:tcPr>
            <w:tcW w:w="4706" w:type="dxa"/>
            <w:tcBorders>
              <w:top w:val="single" w:sz="2" w:space="0" w:color="auto"/>
              <w:bottom w:val="single" w:sz="4" w:space="0" w:color="auto"/>
            </w:tcBorders>
            <w:vAlign w:val="bottom"/>
          </w:tcPr>
          <w:p w14:paraId="4F0F2AE6" w14:textId="77777777" w:rsidR="00773F7B" w:rsidRPr="00422360" w:rsidRDefault="00773F7B" w:rsidP="00773F7B">
            <w:pPr>
              <w:pStyle w:val="T2"/>
              <w:jc w:val="left"/>
            </w:pPr>
            <w:r w:rsidRPr="00422360">
              <w:t>Decrease by 0.5%</w:t>
            </w:r>
          </w:p>
        </w:tc>
        <w:tc>
          <w:tcPr>
            <w:tcW w:w="1075" w:type="dxa"/>
            <w:tcBorders>
              <w:top w:val="single" w:sz="2" w:space="0" w:color="auto"/>
              <w:bottom w:val="single" w:sz="4" w:space="0" w:color="auto"/>
            </w:tcBorders>
            <w:vAlign w:val="bottom"/>
          </w:tcPr>
          <w:p w14:paraId="13ED8922" w14:textId="77777777" w:rsidR="00773F7B" w:rsidRPr="00422360" w:rsidRDefault="00773F7B" w:rsidP="00773F7B">
            <w:pPr>
              <w:pStyle w:val="T2"/>
              <w:jc w:val="right"/>
            </w:pPr>
            <w:r>
              <w:t>13.3</w:t>
            </w:r>
          </w:p>
        </w:tc>
        <w:tc>
          <w:tcPr>
            <w:tcW w:w="1075" w:type="dxa"/>
            <w:tcBorders>
              <w:top w:val="single" w:sz="2" w:space="0" w:color="auto"/>
              <w:bottom w:val="single" w:sz="4" w:space="0" w:color="auto"/>
            </w:tcBorders>
            <w:vAlign w:val="bottom"/>
          </w:tcPr>
          <w:p w14:paraId="1AB28D15" w14:textId="77777777" w:rsidR="00773F7B" w:rsidRPr="00422360" w:rsidRDefault="00773F7B" w:rsidP="00773F7B">
            <w:pPr>
              <w:pStyle w:val="T2"/>
              <w:jc w:val="right"/>
            </w:pPr>
            <w:r>
              <w:t>23.0</w:t>
            </w:r>
          </w:p>
        </w:tc>
        <w:tc>
          <w:tcPr>
            <w:tcW w:w="1075" w:type="dxa"/>
            <w:tcBorders>
              <w:top w:val="single" w:sz="2" w:space="0" w:color="auto"/>
              <w:bottom w:val="single" w:sz="4" w:space="0" w:color="auto"/>
            </w:tcBorders>
            <w:vAlign w:val="bottom"/>
          </w:tcPr>
          <w:p w14:paraId="4EDB2D27" w14:textId="77777777" w:rsidR="00773F7B" w:rsidRPr="00422360" w:rsidRDefault="00773F7B" w:rsidP="00773F7B">
            <w:pPr>
              <w:pStyle w:val="T2"/>
              <w:jc w:val="right"/>
            </w:pPr>
            <w:r>
              <w:t>36.3</w:t>
            </w:r>
          </w:p>
        </w:tc>
      </w:tr>
    </w:tbl>
    <w:p w14:paraId="06A4059B" w14:textId="77777777" w:rsidR="00773F7B" w:rsidRDefault="00773F7B" w:rsidP="00773F7B">
      <w:pPr>
        <w:spacing w:after="0" w:line="240" w:lineRule="auto"/>
        <w:rPr>
          <w:b/>
          <w:sz w:val="18"/>
          <w:szCs w:val="18"/>
        </w:rPr>
      </w:pPr>
    </w:p>
    <w:p w14:paraId="56936B25" w14:textId="77777777" w:rsidR="00765C2C" w:rsidRDefault="00765C2C" w:rsidP="00773F7B">
      <w:pPr>
        <w:spacing w:after="0" w:line="240" w:lineRule="auto"/>
        <w:rPr>
          <w:b/>
          <w:sz w:val="18"/>
          <w:szCs w:val="18"/>
        </w:rPr>
      </w:pPr>
    </w:p>
    <w:p w14:paraId="5726A7F2" w14:textId="6F66DE0D" w:rsidR="00773F7B" w:rsidRDefault="00773F7B" w:rsidP="005B3BEE">
      <w:pPr>
        <w:pStyle w:val="SectionH3"/>
      </w:pPr>
      <w:r>
        <w:t>15</w:t>
      </w:r>
      <w:r w:rsidRPr="003232EE">
        <w:t>.</w:t>
      </w:r>
      <w:r w:rsidR="003F1160">
        <w:tab/>
      </w:r>
      <w:r>
        <w:t>Acquisition and disposal of undertakings</w:t>
      </w:r>
    </w:p>
    <w:p w14:paraId="5A37B4A4" w14:textId="77777777" w:rsidR="00773F7B" w:rsidRPr="00D13EF1" w:rsidRDefault="00773F7B" w:rsidP="005B3BEE">
      <w:pPr>
        <w:pStyle w:val="SectionH3"/>
      </w:pPr>
      <w:r w:rsidRPr="00D13EF1">
        <w:t>Freshtime UK Limited</w:t>
      </w:r>
    </w:p>
    <w:p w14:paraId="32EA57B2" w14:textId="4DCC0A5F" w:rsidR="00773F7B" w:rsidRDefault="00773F7B" w:rsidP="00FE64FF">
      <w:pPr>
        <w:pStyle w:val="Paragraph"/>
        <w:spacing w:before="0" w:after="120"/>
      </w:pPr>
      <w:r w:rsidRPr="005D0EFF">
        <w:t>On 3 September 2019, the Group acquired 100% of Freshtime UK Limited (‘Freshtime’)</w:t>
      </w:r>
      <w:r>
        <w:t xml:space="preserve"> for £56.2m</w:t>
      </w:r>
      <w:r w:rsidRPr="005D0EFF">
        <w:t xml:space="preserve">. Freshtime </w:t>
      </w:r>
      <w:r>
        <w:t>was</w:t>
      </w:r>
      <w:r w:rsidRPr="005D0EFF">
        <w:t xml:space="preserve"> a well</w:t>
      </w:r>
      <w:r>
        <w:t>–</w:t>
      </w:r>
      <w:r w:rsidRPr="005D0EFF">
        <w:t>established supplier of meal salads, chilled snacking and prepared produce in the UK</w:t>
      </w:r>
      <w:r>
        <w:t xml:space="preserve">, </w:t>
      </w:r>
      <w:r w:rsidRPr="005D0EFF">
        <w:t>operat</w:t>
      </w:r>
      <w:r>
        <w:t>ing</w:t>
      </w:r>
      <w:r w:rsidRPr="005D0EFF">
        <w:t xml:space="preserve"> from a single facility in Boston, Lincolnshire</w:t>
      </w:r>
      <w:r w:rsidR="005F0358">
        <w:t>.</w:t>
      </w:r>
      <w:r w:rsidR="004379BF">
        <w:t xml:space="preserve"> </w:t>
      </w:r>
      <w:r w:rsidRPr="005D0EFF">
        <w:t xml:space="preserve">The </w:t>
      </w:r>
      <w:r w:rsidRPr="005D0EFF">
        <w:lastRenderedPageBreak/>
        <w:t>fair value of the assets acquired, determined in accordance with IFRS</w:t>
      </w:r>
      <w:r>
        <w:t xml:space="preserve"> have now been finalised and are presented in the table below. In particular, provisional values relating to property, plant and equipment have been revised </w:t>
      </w:r>
      <w:r w:rsidR="00F035CB">
        <w:t xml:space="preserve">to reflect </w:t>
      </w:r>
      <w:r>
        <w:t xml:space="preserve">an external property valuation </w:t>
      </w:r>
      <w:r w:rsidR="00F035CB">
        <w:t xml:space="preserve">resulting in a </w:t>
      </w:r>
      <w:r>
        <w:t>£1.</w:t>
      </w:r>
      <w:r w:rsidR="00F035CB">
        <w:t>2m reduction to the net assets as reported on</w:t>
      </w:r>
      <w:r>
        <w:t xml:space="preserve"> 27 September 2019. </w:t>
      </w:r>
      <w:r w:rsidR="00A71427">
        <w:t>Deferred tax on fair value adjustments has also been finalised.</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276"/>
      </w:tblGrid>
      <w:tr w:rsidR="00773F7B" w:rsidRPr="005C7C70" w14:paraId="3CDCE3B8" w14:textId="77777777" w:rsidTr="005B3BEE">
        <w:trPr>
          <w:jc w:val="center"/>
        </w:trPr>
        <w:tc>
          <w:tcPr>
            <w:tcW w:w="8505" w:type="dxa"/>
            <w:vAlign w:val="bottom"/>
          </w:tcPr>
          <w:p w14:paraId="1DC53197" w14:textId="77777777" w:rsidR="00773F7B" w:rsidRPr="006D1798" w:rsidRDefault="00773F7B" w:rsidP="00773F7B">
            <w:pPr>
              <w:pStyle w:val="T2"/>
              <w:jc w:val="left"/>
            </w:pPr>
          </w:p>
        </w:tc>
        <w:tc>
          <w:tcPr>
            <w:tcW w:w="1276" w:type="dxa"/>
            <w:vAlign w:val="bottom"/>
          </w:tcPr>
          <w:p w14:paraId="310C3869" w14:textId="593A2BBE" w:rsidR="00773F7B" w:rsidRPr="005C7C70" w:rsidRDefault="00773F7B" w:rsidP="00773F7B">
            <w:pPr>
              <w:pStyle w:val="T2"/>
              <w:jc w:val="right"/>
              <w:rPr>
                <w:b/>
              </w:rPr>
            </w:pPr>
            <w:r>
              <w:rPr>
                <w:b/>
              </w:rPr>
              <w:t xml:space="preserve"> September 2</w:t>
            </w:r>
            <w:r w:rsidR="007645C9">
              <w:rPr>
                <w:b/>
              </w:rPr>
              <w:t>019</w:t>
            </w:r>
          </w:p>
        </w:tc>
      </w:tr>
      <w:tr w:rsidR="00773F7B" w:rsidRPr="005C7C70" w14:paraId="5347D5BE" w14:textId="77777777" w:rsidTr="005B3BEE">
        <w:trPr>
          <w:jc w:val="center"/>
        </w:trPr>
        <w:tc>
          <w:tcPr>
            <w:tcW w:w="8505" w:type="dxa"/>
            <w:tcBorders>
              <w:bottom w:val="single" w:sz="2" w:space="0" w:color="auto"/>
            </w:tcBorders>
            <w:vAlign w:val="bottom"/>
          </w:tcPr>
          <w:p w14:paraId="0118DFF1" w14:textId="77777777" w:rsidR="00773F7B" w:rsidRPr="006D1798" w:rsidRDefault="00773F7B" w:rsidP="00773F7B">
            <w:pPr>
              <w:pStyle w:val="T2"/>
              <w:jc w:val="left"/>
            </w:pPr>
          </w:p>
        </w:tc>
        <w:tc>
          <w:tcPr>
            <w:tcW w:w="1276" w:type="dxa"/>
            <w:tcBorders>
              <w:bottom w:val="single" w:sz="2" w:space="0" w:color="auto"/>
            </w:tcBorders>
            <w:vAlign w:val="bottom"/>
          </w:tcPr>
          <w:p w14:paraId="3253C8B7" w14:textId="77777777" w:rsidR="00773F7B" w:rsidRPr="005C7C70" w:rsidRDefault="00773F7B" w:rsidP="00773F7B">
            <w:pPr>
              <w:pStyle w:val="T2"/>
              <w:jc w:val="right"/>
              <w:rPr>
                <w:b/>
              </w:rPr>
            </w:pPr>
            <w:r w:rsidRPr="005C7C70">
              <w:rPr>
                <w:b/>
              </w:rPr>
              <w:t>£m</w:t>
            </w:r>
          </w:p>
        </w:tc>
      </w:tr>
      <w:tr w:rsidR="00773F7B" w:rsidRPr="006215CC" w14:paraId="53CB3EFA" w14:textId="77777777" w:rsidTr="005B3BEE">
        <w:trPr>
          <w:jc w:val="center"/>
        </w:trPr>
        <w:tc>
          <w:tcPr>
            <w:tcW w:w="8505" w:type="dxa"/>
            <w:tcBorders>
              <w:top w:val="single" w:sz="2" w:space="0" w:color="auto"/>
            </w:tcBorders>
            <w:vAlign w:val="bottom"/>
          </w:tcPr>
          <w:p w14:paraId="05DFC763" w14:textId="77777777" w:rsidR="00773F7B" w:rsidRPr="005D0EFF" w:rsidRDefault="00773F7B" w:rsidP="00773F7B">
            <w:pPr>
              <w:pStyle w:val="T2"/>
              <w:jc w:val="left"/>
              <w:rPr>
                <w:b/>
              </w:rPr>
            </w:pPr>
            <w:r w:rsidRPr="005D0EFF">
              <w:rPr>
                <w:b/>
              </w:rPr>
              <w:t>Assets</w:t>
            </w:r>
          </w:p>
        </w:tc>
        <w:tc>
          <w:tcPr>
            <w:tcW w:w="1276" w:type="dxa"/>
            <w:tcBorders>
              <w:top w:val="single" w:sz="2" w:space="0" w:color="auto"/>
            </w:tcBorders>
            <w:vAlign w:val="bottom"/>
          </w:tcPr>
          <w:p w14:paraId="74F0C53A" w14:textId="77777777" w:rsidR="00773F7B" w:rsidRPr="005C7C70" w:rsidRDefault="00773F7B" w:rsidP="00773F7B">
            <w:pPr>
              <w:pStyle w:val="T2"/>
              <w:jc w:val="right"/>
              <w:rPr>
                <w:b/>
              </w:rPr>
            </w:pPr>
          </w:p>
        </w:tc>
      </w:tr>
      <w:tr w:rsidR="00773F7B" w:rsidRPr="006215CC" w14:paraId="09C6D7F1" w14:textId="77777777" w:rsidTr="005B3BEE">
        <w:trPr>
          <w:jc w:val="center"/>
        </w:trPr>
        <w:tc>
          <w:tcPr>
            <w:tcW w:w="8505" w:type="dxa"/>
            <w:vAlign w:val="bottom"/>
          </w:tcPr>
          <w:p w14:paraId="373BCEDE" w14:textId="77777777" w:rsidR="00773F7B" w:rsidRPr="006D1798" w:rsidRDefault="00773F7B" w:rsidP="00773F7B">
            <w:pPr>
              <w:pStyle w:val="T2"/>
              <w:jc w:val="left"/>
            </w:pPr>
            <w:r>
              <w:t>Intangible assets</w:t>
            </w:r>
          </w:p>
        </w:tc>
        <w:tc>
          <w:tcPr>
            <w:tcW w:w="1276" w:type="dxa"/>
          </w:tcPr>
          <w:p w14:paraId="0C7BF085" w14:textId="77777777" w:rsidR="00773F7B" w:rsidRPr="005C7C70" w:rsidRDefault="00773F7B" w:rsidP="00773F7B">
            <w:pPr>
              <w:pStyle w:val="T2"/>
              <w:jc w:val="right"/>
              <w:rPr>
                <w:b/>
              </w:rPr>
            </w:pPr>
            <w:r>
              <w:rPr>
                <w:b/>
              </w:rPr>
              <w:t>17.5</w:t>
            </w:r>
          </w:p>
        </w:tc>
      </w:tr>
      <w:tr w:rsidR="00773F7B" w:rsidRPr="006215CC" w14:paraId="57B89D31" w14:textId="77777777" w:rsidTr="005B3BEE">
        <w:trPr>
          <w:jc w:val="center"/>
        </w:trPr>
        <w:tc>
          <w:tcPr>
            <w:tcW w:w="8505" w:type="dxa"/>
            <w:vAlign w:val="bottom"/>
          </w:tcPr>
          <w:p w14:paraId="2C56DFD1" w14:textId="77777777" w:rsidR="00773F7B" w:rsidRPr="006D1798" w:rsidRDefault="00773F7B" w:rsidP="00773F7B">
            <w:pPr>
              <w:pStyle w:val="T2"/>
              <w:jc w:val="left"/>
            </w:pPr>
            <w:r>
              <w:t>Property, plant and equipment</w:t>
            </w:r>
          </w:p>
        </w:tc>
        <w:tc>
          <w:tcPr>
            <w:tcW w:w="1276" w:type="dxa"/>
          </w:tcPr>
          <w:p w14:paraId="1BD50F4C" w14:textId="77777777" w:rsidR="00773F7B" w:rsidRPr="005C7C70" w:rsidRDefault="00773F7B" w:rsidP="00773F7B">
            <w:pPr>
              <w:pStyle w:val="T2"/>
              <w:jc w:val="right"/>
              <w:rPr>
                <w:b/>
              </w:rPr>
            </w:pPr>
            <w:r>
              <w:rPr>
                <w:b/>
                <w:bCs/>
              </w:rPr>
              <w:t>4.1</w:t>
            </w:r>
          </w:p>
        </w:tc>
      </w:tr>
      <w:tr w:rsidR="00773F7B" w:rsidRPr="006215CC" w14:paraId="59CF01BC" w14:textId="77777777" w:rsidTr="005B3BEE">
        <w:trPr>
          <w:jc w:val="center"/>
        </w:trPr>
        <w:tc>
          <w:tcPr>
            <w:tcW w:w="8505" w:type="dxa"/>
            <w:vAlign w:val="bottom"/>
          </w:tcPr>
          <w:p w14:paraId="60733EAF" w14:textId="77777777" w:rsidR="00773F7B" w:rsidRPr="006D1798" w:rsidRDefault="00773F7B" w:rsidP="00773F7B">
            <w:pPr>
              <w:pStyle w:val="T2"/>
              <w:jc w:val="left"/>
            </w:pPr>
            <w:r>
              <w:t>Inventory</w:t>
            </w:r>
          </w:p>
        </w:tc>
        <w:tc>
          <w:tcPr>
            <w:tcW w:w="1276" w:type="dxa"/>
          </w:tcPr>
          <w:p w14:paraId="4038B044" w14:textId="77777777" w:rsidR="00773F7B" w:rsidRPr="005C7C70" w:rsidRDefault="00773F7B" w:rsidP="00773F7B">
            <w:pPr>
              <w:pStyle w:val="T2"/>
              <w:jc w:val="right"/>
              <w:rPr>
                <w:b/>
              </w:rPr>
            </w:pPr>
            <w:r>
              <w:rPr>
                <w:b/>
                <w:bCs/>
              </w:rPr>
              <w:t>1.2</w:t>
            </w:r>
          </w:p>
        </w:tc>
      </w:tr>
      <w:tr w:rsidR="00773F7B" w:rsidRPr="00DB5C52" w14:paraId="0C23CBDC" w14:textId="77777777" w:rsidTr="005B3BEE">
        <w:trPr>
          <w:jc w:val="center"/>
        </w:trPr>
        <w:tc>
          <w:tcPr>
            <w:tcW w:w="8505" w:type="dxa"/>
            <w:vAlign w:val="bottom"/>
          </w:tcPr>
          <w:p w14:paraId="75826BC0" w14:textId="77777777" w:rsidR="00773F7B" w:rsidRPr="006D1798" w:rsidRDefault="00773F7B" w:rsidP="00773F7B">
            <w:pPr>
              <w:pStyle w:val="T2"/>
              <w:jc w:val="left"/>
            </w:pPr>
            <w:r>
              <w:t>Current tax receivable</w:t>
            </w:r>
          </w:p>
        </w:tc>
        <w:tc>
          <w:tcPr>
            <w:tcW w:w="1276" w:type="dxa"/>
          </w:tcPr>
          <w:p w14:paraId="276C9884" w14:textId="77777777" w:rsidR="00773F7B" w:rsidRPr="005D0EFF" w:rsidRDefault="00773F7B" w:rsidP="00773F7B">
            <w:pPr>
              <w:pStyle w:val="T2"/>
              <w:jc w:val="right"/>
            </w:pPr>
            <w:r w:rsidRPr="006215CC">
              <w:rPr>
                <w:b/>
              </w:rPr>
              <w:t>0.5</w:t>
            </w:r>
          </w:p>
        </w:tc>
      </w:tr>
      <w:tr w:rsidR="00773F7B" w:rsidRPr="006215CC" w14:paraId="35E5CEDA" w14:textId="77777777" w:rsidTr="005B3BEE">
        <w:trPr>
          <w:jc w:val="center"/>
        </w:trPr>
        <w:tc>
          <w:tcPr>
            <w:tcW w:w="8505" w:type="dxa"/>
            <w:tcBorders>
              <w:bottom w:val="single" w:sz="4" w:space="0" w:color="auto"/>
            </w:tcBorders>
            <w:vAlign w:val="bottom"/>
          </w:tcPr>
          <w:p w14:paraId="54506A79" w14:textId="77777777" w:rsidR="00773F7B" w:rsidRDefault="00773F7B" w:rsidP="00773F7B">
            <w:pPr>
              <w:pStyle w:val="T2"/>
              <w:jc w:val="left"/>
            </w:pPr>
            <w:r>
              <w:t>Trade and other receivables</w:t>
            </w:r>
          </w:p>
        </w:tc>
        <w:tc>
          <w:tcPr>
            <w:tcW w:w="1276" w:type="dxa"/>
            <w:tcBorders>
              <w:bottom w:val="single" w:sz="4" w:space="0" w:color="auto"/>
            </w:tcBorders>
          </w:tcPr>
          <w:p w14:paraId="2C117C99" w14:textId="77777777" w:rsidR="00773F7B" w:rsidRPr="005C7C70" w:rsidRDefault="00773F7B" w:rsidP="00773F7B">
            <w:pPr>
              <w:pStyle w:val="T2"/>
              <w:jc w:val="right"/>
              <w:rPr>
                <w:b/>
              </w:rPr>
            </w:pPr>
            <w:r>
              <w:rPr>
                <w:b/>
                <w:bCs/>
              </w:rPr>
              <w:t>11.7</w:t>
            </w:r>
          </w:p>
        </w:tc>
      </w:tr>
      <w:tr w:rsidR="00773F7B" w:rsidRPr="006215CC" w14:paraId="79ABA056" w14:textId="77777777" w:rsidTr="005B3BEE">
        <w:trPr>
          <w:jc w:val="center"/>
        </w:trPr>
        <w:tc>
          <w:tcPr>
            <w:tcW w:w="8505" w:type="dxa"/>
            <w:tcBorders>
              <w:top w:val="single" w:sz="4" w:space="0" w:color="auto"/>
              <w:bottom w:val="single" w:sz="4" w:space="0" w:color="auto"/>
            </w:tcBorders>
            <w:vAlign w:val="bottom"/>
          </w:tcPr>
          <w:p w14:paraId="4C3D4FCB" w14:textId="77777777" w:rsidR="00773F7B" w:rsidRPr="006D1798" w:rsidRDefault="00773F7B" w:rsidP="00773F7B">
            <w:pPr>
              <w:pStyle w:val="T2"/>
              <w:jc w:val="left"/>
              <w:rPr>
                <w:b/>
              </w:rPr>
            </w:pPr>
            <w:r>
              <w:rPr>
                <w:b/>
              </w:rPr>
              <w:t>Total assets</w:t>
            </w:r>
          </w:p>
        </w:tc>
        <w:tc>
          <w:tcPr>
            <w:tcW w:w="1276" w:type="dxa"/>
            <w:tcBorders>
              <w:top w:val="single" w:sz="4" w:space="0" w:color="auto"/>
              <w:bottom w:val="single" w:sz="4" w:space="0" w:color="auto"/>
            </w:tcBorders>
          </w:tcPr>
          <w:p w14:paraId="672B0D57" w14:textId="77777777" w:rsidR="00773F7B" w:rsidRPr="005C7C70" w:rsidRDefault="00773F7B" w:rsidP="00773F7B">
            <w:pPr>
              <w:pStyle w:val="T2"/>
              <w:jc w:val="right"/>
              <w:rPr>
                <w:b/>
              </w:rPr>
            </w:pPr>
            <w:r>
              <w:rPr>
                <w:b/>
                <w:bCs/>
              </w:rPr>
              <w:t>35.0</w:t>
            </w:r>
          </w:p>
        </w:tc>
      </w:tr>
      <w:tr w:rsidR="00773F7B" w:rsidRPr="006215CC" w14:paraId="3E3C641D" w14:textId="77777777" w:rsidTr="005B3BEE">
        <w:trPr>
          <w:jc w:val="center"/>
        </w:trPr>
        <w:tc>
          <w:tcPr>
            <w:tcW w:w="8505" w:type="dxa"/>
            <w:tcBorders>
              <w:top w:val="single" w:sz="4" w:space="0" w:color="auto"/>
            </w:tcBorders>
            <w:vAlign w:val="bottom"/>
          </w:tcPr>
          <w:p w14:paraId="48330C5C" w14:textId="77777777" w:rsidR="00773F7B" w:rsidRDefault="00773F7B" w:rsidP="00773F7B">
            <w:pPr>
              <w:pStyle w:val="T2"/>
              <w:jc w:val="left"/>
              <w:rPr>
                <w:b/>
              </w:rPr>
            </w:pPr>
            <w:r>
              <w:rPr>
                <w:b/>
              </w:rPr>
              <w:t>Liabilities</w:t>
            </w:r>
          </w:p>
        </w:tc>
        <w:tc>
          <w:tcPr>
            <w:tcW w:w="1276" w:type="dxa"/>
            <w:tcBorders>
              <w:top w:val="single" w:sz="4" w:space="0" w:color="auto"/>
            </w:tcBorders>
          </w:tcPr>
          <w:p w14:paraId="696E0ED8" w14:textId="77777777" w:rsidR="00773F7B" w:rsidRPr="005C7C70" w:rsidRDefault="00773F7B" w:rsidP="00773F7B">
            <w:pPr>
              <w:pStyle w:val="T2"/>
              <w:jc w:val="right"/>
              <w:rPr>
                <w:b/>
              </w:rPr>
            </w:pPr>
          </w:p>
        </w:tc>
      </w:tr>
      <w:tr w:rsidR="00773F7B" w:rsidRPr="006215CC" w14:paraId="2964A626" w14:textId="77777777" w:rsidTr="005B3BEE">
        <w:trPr>
          <w:jc w:val="center"/>
        </w:trPr>
        <w:tc>
          <w:tcPr>
            <w:tcW w:w="8505" w:type="dxa"/>
            <w:vAlign w:val="bottom"/>
          </w:tcPr>
          <w:p w14:paraId="2DD978BD" w14:textId="77777777" w:rsidR="00773F7B" w:rsidRPr="005D0EFF" w:rsidRDefault="00773F7B" w:rsidP="00773F7B">
            <w:pPr>
              <w:pStyle w:val="T2"/>
              <w:jc w:val="left"/>
            </w:pPr>
            <w:r>
              <w:t>Provisions</w:t>
            </w:r>
          </w:p>
        </w:tc>
        <w:tc>
          <w:tcPr>
            <w:tcW w:w="1276" w:type="dxa"/>
          </w:tcPr>
          <w:p w14:paraId="0AF9BA16" w14:textId="77777777" w:rsidR="00773F7B" w:rsidRPr="005C7C70" w:rsidRDefault="00773F7B" w:rsidP="00773F7B">
            <w:pPr>
              <w:pStyle w:val="T2"/>
              <w:jc w:val="right"/>
              <w:rPr>
                <w:b/>
              </w:rPr>
            </w:pPr>
            <w:r>
              <w:rPr>
                <w:b/>
                <w:bCs/>
              </w:rPr>
              <w:t>(0.1)</w:t>
            </w:r>
          </w:p>
        </w:tc>
      </w:tr>
      <w:tr w:rsidR="00773F7B" w:rsidRPr="006215CC" w14:paraId="4AF84AE8" w14:textId="77777777" w:rsidTr="005B3BEE">
        <w:trPr>
          <w:jc w:val="center"/>
        </w:trPr>
        <w:tc>
          <w:tcPr>
            <w:tcW w:w="8505" w:type="dxa"/>
            <w:vAlign w:val="bottom"/>
          </w:tcPr>
          <w:p w14:paraId="1546D693" w14:textId="77777777" w:rsidR="00773F7B" w:rsidRPr="005D0EFF" w:rsidRDefault="00773F7B" w:rsidP="00773F7B">
            <w:pPr>
              <w:pStyle w:val="T2"/>
              <w:jc w:val="left"/>
            </w:pPr>
            <w:r>
              <w:t>Deferred tax liabilities</w:t>
            </w:r>
          </w:p>
        </w:tc>
        <w:tc>
          <w:tcPr>
            <w:tcW w:w="1276" w:type="dxa"/>
          </w:tcPr>
          <w:p w14:paraId="59A285EA" w14:textId="77777777" w:rsidR="00773F7B" w:rsidRPr="005C7C70" w:rsidRDefault="00773F7B">
            <w:pPr>
              <w:pStyle w:val="T2"/>
              <w:jc w:val="right"/>
              <w:rPr>
                <w:b/>
              </w:rPr>
            </w:pPr>
            <w:r>
              <w:rPr>
                <w:b/>
              </w:rPr>
              <w:t>(</w:t>
            </w:r>
            <w:r w:rsidR="0054121B">
              <w:rPr>
                <w:b/>
              </w:rPr>
              <w:t>3.0)</w:t>
            </w:r>
          </w:p>
        </w:tc>
      </w:tr>
      <w:tr w:rsidR="00773F7B" w:rsidRPr="006215CC" w14:paraId="528DE798" w14:textId="77777777" w:rsidTr="005B3BEE">
        <w:trPr>
          <w:jc w:val="center"/>
        </w:trPr>
        <w:tc>
          <w:tcPr>
            <w:tcW w:w="8505" w:type="dxa"/>
            <w:vAlign w:val="bottom"/>
          </w:tcPr>
          <w:p w14:paraId="325E8B83" w14:textId="77777777" w:rsidR="00773F7B" w:rsidRPr="005D0EFF" w:rsidRDefault="00773F7B" w:rsidP="00773F7B">
            <w:pPr>
              <w:pStyle w:val="T2"/>
              <w:jc w:val="left"/>
            </w:pPr>
            <w:r w:rsidRPr="005D0EFF">
              <w:t>Trade and other payables</w:t>
            </w:r>
          </w:p>
        </w:tc>
        <w:tc>
          <w:tcPr>
            <w:tcW w:w="1276" w:type="dxa"/>
          </w:tcPr>
          <w:p w14:paraId="701AE346" w14:textId="77777777" w:rsidR="00773F7B" w:rsidRPr="005C7C70" w:rsidRDefault="00773F7B" w:rsidP="00773F7B">
            <w:pPr>
              <w:pStyle w:val="T2"/>
              <w:jc w:val="right"/>
              <w:rPr>
                <w:b/>
              </w:rPr>
            </w:pPr>
            <w:r>
              <w:rPr>
                <w:b/>
                <w:bCs/>
              </w:rPr>
              <w:t>(14.2)</w:t>
            </w:r>
          </w:p>
        </w:tc>
      </w:tr>
      <w:tr w:rsidR="00773F7B" w:rsidRPr="006215CC" w14:paraId="43FF7960" w14:textId="77777777" w:rsidTr="005B3BEE">
        <w:trPr>
          <w:jc w:val="center"/>
        </w:trPr>
        <w:tc>
          <w:tcPr>
            <w:tcW w:w="8505" w:type="dxa"/>
            <w:tcBorders>
              <w:bottom w:val="single" w:sz="4" w:space="0" w:color="auto"/>
            </w:tcBorders>
            <w:vAlign w:val="bottom"/>
          </w:tcPr>
          <w:p w14:paraId="28FA931A" w14:textId="77777777" w:rsidR="00773F7B" w:rsidRPr="005D0EFF" w:rsidRDefault="00773F7B" w:rsidP="00773F7B">
            <w:pPr>
              <w:pStyle w:val="T2"/>
              <w:jc w:val="left"/>
            </w:pPr>
            <w:r>
              <w:t>Current tax payable</w:t>
            </w:r>
          </w:p>
        </w:tc>
        <w:tc>
          <w:tcPr>
            <w:tcW w:w="1276" w:type="dxa"/>
            <w:tcBorders>
              <w:bottom w:val="single" w:sz="4" w:space="0" w:color="auto"/>
            </w:tcBorders>
          </w:tcPr>
          <w:p w14:paraId="2FEA20F7" w14:textId="77777777" w:rsidR="00773F7B" w:rsidRPr="005C7C70" w:rsidRDefault="00773F7B" w:rsidP="00773F7B">
            <w:pPr>
              <w:pStyle w:val="T2"/>
              <w:jc w:val="right"/>
              <w:rPr>
                <w:b/>
              </w:rPr>
            </w:pPr>
            <w:r>
              <w:rPr>
                <w:b/>
                <w:bCs/>
              </w:rPr>
              <w:t>(1.3)</w:t>
            </w:r>
          </w:p>
        </w:tc>
      </w:tr>
      <w:tr w:rsidR="00773F7B" w:rsidRPr="006215CC" w14:paraId="62E93418" w14:textId="77777777" w:rsidTr="005B3BEE">
        <w:trPr>
          <w:jc w:val="center"/>
        </w:trPr>
        <w:tc>
          <w:tcPr>
            <w:tcW w:w="8505" w:type="dxa"/>
            <w:tcBorders>
              <w:top w:val="single" w:sz="4" w:space="0" w:color="auto"/>
              <w:bottom w:val="single" w:sz="4" w:space="0" w:color="auto"/>
            </w:tcBorders>
            <w:vAlign w:val="bottom"/>
          </w:tcPr>
          <w:p w14:paraId="3AE022F4" w14:textId="77777777" w:rsidR="00773F7B" w:rsidRDefault="00773F7B" w:rsidP="00773F7B">
            <w:pPr>
              <w:pStyle w:val="T2"/>
              <w:jc w:val="left"/>
              <w:rPr>
                <w:b/>
              </w:rPr>
            </w:pPr>
            <w:r>
              <w:rPr>
                <w:b/>
              </w:rPr>
              <w:t>Total liabilities</w:t>
            </w:r>
          </w:p>
        </w:tc>
        <w:tc>
          <w:tcPr>
            <w:tcW w:w="1276" w:type="dxa"/>
            <w:tcBorders>
              <w:top w:val="single" w:sz="4" w:space="0" w:color="auto"/>
              <w:bottom w:val="single" w:sz="4" w:space="0" w:color="auto"/>
            </w:tcBorders>
          </w:tcPr>
          <w:p w14:paraId="43A9C4A1" w14:textId="77777777" w:rsidR="00773F7B" w:rsidRPr="005C7C70" w:rsidRDefault="00773F7B" w:rsidP="00773F7B">
            <w:pPr>
              <w:pStyle w:val="T2"/>
              <w:jc w:val="right"/>
              <w:rPr>
                <w:b/>
              </w:rPr>
            </w:pPr>
            <w:r>
              <w:rPr>
                <w:b/>
                <w:bCs/>
              </w:rPr>
              <w:t>(18.</w:t>
            </w:r>
            <w:r w:rsidR="0054121B">
              <w:rPr>
                <w:b/>
                <w:bCs/>
              </w:rPr>
              <w:t>6</w:t>
            </w:r>
            <w:r>
              <w:rPr>
                <w:b/>
                <w:bCs/>
              </w:rPr>
              <w:t>)</w:t>
            </w:r>
          </w:p>
        </w:tc>
      </w:tr>
      <w:tr w:rsidR="00773F7B" w:rsidRPr="006215CC" w14:paraId="0E1CE2DB" w14:textId="77777777" w:rsidTr="005B3BEE">
        <w:trPr>
          <w:jc w:val="center"/>
        </w:trPr>
        <w:tc>
          <w:tcPr>
            <w:tcW w:w="8505" w:type="dxa"/>
            <w:tcBorders>
              <w:top w:val="single" w:sz="4" w:space="0" w:color="auto"/>
              <w:bottom w:val="single" w:sz="4" w:space="0" w:color="auto"/>
            </w:tcBorders>
            <w:vAlign w:val="bottom"/>
          </w:tcPr>
          <w:p w14:paraId="2780743B" w14:textId="77777777" w:rsidR="00773F7B" w:rsidRDefault="00773F7B" w:rsidP="00773F7B">
            <w:pPr>
              <w:pStyle w:val="T2"/>
              <w:jc w:val="left"/>
              <w:rPr>
                <w:b/>
              </w:rPr>
            </w:pPr>
            <w:r>
              <w:rPr>
                <w:b/>
              </w:rPr>
              <w:t xml:space="preserve">Net assets acquired </w:t>
            </w:r>
          </w:p>
        </w:tc>
        <w:tc>
          <w:tcPr>
            <w:tcW w:w="1276" w:type="dxa"/>
            <w:tcBorders>
              <w:top w:val="single" w:sz="4" w:space="0" w:color="auto"/>
              <w:bottom w:val="single" w:sz="4" w:space="0" w:color="auto"/>
            </w:tcBorders>
          </w:tcPr>
          <w:p w14:paraId="05F7CA69" w14:textId="77777777" w:rsidR="00773F7B" w:rsidRPr="00440278" w:rsidRDefault="00773F7B" w:rsidP="00773F7B">
            <w:pPr>
              <w:pStyle w:val="T2"/>
              <w:jc w:val="right"/>
              <w:rPr>
                <w:b/>
                <w:bCs/>
              </w:rPr>
            </w:pPr>
            <w:r>
              <w:rPr>
                <w:b/>
                <w:bCs/>
              </w:rPr>
              <w:t>16.</w:t>
            </w:r>
            <w:r w:rsidR="0054121B">
              <w:rPr>
                <w:b/>
                <w:bCs/>
              </w:rPr>
              <w:t>4</w:t>
            </w:r>
          </w:p>
        </w:tc>
      </w:tr>
      <w:tr w:rsidR="00773F7B" w:rsidRPr="006215CC" w14:paraId="511E9A57" w14:textId="77777777" w:rsidTr="005B3BEE">
        <w:trPr>
          <w:jc w:val="center"/>
        </w:trPr>
        <w:tc>
          <w:tcPr>
            <w:tcW w:w="8505" w:type="dxa"/>
            <w:tcBorders>
              <w:top w:val="single" w:sz="4" w:space="0" w:color="auto"/>
              <w:bottom w:val="single" w:sz="4" w:space="0" w:color="auto"/>
            </w:tcBorders>
            <w:vAlign w:val="bottom"/>
          </w:tcPr>
          <w:p w14:paraId="0537B4B1" w14:textId="77777777" w:rsidR="00773F7B" w:rsidRPr="005D0EFF" w:rsidRDefault="00773F7B" w:rsidP="00773F7B">
            <w:pPr>
              <w:pStyle w:val="T2"/>
              <w:jc w:val="left"/>
            </w:pPr>
            <w:r w:rsidRPr="005D0EFF">
              <w:t>Goodwill</w:t>
            </w:r>
          </w:p>
        </w:tc>
        <w:tc>
          <w:tcPr>
            <w:tcW w:w="1276" w:type="dxa"/>
            <w:tcBorders>
              <w:top w:val="single" w:sz="4" w:space="0" w:color="auto"/>
              <w:bottom w:val="single" w:sz="4" w:space="0" w:color="auto"/>
            </w:tcBorders>
          </w:tcPr>
          <w:p w14:paraId="451BA891" w14:textId="77777777" w:rsidR="00773F7B" w:rsidRPr="005C7C70" w:rsidRDefault="00773F7B" w:rsidP="00773F7B">
            <w:pPr>
              <w:pStyle w:val="T2"/>
              <w:jc w:val="right"/>
              <w:rPr>
                <w:b/>
              </w:rPr>
            </w:pPr>
            <w:r>
              <w:rPr>
                <w:b/>
              </w:rPr>
              <w:t>39.</w:t>
            </w:r>
            <w:r w:rsidR="0054121B">
              <w:rPr>
                <w:b/>
              </w:rPr>
              <w:t>8</w:t>
            </w:r>
          </w:p>
        </w:tc>
      </w:tr>
      <w:tr w:rsidR="00773F7B" w:rsidRPr="006215CC" w14:paraId="2734544D" w14:textId="77777777" w:rsidTr="005B3BEE">
        <w:trPr>
          <w:jc w:val="center"/>
        </w:trPr>
        <w:tc>
          <w:tcPr>
            <w:tcW w:w="8505" w:type="dxa"/>
            <w:tcBorders>
              <w:top w:val="single" w:sz="4" w:space="0" w:color="auto"/>
              <w:bottom w:val="single" w:sz="8" w:space="0" w:color="auto"/>
            </w:tcBorders>
            <w:vAlign w:val="bottom"/>
          </w:tcPr>
          <w:p w14:paraId="1E13E961" w14:textId="77777777" w:rsidR="00773F7B" w:rsidRDefault="00773F7B" w:rsidP="00773F7B">
            <w:pPr>
              <w:pStyle w:val="T2"/>
              <w:jc w:val="left"/>
              <w:rPr>
                <w:b/>
              </w:rPr>
            </w:pPr>
            <w:r>
              <w:rPr>
                <w:b/>
              </w:rPr>
              <w:t>Total enterprise value</w:t>
            </w:r>
          </w:p>
        </w:tc>
        <w:tc>
          <w:tcPr>
            <w:tcW w:w="1276" w:type="dxa"/>
            <w:tcBorders>
              <w:top w:val="single" w:sz="4" w:space="0" w:color="auto"/>
              <w:bottom w:val="single" w:sz="8" w:space="0" w:color="auto"/>
            </w:tcBorders>
          </w:tcPr>
          <w:p w14:paraId="7CECE5AF" w14:textId="77777777" w:rsidR="00773F7B" w:rsidRPr="005C7C70" w:rsidRDefault="00773F7B" w:rsidP="00773F7B">
            <w:pPr>
              <w:pStyle w:val="T2"/>
              <w:jc w:val="right"/>
              <w:rPr>
                <w:b/>
              </w:rPr>
            </w:pPr>
            <w:r>
              <w:rPr>
                <w:b/>
                <w:bCs/>
              </w:rPr>
              <w:t>56.2</w:t>
            </w:r>
          </w:p>
        </w:tc>
      </w:tr>
    </w:tbl>
    <w:p w14:paraId="7554E899" w14:textId="77777777" w:rsidR="00765C2C" w:rsidRDefault="00765C2C" w:rsidP="005B3BEE">
      <w:pPr>
        <w:spacing w:before="160" w:after="120" w:line="240" w:lineRule="auto"/>
        <w:rPr>
          <w:b/>
          <w:sz w:val="18"/>
          <w:szCs w:val="18"/>
        </w:rPr>
      </w:pPr>
    </w:p>
    <w:p w14:paraId="23C916CB" w14:textId="28202C6C" w:rsidR="00773F7B" w:rsidRPr="00D13EF1" w:rsidRDefault="00773F7B" w:rsidP="005B3BEE">
      <w:pPr>
        <w:spacing w:before="160" w:after="120" w:line="240" w:lineRule="auto"/>
        <w:rPr>
          <w:b/>
          <w:sz w:val="18"/>
          <w:szCs w:val="18"/>
        </w:rPr>
      </w:pPr>
      <w:r w:rsidRPr="00D13EF1">
        <w:rPr>
          <w:b/>
          <w:sz w:val="18"/>
          <w:szCs w:val="18"/>
        </w:rPr>
        <w:t>Greencore’s US Business</w:t>
      </w:r>
    </w:p>
    <w:p w14:paraId="5C4579AA" w14:textId="6DAD0FBE" w:rsidR="00773F7B" w:rsidRDefault="00773F7B" w:rsidP="005B3BEE">
      <w:pPr>
        <w:spacing w:after="120" w:line="240" w:lineRule="auto"/>
        <w:jc w:val="both"/>
        <w:rPr>
          <w:sz w:val="18"/>
          <w:szCs w:val="18"/>
        </w:rPr>
      </w:pPr>
      <w:r>
        <w:rPr>
          <w:sz w:val="18"/>
          <w:szCs w:val="18"/>
        </w:rPr>
        <w:t>In the prior year, the Group completed, on 25 November 2018, the disposal of its US business to Hearthside Food Solutions LLC.</w:t>
      </w:r>
      <w:r w:rsidR="005F0358">
        <w:rPr>
          <w:sz w:val="18"/>
          <w:szCs w:val="18"/>
        </w:rPr>
        <w:t xml:space="preserve"> In the period ended 29 March 2019, a profit of £56.7m was recognised with a</w:t>
      </w:r>
      <w:r>
        <w:rPr>
          <w:sz w:val="18"/>
          <w:szCs w:val="18"/>
        </w:rPr>
        <w:t xml:space="preserve"> net cash inflow arising on the disposal </w:t>
      </w:r>
      <w:r w:rsidR="005F0358">
        <w:rPr>
          <w:sz w:val="18"/>
          <w:szCs w:val="18"/>
        </w:rPr>
        <w:t xml:space="preserve">of </w:t>
      </w:r>
      <w:r>
        <w:rPr>
          <w:sz w:val="18"/>
          <w:szCs w:val="18"/>
        </w:rPr>
        <w:t>£810.4m</w:t>
      </w:r>
      <w:r w:rsidR="005F0358">
        <w:rPr>
          <w:sz w:val="18"/>
          <w:szCs w:val="18"/>
        </w:rPr>
        <w:t>.</w:t>
      </w:r>
    </w:p>
    <w:p w14:paraId="705962AB" w14:textId="77777777" w:rsidR="00773F7B" w:rsidRPr="001D4796" w:rsidRDefault="00773F7B" w:rsidP="005B3BEE">
      <w:pPr>
        <w:pStyle w:val="SectionH3"/>
      </w:pPr>
      <w:r w:rsidRPr="001D4796">
        <w:t>Hull</w:t>
      </w:r>
    </w:p>
    <w:p w14:paraId="302B3A40" w14:textId="556C2CB8" w:rsidR="00773F7B" w:rsidRDefault="00773F7B" w:rsidP="005B3BEE">
      <w:pPr>
        <w:spacing w:after="120" w:line="240" w:lineRule="auto"/>
        <w:jc w:val="both"/>
        <w:rPr>
          <w:sz w:val="18"/>
          <w:szCs w:val="18"/>
        </w:rPr>
      </w:pPr>
      <w:r>
        <w:rPr>
          <w:sz w:val="18"/>
          <w:szCs w:val="18"/>
        </w:rPr>
        <w:t xml:space="preserve">In the prior year, the Group received £1m of deferred cash consideration from the disposal of </w:t>
      </w:r>
      <w:r w:rsidRPr="002F4459">
        <w:rPr>
          <w:sz w:val="18"/>
          <w:szCs w:val="18"/>
        </w:rPr>
        <w:t xml:space="preserve">its Cakes and Desserts business at Hull ("Hull") to Bright Blue Foods Limited </w:t>
      </w:r>
      <w:r>
        <w:rPr>
          <w:sz w:val="18"/>
          <w:szCs w:val="18"/>
        </w:rPr>
        <w:t>in February 2018.</w:t>
      </w:r>
    </w:p>
    <w:p w14:paraId="31FC617E" w14:textId="77777777" w:rsidR="00765C2C" w:rsidRDefault="00765C2C" w:rsidP="005B3BEE">
      <w:pPr>
        <w:spacing w:after="120" w:line="240" w:lineRule="auto"/>
        <w:jc w:val="both"/>
        <w:rPr>
          <w:sz w:val="18"/>
          <w:szCs w:val="18"/>
        </w:rPr>
      </w:pPr>
    </w:p>
    <w:p w14:paraId="4680F4E4" w14:textId="2341E3D6" w:rsidR="00773F7B" w:rsidRPr="00313181" w:rsidRDefault="00773F7B" w:rsidP="005B3BEE">
      <w:pPr>
        <w:pStyle w:val="SectionH3"/>
      </w:pPr>
      <w:r w:rsidRPr="00313181">
        <w:t>1</w:t>
      </w:r>
      <w:r>
        <w:t>6</w:t>
      </w:r>
      <w:r w:rsidRPr="00313181">
        <w:t>.</w:t>
      </w:r>
      <w:r w:rsidR="001D4796">
        <w:tab/>
      </w:r>
      <w:r w:rsidRPr="00451D3D">
        <w:t>Contingencies</w:t>
      </w:r>
    </w:p>
    <w:p w14:paraId="5C3FBACC" w14:textId="77777777" w:rsidR="00773F7B" w:rsidRDefault="00773F7B" w:rsidP="005B3BEE">
      <w:pPr>
        <w:spacing w:after="120" w:line="240" w:lineRule="auto"/>
        <w:jc w:val="both"/>
        <w:rPr>
          <w:sz w:val="18"/>
          <w:szCs w:val="18"/>
        </w:rPr>
      </w:pPr>
      <w:r w:rsidRPr="00F91BA7">
        <w:rPr>
          <w:sz w:val="18"/>
          <w:szCs w:val="18"/>
        </w:rPr>
        <w:t>The Company and certain subsidiaries have given guarantees in respect of borrowings and other obligations arising in the ordinary course of business of the Company and other Group undertakings. The Company and other Group undertakings consider these guarantees to be insurance contracts and account for them as such. The Company treats these guarantee contracts as contingent liabilities until such time as it becomes probable that a payment will be required under such guarantees.</w:t>
      </w:r>
    </w:p>
    <w:p w14:paraId="13EE1A80" w14:textId="25E4AB2F" w:rsidR="00773F7B" w:rsidRDefault="00773F7B" w:rsidP="005B3BEE">
      <w:pPr>
        <w:spacing w:after="120" w:line="240" w:lineRule="auto"/>
        <w:jc w:val="both"/>
        <w:rPr>
          <w:sz w:val="18"/>
          <w:szCs w:val="18"/>
        </w:rPr>
      </w:pPr>
      <w:r w:rsidRPr="00F91BA7">
        <w:rPr>
          <w:sz w:val="18"/>
          <w:szCs w:val="18"/>
        </w:rPr>
        <w:t xml:space="preserve">The </w:t>
      </w:r>
      <w:r w:rsidR="004379BF">
        <w:rPr>
          <w:sz w:val="18"/>
          <w:szCs w:val="18"/>
        </w:rPr>
        <w:t>G</w:t>
      </w:r>
      <w:r w:rsidRPr="00F91BA7">
        <w:rPr>
          <w:sz w:val="18"/>
          <w:szCs w:val="18"/>
        </w:rPr>
        <w:t>roup has provided bank guarantees to third parties for an amount of £</w:t>
      </w:r>
      <w:r>
        <w:rPr>
          <w:sz w:val="18"/>
          <w:szCs w:val="18"/>
        </w:rPr>
        <w:t>8.2</w:t>
      </w:r>
      <w:r w:rsidRPr="00F91BA7">
        <w:rPr>
          <w:sz w:val="18"/>
          <w:szCs w:val="18"/>
        </w:rPr>
        <w:t>m</w:t>
      </w:r>
      <w:r>
        <w:rPr>
          <w:sz w:val="18"/>
          <w:szCs w:val="18"/>
        </w:rPr>
        <w:t xml:space="preserve"> to the Group’s insurance providers</w:t>
      </w:r>
      <w:r w:rsidRPr="00F91BA7">
        <w:rPr>
          <w:sz w:val="18"/>
          <w:szCs w:val="18"/>
        </w:rPr>
        <w:t xml:space="preserve"> (Sept 201</w:t>
      </w:r>
      <w:r>
        <w:rPr>
          <w:sz w:val="18"/>
          <w:szCs w:val="18"/>
        </w:rPr>
        <w:t>9</w:t>
      </w:r>
      <w:r w:rsidRPr="00F91BA7">
        <w:rPr>
          <w:sz w:val="18"/>
          <w:szCs w:val="18"/>
        </w:rPr>
        <w:t>: £</w:t>
      </w:r>
      <w:r>
        <w:rPr>
          <w:sz w:val="18"/>
          <w:szCs w:val="18"/>
        </w:rPr>
        <w:t>7.7</w:t>
      </w:r>
      <w:r w:rsidRPr="00F91BA7">
        <w:rPr>
          <w:sz w:val="18"/>
          <w:szCs w:val="18"/>
        </w:rPr>
        <w:t>m).</w:t>
      </w:r>
    </w:p>
    <w:p w14:paraId="307B53AD" w14:textId="77777777" w:rsidR="00773F7B" w:rsidRDefault="00773F7B" w:rsidP="005B3BEE">
      <w:pPr>
        <w:spacing w:after="120" w:line="240" w:lineRule="auto"/>
        <w:jc w:val="both"/>
        <w:rPr>
          <w:sz w:val="18"/>
          <w:szCs w:val="18"/>
        </w:rPr>
      </w:pPr>
      <w:r w:rsidRPr="00F91BA7">
        <w:rPr>
          <w:sz w:val="18"/>
          <w:szCs w:val="18"/>
        </w:rPr>
        <w:t>The Group and certain of its subsidiaries continue to be subject to various legal proceedings relating to its current and former activities. Provisions for anticipated settlement costs and associated expenses arising from legal and other disputes are made where a reliable estimate can be made of the probable outcome of the proceedings.</w:t>
      </w:r>
    </w:p>
    <w:p w14:paraId="040DEEAD" w14:textId="3A34DFA9" w:rsidR="00773F7B" w:rsidRDefault="00773F7B" w:rsidP="005B3BEE">
      <w:pPr>
        <w:pStyle w:val="SectionH3"/>
      </w:pPr>
      <w:r>
        <w:t>17</w:t>
      </w:r>
      <w:r w:rsidRPr="003232EE">
        <w:t>.</w:t>
      </w:r>
      <w:r w:rsidR="001D4796">
        <w:tab/>
      </w:r>
      <w:r>
        <w:t>Subsequent events</w:t>
      </w:r>
    </w:p>
    <w:p w14:paraId="258A1653" w14:textId="70824BFF" w:rsidR="001E4F4B" w:rsidRDefault="001E4F4B" w:rsidP="00B52070">
      <w:pPr>
        <w:widowControl w:val="0"/>
        <w:autoSpaceDE w:val="0"/>
        <w:autoSpaceDN w:val="0"/>
        <w:spacing w:after="120" w:line="240" w:lineRule="auto"/>
        <w:jc w:val="both"/>
        <w:rPr>
          <w:rFonts w:ascii="Calibri" w:eastAsia="Calibri" w:hAnsi="Calibri" w:cs="Arial"/>
          <w:sz w:val="18"/>
          <w:szCs w:val="18"/>
          <w:lang w:eastAsia="en-GB" w:bidi="en-GB"/>
        </w:rPr>
      </w:pPr>
      <w:r>
        <w:rPr>
          <w:rFonts w:ascii="Calibri" w:eastAsia="Calibri" w:hAnsi="Calibri" w:cs="Arial"/>
          <w:sz w:val="18"/>
          <w:szCs w:val="18"/>
          <w:lang w:eastAsia="en-GB" w:bidi="en-GB"/>
        </w:rPr>
        <w:t xml:space="preserve">Since 27 March 2020, </w:t>
      </w:r>
      <w:r w:rsidRPr="003C7BC3">
        <w:rPr>
          <w:rFonts w:ascii="Calibri" w:eastAsia="Calibri" w:hAnsi="Calibri" w:cs="Arial"/>
          <w:sz w:val="18"/>
          <w:szCs w:val="18"/>
          <w:lang w:eastAsia="en-GB" w:bidi="en-GB"/>
        </w:rPr>
        <w:t xml:space="preserve">the COVID-19 </w:t>
      </w:r>
      <w:r w:rsidR="002D4204">
        <w:rPr>
          <w:rFonts w:ascii="Calibri" w:eastAsia="Calibri" w:hAnsi="Calibri" w:cs="Arial"/>
          <w:sz w:val="18"/>
          <w:szCs w:val="18"/>
          <w:lang w:eastAsia="en-GB" w:bidi="en-GB"/>
        </w:rPr>
        <w:t>pandemic</w:t>
      </w:r>
      <w:r w:rsidRPr="003C7BC3">
        <w:rPr>
          <w:rFonts w:ascii="Calibri" w:eastAsia="Calibri" w:hAnsi="Calibri" w:cs="Arial"/>
          <w:sz w:val="18"/>
          <w:szCs w:val="18"/>
          <w:lang w:eastAsia="en-GB" w:bidi="en-GB"/>
        </w:rPr>
        <w:t xml:space="preserve"> has had a</w:t>
      </w:r>
      <w:r>
        <w:rPr>
          <w:rFonts w:ascii="Calibri" w:eastAsia="Calibri" w:hAnsi="Calibri" w:cs="Arial"/>
          <w:sz w:val="18"/>
          <w:szCs w:val="18"/>
          <w:lang w:eastAsia="en-GB" w:bidi="en-GB"/>
        </w:rPr>
        <w:t>n</w:t>
      </w:r>
      <w:r w:rsidRPr="003C7BC3">
        <w:rPr>
          <w:rFonts w:ascii="Calibri" w:eastAsia="Calibri" w:hAnsi="Calibri" w:cs="Arial"/>
          <w:sz w:val="18"/>
          <w:szCs w:val="18"/>
          <w:lang w:eastAsia="en-GB" w:bidi="en-GB"/>
        </w:rPr>
        <w:t xml:space="preserve"> </w:t>
      </w:r>
      <w:r>
        <w:rPr>
          <w:rFonts w:ascii="Calibri" w:eastAsia="Calibri" w:hAnsi="Calibri" w:cs="Arial"/>
          <w:sz w:val="18"/>
          <w:szCs w:val="18"/>
          <w:lang w:eastAsia="en-GB" w:bidi="en-GB"/>
        </w:rPr>
        <w:t xml:space="preserve">unprecedented </w:t>
      </w:r>
      <w:r w:rsidRPr="003C7BC3">
        <w:rPr>
          <w:rFonts w:ascii="Calibri" w:eastAsia="Calibri" w:hAnsi="Calibri" w:cs="Arial"/>
          <w:sz w:val="18"/>
          <w:szCs w:val="18"/>
          <w:lang w:eastAsia="en-GB" w:bidi="en-GB"/>
        </w:rPr>
        <w:t>impact on the shape of UK food demand</w:t>
      </w:r>
      <w:r>
        <w:rPr>
          <w:rFonts w:ascii="Calibri" w:eastAsia="Calibri" w:hAnsi="Calibri" w:cs="Arial"/>
          <w:sz w:val="18"/>
          <w:szCs w:val="18"/>
          <w:lang w:eastAsia="en-GB" w:bidi="en-GB"/>
        </w:rPr>
        <w:t xml:space="preserve"> and on Group revenue. </w:t>
      </w:r>
      <w:r w:rsidRPr="003C7BC3">
        <w:rPr>
          <w:rFonts w:ascii="Calibri" w:eastAsia="Calibri" w:hAnsi="Calibri" w:cs="Arial"/>
          <w:sz w:val="18"/>
          <w:szCs w:val="18"/>
          <w:lang w:eastAsia="en-GB" w:bidi="en-GB"/>
        </w:rPr>
        <w:t xml:space="preserve">The Group </w:t>
      </w:r>
      <w:r>
        <w:rPr>
          <w:rFonts w:ascii="Calibri" w:eastAsia="Calibri" w:hAnsi="Calibri" w:cs="Arial"/>
          <w:sz w:val="18"/>
          <w:szCs w:val="18"/>
          <w:lang w:eastAsia="en-GB" w:bidi="en-GB"/>
        </w:rPr>
        <w:t xml:space="preserve">has taken </w:t>
      </w:r>
      <w:r w:rsidRPr="003C7BC3">
        <w:rPr>
          <w:rFonts w:ascii="Calibri" w:eastAsia="Calibri" w:hAnsi="Calibri" w:cs="Arial"/>
          <w:sz w:val="18"/>
          <w:szCs w:val="18"/>
          <w:lang w:eastAsia="en-GB" w:bidi="en-GB"/>
        </w:rPr>
        <w:t>prudent measures to protect profitability and cashflow</w:t>
      </w:r>
      <w:r>
        <w:rPr>
          <w:rFonts w:ascii="Calibri" w:eastAsia="Calibri" w:hAnsi="Calibri" w:cs="Arial"/>
          <w:sz w:val="18"/>
          <w:szCs w:val="18"/>
          <w:lang w:eastAsia="en-GB" w:bidi="en-GB"/>
        </w:rPr>
        <w:t xml:space="preserve"> including </w:t>
      </w:r>
      <w:r w:rsidRPr="003C7BC3">
        <w:rPr>
          <w:rFonts w:ascii="Calibri" w:eastAsia="Calibri" w:hAnsi="Calibri" w:cs="Arial"/>
          <w:sz w:val="18"/>
          <w:szCs w:val="18"/>
          <w:lang w:eastAsia="en-GB" w:bidi="en-GB"/>
        </w:rPr>
        <w:t xml:space="preserve">temporarily ceasing production at </w:t>
      </w:r>
      <w:r>
        <w:rPr>
          <w:rFonts w:ascii="Calibri" w:eastAsia="Calibri" w:hAnsi="Calibri" w:cs="Arial"/>
          <w:sz w:val="18"/>
          <w:szCs w:val="18"/>
          <w:lang w:eastAsia="en-GB" w:bidi="en-GB"/>
        </w:rPr>
        <w:t>so</w:t>
      </w:r>
      <w:r w:rsidR="005F0358">
        <w:rPr>
          <w:rFonts w:ascii="Calibri" w:eastAsia="Calibri" w:hAnsi="Calibri" w:cs="Arial"/>
          <w:sz w:val="18"/>
          <w:szCs w:val="18"/>
          <w:lang w:eastAsia="en-GB" w:bidi="en-GB"/>
        </w:rPr>
        <w:t>me</w:t>
      </w:r>
      <w:r>
        <w:rPr>
          <w:rFonts w:ascii="Calibri" w:eastAsia="Calibri" w:hAnsi="Calibri" w:cs="Arial"/>
          <w:sz w:val="18"/>
          <w:szCs w:val="18"/>
          <w:lang w:eastAsia="en-GB" w:bidi="en-GB"/>
        </w:rPr>
        <w:t xml:space="preserve"> of </w:t>
      </w:r>
      <w:r w:rsidRPr="003C7BC3">
        <w:rPr>
          <w:rFonts w:ascii="Calibri" w:eastAsia="Calibri" w:hAnsi="Calibri" w:cs="Arial"/>
          <w:sz w:val="18"/>
          <w:szCs w:val="18"/>
          <w:lang w:eastAsia="en-GB" w:bidi="en-GB"/>
        </w:rPr>
        <w:t>its facilities and</w:t>
      </w:r>
      <w:r>
        <w:rPr>
          <w:rFonts w:ascii="Calibri" w:eastAsia="Calibri" w:hAnsi="Calibri" w:cs="Arial"/>
          <w:sz w:val="18"/>
          <w:szCs w:val="18"/>
          <w:lang w:eastAsia="en-GB" w:bidi="en-GB"/>
        </w:rPr>
        <w:t xml:space="preserve"> f</w:t>
      </w:r>
      <w:r w:rsidRPr="003C7BC3">
        <w:rPr>
          <w:rFonts w:ascii="Calibri" w:eastAsia="Calibri" w:hAnsi="Calibri" w:cs="Arial"/>
          <w:sz w:val="18"/>
          <w:szCs w:val="18"/>
          <w:lang w:eastAsia="en-GB" w:bidi="en-GB"/>
        </w:rPr>
        <w:t>urlough</w:t>
      </w:r>
      <w:r>
        <w:rPr>
          <w:rFonts w:ascii="Calibri" w:eastAsia="Calibri" w:hAnsi="Calibri" w:cs="Arial"/>
          <w:sz w:val="18"/>
          <w:szCs w:val="18"/>
          <w:lang w:eastAsia="en-GB" w:bidi="en-GB"/>
        </w:rPr>
        <w:t>ing</w:t>
      </w:r>
      <w:r w:rsidRPr="003C7BC3">
        <w:rPr>
          <w:rFonts w:ascii="Calibri" w:eastAsia="Calibri" w:hAnsi="Calibri" w:cs="Arial"/>
          <w:sz w:val="18"/>
          <w:szCs w:val="18"/>
          <w:lang w:eastAsia="en-GB" w:bidi="en-GB"/>
        </w:rPr>
        <w:t xml:space="preserve"> </w:t>
      </w:r>
      <w:r w:rsidR="00836AD1">
        <w:rPr>
          <w:rFonts w:ascii="Calibri" w:eastAsia="Calibri" w:hAnsi="Calibri" w:cs="Arial"/>
          <w:sz w:val="18"/>
          <w:szCs w:val="18"/>
          <w:lang w:eastAsia="en-GB" w:bidi="en-GB"/>
        </w:rPr>
        <w:t>a substantial proportion of</w:t>
      </w:r>
      <w:r w:rsidRPr="003C7BC3">
        <w:rPr>
          <w:rFonts w:ascii="Calibri" w:eastAsia="Calibri" w:hAnsi="Calibri" w:cs="Arial"/>
          <w:sz w:val="18"/>
          <w:szCs w:val="18"/>
          <w:lang w:eastAsia="en-GB" w:bidi="en-GB"/>
        </w:rPr>
        <w:t xml:space="preserve"> colleagues, using the Government’s Coronavirus Job Retention Scheme. </w:t>
      </w:r>
    </w:p>
    <w:p w14:paraId="7BB87177" w14:textId="6D6D43D0" w:rsidR="006D0A46" w:rsidRPr="00B52070" w:rsidRDefault="00FE64FF" w:rsidP="00B52070">
      <w:pPr>
        <w:jc w:val="both"/>
        <w:rPr>
          <w:lang w:val="en-IE"/>
        </w:rPr>
      </w:pPr>
      <w:r w:rsidRPr="00B52070">
        <w:rPr>
          <w:sz w:val="18"/>
          <w:szCs w:val="18"/>
        </w:rPr>
        <w:t>As set out in Note 12,</w:t>
      </w:r>
      <w:r w:rsidR="000727B8" w:rsidRPr="00B52070">
        <w:rPr>
          <w:sz w:val="18"/>
          <w:szCs w:val="18"/>
        </w:rPr>
        <w:t xml:space="preserve"> subsequent to the period end,</w:t>
      </w:r>
      <w:r w:rsidRPr="00B52070">
        <w:rPr>
          <w:sz w:val="18"/>
          <w:szCs w:val="18"/>
        </w:rPr>
        <w:t xml:space="preserve"> </w:t>
      </w:r>
      <w:r w:rsidR="00313FBC" w:rsidRPr="00B52070">
        <w:rPr>
          <w:rFonts w:ascii="Calibri" w:eastAsia="Calibri" w:hAnsi="Calibri" w:cs="Arial"/>
          <w:sz w:val="18"/>
          <w:szCs w:val="18"/>
          <w:lang w:eastAsia="en-GB" w:bidi="en-GB"/>
        </w:rPr>
        <w:t>the Group secured formal agreement with its lending syndicate of banks to waive</w:t>
      </w:r>
      <w:r w:rsidR="006D0A46" w:rsidRPr="00B52070">
        <w:rPr>
          <w:rFonts w:ascii="Calibri" w:eastAsia="Calibri" w:hAnsi="Calibri" w:cs="Arial"/>
          <w:sz w:val="18"/>
          <w:szCs w:val="18"/>
          <w:lang w:eastAsia="en-GB" w:bidi="en-GB"/>
        </w:rPr>
        <w:t xml:space="preserve"> Net Debt: EBITDA </w:t>
      </w:r>
      <w:r w:rsidR="00313FBC" w:rsidRPr="00B52070">
        <w:rPr>
          <w:rFonts w:ascii="Calibri" w:eastAsia="Calibri" w:hAnsi="Calibri" w:cs="Arial"/>
          <w:sz w:val="18"/>
          <w:szCs w:val="18"/>
          <w:lang w:eastAsia="en-GB" w:bidi="en-GB"/>
        </w:rPr>
        <w:t>covenant condition</w:t>
      </w:r>
      <w:r w:rsidR="006D0A46" w:rsidRPr="00B52070">
        <w:rPr>
          <w:rFonts w:ascii="Calibri" w:eastAsia="Calibri" w:hAnsi="Calibri" w:cs="Arial"/>
          <w:sz w:val="18"/>
          <w:szCs w:val="18"/>
          <w:lang w:eastAsia="en-GB" w:bidi="en-GB"/>
        </w:rPr>
        <w:t xml:space="preserve"> for September 2020 and March 2021</w:t>
      </w:r>
      <w:r w:rsidR="00C006CB">
        <w:rPr>
          <w:rFonts w:ascii="Calibri" w:eastAsia="Calibri" w:hAnsi="Calibri" w:cs="Arial"/>
          <w:sz w:val="18"/>
          <w:szCs w:val="18"/>
          <w:lang w:eastAsia="en-GB" w:bidi="en-GB"/>
        </w:rPr>
        <w:t xml:space="preserve">. </w:t>
      </w:r>
      <w:r w:rsidR="00C006CB" w:rsidRPr="00B52070">
        <w:rPr>
          <w:rFonts w:ascii="Calibri" w:eastAsia="Calibri" w:hAnsi="Calibri" w:cs="Arial"/>
          <w:sz w:val="18"/>
          <w:szCs w:val="18"/>
          <w:lang w:eastAsia="en-GB" w:bidi="en-GB"/>
        </w:rPr>
        <w:t xml:space="preserve">The </w:t>
      </w:r>
      <w:r w:rsidR="00E858D5" w:rsidRPr="00B52070">
        <w:rPr>
          <w:rFonts w:ascii="Calibri" w:eastAsia="Calibri" w:hAnsi="Calibri" w:cs="Arial"/>
          <w:sz w:val="18"/>
          <w:szCs w:val="18"/>
          <w:lang w:eastAsia="en-GB" w:bidi="en-GB"/>
        </w:rPr>
        <w:t>Group is also</w:t>
      </w:r>
      <w:r w:rsidR="00C006CB" w:rsidRPr="00B52070">
        <w:rPr>
          <w:rFonts w:ascii="Calibri" w:eastAsia="Calibri" w:hAnsi="Calibri" w:cs="Arial"/>
          <w:sz w:val="18"/>
          <w:szCs w:val="18"/>
          <w:lang w:eastAsia="en-GB" w:bidi="en-GB"/>
        </w:rPr>
        <w:t xml:space="preserve"> in advanced stages of discussions with the </w:t>
      </w:r>
      <w:r w:rsidR="00E858D5">
        <w:rPr>
          <w:rFonts w:ascii="Calibri" w:eastAsia="Calibri" w:hAnsi="Calibri" w:cs="Arial"/>
          <w:sz w:val="18"/>
          <w:szCs w:val="18"/>
          <w:lang w:eastAsia="en-GB" w:bidi="en-GB"/>
        </w:rPr>
        <w:t>P</w:t>
      </w:r>
      <w:r w:rsidR="00C006CB" w:rsidRPr="00B52070">
        <w:rPr>
          <w:rFonts w:ascii="Calibri" w:eastAsia="Calibri" w:hAnsi="Calibri" w:cs="Arial"/>
          <w:sz w:val="18"/>
          <w:szCs w:val="18"/>
          <w:lang w:eastAsia="en-GB" w:bidi="en-GB"/>
        </w:rPr>
        <w:t xml:space="preserve">rivate </w:t>
      </w:r>
      <w:r w:rsidR="00E858D5">
        <w:rPr>
          <w:rFonts w:ascii="Calibri" w:eastAsia="Calibri" w:hAnsi="Calibri" w:cs="Arial"/>
          <w:sz w:val="18"/>
          <w:szCs w:val="18"/>
          <w:lang w:eastAsia="en-GB" w:bidi="en-GB"/>
        </w:rPr>
        <w:t>P</w:t>
      </w:r>
      <w:r w:rsidR="00C006CB" w:rsidRPr="00B52070">
        <w:rPr>
          <w:rFonts w:ascii="Calibri" w:eastAsia="Calibri" w:hAnsi="Calibri" w:cs="Arial"/>
          <w:sz w:val="18"/>
          <w:szCs w:val="18"/>
          <w:lang w:eastAsia="en-GB" w:bidi="en-GB"/>
        </w:rPr>
        <w:t xml:space="preserve">lacement holders in respect of a waiver of the September 2020 and March 2021 leverage covenants contained in the </w:t>
      </w:r>
      <w:r w:rsidR="00E858D5">
        <w:rPr>
          <w:rFonts w:ascii="Calibri" w:eastAsia="Calibri" w:hAnsi="Calibri" w:cs="Arial"/>
          <w:sz w:val="18"/>
          <w:szCs w:val="18"/>
          <w:lang w:eastAsia="en-GB" w:bidi="en-GB"/>
        </w:rPr>
        <w:t>P</w:t>
      </w:r>
      <w:r w:rsidR="00C006CB" w:rsidRPr="00B52070">
        <w:rPr>
          <w:rFonts w:ascii="Calibri" w:eastAsia="Calibri" w:hAnsi="Calibri" w:cs="Arial"/>
          <w:sz w:val="18"/>
          <w:szCs w:val="18"/>
          <w:lang w:eastAsia="en-GB" w:bidi="en-GB"/>
        </w:rPr>
        <w:t xml:space="preserve">rivate </w:t>
      </w:r>
      <w:r w:rsidR="00E858D5">
        <w:rPr>
          <w:rFonts w:ascii="Calibri" w:eastAsia="Calibri" w:hAnsi="Calibri" w:cs="Arial"/>
          <w:sz w:val="18"/>
          <w:szCs w:val="18"/>
          <w:lang w:eastAsia="en-GB" w:bidi="en-GB"/>
        </w:rPr>
        <w:t>P</w:t>
      </w:r>
      <w:r w:rsidR="00C006CB" w:rsidRPr="00B52070">
        <w:rPr>
          <w:rFonts w:ascii="Calibri" w:eastAsia="Calibri" w:hAnsi="Calibri" w:cs="Arial"/>
          <w:sz w:val="18"/>
          <w:szCs w:val="18"/>
          <w:lang w:eastAsia="en-GB" w:bidi="en-GB"/>
        </w:rPr>
        <w:t xml:space="preserve">lacement documentation and the </w:t>
      </w:r>
      <w:r w:rsidR="00E858D5">
        <w:rPr>
          <w:rFonts w:ascii="Calibri" w:eastAsia="Calibri" w:hAnsi="Calibri" w:cs="Arial"/>
          <w:sz w:val="18"/>
          <w:szCs w:val="18"/>
          <w:lang w:eastAsia="en-GB" w:bidi="en-GB"/>
        </w:rPr>
        <w:t xml:space="preserve">Group </w:t>
      </w:r>
      <w:r w:rsidR="00C006CB" w:rsidRPr="00B52070">
        <w:rPr>
          <w:rFonts w:ascii="Calibri" w:eastAsia="Calibri" w:hAnsi="Calibri" w:cs="Arial"/>
          <w:sz w:val="18"/>
          <w:szCs w:val="18"/>
          <w:lang w:eastAsia="en-GB" w:bidi="en-GB"/>
        </w:rPr>
        <w:t>expects that an agreement in respect of such waivers will be finalised and concluded in the coming weeks.</w:t>
      </w:r>
    </w:p>
    <w:p w14:paraId="33E7A658" w14:textId="13CF73C8" w:rsidR="002D4204" w:rsidRPr="00B52070" w:rsidRDefault="00765C2C" w:rsidP="00B52070">
      <w:pPr>
        <w:widowControl w:val="0"/>
        <w:autoSpaceDE w:val="0"/>
        <w:autoSpaceDN w:val="0"/>
        <w:spacing w:after="0" w:line="240" w:lineRule="auto"/>
        <w:jc w:val="both"/>
      </w:pPr>
      <w:r w:rsidRPr="00B52070">
        <w:rPr>
          <w:sz w:val="18"/>
          <w:szCs w:val="18"/>
        </w:rPr>
        <w:t xml:space="preserve">The Group </w:t>
      </w:r>
      <w:r w:rsidR="006D0A46" w:rsidRPr="00B52070">
        <w:rPr>
          <w:sz w:val="18"/>
          <w:szCs w:val="18"/>
        </w:rPr>
        <w:t>also confirms</w:t>
      </w:r>
      <w:r w:rsidRPr="00B52070">
        <w:rPr>
          <w:sz w:val="18"/>
          <w:szCs w:val="18"/>
        </w:rPr>
        <w:t xml:space="preserve"> that it has received eligibility, in principle, to access funding under the Bank of England’s </w:t>
      </w:r>
      <w:proofErr w:type="spellStart"/>
      <w:r w:rsidRPr="00B52070">
        <w:rPr>
          <w:sz w:val="18"/>
          <w:szCs w:val="18"/>
        </w:rPr>
        <w:t>Covid</w:t>
      </w:r>
      <w:proofErr w:type="spellEnd"/>
      <w:r w:rsidRPr="00B52070">
        <w:rPr>
          <w:sz w:val="18"/>
          <w:szCs w:val="18"/>
        </w:rPr>
        <w:t xml:space="preserve"> Corporate Financing Facility.</w:t>
      </w:r>
      <w:r w:rsidR="00FE64FF" w:rsidRPr="00B52070">
        <w:rPr>
          <w:sz w:val="18"/>
          <w:szCs w:val="18"/>
        </w:rPr>
        <w:t xml:space="preserve"> </w:t>
      </w:r>
    </w:p>
    <w:p w14:paraId="3DB98339" w14:textId="77777777" w:rsidR="00773F7B" w:rsidRDefault="00773F7B" w:rsidP="00773F7B">
      <w:pPr>
        <w:spacing w:after="0" w:line="240" w:lineRule="auto"/>
        <w:rPr>
          <w:b/>
          <w:sz w:val="18"/>
          <w:szCs w:val="18"/>
        </w:rPr>
      </w:pPr>
    </w:p>
    <w:p w14:paraId="10EBED76" w14:textId="0E2DD08D" w:rsidR="00773F7B" w:rsidRPr="005B3BEE" w:rsidRDefault="00773F7B" w:rsidP="005B3BEE">
      <w:pPr>
        <w:rPr>
          <w:rFonts w:ascii="Calibri" w:eastAsia="Calibri" w:hAnsi="Calibri" w:cs="Arial"/>
          <w:b/>
          <w:bCs/>
          <w:sz w:val="18"/>
          <w:szCs w:val="18"/>
          <w:lang w:val="en-US" w:eastAsia="en-GB" w:bidi="en-GB"/>
        </w:rPr>
      </w:pPr>
      <w:r w:rsidRPr="005B3BEE">
        <w:rPr>
          <w:rFonts w:ascii="Calibri" w:eastAsia="Calibri" w:hAnsi="Calibri" w:cs="Arial"/>
          <w:b/>
          <w:bCs/>
          <w:sz w:val="18"/>
          <w:szCs w:val="18"/>
          <w:lang w:val="en-US" w:eastAsia="en-GB" w:bidi="en-GB"/>
        </w:rPr>
        <w:t>18.</w:t>
      </w:r>
      <w:r w:rsidR="001D4796" w:rsidRPr="005B3BEE">
        <w:rPr>
          <w:rFonts w:ascii="Calibri" w:eastAsia="Calibri" w:hAnsi="Calibri" w:cs="Arial"/>
          <w:b/>
          <w:bCs/>
          <w:sz w:val="18"/>
          <w:szCs w:val="18"/>
          <w:lang w:val="en-US" w:eastAsia="en-GB" w:bidi="en-GB"/>
        </w:rPr>
        <w:tab/>
      </w:r>
      <w:r w:rsidRPr="005B3BEE">
        <w:rPr>
          <w:rFonts w:ascii="Calibri" w:eastAsia="Calibri" w:hAnsi="Calibri" w:cs="Arial"/>
          <w:b/>
          <w:bCs/>
          <w:sz w:val="18"/>
          <w:szCs w:val="18"/>
          <w:lang w:val="en-US" w:eastAsia="en-GB" w:bidi="en-GB"/>
        </w:rPr>
        <w:t>Information</w:t>
      </w:r>
    </w:p>
    <w:p w14:paraId="460193D8" w14:textId="0EA66B85" w:rsidR="00773F7B" w:rsidRDefault="00773F7B" w:rsidP="005B3BEE">
      <w:pPr>
        <w:spacing w:after="120" w:line="240" w:lineRule="auto"/>
        <w:rPr>
          <w:sz w:val="18"/>
          <w:szCs w:val="18"/>
        </w:rPr>
      </w:pPr>
      <w:r w:rsidRPr="00DD4291">
        <w:rPr>
          <w:sz w:val="18"/>
          <w:szCs w:val="18"/>
        </w:rPr>
        <w:lastRenderedPageBreak/>
        <w:t xml:space="preserve">Copies of the </w:t>
      </w:r>
      <w:r w:rsidR="00D9430C">
        <w:rPr>
          <w:sz w:val="18"/>
          <w:szCs w:val="18"/>
        </w:rPr>
        <w:t>Interim</w:t>
      </w:r>
      <w:r w:rsidRPr="00DD4291">
        <w:rPr>
          <w:sz w:val="18"/>
          <w:szCs w:val="18"/>
        </w:rPr>
        <w:t xml:space="preserve"> Financial Report are available for download from the Group's website at www.greencore.com.</w:t>
      </w:r>
    </w:p>
    <w:p w14:paraId="5C93D69F" w14:textId="77777777" w:rsidR="00773F7B" w:rsidRDefault="00773F7B" w:rsidP="00773F7B">
      <w:pPr>
        <w:spacing w:after="0" w:line="240" w:lineRule="auto"/>
        <w:rPr>
          <w:b/>
          <w:sz w:val="18"/>
          <w:szCs w:val="18"/>
        </w:rPr>
        <w:sectPr w:rsidR="00773F7B" w:rsidSect="005B3BEE">
          <w:headerReference w:type="default" r:id="rId14"/>
          <w:pgSz w:w="11906" w:h="16838"/>
          <w:pgMar w:top="1440" w:right="1080" w:bottom="1134" w:left="1080" w:header="708" w:footer="708" w:gutter="0"/>
          <w:cols w:space="708"/>
          <w:docGrid w:linePitch="360"/>
        </w:sectPr>
      </w:pPr>
    </w:p>
    <w:p w14:paraId="1FACBE19" w14:textId="04189767" w:rsidR="00EF1A4B" w:rsidRPr="00EF1A4B" w:rsidRDefault="00EF1A4B" w:rsidP="00EF1A4B">
      <w:pPr>
        <w:pStyle w:val="Heading2"/>
      </w:pPr>
      <w:r>
        <w:lastRenderedPageBreak/>
        <w:br/>
      </w:r>
      <w:r w:rsidRPr="002E0E9E">
        <w:t xml:space="preserve">APPENDIX: </w:t>
      </w:r>
      <w:r>
        <w:t>ALTERNATIVE PERFORMANCE MEASURES</w:t>
      </w:r>
    </w:p>
    <w:p w14:paraId="2E9D8348" w14:textId="265ED8B7" w:rsidR="00773F7B" w:rsidRDefault="00773F7B" w:rsidP="00773F7B">
      <w:pPr>
        <w:spacing w:before="160" w:after="0" w:line="240" w:lineRule="auto"/>
        <w:jc w:val="both"/>
        <w:rPr>
          <w:sz w:val="18"/>
          <w:szCs w:val="18"/>
        </w:rPr>
      </w:pPr>
      <w:r w:rsidRPr="00196436">
        <w:rPr>
          <w:sz w:val="18"/>
          <w:szCs w:val="18"/>
        </w:rPr>
        <w:t>The Group uses the following Alternative Performance Measures (‘APMs’) which are non</w:t>
      </w:r>
      <w:r>
        <w:rPr>
          <w:sz w:val="18"/>
          <w:szCs w:val="18"/>
        </w:rPr>
        <w:t>–</w:t>
      </w:r>
      <w:r w:rsidRPr="00196436">
        <w:rPr>
          <w:sz w:val="18"/>
          <w:szCs w:val="18"/>
        </w:rPr>
        <w:t xml:space="preserve">IFRS measures to monitor the performance of its operations and of the Group as a whole: Pro Forma Sales Growth, Adjusted EBITDA, Adjusted Operating Profit, Adjusted Operating Margin, Adjusted Profit before Tax (‘PBT’), Adjusted Earnings, Adjusted Earnings per Share, Maintenance and Strategic Capital Expenditure, </w:t>
      </w:r>
      <w:r>
        <w:rPr>
          <w:sz w:val="18"/>
          <w:szCs w:val="18"/>
        </w:rPr>
        <w:t>Free Cash Flow, Free Cash Flow Conversion</w:t>
      </w:r>
      <w:r w:rsidRPr="00196436">
        <w:rPr>
          <w:sz w:val="18"/>
          <w:szCs w:val="18"/>
        </w:rPr>
        <w:t>, Net Debt</w:t>
      </w:r>
      <w:r>
        <w:rPr>
          <w:sz w:val="18"/>
          <w:szCs w:val="18"/>
        </w:rPr>
        <w:t>, Net Debt excluding lease</w:t>
      </w:r>
      <w:r w:rsidR="0068359D">
        <w:rPr>
          <w:sz w:val="18"/>
          <w:szCs w:val="18"/>
        </w:rPr>
        <w:t xml:space="preserve"> liabilities</w:t>
      </w:r>
      <w:r w:rsidRPr="00196436">
        <w:rPr>
          <w:sz w:val="18"/>
          <w:szCs w:val="18"/>
        </w:rPr>
        <w:t xml:space="preserve"> and Return on Invested Capital (‘ROIC’). </w:t>
      </w:r>
      <w:r w:rsidR="00D9430C">
        <w:rPr>
          <w:sz w:val="18"/>
          <w:szCs w:val="18"/>
        </w:rPr>
        <w:t>Free Cashflow Conversion is measured and reported on an annual basis at year end.</w:t>
      </w:r>
    </w:p>
    <w:p w14:paraId="6BC21BBF" w14:textId="77777777" w:rsidR="00F035CB" w:rsidRDefault="00F035CB" w:rsidP="00773F7B">
      <w:pPr>
        <w:spacing w:before="160" w:after="0" w:line="240" w:lineRule="auto"/>
        <w:jc w:val="both"/>
        <w:rPr>
          <w:sz w:val="18"/>
          <w:szCs w:val="18"/>
        </w:rPr>
      </w:pPr>
      <w:r w:rsidRPr="00D1572A">
        <w:rPr>
          <w:rFonts w:ascii="Calibri" w:eastAsia="Calibri" w:hAnsi="Calibri" w:cs="Calibri"/>
          <w:sz w:val="18"/>
          <w:szCs w:val="18"/>
          <w:lang w:eastAsia="en-GB" w:bidi="en-GB"/>
        </w:rPr>
        <w:t>On 28 September 2019 the Group adopted IFRS 16</w:t>
      </w:r>
      <w:r>
        <w:rPr>
          <w:rFonts w:ascii="Calibri" w:eastAsia="Calibri" w:hAnsi="Calibri" w:cs="Calibri"/>
          <w:sz w:val="18"/>
          <w:szCs w:val="18"/>
          <w:lang w:eastAsia="en-GB" w:bidi="en-GB"/>
        </w:rPr>
        <w:t xml:space="preserve"> </w:t>
      </w:r>
      <w:r w:rsidRPr="00B07700">
        <w:rPr>
          <w:rFonts w:ascii="Calibri" w:eastAsia="Calibri" w:hAnsi="Calibri" w:cs="Calibri"/>
          <w:i/>
          <w:sz w:val="18"/>
          <w:szCs w:val="18"/>
          <w:lang w:eastAsia="en-GB" w:bidi="en-GB"/>
        </w:rPr>
        <w:t>Leases</w:t>
      </w:r>
      <w:r w:rsidRPr="00D1572A">
        <w:rPr>
          <w:rFonts w:ascii="Calibri" w:eastAsia="Calibri" w:hAnsi="Calibri" w:cs="Calibri"/>
          <w:sz w:val="18"/>
          <w:szCs w:val="18"/>
          <w:lang w:eastAsia="en-GB" w:bidi="en-GB"/>
        </w:rPr>
        <w:t>, the new accounting standard for leases. The Group transitioned to the standard using the modified retrospective approach, which does not require the restatement of comparative periods</w:t>
      </w:r>
      <w:r w:rsidR="00773F7B" w:rsidRPr="004A2ED9">
        <w:rPr>
          <w:sz w:val="18"/>
          <w:szCs w:val="18"/>
        </w:rPr>
        <w:t xml:space="preserve">. </w:t>
      </w:r>
      <w:r w:rsidRPr="004A2ED9">
        <w:rPr>
          <w:sz w:val="18"/>
          <w:szCs w:val="18"/>
        </w:rPr>
        <w:t xml:space="preserve">The changes </w:t>
      </w:r>
      <w:r>
        <w:rPr>
          <w:sz w:val="18"/>
          <w:szCs w:val="18"/>
        </w:rPr>
        <w:t>introduced by the</w:t>
      </w:r>
      <w:r w:rsidRPr="004A2ED9">
        <w:rPr>
          <w:sz w:val="18"/>
          <w:szCs w:val="18"/>
        </w:rPr>
        <w:t xml:space="preserve"> standard impacted profit for the financial year by r</w:t>
      </w:r>
      <w:r>
        <w:rPr>
          <w:sz w:val="18"/>
          <w:szCs w:val="18"/>
        </w:rPr>
        <w:t>eplacing</w:t>
      </w:r>
      <w:r w:rsidRPr="004A2ED9">
        <w:rPr>
          <w:sz w:val="18"/>
          <w:szCs w:val="18"/>
        </w:rPr>
        <w:t xml:space="preserve"> operating lease costs </w:t>
      </w:r>
      <w:r>
        <w:rPr>
          <w:sz w:val="18"/>
          <w:szCs w:val="18"/>
        </w:rPr>
        <w:t>with a depreciation and interest charge</w:t>
      </w:r>
      <w:r w:rsidRPr="004A2ED9">
        <w:rPr>
          <w:sz w:val="18"/>
          <w:szCs w:val="18"/>
        </w:rPr>
        <w:t xml:space="preserve">. In the statement of financial position, net assets </w:t>
      </w:r>
      <w:r>
        <w:rPr>
          <w:sz w:val="18"/>
          <w:szCs w:val="18"/>
        </w:rPr>
        <w:t>are</w:t>
      </w:r>
      <w:r w:rsidRPr="004A2ED9">
        <w:rPr>
          <w:sz w:val="18"/>
          <w:szCs w:val="18"/>
        </w:rPr>
        <w:t xml:space="preserve"> impacted by an uplift in</w:t>
      </w:r>
      <w:r>
        <w:rPr>
          <w:sz w:val="18"/>
          <w:szCs w:val="18"/>
        </w:rPr>
        <w:t xml:space="preserve"> the</w:t>
      </w:r>
      <w:r w:rsidRPr="004A2ED9">
        <w:rPr>
          <w:sz w:val="18"/>
          <w:szCs w:val="18"/>
        </w:rPr>
        <w:t xml:space="preserve"> </w:t>
      </w:r>
      <w:r>
        <w:rPr>
          <w:sz w:val="18"/>
          <w:szCs w:val="18"/>
        </w:rPr>
        <w:t>r</w:t>
      </w:r>
      <w:r w:rsidRPr="004A2ED9">
        <w:rPr>
          <w:sz w:val="18"/>
          <w:szCs w:val="18"/>
        </w:rPr>
        <w:t>ight</w:t>
      </w:r>
      <w:r>
        <w:rPr>
          <w:sz w:val="18"/>
          <w:szCs w:val="18"/>
        </w:rPr>
        <w:t>-</w:t>
      </w:r>
      <w:r w:rsidRPr="004A2ED9">
        <w:rPr>
          <w:sz w:val="18"/>
          <w:szCs w:val="18"/>
        </w:rPr>
        <w:t>of</w:t>
      </w:r>
      <w:r>
        <w:rPr>
          <w:sz w:val="18"/>
          <w:szCs w:val="18"/>
        </w:rPr>
        <w:t>-u</w:t>
      </w:r>
      <w:r w:rsidRPr="004A2ED9">
        <w:rPr>
          <w:sz w:val="18"/>
          <w:szCs w:val="18"/>
        </w:rPr>
        <w:t xml:space="preserve">se assets offset by </w:t>
      </w:r>
      <w:r>
        <w:rPr>
          <w:sz w:val="18"/>
          <w:szCs w:val="18"/>
        </w:rPr>
        <w:t xml:space="preserve">the </w:t>
      </w:r>
      <w:r w:rsidRPr="004A2ED9">
        <w:rPr>
          <w:sz w:val="18"/>
          <w:szCs w:val="18"/>
        </w:rPr>
        <w:t>lease obligations</w:t>
      </w:r>
      <w:r>
        <w:rPr>
          <w:sz w:val="18"/>
          <w:szCs w:val="18"/>
        </w:rPr>
        <w:t xml:space="preserve"> and after adjusting for the tax effect of the transition</w:t>
      </w:r>
      <w:r w:rsidRPr="004A2ED9">
        <w:rPr>
          <w:sz w:val="18"/>
          <w:szCs w:val="18"/>
        </w:rPr>
        <w:t>.</w:t>
      </w:r>
      <w:r>
        <w:rPr>
          <w:sz w:val="18"/>
          <w:szCs w:val="18"/>
        </w:rPr>
        <w:t xml:space="preserve"> The impact on APMs on transition to IFRS 16 </w:t>
      </w:r>
      <w:r w:rsidRPr="005F112A">
        <w:rPr>
          <w:i/>
          <w:sz w:val="18"/>
          <w:szCs w:val="18"/>
        </w:rPr>
        <w:t xml:space="preserve">Leases </w:t>
      </w:r>
      <w:r>
        <w:rPr>
          <w:sz w:val="18"/>
          <w:szCs w:val="18"/>
        </w:rPr>
        <w:t xml:space="preserve">is set out in the table below. </w:t>
      </w:r>
    </w:p>
    <w:p w14:paraId="10AF703E" w14:textId="77777777" w:rsidR="00773F7B" w:rsidRDefault="00F035CB" w:rsidP="00773F7B">
      <w:pPr>
        <w:spacing w:before="160" w:after="0" w:line="240" w:lineRule="auto"/>
        <w:jc w:val="both"/>
        <w:rPr>
          <w:sz w:val="18"/>
          <w:szCs w:val="18"/>
        </w:rPr>
      </w:pPr>
      <w:r w:rsidRPr="004A2ED9">
        <w:rPr>
          <w:sz w:val="18"/>
          <w:szCs w:val="18"/>
        </w:rPr>
        <w:t xml:space="preserve"> </w:t>
      </w:r>
    </w:p>
    <w:tbl>
      <w:tblPr>
        <w:tblStyle w:val="TableGrid"/>
        <w:tblW w:w="0" w:type="auto"/>
        <w:jc w:val="center"/>
        <w:tblLook w:val="04A0" w:firstRow="1" w:lastRow="0" w:firstColumn="1" w:lastColumn="0" w:noHBand="0" w:noVBand="1"/>
      </w:tblPr>
      <w:tblGrid>
        <w:gridCol w:w="5255"/>
        <w:gridCol w:w="1347"/>
      </w:tblGrid>
      <w:tr w:rsidR="00773F7B" w:rsidRPr="00B56F64" w14:paraId="294AAAE7" w14:textId="77777777" w:rsidTr="00773F7B">
        <w:trPr>
          <w:jc w:val="center"/>
        </w:trPr>
        <w:tc>
          <w:tcPr>
            <w:tcW w:w="5255" w:type="dxa"/>
          </w:tcPr>
          <w:p w14:paraId="3571A5C2" w14:textId="77777777" w:rsidR="00773F7B" w:rsidRPr="00B56F64" w:rsidRDefault="0068359D" w:rsidP="00773F7B">
            <w:pPr>
              <w:adjustRightInd w:val="0"/>
              <w:rPr>
                <w:b/>
                <w:sz w:val="18"/>
                <w:szCs w:val="18"/>
              </w:rPr>
            </w:pPr>
            <w:r>
              <w:rPr>
                <w:b/>
                <w:sz w:val="18"/>
                <w:szCs w:val="18"/>
              </w:rPr>
              <w:t>Performance M</w:t>
            </w:r>
            <w:r w:rsidR="00773F7B">
              <w:rPr>
                <w:b/>
                <w:sz w:val="18"/>
                <w:szCs w:val="18"/>
              </w:rPr>
              <w:t>easure</w:t>
            </w:r>
            <w:r w:rsidR="00DF3EC7">
              <w:rPr>
                <w:b/>
                <w:sz w:val="18"/>
                <w:szCs w:val="18"/>
              </w:rPr>
              <w:t>s</w:t>
            </w:r>
          </w:p>
        </w:tc>
        <w:tc>
          <w:tcPr>
            <w:tcW w:w="1347" w:type="dxa"/>
          </w:tcPr>
          <w:p w14:paraId="63F0D5E5" w14:textId="21778CEF" w:rsidR="00773F7B" w:rsidRPr="00B56F64" w:rsidRDefault="00773F7B" w:rsidP="005B3BEE">
            <w:pPr>
              <w:adjustRightInd w:val="0"/>
              <w:jc w:val="center"/>
              <w:rPr>
                <w:b/>
                <w:sz w:val="18"/>
                <w:szCs w:val="18"/>
              </w:rPr>
            </w:pPr>
          </w:p>
        </w:tc>
      </w:tr>
      <w:tr w:rsidR="00773F7B" w:rsidRPr="0026662E" w14:paraId="7B714B4B" w14:textId="77777777" w:rsidTr="00773F7B">
        <w:trPr>
          <w:jc w:val="center"/>
        </w:trPr>
        <w:tc>
          <w:tcPr>
            <w:tcW w:w="5255" w:type="dxa"/>
            <w:vAlign w:val="bottom"/>
          </w:tcPr>
          <w:p w14:paraId="308B2B4C" w14:textId="117B9326" w:rsidR="00773F7B" w:rsidRPr="0026662E" w:rsidRDefault="00773F7B" w:rsidP="00773F7B">
            <w:pPr>
              <w:adjustRightInd w:val="0"/>
              <w:rPr>
                <w:sz w:val="18"/>
                <w:szCs w:val="18"/>
              </w:rPr>
            </w:pPr>
            <w:r>
              <w:rPr>
                <w:sz w:val="18"/>
                <w:szCs w:val="18"/>
              </w:rPr>
              <w:t>Adjusted EBITDA</w:t>
            </w:r>
            <w:r w:rsidR="009A2F48">
              <w:rPr>
                <w:sz w:val="18"/>
                <w:szCs w:val="18"/>
              </w:rPr>
              <w:t xml:space="preserve"> (£m)</w:t>
            </w:r>
          </w:p>
        </w:tc>
        <w:tc>
          <w:tcPr>
            <w:tcW w:w="1347" w:type="dxa"/>
          </w:tcPr>
          <w:p w14:paraId="6608D21B" w14:textId="77777777" w:rsidR="00773F7B" w:rsidRPr="0026662E" w:rsidRDefault="00773F7B" w:rsidP="00773F7B">
            <w:pPr>
              <w:adjustRightInd w:val="0"/>
              <w:jc w:val="right"/>
              <w:rPr>
                <w:sz w:val="18"/>
                <w:szCs w:val="18"/>
              </w:rPr>
            </w:pPr>
            <w:r>
              <w:rPr>
                <w:sz w:val="18"/>
                <w:szCs w:val="18"/>
              </w:rPr>
              <w:t>+6.3</w:t>
            </w:r>
          </w:p>
        </w:tc>
      </w:tr>
      <w:tr w:rsidR="00773F7B" w:rsidRPr="0026662E" w14:paraId="7B715488" w14:textId="77777777" w:rsidTr="00773F7B">
        <w:trPr>
          <w:jc w:val="center"/>
        </w:trPr>
        <w:tc>
          <w:tcPr>
            <w:tcW w:w="5255" w:type="dxa"/>
            <w:vAlign w:val="bottom"/>
          </w:tcPr>
          <w:p w14:paraId="44627541" w14:textId="7B60CBEC" w:rsidR="00773F7B" w:rsidRPr="0026662E" w:rsidRDefault="00773F7B" w:rsidP="00773F7B">
            <w:pPr>
              <w:adjustRightInd w:val="0"/>
              <w:rPr>
                <w:sz w:val="18"/>
                <w:szCs w:val="18"/>
              </w:rPr>
            </w:pPr>
            <w:r>
              <w:rPr>
                <w:sz w:val="18"/>
                <w:szCs w:val="18"/>
              </w:rPr>
              <w:t>Adjusted Operating Profit</w:t>
            </w:r>
            <w:r w:rsidR="009A2F48">
              <w:rPr>
                <w:sz w:val="18"/>
                <w:szCs w:val="18"/>
              </w:rPr>
              <w:t xml:space="preserve"> (£m)</w:t>
            </w:r>
          </w:p>
        </w:tc>
        <w:tc>
          <w:tcPr>
            <w:tcW w:w="1347" w:type="dxa"/>
          </w:tcPr>
          <w:p w14:paraId="103925F1" w14:textId="77777777" w:rsidR="00773F7B" w:rsidRPr="0026662E" w:rsidRDefault="00773F7B" w:rsidP="00773F7B">
            <w:pPr>
              <w:adjustRightInd w:val="0"/>
              <w:jc w:val="right"/>
              <w:rPr>
                <w:sz w:val="18"/>
                <w:szCs w:val="18"/>
              </w:rPr>
            </w:pPr>
            <w:r>
              <w:rPr>
                <w:sz w:val="18"/>
                <w:szCs w:val="18"/>
              </w:rPr>
              <w:t>+0.3</w:t>
            </w:r>
          </w:p>
        </w:tc>
      </w:tr>
      <w:tr w:rsidR="00773F7B" w:rsidRPr="0026662E" w14:paraId="29623FB1" w14:textId="77777777" w:rsidTr="00773F7B">
        <w:trPr>
          <w:jc w:val="center"/>
        </w:trPr>
        <w:tc>
          <w:tcPr>
            <w:tcW w:w="5255" w:type="dxa"/>
          </w:tcPr>
          <w:p w14:paraId="45C4D845" w14:textId="3D38B6E7" w:rsidR="00773F7B" w:rsidRDefault="00773F7B" w:rsidP="00773F7B">
            <w:pPr>
              <w:adjustRightInd w:val="0"/>
              <w:rPr>
                <w:sz w:val="18"/>
                <w:szCs w:val="18"/>
              </w:rPr>
            </w:pPr>
            <w:r>
              <w:rPr>
                <w:sz w:val="18"/>
                <w:szCs w:val="18"/>
              </w:rPr>
              <w:t>Adjusted Profit Before Tax</w:t>
            </w:r>
            <w:r w:rsidR="009A2F48">
              <w:rPr>
                <w:sz w:val="18"/>
                <w:szCs w:val="18"/>
              </w:rPr>
              <w:t xml:space="preserve"> (£m)</w:t>
            </w:r>
          </w:p>
        </w:tc>
        <w:tc>
          <w:tcPr>
            <w:tcW w:w="1347" w:type="dxa"/>
            <w:shd w:val="clear" w:color="auto" w:fill="auto"/>
          </w:tcPr>
          <w:p w14:paraId="2BA9BA71" w14:textId="2997AAC4" w:rsidR="00773F7B" w:rsidRDefault="004379BF" w:rsidP="00773F7B">
            <w:pPr>
              <w:adjustRightInd w:val="0"/>
              <w:jc w:val="right"/>
              <w:rPr>
                <w:sz w:val="18"/>
                <w:szCs w:val="18"/>
              </w:rPr>
            </w:pPr>
            <w:r>
              <w:rPr>
                <w:sz w:val="18"/>
                <w:szCs w:val="18"/>
              </w:rPr>
              <w:t>-</w:t>
            </w:r>
            <w:r w:rsidR="00773F7B">
              <w:rPr>
                <w:sz w:val="18"/>
                <w:szCs w:val="18"/>
              </w:rPr>
              <w:t>0.</w:t>
            </w:r>
            <w:r>
              <w:rPr>
                <w:sz w:val="18"/>
                <w:szCs w:val="18"/>
              </w:rPr>
              <w:t>2</w:t>
            </w:r>
          </w:p>
        </w:tc>
      </w:tr>
      <w:tr w:rsidR="00773F7B" w:rsidRPr="0026662E" w14:paraId="68D16872" w14:textId="77777777" w:rsidTr="00773F7B">
        <w:trPr>
          <w:jc w:val="center"/>
        </w:trPr>
        <w:tc>
          <w:tcPr>
            <w:tcW w:w="5255" w:type="dxa"/>
            <w:vAlign w:val="bottom"/>
          </w:tcPr>
          <w:p w14:paraId="39323D72" w14:textId="77777777" w:rsidR="00773F7B" w:rsidRDefault="00773F7B" w:rsidP="00773F7B">
            <w:pPr>
              <w:adjustRightInd w:val="0"/>
              <w:rPr>
                <w:sz w:val="18"/>
                <w:szCs w:val="18"/>
              </w:rPr>
            </w:pPr>
            <w:r>
              <w:rPr>
                <w:sz w:val="18"/>
                <w:szCs w:val="18"/>
              </w:rPr>
              <w:t>Adjusted EPS (pence)</w:t>
            </w:r>
          </w:p>
        </w:tc>
        <w:tc>
          <w:tcPr>
            <w:tcW w:w="1347" w:type="dxa"/>
            <w:shd w:val="clear" w:color="auto" w:fill="auto"/>
          </w:tcPr>
          <w:p w14:paraId="576C1794" w14:textId="4D901C4C" w:rsidR="00773F7B" w:rsidRDefault="009A2F48" w:rsidP="00773F7B">
            <w:pPr>
              <w:adjustRightInd w:val="0"/>
              <w:jc w:val="right"/>
              <w:rPr>
                <w:sz w:val="18"/>
                <w:szCs w:val="18"/>
              </w:rPr>
            </w:pPr>
            <w:r>
              <w:rPr>
                <w:sz w:val="18"/>
                <w:szCs w:val="18"/>
              </w:rPr>
              <w:t>I</w:t>
            </w:r>
            <w:r w:rsidR="003B6495">
              <w:rPr>
                <w:sz w:val="18"/>
                <w:szCs w:val="18"/>
              </w:rPr>
              <w:t>mmaterial</w:t>
            </w:r>
          </w:p>
        </w:tc>
      </w:tr>
      <w:tr w:rsidR="00773F7B" w:rsidRPr="0026662E" w14:paraId="024EB073" w14:textId="77777777" w:rsidTr="00773F7B">
        <w:trPr>
          <w:jc w:val="center"/>
        </w:trPr>
        <w:tc>
          <w:tcPr>
            <w:tcW w:w="5255" w:type="dxa"/>
          </w:tcPr>
          <w:p w14:paraId="44A0DBE5" w14:textId="2D74E9DC" w:rsidR="00773F7B" w:rsidRPr="00255128" w:rsidRDefault="00773F7B" w:rsidP="00773F7B">
            <w:pPr>
              <w:adjustRightInd w:val="0"/>
              <w:rPr>
                <w:sz w:val="18"/>
                <w:szCs w:val="18"/>
              </w:rPr>
            </w:pPr>
            <w:r>
              <w:rPr>
                <w:sz w:val="18"/>
                <w:szCs w:val="18"/>
              </w:rPr>
              <w:t>Free Cash Flow</w:t>
            </w:r>
            <w:r w:rsidR="009A2F48">
              <w:rPr>
                <w:sz w:val="18"/>
                <w:szCs w:val="18"/>
              </w:rPr>
              <w:t xml:space="preserve"> (£m)</w:t>
            </w:r>
          </w:p>
        </w:tc>
        <w:tc>
          <w:tcPr>
            <w:tcW w:w="1347" w:type="dxa"/>
            <w:shd w:val="clear" w:color="auto" w:fill="auto"/>
          </w:tcPr>
          <w:p w14:paraId="6A20AB0B" w14:textId="77777777" w:rsidR="00773F7B" w:rsidRPr="00255128" w:rsidRDefault="00773F7B" w:rsidP="00773F7B">
            <w:pPr>
              <w:adjustRightInd w:val="0"/>
              <w:jc w:val="right"/>
              <w:rPr>
                <w:sz w:val="18"/>
                <w:szCs w:val="18"/>
              </w:rPr>
            </w:pPr>
            <w:r>
              <w:rPr>
                <w:sz w:val="18"/>
                <w:szCs w:val="18"/>
              </w:rPr>
              <w:t>-</w:t>
            </w:r>
          </w:p>
        </w:tc>
      </w:tr>
      <w:tr w:rsidR="00773F7B" w:rsidRPr="0026662E" w14:paraId="444CFDB1" w14:textId="77777777" w:rsidTr="00773F7B">
        <w:trPr>
          <w:jc w:val="center"/>
        </w:trPr>
        <w:tc>
          <w:tcPr>
            <w:tcW w:w="5255" w:type="dxa"/>
          </w:tcPr>
          <w:p w14:paraId="1344416C" w14:textId="2DC28D8D" w:rsidR="00773F7B" w:rsidRPr="0026662E" w:rsidRDefault="00773F7B" w:rsidP="00773F7B">
            <w:pPr>
              <w:adjustRightInd w:val="0"/>
              <w:rPr>
                <w:sz w:val="18"/>
                <w:szCs w:val="18"/>
              </w:rPr>
            </w:pPr>
            <w:r>
              <w:rPr>
                <w:sz w:val="18"/>
                <w:szCs w:val="18"/>
              </w:rPr>
              <w:t>Net Debt</w:t>
            </w:r>
            <w:r w:rsidR="009A2F48">
              <w:rPr>
                <w:sz w:val="18"/>
                <w:szCs w:val="18"/>
              </w:rPr>
              <w:t xml:space="preserve"> (£m)</w:t>
            </w:r>
          </w:p>
        </w:tc>
        <w:tc>
          <w:tcPr>
            <w:tcW w:w="1347" w:type="dxa"/>
            <w:shd w:val="clear" w:color="auto" w:fill="auto"/>
          </w:tcPr>
          <w:p w14:paraId="3C8E9092" w14:textId="77777777" w:rsidR="00773F7B" w:rsidRPr="0026662E" w:rsidRDefault="00773F7B" w:rsidP="00773F7B">
            <w:pPr>
              <w:adjustRightInd w:val="0"/>
              <w:jc w:val="right"/>
              <w:rPr>
                <w:sz w:val="18"/>
                <w:szCs w:val="18"/>
              </w:rPr>
            </w:pPr>
            <w:r>
              <w:rPr>
                <w:sz w:val="18"/>
                <w:szCs w:val="18"/>
              </w:rPr>
              <w:t>+63.3</w:t>
            </w:r>
          </w:p>
        </w:tc>
      </w:tr>
      <w:tr w:rsidR="00773F7B" w:rsidRPr="0026662E" w14:paraId="1B2A164F" w14:textId="77777777" w:rsidTr="00773F7B">
        <w:trPr>
          <w:jc w:val="center"/>
        </w:trPr>
        <w:tc>
          <w:tcPr>
            <w:tcW w:w="5255" w:type="dxa"/>
            <w:vAlign w:val="bottom"/>
          </w:tcPr>
          <w:p w14:paraId="58AD422C" w14:textId="77777777" w:rsidR="00773F7B" w:rsidRDefault="00773F7B" w:rsidP="00773F7B">
            <w:pPr>
              <w:adjustRightInd w:val="0"/>
              <w:rPr>
                <w:sz w:val="18"/>
                <w:szCs w:val="18"/>
              </w:rPr>
            </w:pPr>
            <w:r>
              <w:rPr>
                <w:sz w:val="18"/>
                <w:szCs w:val="18"/>
              </w:rPr>
              <w:t>ROIC (%)</w:t>
            </w:r>
          </w:p>
        </w:tc>
        <w:tc>
          <w:tcPr>
            <w:tcW w:w="1347" w:type="dxa"/>
            <w:shd w:val="clear" w:color="auto" w:fill="auto"/>
          </w:tcPr>
          <w:p w14:paraId="09D067C8" w14:textId="3474868A" w:rsidR="00773F7B" w:rsidRDefault="004379BF" w:rsidP="00773F7B">
            <w:pPr>
              <w:adjustRightInd w:val="0"/>
              <w:jc w:val="right"/>
              <w:rPr>
                <w:sz w:val="18"/>
                <w:szCs w:val="18"/>
              </w:rPr>
            </w:pPr>
            <w:r>
              <w:rPr>
                <w:sz w:val="18"/>
                <w:szCs w:val="18"/>
              </w:rPr>
              <w:t>-</w:t>
            </w:r>
            <w:r w:rsidR="00773F7B">
              <w:rPr>
                <w:sz w:val="18"/>
                <w:szCs w:val="18"/>
              </w:rPr>
              <w:t>0.5</w:t>
            </w:r>
          </w:p>
        </w:tc>
      </w:tr>
    </w:tbl>
    <w:p w14:paraId="38A6A672" w14:textId="77777777" w:rsidR="00773F7B" w:rsidRDefault="00773F7B" w:rsidP="00773F7B">
      <w:pPr>
        <w:spacing w:before="160" w:after="0" w:line="240" w:lineRule="auto"/>
        <w:jc w:val="both"/>
        <w:rPr>
          <w:b/>
          <w:sz w:val="18"/>
          <w:szCs w:val="18"/>
        </w:rPr>
      </w:pPr>
    </w:p>
    <w:p w14:paraId="6C4C43C5" w14:textId="77777777" w:rsidR="00773F7B" w:rsidRDefault="00773F7B" w:rsidP="00773F7B">
      <w:pPr>
        <w:spacing w:before="160" w:after="0" w:line="240" w:lineRule="auto"/>
        <w:jc w:val="both"/>
        <w:rPr>
          <w:b/>
          <w:sz w:val="18"/>
          <w:szCs w:val="18"/>
        </w:rPr>
      </w:pPr>
      <w:r w:rsidRPr="007870A7">
        <w:rPr>
          <w:b/>
          <w:sz w:val="18"/>
          <w:szCs w:val="18"/>
        </w:rPr>
        <w:t>PRO</w:t>
      </w:r>
      <w:r>
        <w:rPr>
          <w:b/>
          <w:sz w:val="18"/>
          <w:szCs w:val="18"/>
        </w:rPr>
        <w:t xml:space="preserve"> </w:t>
      </w:r>
      <w:r w:rsidRPr="007870A7">
        <w:rPr>
          <w:b/>
          <w:sz w:val="18"/>
          <w:szCs w:val="18"/>
        </w:rPr>
        <w:t>FORMA REVENUE GROWTH</w:t>
      </w:r>
      <w:r>
        <w:rPr>
          <w:b/>
          <w:sz w:val="18"/>
          <w:szCs w:val="18"/>
        </w:rPr>
        <w:t xml:space="preserve"> </w:t>
      </w:r>
    </w:p>
    <w:p w14:paraId="44D0CD09" w14:textId="77777777" w:rsidR="00773F7B" w:rsidRDefault="00773F7B" w:rsidP="00773F7B">
      <w:pPr>
        <w:spacing w:before="160" w:after="0" w:line="240" w:lineRule="auto"/>
        <w:jc w:val="both"/>
        <w:rPr>
          <w:sz w:val="18"/>
          <w:szCs w:val="18"/>
        </w:rPr>
      </w:pPr>
      <w:r w:rsidRPr="003A6352">
        <w:rPr>
          <w:sz w:val="18"/>
          <w:szCs w:val="18"/>
        </w:rPr>
        <w:t xml:space="preserve">The Group uses Pro Forma Revenue Growth as a supplemental measure of its performance. The Group believes that Pro Forma Revenue Growth provides a more accurate guide to underlying revenue </w:t>
      </w:r>
      <w:r w:rsidRPr="005C7C70">
        <w:rPr>
          <w:sz w:val="18"/>
          <w:szCs w:val="18"/>
        </w:rPr>
        <w:t xml:space="preserve">performance. </w:t>
      </w:r>
    </w:p>
    <w:p w14:paraId="19569E79" w14:textId="77777777" w:rsidR="00773F7B" w:rsidRPr="00196436" w:rsidRDefault="00773F7B" w:rsidP="00773F7B">
      <w:pPr>
        <w:spacing w:before="160" w:after="0" w:line="240" w:lineRule="auto"/>
        <w:jc w:val="both"/>
        <w:rPr>
          <w:sz w:val="18"/>
          <w:szCs w:val="18"/>
        </w:rPr>
      </w:pPr>
      <w:r w:rsidRPr="003A6352">
        <w:rPr>
          <w:sz w:val="18"/>
          <w:szCs w:val="18"/>
        </w:rPr>
        <w:t xml:space="preserve">Pro Forma Revenue Growth adjusts </w:t>
      </w:r>
      <w:r w:rsidRPr="00196436">
        <w:rPr>
          <w:sz w:val="18"/>
          <w:szCs w:val="18"/>
        </w:rPr>
        <w:t>reported revenue to reflect the ownership of Freshtime for the full period in FY19 and excludes the impact of revenue from the exit of longer life ready meals manufacturing at the Kiveton facility in H1 19. It also presents the numbers on a constant currency basis</w:t>
      </w:r>
      <w:r>
        <w:rPr>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134"/>
        <w:gridCol w:w="1134"/>
        <w:gridCol w:w="2081"/>
      </w:tblGrid>
      <w:tr w:rsidR="00773F7B" w14:paraId="175249F5" w14:textId="77777777" w:rsidTr="00773F7B">
        <w:tc>
          <w:tcPr>
            <w:tcW w:w="5387" w:type="dxa"/>
          </w:tcPr>
          <w:p w14:paraId="2B0A5762" w14:textId="77777777" w:rsidR="00773F7B" w:rsidRPr="00931330" w:rsidRDefault="00773F7B" w:rsidP="00773F7B">
            <w:pPr>
              <w:pStyle w:val="T2"/>
            </w:pPr>
          </w:p>
        </w:tc>
        <w:tc>
          <w:tcPr>
            <w:tcW w:w="1134" w:type="dxa"/>
          </w:tcPr>
          <w:p w14:paraId="46C712C2" w14:textId="77777777" w:rsidR="00773F7B" w:rsidRPr="00931330" w:rsidRDefault="00773F7B" w:rsidP="00773F7B">
            <w:pPr>
              <w:pStyle w:val="T2"/>
              <w:rPr>
                <w:b/>
              </w:rPr>
            </w:pPr>
          </w:p>
        </w:tc>
        <w:tc>
          <w:tcPr>
            <w:tcW w:w="1134" w:type="dxa"/>
          </w:tcPr>
          <w:p w14:paraId="5E27733E" w14:textId="77777777" w:rsidR="00773F7B" w:rsidRPr="00931330" w:rsidRDefault="00773F7B" w:rsidP="00773F7B">
            <w:pPr>
              <w:pStyle w:val="T2"/>
              <w:rPr>
                <w:b/>
              </w:rPr>
            </w:pPr>
          </w:p>
        </w:tc>
        <w:tc>
          <w:tcPr>
            <w:tcW w:w="2081" w:type="dxa"/>
          </w:tcPr>
          <w:p w14:paraId="2A7CF867" w14:textId="77777777" w:rsidR="00773F7B" w:rsidRPr="00931330" w:rsidRDefault="00773F7B">
            <w:pPr>
              <w:pStyle w:val="T2"/>
              <w:jc w:val="right"/>
              <w:rPr>
                <w:b/>
              </w:rPr>
            </w:pPr>
            <w:r w:rsidRPr="00931330">
              <w:rPr>
                <w:b/>
              </w:rPr>
              <w:t xml:space="preserve">Half </w:t>
            </w:r>
            <w:r w:rsidR="00B41E40">
              <w:rPr>
                <w:b/>
              </w:rPr>
              <w:t>y</w:t>
            </w:r>
            <w:r w:rsidR="00B41E40" w:rsidRPr="00931330">
              <w:rPr>
                <w:b/>
              </w:rPr>
              <w:t xml:space="preserve">ear </w:t>
            </w:r>
            <w:r w:rsidRPr="00931330">
              <w:rPr>
                <w:b/>
              </w:rPr>
              <w:t>20</w:t>
            </w:r>
            <w:r>
              <w:rPr>
                <w:b/>
              </w:rPr>
              <w:t>20</w:t>
            </w:r>
          </w:p>
        </w:tc>
      </w:tr>
      <w:tr w:rsidR="00773F7B" w14:paraId="7AF8B7A7" w14:textId="77777777" w:rsidTr="00773F7B">
        <w:tc>
          <w:tcPr>
            <w:tcW w:w="5387" w:type="dxa"/>
          </w:tcPr>
          <w:p w14:paraId="4AEBFADE" w14:textId="77777777" w:rsidR="00773F7B" w:rsidRPr="00931330" w:rsidRDefault="00773F7B" w:rsidP="00773F7B">
            <w:pPr>
              <w:pStyle w:val="T2"/>
            </w:pPr>
          </w:p>
        </w:tc>
        <w:tc>
          <w:tcPr>
            <w:tcW w:w="1134" w:type="dxa"/>
            <w:vAlign w:val="bottom"/>
          </w:tcPr>
          <w:p w14:paraId="5A03FFB2" w14:textId="77777777" w:rsidR="00773F7B" w:rsidRPr="00931330" w:rsidRDefault="00773F7B" w:rsidP="00773F7B">
            <w:pPr>
              <w:pStyle w:val="T2"/>
              <w:jc w:val="right"/>
              <w:rPr>
                <w:b/>
              </w:rPr>
            </w:pPr>
          </w:p>
        </w:tc>
        <w:tc>
          <w:tcPr>
            <w:tcW w:w="1134" w:type="dxa"/>
            <w:vAlign w:val="bottom"/>
          </w:tcPr>
          <w:p w14:paraId="667542D4" w14:textId="77777777" w:rsidR="00773F7B" w:rsidRPr="00931330" w:rsidRDefault="00773F7B" w:rsidP="00773F7B">
            <w:pPr>
              <w:pStyle w:val="T2"/>
              <w:jc w:val="right"/>
              <w:rPr>
                <w:b/>
              </w:rPr>
            </w:pPr>
          </w:p>
        </w:tc>
        <w:tc>
          <w:tcPr>
            <w:tcW w:w="2081" w:type="dxa"/>
            <w:vAlign w:val="bottom"/>
          </w:tcPr>
          <w:p w14:paraId="3B919FD3" w14:textId="77777777" w:rsidR="00773F7B" w:rsidRDefault="00773F7B" w:rsidP="00773F7B">
            <w:pPr>
              <w:pStyle w:val="T2"/>
              <w:jc w:val="right"/>
              <w:rPr>
                <w:b/>
              </w:rPr>
            </w:pPr>
            <w:r>
              <w:rPr>
                <w:b/>
              </w:rPr>
              <w:t xml:space="preserve">Convenience Foods </w:t>
            </w:r>
          </w:p>
          <w:p w14:paraId="5CAD2F34" w14:textId="77777777" w:rsidR="00773F7B" w:rsidRPr="00931330" w:rsidRDefault="00773F7B" w:rsidP="00773F7B">
            <w:pPr>
              <w:pStyle w:val="T2"/>
              <w:jc w:val="right"/>
              <w:rPr>
                <w:b/>
              </w:rPr>
            </w:pPr>
            <w:r>
              <w:rPr>
                <w:b/>
              </w:rPr>
              <w:t>UK &amp; Ireland</w:t>
            </w:r>
          </w:p>
        </w:tc>
      </w:tr>
      <w:tr w:rsidR="00773F7B" w14:paraId="738B6E6B" w14:textId="77777777" w:rsidTr="00773F7B">
        <w:tc>
          <w:tcPr>
            <w:tcW w:w="5387" w:type="dxa"/>
            <w:tcBorders>
              <w:bottom w:val="single" w:sz="2" w:space="0" w:color="auto"/>
            </w:tcBorders>
          </w:tcPr>
          <w:p w14:paraId="32AA72BC" w14:textId="77777777" w:rsidR="00773F7B" w:rsidRPr="00931330" w:rsidRDefault="00773F7B" w:rsidP="00773F7B">
            <w:pPr>
              <w:pStyle w:val="T2"/>
            </w:pPr>
          </w:p>
        </w:tc>
        <w:tc>
          <w:tcPr>
            <w:tcW w:w="1134" w:type="dxa"/>
            <w:tcBorders>
              <w:bottom w:val="single" w:sz="2" w:space="0" w:color="auto"/>
            </w:tcBorders>
            <w:vAlign w:val="bottom"/>
          </w:tcPr>
          <w:p w14:paraId="500073E2" w14:textId="77777777" w:rsidR="00773F7B" w:rsidRPr="00931330" w:rsidRDefault="00773F7B" w:rsidP="00773F7B">
            <w:pPr>
              <w:pStyle w:val="T2"/>
              <w:jc w:val="right"/>
              <w:rPr>
                <w:b/>
              </w:rPr>
            </w:pPr>
          </w:p>
        </w:tc>
        <w:tc>
          <w:tcPr>
            <w:tcW w:w="1134" w:type="dxa"/>
            <w:tcBorders>
              <w:bottom w:val="single" w:sz="2" w:space="0" w:color="auto"/>
            </w:tcBorders>
            <w:vAlign w:val="bottom"/>
          </w:tcPr>
          <w:p w14:paraId="3C6A79EC" w14:textId="77777777" w:rsidR="00773F7B" w:rsidRPr="00931330" w:rsidRDefault="00773F7B" w:rsidP="00773F7B">
            <w:pPr>
              <w:pStyle w:val="T2"/>
              <w:jc w:val="right"/>
              <w:rPr>
                <w:b/>
              </w:rPr>
            </w:pPr>
          </w:p>
        </w:tc>
        <w:tc>
          <w:tcPr>
            <w:tcW w:w="2081" w:type="dxa"/>
            <w:tcBorders>
              <w:bottom w:val="single" w:sz="2" w:space="0" w:color="auto"/>
            </w:tcBorders>
            <w:vAlign w:val="bottom"/>
          </w:tcPr>
          <w:p w14:paraId="5BD41DE3" w14:textId="77777777" w:rsidR="00773F7B" w:rsidRPr="00931330" w:rsidRDefault="00773F7B" w:rsidP="00773F7B">
            <w:pPr>
              <w:pStyle w:val="T2"/>
              <w:jc w:val="right"/>
              <w:rPr>
                <w:b/>
              </w:rPr>
            </w:pPr>
            <w:r w:rsidRPr="00931330">
              <w:rPr>
                <w:b/>
              </w:rPr>
              <w:t>%</w:t>
            </w:r>
          </w:p>
        </w:tc>
      </w:tr>
      <w:tr w:rsidR="00773F7B" w14:paraId="1B8B0488" w14:textId="77777777" w:rsidTr="00773F7B">
        <w:tc>
          <w:tcPr>
            <w:tcW w:w="5387" w:type="dxa"/>
            <w:tcBorders>
              <w:top w:val="single" w:sz="2" w:space="0" w:color="auto"/>
            </w:tcBorders>
            <w:vAlign w:val="bottom"/>
          </w:tcPr>
          <w:p w14:paraId="471800B9" w14:textId="77777777" w:rsidR="00773F7B" w:rsidRPr="00931330" w:rsidRDefault="00773F7B" w:rsidP="00773F7B">
            <w:pPr>
              <w:pStyle w:val="T2"/>
              <w:jc w:val="left"/>
            </w:pPr>
            <w:r w:rsidRPr="00931330">
              <w:t>Reported revenue</w:t>
            </w:r>
          </w:p>
        </w:tc>
        <w:tc>
          <w:tcPr>
            <w:tcW w:w="1134" w:type="dxa"/>
            <w:tcBorders>
              <w:top w:val="single" w:sz="2" w:space="0" w:color="auto"/>
            </w:tcBorders>
            <w:vAlign w:val="bottom"/>
          </w:tcPr>
          <w:p w14:paraId="7EE08ACD" w14:textId="77777777" w:rsidR="00773F7B" w:rsidRPr="00931330" w:rsidRDefault="00773F7B" w:rsidP="00773F7B">
            <w:pPr>
              <w:pStyle w:val="T2"/>
              <w:jc w:val="right"/>
            </w:pPr>
          </w:p>
        </w:tc>
        <w:tc>
          <w:tcPr>
            <w:tcW w:w="1134" w:type="dxa"/>
            <w:tcBorders>
              <w:top w:val="single" w:sz="2" w:space="0" w:color="auto"/>
            </w:tcBorders>
            <w:vAlign w:val="bottom"/>
          </w:tcPr>
          <w:p w14:paraId="0739D343" w14:textId="77777777" w:rsidR="00773F7B" w:rsidRPr="00931330" w:rsidRDefault="00773F7B" w:rsidP="00773F7B">
            <w:pPr>
              <w:pStyle w:val="T2"/>
              <w:jc w:val="right"/>
            </w:pPr>
          </w:p>
        </w:tc>
        <w:tc>
          <w:tcPr>
            <w:tcW w:w="2081" w:type="dxa"/>
            <w:tcBorders>
              <w:top w:val="single" w:sz="2" w:space="0" w:color="auto"/>
            </w:tcBorders>
            <w:vAlign w:val="bottom"/>
          </w:tcPr>
          <w:p w14:paraId="506A5D52" w14:textId="77777777" w:rsidR="00773F7B" w:rsidRPr="003A6352" w:rsidRDefault="00773F7B" w:rsidP="00773F7B">
            <w:pPr>
              <w:pStyle w:val="T2"/>
              <w:jc w:val="right"/>
              <w:rPr>
                <w:b/>
              </w:rPr>
            </w:pPr>
            <w:r>
              <w:rPr>
                <w:b/>
              </w:rPr>
              <w:t>1.6%</w:t>
            </w:r>
          </w:p>
        </w:tc>
      </w:tr>
      <w:tr w:rsidR="00773F7B" w14:paraId="509AA136" w14:textId="77777777" w:rsidTr="00773F7B">
        <w:tc>
          <w:tcPr>
            <w:tcW w:w="5387" w:type="dxa"/>
            <w:vAlign w:val="bottom"/>
          </w:tcPr>
          <w:p w14:paraId="3F39A4E8" w14:textId="77777777" w:rsidR="00773F7B" w:rsidRPr="00931330" w:rsidRDefault="00773F7B" w:rsidP="00773F7B">
            <w:pPr>
              <w:pStyle w:val="T2"/>
              <w:jc w:val="left"/>
            </w:pPr>
            <w:r w:rsidRPr="00931330">
              <w:t xml:space="preserve">Impact of </w:t>
            </w:r>
            <w:r>
              <w:t>disposals and exits</w:t>
            </w:r>
          </w:p>
        </w:tc>
        <w:tc>
          <w:tcPr>
            <w:tcW w:w="1134" w:type="dxa"/>
            <w:vAlign w:val="bottom"/>
          </w:tcPr>
          <w:p w14:paraId="21782768" w14:textId="77777777" w:rsidR="00773F7B" w:rsidRPr="00931330" w:rsidRDefault="00773F7B" w:rsidP="00773F7B">
            <w:pPr>
              <w:pStyle w:val="T2"/>
              <w:jc w:val="right"/>
            </w:pPr>
          </w:p>
        </w:tc>
        <w:tc>
          <w:tcPr>
            <w:tcW w:w="1134" w:type="dxa"/>
            <w:vAlign w:val="bottom"/>
          </w:tcPr>
          <w:p w14:paraId="198C936E" w14:textId="77777777" w:rsidR="00773F7B" w:rsidRPr="00931330" w:rsidRDefault="00773F7B" w:rsidP="00773F7B">
            <w:pPr>
              <w:pStyle w:val="T2"/>
              <w:jc w:val="right"/>
            </w:pPr>
          </w:p>
        </w:tc>
        <w:tc>
          <w:tcPr>
            <w:tcW w:w="2081" w:type="dxa"/>
            <w:vAlign w:val="bottom"/>
          </w:tcPr>
          <w:p w14:paraId="4100A3D9" w14:textId="77777777" w:rsidR="00773F7B" w:rsidRPr="003A6352" w:rsidRDefault="00773F7B" w:rsidP="00773F7B">
            <w:pPr>
              <w:pStyle w:val="T2"/>
              <w:jc w:val="right"/>
              <w:rPr>
                <w:b/>
              </w:rPr>
            </w:pPr>
            <w:r>
              <w:rPr>
                <w:b/>
              </w:rPr>
              <w:t>1.0%</w:t>
            </w:r>
          </w:p>
        </w:tc>
      </w:tr>
      <w:tr w:rsidR="00773F7B" w14:paraId="76CF14D4" w14:textId="77777777" w:rsidTr="00773F7B">
        <w:tc>
          <w:tcPr>
            <w:tcW w:w="5387" w:type="dxa"/>
            <w:vAlign w:val="bottom"/>
          </w:tcPr>
          <w:p w14:paraId="5727653D" w14:textId="77777777" w:rsidR="00773F7B" w:rsidRPr="00931330" w:rsidRDefault="00773F7B" w:rsidP="00773F7B">
            <w:pPr>
              <w:pStyle w:val="T2"/>
              <w:jc w:val="left"/>
            </w:pPr>
            <w:r>
              <w:t>Impact of acquisitions</w:t>
            </w:r>
          </w:p>
        </w:tc>
        <w:tc>
          <w:tcPr>
            <w:tcW w:w="1134" w:type="dxa"/>
            <w:vAlign w:val="bottom"/>
          </w:tcPr>
          <w:p w14:paraId="1D63C016" w14:textId="77777777" w:rsidR="00773F7B" w:rsidRPr="00931330" w:rsidRDefault="00773F7B" w:rsidP="00773F7B">
            <w:pPr>
              <w:pStyle w:val="T2"/>
              <w:jc w:val="right"/>
            </w:pPr>
          </w:p>
        </w:tc>
        <w:tc>
          <w:tcPr>
            <w:tcW w:w="1134" w:type="dxa"/>
            <w:vAlign w:val="bottom"/>
          </w:tcPr>
          <w:p w14:paraId="16CCC730" w14:textId="77777777" w:rsidR="00773F7B" w:rsidRPr="00931330" w:rsidRDefault="00773F7B" w:rsidP="00773F7B">
            <w:pPr>
              <w:pStyle w:val="T2"/>
              <w:jc w:val="right"/>
            </w:pPr>
          </w:p>
        </w:tc>
        <w:tc>
          <w:tcPr>
            <w:tcW w:w="2081" w:type="dxa"/>
            <w:vAlign w:val="bottom"/>
          </w:tcPr>
          <w:p w14:paraId="490242F2" w14:textId="77777777" w:rsidR="00773F7B" w:rsidRPr="003A6352" w:rsidRDefault="00773F7B" w:rsidP="00773F7B">
            <w:pPr>
              <w:pStyle w:val="T2"/>
              <w:jc w:val="right"/>
              <w:rPr>
                <w:b/>
              </w:rPr>
            </w:pPr>
            <w:r>
              <w:rPr>
                <w:b/>
              </w:rPr>
              <w:t>(2.6%)</w:t>
            </w:r>
          </w:p>
        </w:tc>
      </w:tr>
      <w:tr w:rsidR="00773F7B" w14:paraId="142609AF" w14:textId="77777777" w:rsidTr="00773F7B">
        <w:tc>
          <w:tcPr>
            <w:tcW w:w="5387" w:type="dxa"/>
            <w:tcBorders>
              <w:bottom w:val="single" w:sz="4" w:space="0" w:color="auto"/>
            </w:tcBorders>
            <w:vAlign w:val="bottom"/>
          </w:tcPr>
          <w:p w14:paraId="015EFDD5" w14:textId="77777777" w:rsidR="00773F7B" w:rsidRPr="00931330" w:rsidRDefault="00773F7B" w:rsidP="00773F7B">
            <w:pPr>
              <w:pStyle w:val="T2"/>
              <w:jc w:val="left"/>
            </w:pPr>
            <w:r w:rsidRPr="00931330">
              <w:t>Impact of currency</w:t>
            </w:r>
          </w:p>
        </w:tc>
        <w:tc>
          <w:tcPr>
            <w:tcW w:w="1134" w:type="dxa"/>
            <w:tcBorders>
              <w:bottom w:val="single" w:sz="4" w:space="0" w:color="auto"/>
            </w:tcBorders>
            <w:vAlign w:val="bottom"/>
          </w:tcPr>
          <w:p w14:paraId="343C8EC0" w14:textId="77777777" w:rsidR="00773F7B" w:rsidRPr="00931330" w:rsidRDefault="00773F7B" w:rsidP="00773F7B">
            <w:pPr>
              <w:pStyle w:val="T2"/>
              <w:jc w:val="right"/>
            </w:pPr>
          </w:p>
        </w:tc>
        <w:tc>
          <w:tcPr>
            <w:tcW w:w="1134" w:type="dxa"/>
            <w:tcBorders>
              <w:bottom w:val="single" w:sz="4" w:space="0" w:color="auto"/>
            </w:tcBorders>
            <w:vAlign w:val="bottom"/>
          </w:tcPr>
          <w:p w14:paraId="123D2256" w14:textId="77777777" w:rsidR="00773F7B" w:rsidRPr="00931330" w:rsidRDefault="00773F7B" w:rsidP="00773F7B">
            <w:pPr>
              <w:pStyle w:val="T2"/>
              <w:jc w:val="right"/>
            </w:pPr>
          </w:p>
        </w:tc>
        <w:tc>
          <w:tcPr>
            <w:tcW w:w="2081" w:type="dxa"/>
            <w:tcBorders>
              <w:bottom w:val="single" w:sz="4" w:space="0" w:color="auto"/>
            </w:tcBorders>
            <w:vAlign w:val="bottom"/>
          </w:tcPr>
          <w:p w14:paraId="4E5B0044" w14:textId="77777777" w:rsidR="00773F7B" w:rsidRPr="003A6352" w:rsidRDefault="00773F7B" w:rsidP="00773F7B">
            <w:pPr>
              <w:pStyle w:val="T2"/>
              <w:jc w:val="right"/>
              <w:rPr>
                <w:b/>
              </w:rPr>
            </w:pPr>
            <w:r>
              <w:rPr>
                <w:b/>
              </w:rPr>
              <w:t>0.1%</w:t>
            </w:r>
          </w:p>
        </w:tc>
      </w:tr>
      <w:tr w:rsidR="00773F7B" w14:paraId="25E35E95" w14:textId="77777777" w:rsidTr="00773F7B">
        <w:tc>
          <w:tcPr>
            <w:tcW w:w="5387" w:type="dxa"/>
            <w:tcBorders>
              <w:top w:val="single" w:sz="4" w:space="0" w:color="auto"/>
              <w:bottom w:val="single" w:sz="8" w:space="0" w:color="auto"/>
            </w:tcBorders>
            <w:vAlign w:val="bottom"/>
          </w:tcPr>
          <w:p w14:paraId="124E399F" w14:textId="77777777" w:rsidR="00773F7B" w:rsidRPr="00931330" w:rsidRDefault="00773F7B" w:rsidP="00773F7B">
            <w:pPr>
              <w:pStyle w:val="T2"/>
              <w:jc w:val="left"/>
              <w:rPr>
                <w:b/>
              </w:rPr>
            </w:pPr>
            <w:r w:rsidRPr="00931330">
              <w:rPr>
                <w:b/>
              </w:rPr>
              <w:t>Pro</w:t>
            </w:r>
            <w:r>
              <w:rPr>
                <w:b/>
              </w:rPr>
              <w:t xml:space="preserve"> F</w:t>
            </w:r>
            <w:r w:rsidRPr="00931330">
              <w:rPr>
                <w:b/>
              </w:rPr>
              <w:t xml:space="preserve">orma </w:t>
            </w:r>
            <w:r>
              <w:rPr>
                <w:b/>
              </w:rPr>
              <w:t>R</w:t>
            </w:r>
            <w:r w:rsidRPr="00931330">
              <w:rPr>
                <w:b/>
              </w:rPr>
              <w:t>evenue</w:t>
            </w:r>
            <w:r>
              <w:rPr>
                <w:b/>
              </w:rPr>
              <w:t xml:space="preserve"> Growth (%)</w:t>
            </w:r>
          </w:p>
        </w:tc>
        <w:tc>
          <w:tcPr>
            <w:tcW w:w="1134" w:type="dxa"/>
            <w:tcBorders>
              <w:top w:val="single" w:sz="4" w:space="0" w:color="auto"/>
              <w:bottom w:val="single" w:sz="8" w:space="0" w:color="auto"/>
            </w:tcBorders>
            <w:vAlign w:val="bottom"/>
          </w:tcPr>
          <w:p w14:paraId="5E054155" w14:textId="77777777" w:rsidR="00773F7B" w:rsidRPr="00931330" w:rsidRDefault="00773F7B" w:rsidP="00773F7B">
            <w:pPr>
              <w:pStyle w:val="T2"/>
              <w:jc w:val="right"/>
              <w:rPr>
                <w:b/>
              </w:rPr>
            </w:pPr>
          </w:p>
        </w:tc>
        <w:tc>
          <w:tcPr>
            <w:tcW w:w="1134" w:type="dxa"/>
            <w:tcBorders>
              <w:top w:val="single" w:sz="4" w:space="0" w:color="auto"/>
              <w:bottom w:val="single" w:sz="8" w:space="0" w:color="auto"/>
            </w:tcBorders>
            <w:vAlign w:val="bottom"/>
          </w:tcPr>
          <w:p w14:paraId="0AA8390B" w14:textId="77777777" w:rsidR="00773F7B" w:rsidRPr="00931330" w:rsidRDefault="00773F7B" w:rsidP="00773F7B">
            <w:pPr>
              <w:pStyle w:val="T2"/>
              <w:jc w:val="right"/>
              <w:rPr>
                <w:b/>
              </w:rPr>
            </w:pPr>
          </w:p>
        </w:tc>
        <w:tc>
          <w:tcPr>
            <w:tcW w:w="2081" w:type="dxa"/>
            <w:tcBorders>
              <w:top w:val="single" w:sz="4" w:space="0" w:color="auto"/>
              <w:bottom w:val="single" w:sz="8" w:space="0" w:color="auto"/>
            </w:tcBorders>
            <w:vAlign w:val="bottom"/>
          </w:tcPr>
          <w:p w14:paraId="72A10255" w14:textId="77777777" w:rsidR="00773F7B" w:rsidRPr="00931330" w:rsidRDefault="00773F7B" w:rsidP="00773F7B">
            <w:pPr>
              <w:pStyle w:val="T2"/>
              <w:jc w:val="right"/>
              <w:rPr>
                <w:b/>
              </w:rPr>
            </w:pPr>
            <w:r>
              <w:rPr>
                <w:b/>
              </w:rPr>
              <w:t>0.1%</w:t>
            </w:r>
          </w:p>
        </w:tc>
      </w:tr>
    </w:tbl>
    <w:p w14:paraId="1EB03C98" w14:textId="77777777" w:rsidR="0068359D" w:rsidRDefault="0068359D" w:rsidP="0068359D">
      <w:pPr>
        <w:spacing w:before="160" w:after="0" w:line="240" w:lineRule="auto"/>
        <w:jc w:val="both"/>
        <w:rPr>
          <w:sz w:val="18"/>
          <w:szCs w:val="18"/>
        </w:rPr>
      </w:pPr>
      <w:r>
        <w:rPr>
          <w:sz w:val="18"/>
          <w:szCs w:val="18"/>
        </w:rPr>
        <w:t xml:space="preserve">The table below shows the Pro Forma Revenue split by food to go categories and other convenience categories. This is in line with the disclosure requirements in IFRS 15 </w:t>
      </w:r>
      <w:r w:rsidRPr="00543F57">
        <w:rPr>
          <w:i/>
          <w:sz w:val="18"/>
          <w:szCs w:val="18"/>
        </w:rPr>
        <w:t xml:space="preserve">Revenue from </w:t>
      </w:r>
      <w:r>
        <w:rPr>
          <w:i/>
          <w:sz w:val="18"/>
          <w:szCs w:val="18"/>
        </w:rPr>
        <w:t xml:space="preserve">Contracts </w:t>
      </w:r>
      <w:r w:rsidRPr="00543F57">
        <w:rPr>
          <w:i/>
          <w:sz w:val="18"/>
          <w:szCs w:val="18"/>
        </w:rPr>
        <w:t xml:space="preserve">with </w:t>
      </w:r>
      <w:r>
        <w:rPr>
          <w:i/>
          <w:sz w:val="18"/>
          <w:szCs w:val="18"/>
        </w:rPr>
        <w:t>C</w:t>
      </w:r>
      <w:r w:rsidRPr="00543F57">
        <w:rPr>
          <w:i/>
          <w:sz w:val="18"/>
          <w:szCs w:val="18"/>
        </w:rPr>
        <w:t>ustomers</w:t>
      </w:r>
      <w:r>
        <w:rPr>
          <w:sz w:val="18"/>
          <w:szCs w:val="18"/>
        </w:rPr>
        <w:t xml:space="preserve"> requiring revenue to be disaggregated.</w:t>
      </w:r>
    </w:p>
    <w:p w14:paraId="6A114B1D" w14:textId="77777777" w:rsidR="00773F7B" w:rsidRDefault="00773F7B" w:rsidP="00773F7B">
      <w:pPr>
        <w:spacing w:before="160" w:after="0" w:line="240" w:lineRule="auto"/>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134"/>
        <w:gridCol w:w="1417"/>
        <w:gridCol w:w="1798"/>
      </w:tblGrid>
      <w:tr w:rsidR="00773F7B" w14:paraId="123246CB" w14:textId="77777777" w:rsidTr="00773F7B">
        <w:tc>
          <w:tcPr>
            <w:tcW w:w="5387" w:type="dxa"/>
          </w:tcPr>
          <w:p w14:paraId="347B84B5" w14:textId="77777777" w:rsidR="00773F7B" w:rsidRPr="00931330" w:rsidRDefault="00773F7B" w:rsidP="00773F7B">
            <w:pPr>
              <w:pStyle w:val="T2"/>
            </w:pPr>
          </w:p>
        </w:tc>
        <w:tc>
          <w:tcPr>
            <w:tcW w:w="1134" w:type="dxa"/>
          </w:tcPr>
          <w:p w14:paraId="019EE02F" w14:textId="77777777" w:rsidR="00773F7B" w:rsidRPr="00931330" w:rsidRDefault="00773F7B" w:rsidP="00773F7B">
            <w:pPr>
              <w:pStyle w:val="T2"/>
              <w:rPr>
                <w:b/>
              </w:rPr>
            </w:pPr>
          </w:p>
        </w:tc>
        <w:tc>
          <w:tcPr>
            <w:tcW w:w="3215" w:type="dxa"/>
            <w:gridSpan w:val="2"/>
          </w:tcPr>
          <w:p w14:paraId="470B290A" w14:textId="77777777" w:rsidR="00773F7B" w:rsidRPr="00931330" w:rsidRDefault="00773F7B" w:rsidP="00773F7B">
            <w:pPr>
              <w:pStyle w:val="T2"/>
              <w:rPr>
                <w:b/>
              </w:rPr>
            </w:pPr>
            <w:r w:rsidRPr="00931330">
              <w:rPr>
                <w:b/>
              </w:rPr>
              <w:t xml:space="preserve">Half </w:t>
            </w:r>
            <w:r w:rsidR="00B41E40">
              <w:rPr>
                <w:b/>
              </w:rPr>
              <w:t>y</w:t>
            </w:r>
            <w:r w:rsidRPr="00931330">
              <w:rPr>
                <w:b/>
              </w:rPr>
              <w:t>ear 20</w:t>
            </w:r>
            <w:r>
              <w:rPr>
                <w:b/>
              </w:rPr>
              <w:t>20</w:t>
            </w:r>
          </w:p>
        </w:tc>
      </w:tr>
      <w:tr w:rsidR="00773F7B" w14:paraId="4CEA3843" w14:textId="77777777" w:rsidTr="00773F7B">
        <w:tc>
          <w:tcPr>
            <w:tcW w:w="5387" w:type="dxa"/>
          </w:tcPr>
          <w:p w14:paraId="2DD296BD" w14:textId="77777777" w:rsidR="00773F7B" w:rsidRPr="00931330" w:rsidRDefault="00773F7B" w:rsidP="00773F7B">
            <w:pPr>
              <w:pStyle w:val="T2"/>
            </w:pPr>
          </w:p>
        </w:tc>
        <w:tc>
          <w:tcPr>
            <w:tcW w:w="1134" w:type="dxa"/>
            <w:vAlign w:val="bottom"/>
          </w:tcPr>
          <w:p w14:paraId="02EDA4F5" w14:textId="77777777" w:rsidR="00773F7B" w:rsidRPr="00931330" w:rsidRDefault="00773F7B" w:rsidP="00773F7B">
            <w:pPr>
              <w:pStyle w:val="T2"/>
              <w:jc w:val="right"/>
              <w:rPr>
                <w:b/>
              </w:rPr>
            </w:pPr>
          </w:p>
        </w:tc>
        <w:tc>
          <w:tcPr>
            <w:tcW w:w="1417" w:type="dxa"/>
            <w:vAlign w:val="bottom"/>
          </w:tcPr>
          <w:p w14:paraId="71DE0BBD" w14:textId="77777777" w:rsidR="00773F7B" w:rsidRDefault="00773F7B" w:rsidP="00773F7B">
            <w:pPr>
              <w:pStyle w:val="T2"/>
              <w:jc w:val="right"/>
              <w:rPr>
                <w:b/>
              </w:rPr>
            </w:pPr>
            <w:r w:rsidRPr="00931330">
              <w:rPr>
                <w:b/>
              </w:rPr>
              <w:t xml:space="preserve">Food to </w:t>
            </w:r>
            <w:r>
              <w:rPr>
                <w:b/>
              </w:rPr>
              <w:t>g</w:t>
            </w:r>
            <w:r w:rsidRPr="00931330">
              <w:rPr>
                <w:b/>
              </w:rPr>
              <w:t xml:space="preserve">o </w:t>
            </w:r>
          </w:p>
          <w:p w14:paraId="6E754F77" w14:textId="77777777" w:rsidR="00773F7B" w:rsidRPr="00931330" w:rsidRDefault="00773F7B" w:rsidP="00773F7B">
            <w:pPr>
              <w:pStyle w:val="T2"/>
              <w:jc w:val="right"/>
              <w:rPr>
                <w:b/>
              </w:rPr>
            </w:pPr>
            <w:r w:rsidRPr="00931330">
              <w:rPr>
                <w:b/>
              </w:rPr>
              <w:t>categories</w:t>
            </w:r>
          </w:p>
        </w:tc>
        <w:tc>
          <w:tcPr>
            <w:tcW w:w="1798" w:type="dxa"/>
            <w:vAlign w:val="bottom"/>
          </w:tcPr>
          <w:p w14:paraId="2576781A" w14:textId="77777777" w:rsidR="00773F7B" w:rsidRPr="00931330" w:rsidRDefault="00773F7B" w:rsidP="00773F7B">
            <w:pPr>
              <w:pStyle w:val="T2"/>
              <w:jc w:val="right"/>
              <w:rPr>
                <w:b/>
              </w:rPr>
            </w:pPr>
            <w:r w:rsidRPr="00931330">
              <w:rPr>
                <w:b/>
              </w:rPr>
              <w:t>Other</w:t>
            </w:r>
            <w:r>
              <w:rPr>
                <w:b/>
              </w:rPr>
              <w:t xml:space="preserve"> convenience</w:t>
            </w:r>
            <w:r w:rsidRPr="00931330">
              <w:rPr>
                <w:b/>
              </w:rPr>
              <w:br/>
              <w:t xml:space="preserve"> categories</w:t>
            </w:r>
          </w:p>
        </w:tc>
      </w:tr>
      <w:tr w:rsidR="00773F7B" w14:paraId="71ABEC22" w14:textId="77777777" w:rsidTr="00773F7B">
        <w:tc>
          <w:tcPr>
            <w:tcW w:w="5387" w:type="dxa"/>
            <w:tcBorders>
              <w:bottom w:val="single" w:sz="2" w:space="0" w:color="auto"/>
            </w:tcBorders>
          </w:tcPr>
          <w:p w14:paraId="507D52BB" w14:textId="77777777" w:rsidR="00773F7B" w:rsidRPr="00931330" w:rsidRDefault="00773F7B" w:rsidP="00773F7B">
            <w:pPr>
              <w:pStyle w:val="T2"/>
            </w:pPr>
          </w:p>
        </w:tc>
        <w:tc>
          <w:tcPr>
            <w:tcW w:w="1134" w:type="dxa"/>
            <w:tcBorders>
              <w:bottom w:val="single" w:sz="2" w:space="0" w:color="auto"/>
            </w:tcBorders>
            <w:vAlign w:val="bottom"/>
          </w:tcPr>
          <w:p w14:paraId="72DBBB74" w14:textId="77777777" w:rsidR="00773F7B" w:rsidRPr="00931330" w:rsidRDefault="00773F7B" w:rsidP="00773F7B">
            <w:pPr>
              <w:pStyle w:val="T2"/>
              <w:jc w:val="right"/>
              <w:rPr>
                <w:b/>
              </w:rPr>
            </w:pPr>
          </w:p>
        </w:tc>
        <w:tc>
          <w:tcPr>
            <w:tcW w:w="1417" w:type="dxa"/>
            <w:tcBorders>
              <w:bottom w:val="single" w:sz="2" w:space="0" w:color="auto"/>
            </w:tcBorders>
            <w:vAlign w:val="bottom"/>
          </w:tcPr>
          <w:p w14:paraId="72B34414" w14:textId="77777777" w:rsidR="00773F7B" w:rsidRPr="00931330" w:rsidRDefault="00773F7B" w:rsidP="00773F7B">
            <w:pPr>
              <w:pStyle w:val="T2"/>
              <w:jc w:val="right"/>
              <w:rPr>
                <w:b/>
              </w:rPr>
            </w:pPr>
            <w:r w:rsidRPr="00931330">
              <w:rPr>
                <w:b/>
              </w:rPr>
              <w:t>%</w:t>
            </w:r>
          </w:p>
        </w:tc>
        <w:tc>
          <w:tcPr>
            <w:tcW w:w="1798" w:type="dxa"/>
            <w:tcBorders>
              <w:bottom w:val="single" w:sz="2" w:space="0" w:color="auto"/>
            </w:tcBorders>
            <w:vAlign w:val="bottom"/>
          </w:tcPr>
          <w:p w14:paraId="6247A5AE" w14:textId="77777777" w:rsidR="00773F7B" w:rsidRPr="00931330" w:rsidRDefault="00773F7B" w:rsidP="00773F7B">
            <w:pPr>
              <w:pStyle w:val="T2"/>
              <w:jc w:val="right"/>
              <w:rPr>
                <w:b/>
              </w:rPr>
            </w:pPr>
            <w:r w:rsidRPr="00931330">
              <w:rPr>
                <w:b/>
              </w:rPr>
              <w:t>%</w:t>
            </w:r>
          </w:p>
        </w:tc>
      </w:tr>
      <w:tr w:rsidR="00773F7B" w14:paraId="2A583FC0" w14:textId="77777777" w:rsidTr="00773F7B">
        <w:tc>
          <w:tcPr>
            <w:tcW w:w="5387" w:type="dxa"/>
            <w:tcBorders>
              <w:top w:val="single" w:sz="2" w:space="0" w:color="auto"/>
            </w:tcBorders>
            <w:vAlign w:val="bottom"/>
          </w:tcPr>
          <w:p w14:paraId="6B8ED214" w14:textId="77777777" w:rsidR="00773F7B" w:rsidRPr="00931330" w:rsidRDefault="00773F7B" w:rsidP="00773F7B">
            <w:pPr>
              <w:pStyle w:val="T2"/>
              <w:jc w:val="left"/>
            </w:pPr>
            <w:r w:rsidRPr="00931330">
              <w:t>Reported revenue</w:t>
            </w:r>
          </w:p>
        </w:tc>
        <w:tc>
          <w:tcPr>
            <w:tcW w:w="1134" w:type="dxa"/>
            <w:tcBorders>
              <w:top w:val="single" w:sz="2" w:space="0" w:color="auto"/>
            </w:tcBorders>
            <w:vAlign w:val="bottom"/>
          </w:tcPr>
          <w:p w14:paraId="611E41AC" w14:textId="77777777" w:rsidR="00773F7B" w:rsidRPr="00931330" w:rsidRDefault="00773F7B" w:rsidP="00773F7B">
            <w:pPr>
              <w:pStyle w:val="T2"/>
              <w:jc w:val="right"/>
            </w:pPr>
          </w:p>
        </w:tc>
        <w:tc>
          <w:tcPr>
            <w:tcW w:w="1417" w:type="dxa"/>
            <w:tcBorders>
              <w:top w:val="single" w:sz="2" w:space="0" w:color="auto"/>
            </w:tcBorders>
            <w:vAlign w:val="bottom"/>
          </w:tcPr>
          <w:p w14:paraId="60CA5FCA" w14:textId="77777777" w:rsidR="00773F7B" w:rsidRPr="003A6352" w:rsidRDefault="00773F7B" w:rsidP="00773F7B">
            <w:pPr>
              <w:pStyle w:val="T2"/>
              <w:jc w:val="right"/>
              <w:rPr>
                <w:b/>
              </w:rPr>
            </w:pPr>
            <w:r>
              <w:rPr>
                <w:b/>
              </w:rPr>
              <w:t>1.9%</w:t>
            </w:r>
          </w:p>
        </w:tc>
        <w:tc>
          <w:tcPr>
            <w:tcW w:w="1798" w:type="dxa"/>
            <w:tcBorders>
              <w:top w:val="single" w:sz="2" w:space="0" w:color="auto"/>
            </w:tcBorders>
            <w:vAlign w:val="bottom"/>
          </w:tcPr>
          <w:p w14:paraId="4EC9AF55" w14:textId="77777777" w:rsidR="00773F7B" w:rsidRPr="003A6352" w:rsidRDefault="00773F7B" w:rsidP="00773F7B">
            <w:pPr>
              <w:pStyle w:val="T2"/>
              <w:jc w:val="right"/>
              <w:rPr>
                <w:b/>
              </w:rPr>
            </w:pPr>
            <w:r>
              <w:rPr>
                <w:b/>
              </w:rPr>
              <w:t>1.0%</w:t>
            </w:r>
          </w:p>
        </w:tc>
      </w:tr>
      <w:tr w:rsidR="00773F7B" w14:paraId="081E8AD8" w14:textId="77777777" w:rsidTr="00773F7B">
        <w:tc>
          <w:tcPr>
            <w:tcW w:w="5387" w:type="dxa"/>
            <w:vAlign w:val="bottom"/>
          </w:tcPr>
          <w:p w14:paraId="1692637F" w14:textId="77777777" w:rsidR="00773F7B" w:rsidRPr="00931330" w:rsidRDefault="00773F7B" w:rsidP="00773F7B">
            <w:pPr>
              <w:pStyle w:val="T2"/>
              <w:jc w:val="left"/>
            </w:pPr>
            <w:r w:rsidRPr="00931330">
              <w:t xml:space="preserve">Impact of </w:t>
            </w:r>
            <w:r>
              <w:t>d</w:t>
            </w:r>
            <w:r w:rsidRPr="00931330">
              <w:t>isposals</w:t>
            </w:r>
            <w:r>
              <w:t xml:space="preserve"> and exits</w:t>
            </w:r>
          </w:p>
        </w:tc>
        <w:tc>
          <w:tcPr>
            <w:tcW w:w="1134" w:type="dxa"/>
            <w:vAlign w:val="bottom"/>
          </w:tcPr>
          <w:p w14:paraId="08FFC234" w14:textId="77777777" w:rsidR="00773F7B" w:rsidRPr="00931330" w:rsidRDefault="00773F7B" w:rsidP="00773F7B">
            <w:pPr>
              <w:pStyle w:val="T2"/>
              <w:jc w:val="right"/>
            </w:pPr>
          </w:p>
        </w:tc>
        <w:tc>
          <w:tcPr>
            <w:tcW w:w="1417" w:type="dxa"/>
            <w:vAlign w:val="bottom"/>
          </w:tcPr>
          <w:p w14:paraId="56C9E7CE" w14:textId="77777777" w:rsidR="00773F7B" w:rsidRPr="003A6352" w:rsidRDefault="00773F7B" w:rsidP="00773F7B">
            <w:pPr>
              <w:pStyle w:val="T2"/>
              <w:jc w:val="right"/>
              <w:rPr>
                <w:b/>
              </w:rPr>
            </w:pPr>
            <w:r>
              <w:rPr>
                <w:b/>
              </w:rPr>
              <w:t>–</w:t>
            </w:r>
          </w:p>
        </w:tc>
        <w:tc>
          <w:tcPr>
            <w:tcW w:w="1798" w:type="dxa"/>
            <w:vAlign w:val="bottom"/>
          </w:tcPr>
          <w:p w14:paraId="1ACEBC67" w14:textId="77777777" w:rsidR="00773F7B" w:rsidRPr="003A6352" w:rsidRDefault="00773F7B" w:rsidP="00773F7B">
            <w:pPr>
              <w:pStyle w:val="T2"/>
              <w:jc w:val="right"/>
              <w:rPr>
                <w:b/>
              </w:rPr>
            </w:pPr>
            <w:r>
              <w:rPr>
                <w:b/>
              </w:rPr>
              <w:t>2.6%</w:t>
            </w:r>
          </w:p>
        </w:tc>
      </w:tr>
      <w:tr w:rsidR="00773F7B" w14:paraId="3C9E471D" w14:textId="77777777" w:rsidTr="00773F7B">
        <w:tc>
          <w:tcPr>
            <w:tcW w:w="5387" w:type="dxa"/>
            <w:vAlign w:val="bottom"/>
          </w:tcPr>
          <w:p w14:paraId="16C148A1" w14:textId="77777777" w:rsidR="00773F7B" w:rsidRPr="00931330" w:rsidRDefault="00773F7B" w:rsidP="00773F7B">
            <w:pPr>
              <w:pStyle w:val="T2"/>
              <w:jc w:val="left"/>
            </w:pPr>
            <w:r>
              <w:t>Impact of acquisitions</w:t>
            </w:r>
          </w:p>
        </w:tc>
        <w:tc>
          <w:tcPr>
            <w:tcW w:w="1134" w:type="dxa"/>
            <w:vAlign w:val="bottom"/>
          </w:tcPr>
          <w:p w14:paraId="100BF8E5" w14:textId="77777777" w:rsidR="00773F7B" w:rsidRPr="00931330" w:rsidRDefault="00773F7B" w:rsidP="00773F7B">
            <w:pPr>
              <w:pStyle w:val="T2"/>
              <w:jc w:val="right"/>
            </w:pPr>
          </w:p>
        </w:tc>
        <w:tc>
          <w:tcPr>
            <w:tcW w:w="1417" w:type="dxa"/>
            <w:vAlign w:val="bottom"/>
          </w:tcPr>
          <w:p w14:paraId="365829B5" w14:textId="77777777" w:rsidR="00773F7B" w:rsidRPr="003A6352" w:rsidRDefault="00773F7B" w:rsidP="00773F7B">
            <w:pPr>
              <w:pStyle w:val="T2"/>
              <w:jc w:val="right"/>
              <w:rPr>
                <w:b/>
              </w:rPr>
            </w:pPr>
            <w:r>
              <w:rPr>
                <w:b/>
              </w:rPr>
              <w:t>(4.0%)</w:t>
            </w:r>
          </w:p>
        </w:tc>
        <w:tc>
          <w:tcPr>
            <w:tcW w:w="1798" w:type="dxa"/>
            <w:vAlign w:val="bottom"/>
          </w:tcPr>
          <w:p w14:paraId="6F44C74A" w14:textId="77777777" w:rsidR="00773F7B" w:rsidRPr="003A6352" w:rsidRDefault="00773F7B" w:rsidP="00773F7B">
            <w:pPr>
              <w:pStyle w:val="T2"/>
              <w:jc w:val="right"/>
              <w:rPr>
                <w:b/>
              </w:rPr>
            </w:pPr>
            <w:r>
              <w:rPr>
                <w:b/>
              </w:rPr>
              <w:t>–</w:t>
            </w:r>
          </w:p>
        </w:tc>
      </w:tr>
      <w:tr w:rsidR="00773F7B" w14:paraId="43CBAC6C" w14:textId="77777777" w:rsidTr="00773F7B">
        <w:tc>
          <w:tcPr>
            <w:tcW w:w="5387" w:type="dxa"/>
            <w:tcBorders>
              <w:bottom w:val="single" w:sz="4" w:space="0" w:color="auto"/>
            </w:tcBorders>
            <w:vAlign w:val="bottom"/>
          </w:tcPr>
          <w:p w14:paraId="1F1AE64C" w14:textId="77777777" w:rsidR="00773F7B" w:rsidRPr="00931330" w:rsidRDefault="00773F7B" w:rsidP="00773F7B">
            <w:pPr>
              <w:pStyle w:val="T2"/>
              <w:jc w:val="left"/>
            </w:pPr>
            <w:r w:rsidRPr="00931330">
              <w:t>Impact of currency</w:t>
            </w:r>
          </w:p>
        </w:tc>
        <w:tc>
          <w:tcPr>
            <w:tcW w:w="1134" w:type="dxa"/>
            <w:tcBorders>
              <w:bottom w:val="single" w:sz="4" w:space="0" w:color="auto"/>
            </w:tcBorders>
            <w:vAlign w:val="bottom"/>
          </w:tcPr>
          <w:p w14:paraId="6601C561" w14:textId="77777777" w:rsidR="00773F7B" w:rsidRPr="00931330" w:rsidRDefault="00773F7B" w:rsidP="00773F7B">
            <w:pPr>
              <w:pStyle w:val="T2"/>
              <w:jc w:val="right"/>
            </w:pPr>
          </w:p>
        </w:tc>
        <w:tc>
          <w:tcPr>
            <w:tcW w:w="1417" w:type="dxa"/>
            <w:tcBorders>
              <w:bottom w:val="single" w:sz="4" w:space="0" w:color="auto"/>
            </w:tcBorders>
            <w:vAlign w:val="bottom"/>
          </w:tcPr>
          <w:p w14:paraId="6CFDF6EC" w14:textId="77777777" w:rsidR="00773F7B" w:rsidRPr="003A6352" w:rsidRDefault="00773F7B" w:rsidP="00773F7B">
            <w:pPr>
              <w:pStyle w:val="T2"/>
              <w:jc w:val="right"/>
              <w:rPr>
                <w:b/>
              </w:rPr>
            </w:pPr>
            <w:r>
              <w:rPr>
                <w:b/>
              </w:rPr>
              <w:t>–</w:t>
            </w:r>
          </w:p>
        </w:tc>
        <w:tc>
          <w:tcPr>
            <w:tcW w:w="1798" w:type="dxa"/>
            <w:tcBorders>
              <w:bottom w:val="single" w:sz="4" w:space="0" w:color="auto"/>
            </w:tcBorders>
            <w:vAlign w:val="bottom"/>
          </w:tcPr>
          <w:p w14:paraId="65F6B005" w14:textId="77777777" w:rsidR="00773F7B" w:rsidRPr="003A6352" w:rsidRDefault="00773F7B" w:rsidP="00773F7B">
            <w:pPr>
              <w:pStyle w:val="T2"/>
              <w:jc w:val="right"/>
              <w:rPr>
                <w:b/>
              </w:rPr>
            </w:pPr>
            <w:r>
              <w:rPr>
                <w:b/>
              </w:rPr>
              <w:t>0.4%</w:t>
            </w:r>
          </w:p>
        </w:tc>
      </w:tr>
      <w:tr w:rsidR="00773F7B" w14:paraId="79B17403" w14:textId="77777777" w:rsidTr="00773F7B">
        <w:tc>
          <w:tcPr>
            <w:tcW w:w="5387" w:type="dxa"/>
            <w:tcBorders>
              <w:top w:val="single" w:sz="4" w:space="0" w:color="auto"/>
              <w:bottom w:val="single" w:sz="8" w:space="0" w:color="auto"/>
            </w:tcBorders>
            <w:vAlign w:val="bottom"/>
          </w:tcPr>
          <w:p w14:paraId="77A287B1" w14:textId="77777777" w:rsidR="00773F7B" w:rsidRPr="00931330" w:rsidRDefault="00773F7B" w:rsidP="00773F7B">
            <w:pPr>
              <w:pStyle w:val="T2"/>
              <w:jc w:val="left"/>
              <w:rPr>
                <w:b/>
              </w:rPr>
            </w:pPr>
            <w:r w:rsidRPr="00931330">
              <w:rPr>
                <w:b/>
              </w:rPr>
              <w:t>Pro</w:t>
            </w:r>
            <w:r>
              <w:rPr>
                <w:b/>
              </w:rPr>
              <w:t xml:space="preserve"> F</w:t>
            </w:r>
            <w:r w:rsidRPr="00931330">
              <w:rPr>
                <w:b/>
              </w:rPr>
              <w:t xml:space="preserve">orma </w:t>
            </w:r>
            <w:r>
              <w:rPr>
                <w:b/>
              </w:rPr>
              <w:t>R</w:t>
            </w:r>
            <w:r w:rsidRPr="00931330">
              <w:rPr>
                <w:b/>
              </w:rPr>
              <w:t>evenue</w:t>
            </w:r>
            <w:r>
              <w:rPr>
                <w:b/>
              </w:rPr>
              <w:t xml:space="preserve"> Growth (%)</w:t>
            </w:r>
          </w:p>
        </w:tc>
        <w:tc>
          <w:tcPr>
            <w:tcW w:w="1134" w:type="dxa"/>
            <w:tcBorders>
              <w:top w:val="single" w:sz="4" w:space="0" w:color="auto"/>
              <w:bottom w:val="single" w:sz="8" w:space="0" w:color="auto"/>
            </w:tcBorders>
            <w:vAlign w:val="bottom"/>
          </w:tcPr>
          <w:p w14:paraId="313C970D" w14:textId="77777777" w:rsidR="00773F7B" w:rsidRPr="00931330" w:rsidRDefault="00773F7B" w:rsidP="00773F7B">
            <w:pPr>
              <w:pStyle w:val="T2"/>
              <w:jc w:val="right"/>
              <w:rPr>
                <w:b/>
              </w:rPr>
            </w:pPr>
          </w:p>
        </w:tc>
        <w:tc>
          <w:tcPr>
            <w:tcW w:w="1417" w:type="dxa"/>
            <w:tcBorders>
              <w:top w:val="single" w:sz="4" w:space="0" w:color="auto"/>
              <w:bottom w:val="single" w:sz="8" w:space="0" w:color="auto"/>
            </w:tcBorders>
            <w:vAlign w:val="bottom"/>
          </w:tcPr>
          <w:p w14:paraId="7C7B8A09" w14:textId="77777777" w:rsidR="00773F7B" w:rsidRPr="00931330" w:rsidRDefault="00773F7B" w:rsidP="00773F7B">
            <w:pPr>
              <w:pStyle w:val="T2"/>
              <w:jc w:val="right"/>
              <w:rPr>
                <w:b/>
              </w:rPr>
            </w:pPr>
            <w:r>
              <w:rPr>
                <w:b/>
              </w:rPr>
              <w:t>(2.1%)</w:t>
            </w:r>
          </w:p>
        </w:tc>
        <w:tc>
          <w:tcPr>
            <w:tcW w:w="1798" w:type="dxa"/>
            <w:tcBorders>
              <w:top w:val="single" w:sz="4" w:space="0" w:color="auto"/>
              <w:bottom w:val="single" w:sz="8" w:space="0" w:color="auto"/>
            </w:tcBorders>
            <w:vAlign w:val="bottom"/>
          </w:tcPr>
          <w:p w14:paraId="2A6B83F1" w14:textId="77777777" w:rsidR="00773F7B" w:rsidRPr="00931330" w:rsidRDefault="00773F7B" w:rsidP="00773F7B">
            <w:pPr>
              <w:pStyle w:val="T2"/>
              <w:jc w:val="right"/>
              <w:rPr>
                <w:b/>
              </w:rPr>
            </w:pPr>
            <w:r>
              <w:rPr>
                <w:b/>
              </w:rPr>
              <w:t>4.0%</w:t>
            </w:r>
          </w:p>
        </w:tc>
      </w:tr>
    </w:tbl>
    <w:p w14:paraId="27BC9186" w14:textId="77777777" w:rsidR="00773F7B" w:rsidRDefault="00773F7B" w:rsidP="00773F7B">
      <w:pPr>
        <w:rPr>
          <w:b/>
          <w:sz w:val="18"/>
          <w:szCs w:val="18"/>
        </w:rPr>
      </w:pPr>
    </w:p>
    <w:p w14:paraId="1142D900" w14:textId="127BB284" w:rsidR="00773F7B" w:rsidRPr="00775F03" w:rsidRDefault="00000B37" w:rsidP="00773F7B">
      <w:pPr>
        <w:pStyle w:val="Paragraph"/>
        <w:rPr>
          <w:b/>
        </w:rPr>
      </w:pPr>
      <w:r>
        <w:rPr>
          <w:b/>
        </w:rPr>
        <w:t>A</w:t>
      </w:r>
      <w:r w:rsidR="00773F7B" w:rsidRPr="00775F03">
        <w:rPr>
          <w:b/>
        </w:rPr>
        <w:t>DJUSTED EBITDA, ADJUSTED OPERATING PROFIT AND ADJUSTED OPERATING MARGIN</w:t>
      </w:r>
    </w:p>
    <w:p w14:paraId="4C8B8840" w14:textId="77777777" w:rsidR="00773F7B" w:rsidRDefault="00773F7B" w:rsidP="00773F7B">
      <w:pPr>
        <w:pStyle w:val="Paragraph"/>
        <w:jc w:val="both"/>
      </w:pPr>
      <w:r w:rsidRPr="00775F03">
        <w:t>Adjusted EBITDA, Adjusted Operating Profit and Adjusted Operating Margin are used by the Group to measure the underlying and ongoing operating performance of each business</w:t>
      </w:r>
      <w:r>
        <w:t xml:space="preserve"> </w:t>
      </w:r>
      <w:r w:rsidRPr="00775F03">
        <w:t>and of the Group as a whole.</w:t>
      </w:r>
    </w:p>
    <w:p w14:paraId="1FF6E262" w14:textId="77777777" w:rsidR="00773F7B" w:rsidRDefault="00773F7B" w:rsidP="00773F7B">
      <w:pPr>
        <w:pStyle w:val="Paragraph"/>
        <w:jc w:val="both"/>
      </w:pPr>
      <w:r w:rsidRPr="00775F03">
        <w:lastRenderedPageBreak/>
        <w:t>The Group calculates Adjusted Operating Profit as operating profit before amortisation of acquisition related intangibles and exceptional charges. Adjusted EBITDA is calculated as Adjusted Operating Profit plus depreciation and amortisation</w:t>
      </w:r>
      <w:r>
        <w:t xml:space="preserve"> of intangible assets</w:t>
      </w:r>
      <w:r w:rsidRPr="00775F03">
        <w:t>. Adjusted Operating Margin is calculated as Adjusted Operating Profit divided by reported revenue.</w:t>
      </w:r>
    </w:p>
    <w:p w14:paraId="5D5788FD" w14:textId="77777777" w:rsidR="00773F7B" w:rsidRDefault="00773F7B" w:rsidP="00773F7B">
      <w:pPr>
        <w:pStyle w:val="Paragraph"/>
        <w:jc w:val="both"/>
      </w:pPr>
      <w:r w:rsidRPr="00775F03">
        <w:t xml:space="preserve">The following table sets forth a reconciliation from the Group’s </w:t>
      </w:r>
      <w:r>
        <w:t>p</w:t>
      </w:r>
      <w:r w:rsidRPr="00775F03">
        <w:t>rofit for the financial year to Adjusted Operating Profit, Adjusted EBITDA and Adjusted Operating Margin:</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276"/>
        <w:gridCol w:w="1276"/>
        <w:gridCol w:w="708"/>
        <w:gridCol w:w="1276"/>
        <w:gridCol w:w="1418"/>
        <w:gridCol w:w="850"/>
      </w:tblGrid>
      <w:tr w:rsidR="00773F7B" w14:paraId="327A52B3" w14:textId="77777777" w:rsidTr="00773F7B">
        <w:trPr>
          <w:trHeight w:val="416"/>
        </w:trPr>
        <w:tc>
          <w:tcPr>
            <w:tcW w:w="2977" w:type="dxa"/>
            <w:vAlign w:val="bottom"/>
          </w:tcPr>
          <w:p w14:paraId="022F4561" w14:textId="77777777" w:rsidR="00773F7B" w:rsidRPr="00775F03" w:rsidRDefault="00773F7B" w:rsidP="00773F7B">
            <w:pPr>
              <w:pStyle w:val="T2"/>
              <w:jc w:val="left"/>
            </w:pPr>
          </w:p>
        </w:tc>
        <w:tc>
          <w:tcPr>
            <w:tcW w:w="3260" w:type="dxa"/>
            <w:gridSpan w:val="3"/>
            <w:vAlign w:val="bottom"/>
          </w:tcPr>
          <w:p w14:paraId="6A854A31" w14:textId="77777777" w:rsidR="00773F7B" w:rsidRPr="004F4EB9" w:rsidRDefault="00773F7B" w:rsidP="00773F7B">
            <w:pPr>
              <w:pStyle w:val="T2"/>
              <w:rPr>
                <w:b/>
              </w:rPr>
            </w:pPr>
            <w:r>
              <w:rPr>
                <w:b/>
              </w:rPr>
              <w:t>Half year 2020</w:t>
            </w:r>
          </w:p>
        </w:tc>
        <w:tc>
          <w:tcPr>
            <w:tcW w:w="3544" w:type="dxa"/>
            <w:gridSpan w:val="3"/>
            <w:vAlign w:val="bottom"/>
          </w:tcPr>
          <w:p w14:paraId="167C1D3C" w14:textId="77777777" w:rsidR="00773F7B" w:rsidRPr="004F4EB9" w:rsidRDefault="00773F7B" w:rsidP="00773F7B">
            <w:pPr>
              <w:pStyle w:val="T2"/>
            </w:pPr>
            <w:r>
              <w:t>Half year 2019</w:t>
            </w:r>
          </w:p>
        </w:tc>
      </w:tr>
      <w:tr w:rsidR="00773F7B" w14:paraId="7FD3A52E" w14:textId="77777777" w:rsidTr="00773F7B">
        <w:trPr>
          <w:trHeight w:val="624"/>
        </w:trPr>
        <w:tc>
          <w:tcPr>
            <w:tcW w:w="2977" w:type="dxa"/>
            <w:vAlign w:val="bottom"/>
          </w:tcPr>
          <w:p w14:paraId="19C376F2" w14:textId="77777777" w:rsidR="00773F7B" w:rsidRPr="00775F03" w:rsidRDefault="00773F7B" w:rsidP="00773F7B">
            <w:pPr>
              <w:pStyle w:val="T2"/>
              <w:jc w:val="left"/>
            </w:pPr>
          </w:p>
        </w:tc>
        <w:tc>
          <w:tcPr>
            <w:tcW w:w="1276" w:type="dxa"/>
            <w:vAlign w:val="bottom"/>
          </w:tcPr>
          <w:p w14:paraId="7AB6D430" w14:textId="77777777" w:rsidR="00773F7B" w:rsidRDefault="00773F7B" w:rsidP="00773F7B">
            <w:pPr>
              <w:pStyle w:val="T2"/>
              <w:jc w:val="right"/>
              <w:rPr>
                <w:b/>
              </w:rPr>
            </w:pPr>
            <w:r w:rsidRPr="00E61418">
              <w:rPr>
                <w:b/>
              </w:rPr>
              <w:t xml:space="preserve">Convenience Foods </w:t>
            </w:r>
          </w:p>
          <w:p w14:paraId="52F73112" w14:textId="77777777" w:rsidR="00773F7B" w:rsidRPr="00E61418" w:rsidRDefault="00773F7B" w:rsidP="00773F7B">
            <w:pPr>
              <w:pStyle w:val="T2"/>
              <w:jc w:val="right"/>
              <w:rPr>
                <w:b/>
              </w:rPr>
            </w:pPr>
            <w:r w:rsidRPr="00E61418">
              <w:rPr>
                <w:b/>
              </w:rPr>
              <w:t>UK &amp; Ireland</w:t>
            </w:r>
          </w:p>
        </w:tc>
        <w:tc>
          <w:tcPr>
            <w:tcW w:w="1276" w:type="dxa"/>
          </w:tcPr>
          <w:p w14:paraId="70224E49" w14:textId="77777777" w:rsidR="00773F7B" w:rsidRDefault="00773F7B" w:rsidP="00773F7B">
            <w:pPr>
              <w:pStyle w:val="T2"/>
              <w:jc w:val="right"/>
              <w:rPr>
                <w:b/>
              </w:rPr>
            </w:pPr>
          </w:p>
          <w:p w14:paraId="6F22430C" w14:textId="77777777" w:rsidR="00773F7B" w:rsidRPr="00E61418" w:rsidRDefault="00773F7B" w:rsidP="00773F7B">
            <w:pPr>
              <w:pStyle w:val="T2"/>
              <w:jc w:val="right"/>
              <w:rPr>
                <w:b/>
              </w:rPr>
            </w:pPr>
            <w:r w:rsidRPr="00E61418">
              <w:rPr>
                <w:b/>
              </w:rPr>
              <w:t>Discontinued Operations</w:t>
            </w:r>
          </w:p>
        </w:tc>
        <w:tc>
          <w:tcPr>
            <w:tcW w:w="708" w:type="dxa"/>
          </w:tcPr>
          <w:p w14:paraId="10731F5E" w14:textId="77777777" w:rsidR="00773F7B" w:rsidRDefault="00773F7B" w:rsidP="00773F7B">
            <w:pPr>
              <w:pStyle w:val="T2"/>
              <w:jc w:val="right"/>
              <w:rPr>
                <w:b/>
              </w:rPr>
            </w:pPr>
          </w:p>
          <w:p w14:paraId="2B87244E" w14:textId="77777777" w:rsidR="00773F7B" w:rsidRDefault="00773F7B" w:rsidP="00773F7B">
            <w:pPr>
              <w:pStyle w:val="T2"/>
              <w:jc w:val="right"/>
              <w:rPr>
                <w:b/>
              </w:rPr>
            </w:pPr>
          </w:p>
          <w:p w14:paraId="7A887EED" w14:textId="77777777" w:rsidR="00773F7B" w:rsidRPr="00E61418" w:rsidRDefault="00773F7B" w:rsidP="00773F7B">
            <w:pPr>
              <w:pStyle w:val="T2"/>
              <w:jc w:val="right"/>
              <w:rPr>
                <w:b/>
              </w:rPr>
            </w:pPr>
            <w:r w:rsidRPr="00E61418">
              <w:rPr>
                <w:b/>
              </w:rPr>
              <w:t>Total</w:t>
            </w:r>
          </w:p>
        </w:tc>
        <w:tc>
          <w:tcPr>
            <w:tcW w:w="1276" w:type="dxa"/>
            <w:vAlign w:val="bottom"/>
          </w:tcPr>
          <w:p w14:paraId="617A4BF2" w14:textId="77777777" w:rsidR="00773F7B" w:rsidRDefault="00773F7B" w:rsidP="00773F7B">
            <w:pPr>
              <w:pStyle w:val="T2"/>
              <w:jc w:val="right"/>
            </w:pPr>
            <w:r>
              <w:t xml:space="preserve">Convenience Foods </w:t>
            </w:r>
          </w:p>
          <w:p w14:paraId="2BC07AE0" w14:textId="77777777" w:rsidR="00773F7B" w:rsidRPr="00775F03" w:rsidRDefault="00773F7B" w:rsidP="00773F7B">
            <w:pPr>
              <w:pStyle w:val="T2"/>
              <w:jc w:val="right"/>
            </w:pPr>
            <w:r>
              <w:t>UK &amp; Ireland</w:t>
            </w:r>
          </w:p>
        </w:tc>
        <w:tc>
          <w:tcPr>
            <w:tcW w:w="1418" w:type="dxa"/>
          </w:tcPr>
          <w:p w14:paraId="1236B5CD" w14:textId="77777777" w:rsidR="00773F7B" w:rsidRDefault="00773F7B" w:rsidP="00773F7B">
            <w:pPr>
              <w:pStyle w:val="T2"/>
              <w:jc w:val="right"/>
            </w:pPr>
          </w:p>
          <w:p w14:paraId="57E92574" w14:textId="77777777" w:rsidR="00773F7B" w:rsidRPr="004F4EB9" w:rsidRDefault="00773F7B" w:rsidP="00773F7B">
            <w:pPr>
              <w:pStyle w:val="T2"/>
              <w:jc w:val="right"/>
            </w:pPr>
            <w:r>
              <w:t>Discontinued Operations</w:t>
            </w:r>
          </w:p>
        </w:tc>
        <w:tc>
          <w:tcPr>
            <w:tcW w:w="850" w:type="dxa"/>
          </w:tcPr>
          <w:p w14:paraId="264EC4E2" w14:textId="77777777" w:rsidR="00773F7B" w:rsidRDefault="00773F7B" w:rsidP="00773F7B">
            <w:pPr>
              <w:pStyle w:val="T2"/>
              <w:jc w:val="right"/>
            </w:pPr>
          </w:p>
          <w:p w14:paraId="36E3E19A" w14:textId="77777777" w:rsidR="00773F7B" w:rsidRDefault="00773F7B" w:rsidP="00773F7B">
            <w:pPr>
              <w:pStyle w:val="T2"/>
              <w:jc w:val="right"/>
            </w:pPr>
          </w:p>
          <w:p w14:paraId="5F52A011" w14:textId="77777777" w:rsidR="00773F7B" w:rsidRPr="004F4EB9" w:rsidRDefault="00773F7B" w:rsidP="00773F7B">
            <w:pPr>
              <w:pStyle w:val="T2"/>
              <w:jc w:val="right"/>
            </w:pPr>
            <w:r>
              <w:t>Total</w:t>
            </w:r>
          </w:p>
        </w:tc>
      </w:tr>
      <w:tr w:rsidR="00773F7B" w14:paraId="340E9C0E" w14:textId="77777777" w:rsidTr="00773F7B">
        <w:trPr>
          <w:trHeight w:val="208"/>
        </w:trPr>
        <w:tc>
          <w:tcPr>
            <w:tcW w:w="2977" w:type="dxa"/>
            <w:tcBorders>
              <w:bottom w:val="single" w:sz="2" w:space="0" w:color="auto"/>
            </w:tcBorders>
            <w:vAlign w:val="bottom"/>
          </w:tcPr>
          <w:p w14:paraId="7574E353" w14:textId="77777777" w:rsidR="00773F7B" w:rsidRPr="00775F03" w:rsidRDefault="00773F7B" w:rsidP="00773F7B">
            <w:pPr>
              <w:pStyle w:val="T2"/>
              <w:jc w:val="left"/>
            </w:pPr>
          </w:p>
        </w:tc>
        <w:tc>
          <w:tcPr>
            <w:tcW w:w="1276" w:type="dxa"/>
            <w:tcBorders>
              <w:bottom w:val="single" w:sz="2" w:space="0" w:color="auto"/>
            </w:tcBorders>
          </w:tcPr>
          <w:p w14:paraId="2041CCAF" w14:textId="77777777" w:rsidR="00773F7B" w:rsidRPr="007E6155" w:rsidRDefault="00773F7B" w:rsidP="00773F7B">
            <w:pPr>
              <w:pStyle w:val="T2"/>
              <w:jc w:val="right"/>
              <w:rPr>
                <w:b/>
              </w:rPr>
            </w:pPr>
            <w:r w:rsidRPr="007E6155">
              <w:rPr>
                <w:b/>
              </w:rPr>
              <w:t>£m</w:t>
            </w:r>
          </w:p>
        </w:tc>
        <w:tc>
          <w:tcPr>
            <w:tcW w:w="1276" w:type="dxa"/>
            <w:tcBorders>
              <w:bottom w:val="single" w:sz="2" w:space="0" w:color="auto"/>
            </w:tcBorders>
          </w:tcPr>
          <w:p w14:paraId="17560DD9" w14:textId="77777777" w:rsidR="00773F7B" w:rsidRPr="007E6155" w:rsidRDefault="00773F7B" w:rsidP="00773F7B">
            <w:pPr>
              <w:pStyle w:val="T2"/>
              <w:jc w:val="right"/>
              <w:rPr>
                <w:b/>
              </w:rPr>
            </w:pPr>
            <w:r w:rsidRPr="007E6155">
              <w:rPr>
                <w:b/>
              </w:rPr>
              <w:t>£m</w:t>
            </w:r>
          </w:p>
        </w:tc>
        <w:tc>
          <w:tcPr>
            <w:tcW w:w="708" w:type="dxa"/>
            <w:tcBorders>
              <w:bottom w:val="single" w:sz="2" w:space="0" w:color="auto"/>
            </w:tcBorders>
            <w:vAlign w:val="bottom"/>
          </w:tcPr>
          <w:p w14:paraId="5B5E011E" w14:textId="77777777" w:rsidR="00773F7B" w:rsidRPr="007E6155" w:rsidRDefault="00773F7B" w:rsidP="00773F7B">
            <w:pPr>
              <w:pStyle w:val="T2"/>
              <w:jc w:val="right"/>
              <w:rPr>
                <w:b/>
              </w:rPr>
            </w:pPr>
            <w:r w:rsidRPr="007E6155">
              <w:rPr>
                <w:b/>
              </w:rPr>
              <w:t>£m</w:t>
            </w:r>
          </w:p>
        </w:tc>
        <w:tc>
          <w:tcPr>
            <w:tcW w:w="1276" w:type="dxa"/>
            <w:tcBorders>
              <w:bottom w:val="single" w:sz="2" w:space="0" w:color="auto"/>
            </w:tcBorders>
            <w:vAlign w:val="bottom"/>
          </w:tcPr>
          <w:p w14:paraId="405DBA15" w14:textId="77777777" w:rsidR="00773F7B" w:rsidRPr="00775F03" w:rsidRDefault="00773F7B" w:rsidP="00773F7B">
            <w:pPr>
              <w:pStyle w:val="T2"/>
              <w:jc w:val="right"/>
            </w:pPr>
            <w:r w:rsidRPr="00775F03">
              <w:t>£m</w:t>
            </w:r>
          </w:p>
        </w:tc>
        <w:tc>
          <w:tcPr>
            <w:tcW w:w="1418" w:type="dxa"/>
            <w:tcBorders>
              <w:bottom w:val="single" w:sz="2" w:space="0" w:color="auto"/>
            </w:tcBorders>
          </w:tcPr>
          <w:p w14:paraId="66B89DD4" w14:textId="77777777" w:rsidR="00773F7B" w:rsidRPr="00775F03" w:rsidRDefault="00773F7B" w:rsidP="00773F7B">
            <w:pPr>
              <w:pStyle w:val="T2"/>
              <w:jc w:val="right"/>
            </w:pPr>
            <w:r w:rsidRPr="00775F03">
              <w:t>£m</w:t>
            </w:r>
          </w:p>
        </w:tc>
        <w:tc>
          <w:tcPr>
            <w:tcW w:w="850" w:type="dxa"/>
            <w:tcBorders>
              <w:bottom w:val="single" w:sz="2" w:space="0" w:color="auto"/>
            </w:tcBorders>
          </w:tcPr>
          <w:p w14:paraId="538BC4ED" w14:textId="77777777" w:rsidR="00773F7B" w:rsidRPr="00775F03" w:rsidRDefault="00773F7B" w:rsidP="00773F7B">
            <w:pPr>
              <w:pStyle w:val="T2"/>
              <w:jc w:val="right"/>
            </w:pPr>
            <w:r w:rsidRPr="00775F03">
              <w:t>£m</w:t>
            </w:r>
          </w:p>
        </w:tc>
      </w:tr>
      <w:tr w:rsidR="00773F7B" w14:paraId="5A353780" w14:textId="77777777" w:rsidTr="00773F7B">
        <w:trPr>
          <w:trHeight w:val="198"/>
        </w:trPr>
        <w:tc>
          <w:tcPr>
            <w:tcW w:w="2977" w:type="dxa"/>
            <w:tcBorders>
              <w:top w:val="single" w:sz="2" w:space="0" w:color="auto"/>
              <w:bottom w:val="single" w:sz="2" w:space="0" w:color="auto"/>
            </w:tcBorders>
            <w:vAlign w:val="bottom"/>
          </w:tcPr>
          <w:p w14:paraId="2F858467" w14:textId="77777777" w:rsidR="00773F7B" w:rsidRPr="003A6352" w:rsidRDefault="00773F7B" w:rsidP="00773F7B">
            <w:pPr>
              <w:pStyle w:val="T2"/>
              <w:jc w:val="left"/>
              <w:rPr>
                <w:b/>
              </w:rPr>
            </w:pPr>
            <w:r w:rsidRPr="003A6352">
              <w:rPr>
                <w:b/>
              </w:rPr>
              <w:t>Profit for the financial year</w:t>
            </w:r>
          </w:p>
        </w:tc>
        <w:tc>
          <w:tcPr>
            <w:tcW w:w="1276" w:type="dxa"/>
            <w:tcBorders>
              <w:top w:val="single" w:sz="2" w:space="0" w:color="auto"/>
              <w:bottom w:val="single" w:sz="2" w:space="0" w:color="auto"/>
            </w:tcBorders>
          </w:tcPr>
          <w:p w14:paraId="3035298D" w14:textId="77777777" w:rsidR="00773F7B" w:rsidRPr="00FC568F" w:rsidRDefault="00773F7B" w:rsidP="00773F7B">
            <w:pPr>
              <w:pStyle w:val="T2"/>
              <w:jc w:val="right"/>
              <w:rPr>
                <w:b/>
                <w:bCs/>
              </w:rPr>
            </w:pPr>
            <w:r w:rsidRPr="00FC568F">
              <w:rPr>
                <w:b/>
                <w:bCs/>
              </w:rPr>
              <w:t>2</w:t>
            </w:r>
            <w:r>
              <w:rPr>
                <w:b/>
                <w:bCs/>
              </w:rPr>
              <w:t>4.2</w:t>
            </w:r>
          </w:p>
        </w:tc>
        <w:tc>
          <w:tcPr>
            <w:tcW w:w="1276" w:type="dxa"/>
            <w:tcBorders>
              <w:top w:val="single" w:sz="2" w:space="0" w:color="auto"/>
              <w:bottom w:val="single" w:sz="2" w:space="0" w:color="auto"/>
            </w:tcBorders>
          </w:tcPr>
          <w:p w14:paraId="0287E0AA" w14:textId="77777777" w:rsidR="00773F7B" w:rsidRPr="00FC568F" w:rsidRDefault="00773F7B" w:rsidP="00773F7B">
            <w:pPr>
              <w:pStyle w:val="T2"/>
              <w:jc w:val="right"/>
              <w:rPr>
                <w:b/>
                <w:bCs/>
              </w:rPr>
            </w:pPr>
            <w:r w:rsidRPr="00FC568F">
              <w:rPr>
                <w:b/>
                <w:bCs/>
              </w:rPr>
              <w:t>–</w:t>
            </w:r>
          </w:p>
        </w:tc>
        <w:tc>
          <w:tcPr>
            <w:tcW w:w="708" w:type="dxa"/>
            <w:tcBorders>
              <w:top w:val="single" w:sz="2" w:space="0" w:color="auto"/>
              <w:bottom w:val="single" w:sz="2" w:space="0" w:color="auto"/>
            </w:tcBorders>
          </w:tcPr>
          <w:p w14:paraId="31C29673" w14:textId="77777777" w:rsidR="00773F7B" w:rsidRPr="00FC568F" w:rsidRDefault="00773F7B" w:rsidP="00773F7B">
            <w:pPr>
              <w:pStyle w:val="T2"/>
              <w:jc w:val="right"/>
              <w:rPr>
                <w:b/>
                <w:bCs/>
              </w:rPr>
            </w:pPr>
            <w:r w:rsidRPr="001F6040">
              <w:rPr>
                <w:b/>
                <w:bCs/>
              </w:rPr>
              <w:t>2</w:t>
            </w:r>
            <w:r>
              <w:rPr>
                <w:b/>
                <w:bCs/>
              </w:rPr>
              <w:t>4.2</w:t>
            </w:r>
          </w:p>
        </w:tc>
        <w:tc>
          <w:tcPr>
            <w:tcW w:w="1276" w:type="dxa"/>
            <w:tcBorders>
              <w:top w:val="single" w:sz="2" w:space="0" w:color="auto"/>
              <w:bottom w:val="single" w:sz="2" w:space="0" w:color="auto"/>
            </w:tcBorders>
            <w:vAlign w:val="bottom"/>
          </w:tcPr>
          <w:p w14:paraId="11129891" w14:textId="77777777" w:rsidR="00773F7B" w:rsidRPr="00775F03" w:rsidRDefault="00773F7B" w:rsidP="00773F7B">
            <w:pPr>
              <w:pStyle w:val="T2"/>
              <w:jc w:val="right"/>
            </w:pPr>
            <w:r>
              <w:t>0.8</w:t>
            </w:r>
          </w:p>
        </w:tc>
        <w:tc>
          <w:tcPr>
            <w:tcW w:w="1418" w:type="dxa"/>
            <w:tcBorders>
              <w:top w:val="single" w:sz="2" w:space="0" w:color="auto"/>
              <w:bottom w:val="single" w:sz="2" w:space="0" w:color="auto"/>
            </w:tcBorders>
          </w:tcPr>
          <w:p w14:paraId="1173B48A" w14:textId="77777777" w:rsidR="00773F7B" w:rsidRPr="0096767F" w:rsidRDefault="00773F7B" w:rsidP="00773F7B">
            <w:pPr>
              <w:pStyle w:val="T2"/>
              <w:jc w:val="right"/>
              <w:rPr>
                <w:bCs/>
              </w:rPr>
            </w:pPr>
            <w:r>
              <w:rPr>
                <w:bCs/>
              </w:rPr>
              <w:t>65.6</w:t>
            </w:r>
          </w:p>
        </w:tc>
        <w:tc>
          <w:tcPr>
            <w:tcW w:w="850" w:type="dxa"/>
            <w:tcBorders>
              <w:top w:val="single" w:sz="2" w:space="0" w:color="auto"/>
              <w:bottom w:val="single" w:sz="2" w:space="0" w:color="auto"/>
            </w:tcBorders>
          </w:tcPr>
          <w:p w14:paraId="1EE1DF03" w14:textId="77777777" w:rsidR="00773F7B" w:rsidRPr="0096767F" w:rsidRDefault="00773F7B" w:rsidP="00773F7B">
            <w:pPr>
              <w:pStyle w:val="T2"/>
              <w:jc w:val="right"/>
              <w:rPr>
                <w:bCs/>
              </w:rPr>
            </w:pPr>
            <w:r>
              <w:rPr>
                <w:bCs/>
              </w:rPr>
              <w:t>66.4</w:t>
            </w:r>
          </w:p>
        </w:tc>
      </w:tr>
      <w:tr w:rsidR="00773F7B" w14:paraId="3A743703" w14:textId="77777777" w:rsidTr="00773F7B">
        <w:trPr>
          <w:trHeight w:val="175"/>
        </w:trPr>
        <w:tc>
          <w:tcPr>
            <w:tcW w:w="2977" w:type="dxa"/>
            <w:tcBorders>
              <w:top w:val="single" w:sz="2" w:space="0" w:color="auto"/>
            </w:tcBorders>
            <w:vAlign w:val="bottom"/>
          </w:tcPr>
          <w:p w14:paraId="469F194B" w14:textId="77777777" w:rsidR="00773F7B" w:rsidRPr="00775F03" w:rsidRDefault="00773F7B" w:rsidP="00773F7B">
            <w:pPr>
              <w:pStyle w:val="T2"/>
              <w:jc w:val="left"/>
            </w:pPr>
            <w:r w:rsidRPr="00775F03">
              <w:t>Taxation</w:t>
            </w:r>
            <w:r w:rsidRPr="00775F03">
              <w:rPr>
                <w:vertAlign w:val="superscript"/>
              </w:rPr>
              <w:t>(A)</w:t>
            </w:r>
          </w:p>
        </w:tc>
        <w:tc>
          <w:tcPr>
            <w:tcW w:w="1276" w:type="dxa"/>
            <w:tcBorders>
              <w:top w:val="single" w:sz="2" w:space="0" w:color="auto"/>
            </w:tcBorders>
          </w:tcPr>
          <w:p w14:paraId="609A2C62" w14:textId="77777777" w:rsidR="00773F7B" w:rsidRPr="00FC568F" w:rsidRDefault="00773F7B" w:rsidP="00773F7B">
            <w:pPr>
              <w:pStyle w:val="T2"/>
              <w:jc w:val="right"/>
              <w:rPr>
                <w:b/>
                <w:bCs/>
              </w:rPr>
            </w:pPr>
            <w:r w:rsidRPr="00FC568F">
              <w:rPr>
                <w:b/>
                <w:bCs/>
              </w:rPr>
              <w:t>3.</w:t>
            </w:r>
            <w:r>
              <w:rPr>
                <w:b/>
                <w:bCs/>
              </w:rPr>
              <w:t>1</w:t>
            </w:r>
          </w:p>
        </w:tc>
        <w:tc>
          <w:tcPr>
            <w:tcW w:w="1276" w:type="dxa"/>
            <w:tcBorders>
              <w:top w:val="single" w:sz="2" w:space="0" w:color="auto"/>
            </w:tcBorders>
          </w:tcPr>
          <w:p w14:paraId="15A59926" w14:textId="77777777" w:rsidR="00773F7B" w:rsidRPr="005D0EFF" w:rsidRDefault="00773F7B" w:rsidP="00773F7B">
            <w:pPr>
              <w:pStyle w:val="T2"/>
              <w:jc w:val="right"/>
              <w:rPr>
                <w:bCs/>
              </w:rPr>
            </w:pPr>
            <w:r w:rsidRPr="001F6040">
              <w:rPr>
                <w:b/>
                <w:bCs/>
              </w:rPr>
              <w:t>–</w:t>
            </w:r>
          </w:p>
        </w:tc>
        <w:tc>
          <w:tcPr>
            <w:tcW w:w="708" w:type="dxa"/>
            <w:tcBorders>
              <w:top w:val="single" w:sz="2" w:space="0" w:color="auto"/>
            </w:tcBorders>
          </w:tcPr>
          <w:p w14:paraId="0CF10FB7" w14:textId="77777777" w:rsidR="00773F7B" w:rsidRPr="005D0EFF" w:rsidRDefault="00773F7B" w:rsidP="00773F7B">
            <w:pPr>
              <w:pStyle w:val="T2"/>
              <w:jc w:val="right"/>
              <w:rPr>
                <w:bCs/>
              </w:rPr>
            </w:pPr>
            <w:r w:rsidRPr="001F6040">
              <w:rPr>
                <w:b/>
                <w:bCs/>
              </w:rPr>
              <w:t>3.</w:t>
            </w:r>
            <w:r>
              <w:rPr>
                <w:b/>
                <w:bCs/>
              </w:rPr>
              <w:t>1</w:t>
            </w:r>
          </w:p>
        </w:tc>
        <w:tc>
          <w:tcPr>
            <w:tcW w:w="1276" w:type="dxa"/>
            <w:tcBorders>
              <w:top w:val="single" w:sz="2" w:space="0" w:color="auto"/>
            </w:tcBorders>
            <w:vAlign w:val="bottom"/>
          </w:tcPr>
          <w:p w14:paraId="16F488D8" w14:textId="77777777" w:rsidR="00773F7B" w:rsidRPr="00775F03" w:rsidRDefault="00773F7B" w:rsidP="00773F7B">
            <w:pPr>
              <w:pStyle w:val="T2"/>
              <w:jc w:val="right"/>
            </w:pPr>
            <w:r>
              <w:t>4.9</w:t>
            </w:r>
          </w:p>
        </w:tc>
        <w:tc>
          <w:tcPr>
            <w:tcW w:w="1418" w:type="dxa"/>
            <w:tcBorders>
              <w:top w:val="single" w:sz="2" w:space="0" w:color="auto"/>
            </w:tcBorders>
          </w:tcPr>
          <w:p w14:paraId="3E328423" w14:textId="77777777" w:rsidR="00773F7B" w:rsidRPr="0096767F" w:rsidRDefault="00773F7B" w:rsidP="00773F7B">
            <w:pPr>
              <w:pStyle w:val="T2"/>
              <w:jc w:val="right"/>
              <w:rPr>
                <w:bCs/>
              </w:rPr>
            </w:pPr>
            <w:r>
              <w:rPr>
                <w:bCs/>
              </w:rPr>
              <w:t>–</w:t>
            </w:r>
          </w:p>
        </w:tc>
        <w:tc>
          <w:tcPr>
            <w:tcW w:w="850" w:type="dxa"/>
            <w:tcBorders>
              <w:top w:val="single" w:sz="2" w:space="0" w:color="auto"/>
            </w:tcBorders>
          </w:tcPr>
          <w:p w14:paraId="3303F900" w14:textId="77777777" w:rsidR="00773F7B" w:rsidRPr="0096767F" w:rsidRDefault="00773F7B" w:rsidP="00773F7B">
            <w:pPr>
              <w:pStyle w:val="T2"/>
              <w:jc w:val="right"/>
              <w:rPr>
                <w:bCs/>
              </w:rPr>
            </w:pPr>
            <w:r>
              <w:rPr>
                <w:bCs/>
              </w:rPr>
              <w:t>4.9</w:t>
            </w:r>
          </w:p>
        </w:tc>
      </w:tr>
      <w:tr w:rsidR="00773F7B" w14:paraId="020F4DEF" w14:textId="77777777" w:rsidTr="00773F7B">
        <w:trPr>
          <w:trHeight w:val="208"/>
        </w:trPr>
        <w:tc>
          <w:tcPr>
            <w:tcW w:w="2977" w:type="dxa"/>
            <w:vAlign w:val="bottom"/>
          </w:tcPr>
          <w:p w14:paraId="176F48E8" w14:textId="77777777" w:rsidR="00773F7B" w:rsidRPr="00775F03" w:rsidRDefault="00773F7B" w:rsidP="00773F7B">
            <w:pPr>
              <w:pStyle w:val="T2"/>
              <w:jc w:val="left"/>
            </w:pPr>
            <w:r w:rsidRPr="00775F03">
              <w:t>Net finance costs</w:t>
            </w:r>
            <w:r w:rsidRPr="00775F03">
              <w:rPr>
                <w:vertAlign w:val="superscript"/>
              </w:rPr>
              <w:t>(B)</w:t>
            </w:r>
          </w:p>
        </w:tc>
        <w:tc>
          <w:tcPr>
            <w:tcW w:w="1276" w:type="dxa"/>
          </w:tcPr>
          <w:p w14:paraId="234CA574" w14:textId="77777777" w:rsidR="00773F7B" w:rsidRPr="00FC568F" w:rsidRDefault="00773F7B" w:rsidP="00773F7B">
            <w:pPr>
              <w:pStyle w:val="T2"/>
              <w:jc w:val="right"/>
              <w:rPr>
                <w:b/>
                <w:bCs/>
              </w:rPr>
            </w:pPr>
            <w:r w:rsidRPr="00FC568F">
              <w:rPr>
                <w:b/>
                <w:bCs/>
              </w:rPr>
              <w:t>8.7</w:t>
            </w:r>
          </w:p>
        </w:tc>
        <w:tc>
          <w:tcPr>
            <w:tcW w:w="1276" w:type="dxa"/>
          </w:tcPr>
          <w:p w14:paraId="4E741D52" w14:textId="77777777" w:rsidR="00773F7B" w:rsidRPr="005D0EFF" w:rsidRDefault="00773F7B" w:rsidP="00773F7B">
            <w:pPr>
              <w:pStyle w:val="T2"/>
              <w:jc w:val="right"/>
              <w:rPr>
                <w:bCs/>
              </w:rPr>
            </w:pPr>
            <w:r w:rsidRPr="001F6040">
              <w:rPr>
                <w:b/>
                <w:bCs/>
              </w:rPr>
              <w:t>–</w:t>
            </w:r>
          </w:p>
        </w:tc>
        <w:tc>
          <w:tcPr>
            <w:tcW w:w="708" w:type="dxa"/>
          </w:tcPr>
          <w:p w14:paraId="5795A5E2" w14:textId="77777777" w:rsidR="00773F7B" w:rsidRPr="005D0EFF" w:rsidRDefault="00773F7B" w:rsidP="00773F7B">
            <w:pPr>
              <w:pStyle w:val="T2"/>
              <w:jc w:val="right"/>
              <w:rPr>
                <w:bCs/>
              </w:rPr>
            </w:pPr>
            <w:r w:rsidRPr="001F6040">
              <w:rPr>
                <w:b/>
                <w:bCs/>
              </w:rPr>
              <w:t>8.7</w:t>
            </w:r>
          </w:p>
        </w:tc>
        <w:tc>
          <w:tcPr>
            <w:tcW w:w="1276" w:type="dxa"/>
            <w:vAlign w:val="bottom"/>
          </w:tcPr>
          <w:p w14:paraId="2309B9CD" w14:textId="77777777" w:rsidR="00773F7B" w:rsidRPr="00775F03" w:rsidRDefault="00773F7B" w:rsidP="00773F7B">
            <w:pPr>
              <w:pStyle w:val="T2"/>
              <w:jc w:val="right"/>
            </w:pPr>
            <w:r>
              <w:t>10.8</w:t>
            </w:r>
          </w:p>
        </w:tc>
        <w:tc>
          <w:tcPr>
            <w:tcW w:w="1418" w:type="dxa"/>
          </w:tcPr>
          <w:p w14:paraId="4729BA20" w14:textId="77777777" w:rsidR="00773F7B" w:rsidRPr="0096767F" w:rsidRDefault="00773F7B" w:rsidP="00773F7B">
            <w:pPr>
              <w:pStyle w:val="T2"/>
              <w:jc w:val="right"/>
              <w:rPr>
                <w:bCs/>
              </w:rPr>
            </w:pPr>
            <w:r>
              <w:rPr>
                <w:bCs/>
              </w:rPr>
              <w:t>0.2</w:t>
            </w:r>
          </w:p>
        </w:tc>
        <w:tc>
          <w:tcPr>
            <w:tcW w:w="850" w:type="dxa"/>
          </w:tcPr>
          <w:p w14:paraId="26D6307F" w14:textId="77777777" w:rsidR="00773F7B" w:rsidRPr="0096767F" w:rsidRDefault="00773F7B" w:rsidP="00773F7B">
            <w:pPr>
              <w:pStyle w:val="T2"/>
              <w:jc w:val="right"/>
              <w:rPr>
                <w:bCs/>
              </w:rPr>
            </w:pPr>
            <w:r>
              <w:rPr>
                <w:bCs/>
              </w:rPr>
              <w:t>11.0</w:t>
            </w:r>
          </w:p>
        </w:tc>
      </w:tr>
      <w:tr w:rsidR="00773F7B" w14:paraId="1BCC05D9" w14:textId="77777777" w:rsidTr="00773F7B">
        <w:trPr>
          <w:trHeight w:val="208"/>
        </w:trPr>
        <w:tc>
          <w:tcPr>
            <w:tcW w:w="2977" w:type="dxa"/>
            <w:vAlign w:val="bottom"/>
          </w:tcPr>
          <w:p w14:paraId="202D7C7A" w14:textId="77777777" w:rsidR="00773F7B" w:rsidRPr="00775F03" w:rsidRDefault="00773F7B" w:rsidP="00773F7B">
            <w:pPr>
              <w:pStyle w:val="T2"/>
              <w:jc w:val="left"/>
            </w:pPr>
            <w:r w:rsidRPr="00775F03">
              <w:t>Share of profit of associates after tax</w:t>
            </w:r>
          </w:p>
        </w:tc>
        <w:tc>
          <w:tcPr>
            <w:tcW w:w="1276" w:type="dxa"/>
          </w:tcPr>
          <w:p w14:paraId="0C0D2613" w14:textId="77777777" w:rsidR="00773F7B" w:rsidRPr="00FC568F" w:rsidRDefault="00773F7B" w:rsidP="00773F7B">
            <w:pPr>
              <w:pStyle w:val="T2"/>
              <w:jc w:val="right"/>
              <w:rPr>
                <w:b/>
                <w:bCs/>
              </w:rPr>
            </w:pPr>
            <w:r w:rsidRPr="00FC568F">
              <w:rPr>
                <w:b/>
                <w:bCs/>
              </w:rPr>
              <w:t>(0.4)</w:t>
            </w:r>
          </w:p>
        </w:tc>
        <w:tc>
          <w:tcPr>
            <w:tcW w:w="1276" w:type="dxa"/>
          </w:tcPr>
          <w:p w14:paraId="6F7A5189" w14:textId="77777777" w:rsidR="00773F7B" w:rsidRPr="005D0EFF" w:rsidRDefault="00773F7B" w:rsidP="00773F7B">
            <w:pPr>
              <w:pStyle w:val="T2"/>
              <w:jc w:val="right"/>
              <w:rPr>
                <w:bCs/>
              </w:rPr>
            </w:pPr>
            <w:r w:rsidRPr="001F6040">
              <w:rPr>
                <w:b/>
                <w:bCs/>
              </w:rPr>
              <w:t>–</w:t>
            </w:r>
          </w:p>
        </w:tc>
        <w:tc>
          <w:tcPr>
            <w:tcW w:w="708" w:type="dxa"/>
          </w:tcPr>
          <w:p w14:paraId="4296DC2C" w14:textId="77777777" w:rsidR="00773F7B" w:rsidRPr="005D0EFF" w:rsidRDefault="00773F7B" w:rsidP="00773F7B">
            <w:pPr>
              <w:pStyle w:val="T2"/>
              <w:jc w:val="right"/>
              <w:rPr>
                <w:bCs/>
              </w:rPr>
            </w:pPr>
            <w:r w:rsidRPr="001F6040">
              <w:rPr>
                <w:b/>
                <w:bCs/>
              </w:rPr>
              <w:t>(0.4)</w:t>
            </w:r>
          </w:p>
        </w:tc>
        <w:tc>
          <w:tcPr>
            <w:tcW w:w="1276" w:type="dxa"/>
            <w:vAlign w:val="bottom"/>
          </w:tcPr>
          <w:p w14:paraId="308950F0" w14:textId="77777777" w:rsidR="00773F7B" w:rsidRPr="00775F03" w:rsidRDefault="00773F7B" w:rsidP="00773F7B">
            <w:pPr>
              <w:pStyle w:val="T2"/>
              <w:jc w:val="right"/>
            </w:pPr>
            <w:r>
              <w:t>(0.6)</w:t>
            </w:r>
          </w:p>
        </w:tc>
        <w:tc>
          <w:tcPr>
            <w:tcW w:w="1418" w:type="dxa"/>
          </w:tcPr>
          <w:p w14:paraId="1EF2CF92" w14:textId="77777777" w:rsidR="00773F7B" w:rsidRPr="0096767F" w:rsidRDefault="00773F7B" w:rsidP="00773F7B">
            <w:pPr>
              <w:pStyle w:val="T2"/>
              <w:jc w:val="right"/>
              <w:rPr>
                <w:bCs/>
              </w:rPr>
            </w:pPr>
            <w:r>
              <w:rPr>
                <w:bCs/>
              </w:rPr>
              <w:t>–</w:t>
            </w:r>
          </w:p>
        </w:tc>
        <w:tc>
          <w:tcPr>
            <w:tcW w:w="850" w:type="dxa"/>
          </w:tcPr>
          <w:p w14:paraId="6411D959" w14:textId="77777777" w:rsidR="00773F7B" w:rsidRPr="0096767F" w:rsidRDefault="00773F7B" w:rsidP="00773F7B">
            <w:pPr>
              <w:pStyle w:val="T2"/>
              <w:jc w:val="right"/>
              <w:rPr>
                <w:bCs/>
              </w:rPr>
            </w:pPr>
            <w:r>
              <w:rPr>
                <w:bCs/>
              </w:rPr>
              <w:t>(0.6)</w:t>
            </w:r>
          </w:p>
        </w:tc>
      </w:tr>
      <w:tr w:rsidR="00773F7B" w14:paraId="085A28FC" w14:textId="77777777" w:rsidTr="00773F7B">
        <w:trPr>
          <w:trHeight w:val="208"/>
        </w:trPr>
        <w:tc>
          <w:tcPr>
            <w:tcW w:w="2977" w:type="dxa"/>
            <w:vAlign w:val="bottom"/>
          </w:tcPr>
          <w:p w14:paraId="7D09197D" w14:textId="77777777" w:rsidR="00773F7B" w:rsidRPr="00775F03" w:rsidRDefault="00773F7B" w:rsidP="00773F7B">
            <w:pPr>
              <w:pStyle w:val="T2"/>
              <w:jc w:val="left"/>
            </w:pPr>
            <w:r w:rsidRPr="00775F03">
              <w:t>Exceptional items</w:t>
            </w:r>
          </w:p>
        </w:tc>
        <w:tc>
          <w:tcPr>
            <w:tcW w:w="1276" w:type="dxa"/>
          </w:tcPr>
          <w:p w14:paraId="6123D16F" w14:textId="77777777" w:rsidR="00773F7B" w:rsidRPr="00FC568F" w:rsidRDefault="00773F7B" w:rsidP="00773F7B">
            <w:pPr>
              <w:pStyle w:val="T2"/>
              <w:jc w:val="right"/>
              <w:rPr>
                <w:b/>
                <w:bCs/>
              </w:rPr>
            </w:pPr>
            <w:r w:rsidRPr="001F6040">
              <w:rPr>
                <w:b/>
                <w:bCs/>
              </w:rPr>
              <w:t>–</w:t>
            </w:r>
          </w:p>
        </w:tc>
        <w:tc>
          <w:tcPr>
            <w:tcW w:w="1276" w:type="dxa"/>
          </w:tcPr>
          <w:p w14:paraId="3626876F" w14:textId="77777777" w:rsidR="00773F7B" w:rsidRPr="005D0EFF" w:rsidRDefault="00773F7B" w:rsidP="00773F7B">
            <w:pPr>
              <w:pStyle w:val="T2"/>
              <w:jc w:val="right"/>
              <w:rPr>
                <w:bCs/>
              </w:rPr>
            </w:pPr>
            <w:r w:rsidRPr="001F6040">
              <w:rPr>
                <w:b/>
                <w:bCs/>
              </w:rPr>
              <w:t>–</w:t>
            </w:r>
          </w:p>
        </w:tc>
        <w:tc>
          <w:tcPr>
            <w:tcW w:w="708" w:type="dxa"/>
          </w:tcPr>
          <w:p w14:paraId="7F268DAE" w14:textId="77777777" w:rsidR="00773F7B" w:rsidRPr="005D0EFF" w:rsidRDefault="00773F7B" w:rsidP="00773F7B">
            <w:pPr>
              <w:pStyle w:val="T2"/>
              <w:jc w:val="right"/>
              <w:rPr>
                <w:bCs/>
              </w:rPr>
            </w:pPr>
            <w:r w:rsidRPr="001F6040">
              <w:rPr>
                <w:b/>
                <w:bCs/>
              </w:rPr>
              <w:t>–</w:t>
            </w:r>
          </w:p>
        </w:tc>
        <w:tc>
          <w:tcPr>
            <w:tcW w:w="1276" w:type="dxa"/>
            <w:vAlign w:val="bottom"/>
          </w:tcPr>
          <w:p w14:paraId="05163CAF" w14:textId="77777777" w:rsidR="00773F7B" w:rsidRPr="00775F03" w:rsidRDefault="00773F7B" w:rsidP="00773F7B">
            <w:pPr>
              <w:pStyle w:val="T2"/>
              <w:jc w:val="right"/>
            </w:pPr>
            <w:r>
              <w:t>28.4</w:t>
            </w:r>
          </w:p>
        </w:tc>
        <w:tc>
          <w:tcPr>
            <w:tcW w:w="1418" w:type="dxa"/>
          </w:tcPr>
          <w:p w14:paraId="4122AB6A" w14:textId="77777777" w:rsidR="00773F7B" w:rsidRPr="0096767F" w:rsidRDefault="00773F7B" w:rsidP="00773F7B">
            <w:pPr>
              <w:pStyle w:val="T2"/>
              <w:jc w:val="right"/>
              <w:rPr>
                <w:bCs/>
              </w:rPr>
            </w:pPr>
            <w:r>
              <w:rPr>
                <w:bCs/>
              </w:rPr>
              <w:t>(56.7)</w:t>
            </w:r>
          </w:p>
        </w:tc>
        <w:tc>
          <w:tcPr>
            <w:tcW w:w="850" w:type="dxa"/>
          </w:tcPr>
          <w:p w14:paraId="6A16D0EE" w14:textId="77777777" w:rsidR="00773F7B" w:rsidRPr="0096767F" w:rsidRDefault="00773F7B" w:rsidP="00773F7B">
            <w:pPr>
              <w:pStyle w:val="T2"/>
              <w:jc w:val="right"/>
              <w:rPr>
                <w:bCs/>
              </w:rPr>
            </w:pPr>
            <w:r>
              <w:rPr>
                <w:bCs/>
              </w:rPr>
              <w:t>(28.3)</w:t>
            </w:r>
          </w:p>
        </w:tc>
      </w:tr>
      <w:tr w:rsidR="00773F7B" w14:paraId="02E195E5" w14:textId="77777777" w:rsidTr="00773F7B">
        <w:trPr>
          <w:trHeight w:val="208"/>
        </w:trPr>
        <w:tc>
          <w:tcPr>
            <w:tcW w:w="2977" w:type="dxa"/>
            <w:tcBorders>
              <w:bottom w:val="single" w:sz="2" w:space="0" w:color="auto"/>
            </w:tcBorders>
            <w:vAlign w:val="bottom"/>
          </w:tcPr>
          <w:p w14:paraId="05E2FBF4" w14:textId="77777777" w:rsidR="00773F7B" w:rsidRPr="00775F03" w:rsidRDefault="00773F7B" w:rsidP="00773F7B">
            <w:pPr>
              <w:pStyle w:val="T2"/>
              <w:jc w:val="left"/>
            </w:pPr>
            <w:r w:rsidRPr="00775F03">
              <w:t>Amortisation of acquisition related intangibles</w:t>
            </w:r>
          </w:p>
        </w:tc>
        <w:tc>
          <w:tcPr>
            <w:tcW w:w="1276" w:type="dxa"/>
            <w:tcBorders>
              <w:bottom w:val="single" w:sz="2" w:space="0" w:color="auto"/>
            </w:tcBorders>
          </w:tcPr>
          <w:p w14:paraId="6FE88027" w14:textId="77777777" w:rsidR="00773F7B" w:rsidRDefault="00773F7B" w:rsidP="00773F7B">
            <w:pPr>
              <w:pStyle w:val="T2"/>
              <w:jc w:val="right"/>
              <w:rPr>
                <w:b/>
                <w:bCs/>
              </w:rPr>
            </w:pPr>
          </w:p>
          <w:p w14:paraId="45894111" w14:textId="77777777" w:rsidR="00773F7B" w:rsidRPr="00FC568F" w:rsidRDefault="00773F7B" w:rsidP="00773F7B">
            <w:pPr>
              <w:pStyle w:val="T2"/>
              <w:jc w:val="right"/>
              <w:rPr>
                <w:b/>
                <w:bCs/>
              </w:rPr>
            </w:pPr>
            <w:r w:rsidRPr="00FC568F">
              <w:rPr>
                <w:b/>
                <w:bCs/>
              </w:rPr>
              <w:t>2.7</w:t>
            </w:r>
          </w:p>
        </w:tc>
        <w:tc>
          <w:tcPr>
            <w:tcW w:w="1276" w:type="dxa"/>
            <w:tcBorders>
              <w:bottom w:val="single" w:sz="2" w:space="0" w:color="auto"/>
            </w:tcBorders>
          </w:tcPr>
          <w:p w14:paraId="3D920E68" w14:textId="77777777" w:rsidR="00773F7B" w:rsidRDefault="00773F7B" w:rsidP="00773F7B">
            <w:pPr>
              <w:pStyle w:val="T2"/>
              <w:jc w:val="right"/>
              <w:rPr>
                <w:b/>
                <w:bCs/>
              </w:rPr>
            </w:pPr>
          </w:p>
          <w:p w14:paraId="273F6E78" w14:textId="77777777" w:rsidR="00773F7B" w:rsidRPr="005D0EFF" w:rsidRDefault="00773F7B" w:rsidP="00773F7B">
            <w:pPr>
              <w:pStyle w:val="T2"/>
              <w:jc w:val="right"/>
              <w:rPr>
                <w:bCs/>
              </w:rPr>
            </w:pPr>
            <w:r w:rsidRPr="001F6040">
              <w:rPr>
                <w:b/>
                <w:bCs/>
              </w:rPr>
              <w:t>–</w:t>
            </w:r>
          </w:p>
        </w:tc>
        <w:tc>
          <w:tcPr>
            <w:tcW w:w="708" w:type="dxa"/>
            <w:tcBorders>
              <w:bottom w:val="single" w:sz="2" w:space="0" w:color="auto"/>
            </w:tcBorders>
          </w:tcPr>
          <w:p w14:paraId="477DBE65" w14:textId="77777777" w:rsidR="00773F7B" w:rsidRDefault="00773F7B" w:rsidP="00773F7B">
            <w:pPr>
              <w:pStyle w:val="T2"/>
              <w:jc w:val="right"/>
              <w:rPr>
                <w:b/>
                <w:bCs/>
              </w:rPr>
            </w:pPr>
          </w:p>
          <w:p w14:paraId="3DFE0980" w14:textId="77777777" w:rsidR="00773F7B" w:rsidRPr="005D0EFF" w:rsidRDefault="00773F7B" w:rsidP="00773F7B">
            <w:pPr>
              <w:pStyle w:val="T2"/>
              <w:jc w:val="right"/>
              <w:rPr>
                <w:bCs/>
              </w:rPr>
            </w:pPr>
            <w:r w:rsidRPr="001F6040">
              <w:rPr>
                <w:b/>
                <w:bCs/>
              </w:rPr>
              <w:t>2.7</w:t>
            </w:r>
          </w:p>
        </w:tc>
        <w:tc>
          <w:tcPr>
            <w:tcW w:w="1276" w:type="dxa"/>
            <w:tcBorders>
              <w:bottom w:val="single" w:sz="2" w:space="0" w:color="auto"/>
            </w:tcBorders>
            <w:vAlign w:val="bottom"/>
          </w:tcPr>
          <w:p w14:paraId="55BF410D" w14:textId="77777777" w:rsidR="00773F7B" w:rsidRPr="00775F03" w:rsidRDefault="00773F7B" w:rsidP="00773F7B">
            <w:pPr>
              <w:pStyle w:val="T2"/>
              <w:jc w:val="right"/>
            </w:pPr>
            <w:r>
              <w:t>0.4</w:t>
            </w:r>
          </w:p>
        </w:tc>
        <w:tc>
          <w:tcPr>
            <w:tcW w:w="1418" w:type="dxa"/>
            <w:tcBorders>
              <w:bottom w:val="single" w:sz="2" w:space="0" w:color="auto"/>
            </w:tcBorders>
          </w:tcPr>
          <w:p w14:paraId="252F697D" w14:textId="77777777" w:rsidR="00773F7B" w:rsidRDefault="00773F7B" w:rsidP="00773F7B">
            <w:pPr>
              <w:pStyle w:val="T2"/>
              <w:jc w:val="right"/>
              <w:rPr>
                <w:bCs/>
              </w:rPr>
            </w:pPr>
          </w:p>
          <w:p w14:paraId="26EEAB1E" w14:textId="77777777" w:rsidR="00773F7B" w:rsidRPr="0096767F" w:rsidRDefault="00773F7B" w:rsidP="00773F7B">
            <w:pPr>
              <w:pStyle w:val="T2"/>
              <w:jc w:val="right"/>
              <w:rPr>
                <w:bCs/>
              </w:rPr>
            </w:pPr>
            <w:r>
              <w:rPr>
                <w:bCs/>
              </w:rPr>
              <w:t>–</w:t>
            </w:r>
          </w:p>
        </w:tc>
        <w:tc>
          <w:tcPr>
            <w:tcW w:w="850" w:type="dxa"/>
            <w:tcBorders>
              <w:bottom w:val="single" w:sz="2" w:space="0" w:color="auto"/>
            </w:tcBorders>
          </w:tcPr>
          <w:p w14:paraId="2D27550C" w14:textId="77777777" w:rsidR="00773F7B" w:rsidRDefault="00773F7B" w:rsidP="00773F7B">
            <w:pPr>
              <w:pStyle w:val="T2"/>
              <w:jc w:val="right"/>
              <w:rPr>
                <w:bCs/>
              </w:rPr>
            </w:pPr>
          </w:p>
          <w:p w14:paraId="58F67B35" w14:textId="77777777" w:rsidR="00773F7B" w:rsidRPr="0096767F" w:rsidRDefault="00773F7B" w:rsidP="00773F7B">
            <w:pPr>
              <w:pStyle w:val="T2"/>
              <w:jc w:val="right"/>
              <w:rPr>
                <w:bCs/>
              </w:rPr>
            </w:pPr>
            <w:r>
              <w:rPr>
                <w:bCs/>
              </w:rPr>
              <w:t>0.4</w:t>
            </w:r>
          </w:p>
        </w:tc>
      </w:tr>
      <w:tr w:rsidR="00773F7B" w14:paraId="05B9BF88" w14:textId="77777777" w:rsidTr="00773F7B">
        <w:trPr>
          <w:trHeight w:val="198"/>
        </w:trPr>
        <w:tc>
          <w:tcPr>
            <w:tcW w:w="2977" w:type="dxa"/>
            <w:tcBorders>
              <w:top w:val="single" w:sz="2" w:space="0" w:color="auto"/>
            </w:tcBorders>
            <w:vAlign w:val="bottom"/>
          </w:tcPr>
          <w:p w14:paraId="23402C6A" w14:textId="77777777" w:rsidR="00773F7B" w:rsidRPr="002C40EB" w:rsidRDefault="00773F7B" w:rsidP="00773F7B">
            <w:pPr>
              <w:pStyle w:val="T2"/>
              <w:jc w:val="left"/>
              <w:rPr>
                <w:b/>
              </w:rPr>
            </w:pPr>
            <w:r w:rsidRPr="002C40EB">
              <w:rPr>
                <w:b/>
              </w:rPr>
              <w:t>Adjusted Operating Profit</w:t>
            </w:r>
          </w:p>
        </w:tc>
        <w:tc>
          <w:tcPr>
            <w:tcW w:w="1276" w:type="dxa"/>
            <w:tcBorders>
              <w:top w:val="single" w:sz="2" w:space="0" w:color="auto"/>
            </w:tcBorders>
          </w:tcPr>
          <w:p w14:paraId="6FF49727" w14:textId="77777777" w:rsidR="00773F7B" w:rsidRPr="00FC568F" w:rsidRDefault="00773F7B" w:rsidP="00773F7B">
            <w:pPr>
              <w:pStyle w:val="T2"/>
              <w:jc w:val="right"/>
              <w:rPr>
                <w:b/>
                <w:bCs/>
              </w:rPr>
            </w:pPr>
            <w:r>
              <w:rPr>
                <w:b/>
                <w:bCs/>
              </w:rPr>
              <w:t>38.3</w:t>
            </w:r>
          </w:p>
        </w:tc>
        <w:tc>
          <w:tcPr>
            <w:tcW w:w="1276" w:type="dxa"/>
            <w:tcBorders>
              <w:top w:val="single" w:sz="2" w:space="0" w:color="auto"/>
            </w:tcBorders>
          </w:tcPr>
          <w:p w14:paraId="1557B04D" w14:textId="77777777" w:rsidR="00773F7B" w:rsidRPr="005D0EFF" w:rsidRDefault="00773F7B" w:rsidP="00773F7B">
            <w:pPr>
              <w:pStyle w:val="T2"/>
              <w:jc w:val="right"/>
              <w:rPr>
                <w:bCs/>
              </w:rPr>
            </w:pPr>
            <w:r w:rsidRPr="001F6040">
              <w:rPr>
                <w:b/>
                <w:bCs/>
              </w:rPr>
              <w:t>–</w:t>
            </w:r>
          </w:p>
        </w:tc>
        <w:tc>
          <w:tcPr>
            <w:tcW w:w="708" w:type="dxa"/>
            <w:tcBorders>
              <w:top w:val="single" w:sz="2" w:space="0" w:color="auto"/>
            </w:tcBorders>
          </w:tcPr>
          <w:p w14:paraId="60133AA2" w14:textId="77777777" w:rsidR="00773F7B" w:rsidRPr="005D0EFF" w:rsidRDefault="00773F7B" w:rsidP="00773F7B">
            <w:pPr>
              <w:pStyle w:val="T2"/>
              <w:jc w:val="right"/>
              <w:rPr>
                <w:bCs/>
              </w:rPr>
            </w:pPr>
            <w:r>
              <w:rPr>
                <w:b/>
                <w:bCs/>
              </w:rPr>
              <w:t>38.3</w:t>
            </w:r>
          </w:p>
        </w:tc>
        <w:tc>
          <w:tcPr>
            <w:tcW w:w="1276" w:type="dxa"/>
            <w:tcBorders>
              <w:top w:val="single" w:sz="2" w:space="0" w:color="auto"/>
            </w:tcBorders>
            <w:vAlign w:val="bottom"/>
          </w:tcPr>
          <w:p w14:paraId="5CBD4FB0" w14:textId="77777777" w:rsidR="00773F7B" w:rsidRPr="00775F03" w:rsidRDefault="00773F7B" w:rsidP="00773F7B">
            <w:pPr>
              <w:pStyle w:val="T2"/>
              <w:jc w:val="right"/>
            </w:pPr>
            <w:r>
              <w:t>44.7</w:t>
            </w:r>
          </w:p>
        </w:tc>
        <w:tc>
          <w:tcPr>
            <w:tcW w:w="1418" w:type="dxa"/>
            <w:tcBorders>
              <w:top w:val="single" w:sz="2" w:space="0" w:color="auto"/>
            </w:tcBorders>
          </w:tcPr>
          <w:p w14:paraId="65A6EFEC" w14:textId="77777777" w:rsidR="00773F7B" w:rsidRPr="0096767F" w:rsidRDefault="00773F7B" w:rsidP="00773F7B">
            <w:pPr>
              <w:pStyle w:val="T2"/>
              <w:jc w:val="right"/>
              <w:rPr>
                <w:bCs/>
              </w:rPr>
            </w:pPr>
            <w:r>
              <w:rPr>
                <w:bCs/>
              </w:rPr>
              <w:t>9.1</w:t>
            </w:r>
          </w:p>
        </w:tc>
        <w:tc>
          <w:tcPr>
            <w:tcW w:w="850" w:type="dxa"/>
            <w:tcBorders>
              <w:top w:val="single" w:sz="2" w:space="0" w:color="auto"/>
            </w:tcBorders>
          </w:tcPr>
          <w:p w14:paraId="504F1A88" w14:textId="77777777" w:rsidR="00773F7B" w:rsidRPr="0096767F" w:rsidRDefault="00773F7B" w:rsidP="00773F7B">
            <w:pPr>
              <w:pStyle w:val="T2"/>
              <w:jc w:val="right"/>
              <w:rPr>
                <w:bCs/>
              </w:rPr>
            </w:pPr>
            <w:r>
              <w:rPr>
                <w:bCs/>
              </w:rPr>
              <w:t>53.8</w:t>
            </w:r>
          </w:p>
        </w:tc>
      </w:tr>
      <w:tr w:rsidR="00773F7B" w14:paraId="427E4F09" w14:textId="77777777" w:rsidTr="00773F7B">
        <w:trPr>
          <w:trHeight w:val="208"/>
        </w:trPr>
        <w:tc>
          <w:tcPr>
            <w:tcW w:w="2977" w:type="dxa"/>
            <w:tcBorders>
              <w:bottom w:val="single" w:sz="2" w:space="0" w:color="auto"/>
            </w:tcBorders>
            <w:vAlign w:val="bottom"/>
          </w:tcPr>
          <w:p w14:paraId="41F57C01" w14:textId="77777777" w:rsidR="00773F7B" w:rsidRPr="00775F03" w:rsidRDefault="00773F7B" w:rsidP="00773F7B">
            <w:pPr>
              <w:pStyle w:val="T2"/>
              <w:jc w:val="left"/>
            </w:pPr>
            <w:r w:rsidRPr="00775F03">
              <w:t xml:space="preserve">Depreciation and amortisation </w:t>
            </w:r>
            <w:r w:rsidRPr="00775F03">
              <w:rPr>
                <w:vertAlign w:val="superscript"/>
              </w:rPr>
              <w:t>(</w:t>
            </w:r>
            <w:r>
              <w:rPr>
                <w:vertAlign w:val="superscript"/>
              </w:rPr>
              <w:t>C</w:t>
            </w:r>
            <w:r w:rsidRPr="00775F03">
              <w:rPr>
                <w:vertAlign w:val="superscript"/>
              </w:rPr>
              <w:t>)</w:t>
            </w:r>
          </w:p>
        </w:tc>
        <w:tc>
          <w:tcPr>
            <w:tcW w:w="1276" w:type="dxa"/>
            <w:tcBorders>
              <w:bottom w:val="single" w:sz="2" w:space="0" w:color="auto"/>
            </w:tcBorders>
          </w:tcPr>
          <w:p w14:paraId="01A303AA" w14:textId="77777777" w:rsidR="00773F7B" w:rsidRPr="00FC568F" w:rsidRDefault="00773F7B" w:rsidP="00773F7B">
            <w:pPr>
              <w:pStyle w:val="T2"/>
              <w:jc w:val="right"/>
              <w:rPr>
                <w:b/>
                <w:bCs/>
              </w:rPr>
            </w:pPr>
            <w:r>
              <w:rPr>
                <w:b/>
                <w:bCs/>
              </w:rPr>
              <w:t>25.5</w:t>
            </w:r>
          </w:p>
        </w:tc>
        <w:tc>
          <w:tcPr>
            <w:tcW w:w="1276" w:type="dxa"/>
            <w:tcBorders>
              <w:bottom w:val="single" w:sz="2" w:space="0" w:color="auto"/>
            </w:tcBorders>
          </w:tcPr>
          <w:p w14:paraId="65D0474E" w14:textId="77777777" w:rsidR="00773F7B" w:rsidRPr="005D0EFF" w:rsidRDefault="00773F7B" w:rsidP="00773F7B">
            <w:pPr>
              <w:pStyle w:val="T2"/>
              <w:jc w:val="right"/>
              <w:rPr>
                <w:bCs/>
              </w:rPr>
            </w:pPr>
            <w:r w:rsidRPr="001F6040">
              <w:rPr>
                <w:b/>
                <w:bCs/>
              </w:rPr>
              <w:t>–</w:t>
            </w:r>
          </w:p>
        </w:tc>
        <w:tc>
          <w:tcPr>
            <w:tcW w:w="708" w:type="dxa"/>
            <w:tcBorders>
              <w:bottom w:val="single" w:sz="2" w:space="0" w:color="auto"/>
            </w:tcBorders>
          </w:tcPr>
          <w:p w14:paraId="024C5E2C" w14:textId="77777777" w:rsidR="00773F7B" w:rsidRPr="005D0EFF" w:rsidRDefault="00773F7B" w:rsidP="00773F7B">
            <w:pPr>
              <w:pStyle w:val="T2"/>
              <w:jc w:val="right"/>
              <w:rPr>
                <w:bCs/>
              </w:rPr>
            </w:pPr>
            <w:r>
              <w:rPr>
                <w:b/>
                <w:bCs/>
              </w:rPr>
              <w:t>25.5</w:t>
            </w:r>
          </w:p>
        </w:tc>
        <w:tc>
          <w:tcPr>
            <w:tcW w:w="1276" w:type="dxa"/>
            <w:tcBorders>
              <w:bottom w:val="single" w:sz="2" w:space="0" w:color="auto"/>
            </w:tcBorders>
            <w:vAlign w:val="bottom"/>
          </w:tcPr>
          <w:p w14:paraId="46C56CF7" w14:textId="77777777" w:rsidR="00773F7B" w:rsidRPr="00775F03" w:rsidRDefault="00773F7B" w:rsidP="00773F7B">
            <w:pPr>
              <w:pStyle w:val="T2"/>
              <w:jc w:val="right"/>
            </w:pPr>
            <w:r>
              <w:t>17.8</w:t>
            </w:r>
          </w:p>
        </w:tc>
        <w:tc>
          <w:tcPr>
            <w:tcW w:w="1418" w:type="dxa"/>
            <w:tcBorders>
              <w:bottom w:val="single" w:sz="2" w:space="0" w:color="auto"/>
            </w:tcBorders>
          </w:tcPr>
          <w:p w14:paraId="1EF2154E" w14:textId="77777777" w:rsidR="00773F7B" w:rsidRPr="0096767F" w:rsidRDefault="00773F7B" w:rsidP="00773F7B">
            <w:pPr>
              <w:pStyle w:val="T2"/>
              <w:jc w:val="right"/>
              <w:rPr>
                <w:bCs/>
              </w:rPr>
            </w:pPr>
            <w:r>
              <w:rPr>
                <w:bCs/>
              </w:rPr>
              <w:t>–</w:t>
            </w:r>
          </w:p>
        </w:tc>
        <w:tc>
          <w:tcPr>
            <w:tcW w:w="850" w:type="dxa"/>
            <w:tcBorders>
              <w:bottom w:val="single" w:sz="2" w:space="0" w:color="auto"/>
            </w:tcBorders>
          </w:tcPr>
          <w:p w14:paraId="48280616" w14:textId="77777777" w:rsidR="00773F7B" w:rsidRPr="0096767F" w:rsidRDefault="00773F7B" w:rsidP="00773F7B">
            <w:pPr>
              <w:pStyle w:val="T2"/>
              <w:jc w:val="right"/>
              <w:rPr>
                <w:bCs/>
              </w:rPr>
            </w:pPr>
            <w:r>
              <w:rPr>
                <w:bCs/>
              </w:rPr>
              <w:t>17.8</w:t>
            </w:r>
          </w:p>
        </w:tc>
      </w:tr>
      <w:tr w:rsidR="00773F7B" w14:paraId="051CB3E8" w14:textId="77777777" w:rsidTr="00773F7B">
        <w:trPr>
          <w:trHeight w:val="208"/>
        </w:trPr>
        <w:tc>
          <w:tcPr>
            <w:tcW w:w="2977" w:type="dxa"/>
            <w:tcBorders>
              <w:top w:val="single" w:sz="2" w:space="0" w:color="auto"/>
              <w:bottom w:val="single" w:sz="8" w:space="0" w:color="auto"/>
            </w:tcBorders>
            <w:vAlign w:val="bottom"/>
          </w:tcPr>
          <w:p w14:paraId="02AAEC55" w14:textId="77777777" w:rsidR="00773F7B" w:rsidRPr="002C40EB" w:rsidRDefault="00773F7B" w:rsidP="00773F7B">
            <w:pPr>
              <w:pStyle w:val="T2"/>
              <w:jc w:val="left"/>
              <w:rPr>
                <w:b/>
              </w:rPr>
            </w:pPr>
            <w:r w:rsidRPr="002C40EB">
              <w:rPr>
                <w:b/>
              </w:rPr>
              <w:t>Adjusted EBITDA</w:t>
            </w:r>
          </w:p>
        </w:tc>
        <w:tc>
          <w:tcPr>
            <w:tcW w:w="1276" w:type="dxa"/>
            <w:tcBorders>
              <w:top w:val="single" w:sz="2" w:space="0" w:color="auto"/>
              <w:bottom w:val="single" w:sz="8" w:space="0" w:color="auto"/>
            </w:tcBorders>
          </w:tcPr>
          <w:p w14:paraId="7239271B" w14:textId="77777777" w:rsidR="00773F7B" w:rsidRPr="00FC568F" w:rsidRDefault="00773F7B" w:rsidP="00773F7B">
            <w:pPr>
              <w:pStyle w:val="T2"/>
              <w:jc w:val="right"/>
              <w:rPr>
                <w:b/>
                <w:bCs/>
              </w:rPr>
            </w:pPr>
            <w:r w:rsidRPr="00FC568F">
              <w:rPr>
                <w:b/>
                <w:bCs/>
              </w:rPr>
              <w:t>6</w:t>
            </w:r>
            <w:r>
              <w:rPr>
                <w:b/>
                <w:bCs/>
              </w:rPr>
              <w:t>3.8</w:t>
            </w:r>
          </w:p>
        </w:tc>
        <w:tc>
          <w:tcPr>
            <w:tcW w:w="1276" w:type="dxa"/>
            <w:tcBorders>
              <w:top w:val="single" w:sz="2" w:space="0" w:color="auto"/>
              <w:bottom w:val="single" w:sz="8" w:space="0" w:color="auto"/>
            </w:tcBorders>
          </w:tcPr>
          <w:p w14:paraId="159E39CA" w14:textId="77777777" w:rsidR="00773F7B" w:rsidRPr="005D0EFF" w:rsidRDefault="00773F7B" w:rsidP="00773F7B">
            <w:pPr>
              <w:pStyle w:val="T2"/>
              <w:jc w:val="right"/>
              <w:rPr>
                <w:bCs/>
              </w:rPr>
            </w:pPr>
            <w:r w:rsidRPr="001F6040">
              <w:rPr>
                <w:b/>
                <w:bCs/>
              </w:rPr>
              <w:t>–</w:t>
            </w:r>
          </w:p>
        </w:tc>
        <w:tc>
          <w:tcPr>
            <w:tcW w:w="708" w:type="dxa"/>
            <w:tcBorders>
              <w:top w:val="single" w:sz="2" w:space="0" w:color="auto"/>
              <w:bottom w:val="single" w:sz="8" w:space="0" w:color="auto"/>
            </w:tcBorders>
          </w:tcPr>
          <w:p w14:paraId="721BB20D" w14:textId="77777777" w:rsidR="00773F7B" w:rsidRPr="005D0EFF" w:rsidRDefault="00773F7B" w:rsidP="00773F7B">
            <w:pPr>
              <w:pStyle w:val="T2"/>
              <w:jc w:val="right"/>
              <w:rPr>
                <w:bCs/>
              </w:rPr>
            </w:pPr>
            <w:r w:rsidRPr="001F6040">
              <w:rPr>
                <w:b/>
                <w:bCs/>
              </w:rPr>
              <w:t>6</w:t>
            </w:r>
            <w:r>
              <w:rPr>
                <w:b/>
                <w:bCs/>
              </w:rPr>
              <w:t>3.8</w:t>
            </w:r>
          </w:p>
        </w:tc>
        <w:tc>
          <w:tcPr>
            <w:tcW w:w="1276" w:type="dxa"/>
            <w:tcBorders>
              <w:top w:val="single" w:sz="2" w:space="0" w:color="auto"/>
              <w:bottom w:val="single" w:sz="8" w:space="0" w:color="auto"/>
            </w:tcBorders>
            <w:vAlign w:val="bottom"/>
          </w:tcPr>
          <w:p w14:paraId="2B8A9B5A" w14:textId="77777777" w:rsidR="00773F7B" w:rsidRPr="00775F03" w:rsidRDefault="00773F7B" w:rsidP="00773F7B">
            <w:pPr>
              <w:pStyle w:val="T2"/>
              <w:jc w:val="right"/>
            </w:pPr>
            <w:r>
              <w:t>62.5</w:t>
            </w:r>
          </w:p>
        </w:tc>
        <w:tc>
          <w:tcPr>
            <w:tcW w:w="1418" w:type="dxa"/>
            <w:tcBorders>
              <w:top w:val="single" w:sz="2" w:space="0" w:color="auto"/>
              <w:bottom w:val="single" w:sz="8" w:space="0" w:color="auto"/>
            </w:tcBorders>
          </w:tcPr>
          <w:p w14:paraId="7F76A4A2" w14:textId="77777777" w:rsidR="00773F7B" w:rsidRPr="0096767F" w:rsidRDefault="00773F7B" w:rsidP="00773F7B">
            <w:pPr>
              <w:pStyle w:val="T2"/>
              <w:jc w:val="right"/>
              <w:rPr>
                <w:bCs/>
              </w:rPr>
            </w:pPr>
            <w:r>
              <w:rPr>
                <w:bCs/>
              </w:rPr>
              <w:t>9.1</w:t>
            </w:r>
          </w:p>
        </w:tc>
        <w:tc>
          <w:tcPr>
            <w:tcW w:w="850" w:type="dxa"/>
            <w:tcBorders>
              <w:top w:val="single" w:sz="2" w:space="0" w:color="auto"/>
              <w:bottom w:val="single" w:sz="8" w:space="0" w:color="auto"/>
            </w:tcBorders>
          </w:tcPr>
          <w:p w14:paraId="0596CBFF" w14:textId="77777777" w:rsidR="00773F7B" w:rsidRPr="0096767F" w:rsidRDefault="00773F7B" w:rsidP="00773F7B">
            <w:pPr>
              <w:pStyle w:val="T2"/>
              <w:jc w:val="right"/>
              <w:rPr>
                <w:bCs/>
              </w:rPr>
            </w:pPr>
            <w:r>
              <w:rPr>
                <w:bCs/>
              </w:rPr>
              <w:t>71.6</w:t>
            </w:r>
          </w:p>
        </w:tc>
      </w:tr>
      <w:tr w:rsidR="00773F7B" w14:paraId="47AA94A5" w14:textId="77777777" w:rsidTr="00773F7B">
        <w:trPr>
          <w:trHeight w:val="208"/>
        </w:trPr>
        <w:tc>
          <w:tcPr>
            <w:tcW w:w="2977" w:type="dxa"/>
            <w:tcBorders>
              <w:top w:val="single" w:sz="8" w:space="0" w:color="auto"/>
              <w:bottom w:val="single" w:sz="8" w:space="0" w:color="auto"/>
            </w:tcBorders>
            <w:vAlign w:val="bottom"/>
          </w:tcPr>
          <w:p w14:paraId="392E7C96" w14:textId="77777777" w:rsidR="00773F7B" w:rsidRPr="002C40EB" w:rsidRDefault="00773F7B" w:rsidP="00773F7B">
            <w:pPr>
              <w:pStyle w:val="T2"/>
              <w:jc w:val="left"/>
              <w:rPr>
                <w:b/>
              </w:rPr>
            </w:pPr>
            <w:r w:rsidRPr="002C40EB">
              <w:rPr>
                <w:b/>
              </w:rPr>
              <w:t xml:space="preserve">Adjusted Operating Margin (%) </w:t>
            </w:r>
          </w:p>
        </w:tc>
        <w:tc>
          <w:tcPr>
            <w:tcW w:w="1276" w:type="dxa"/>
            <w:tcBorders>
              <w:top w:val="single" w:sz="8" w:space="0" w:color="auto"/>
              <w:bottom w:val="single" w:sz="8" w:space="0" w:color="auto"/>
            </w:tcBorders>
          </w:tcPr>
          <w:p w14:paraId="476E4DE6" w14:textId="77777777" w:rsidR="00773F7B" w:rsidRPr="00FC568F" w:rsidRDefault="00773F7B" w:rsidP="00773F7B">
            <w:pPr>
              <w:pStyle w:val="T2"/>
              <w:jc w:val="right"/>
              <w:rPr>
                <w:b/>
                <w:bCs/>
              </w:rPr>
            </w:pPr>
            <w:r w:rsidRPr="00FC568F">
              <w:rPr>
                <w:b/>
                <w:bCs/>
              </w:rPr>
              <w:t>5.4%</w:t>
            </w:r>
          </w:p>
        </w:tc>
        <w:tc>
          <w:tcPr>
            <w:tcW w:w="1276" w:type="dxa"/>
            <w:tcBorders>
              <w:top w:val="single" w:sz="8" w:space="0" w:color="auto"/>
              <w:bottom w:val="single" w:sz="8" w:space="0" w:color="auto"/>
            </w:tcBorders>
          </w:tcPr>
          <w:p w14:paraId="6DAF4E5D" w14:textId="77777777" w:rsidR="00773F7B" w:rsidRPr="005D0EFF" w:rsidRDefault="00773F7B" w:rsidP="00773F7B">
            <w:pPr>
              <w:pStyle w:val="T2"/>
              <w:jc w:val="right"/>
              <w:rPr>
                <w:bCs/>
              </w:rPr>
            </w:pPr>
            <w:r w:rsidRPr="001F6040">
              <w:rPr>
                <w:b/>
                <w:bCs/>
              </w:rPr>
              <w:t>–</w:t>
            </w:r>
          </w:p>
        </w:tc>
        <w:tc>
          <w:tcPr>
            <w:tcW w:w="708" w:type="dxa"/>
            <w:tcBorders>
              <w:top w:val="single" w:sz="8" w:space="0" w:color="auto"/>
              <w:bottom w:val="single" w:sz="8" w:space="0" w:color="auto"/>
            </w:tcBorders>
          </w:tcPr>
          <w:p w14:paraId="795E2F81" w14:textId="77777777" w:rsidR="00773F7B" w:rsidRPr="005D0EFF" w:rsidRDefault="00773F7B" w:rsidP="00773F7B">
            <w:pPr>
              <w:pStyle w:val="T2"/>
              <w:jc w:val="right"/>
              <w:rPr>
                <w:bCs/>
              </w:rPr>
            </w:pPr>
            <w:r w:rsidRPr="001F6040">
              <w:rPr>
                <w:b/>
                <w:bCs/>
              </w:rPr>
              <w:t>5.4%</w:t>
            </w:r>
          </w:p>
        </w:tc>
        <w:tc>
          <w:tcPr>
            <w:tcW w:w="1276" w:type="dxa"/>
            <w:tcBorders>
              <w:top w:val="single" w:sz="8" w:space="0" w:color="auto"/>
              <w:bottom w:val="single" w:sz="8" w:space="0" w:color="auto"/>
            </w:tcBorders>
            <w:vAlign w:val="bottom"/>
          </w:tcPr>
          <w:p w14:paraId="2D517375" w14:textId="77777777" w:rsidR="00773F7B" w:rsidRPr="00775F03" w:rsidRDefault="00773F7B" w:rsidP="00773F7B">
            <w:pPr>
              <w:pStyle w:val="T2"/>
              <w:jc w:val="right"/>
            </w:pPr>
            <w:r>
              <w:t>6.4%</w:t>
            </w:r>
          </w:p>
        </w:tc>
        <w:tc>
          <w:tcPr>
            <w:tcW w:w="1418" w:type="dxa"/>
            <w:tcBorders>
              <w:top w:val="single" w:sz="8" w:space="0" w:color="auto"/>
              <w:bottom w:val="single" w:sz="8" w:space="0" w:color="auto"/>
            </w:tcBorders>
          </w:tcPr>
          <w:p w14:paraId="28C71244" w14:textId="77777777" w:rsidR="00773F7B" w:rsidRPr="0096767F" w:rsidRDefault="00773F7B" w:rsidP="00773F7B">
            <w:pPr>
              <w:pStyle w:val="T2"/>
              <w:jc w:val="right"/>
              <w:rPr>
                <w:bCs/>
              </w:rPr>
            </w:pPr>
            <w:r>
              <w:rPr>
                <w:bCs/>
              </w:rPr>
              <w:t>5.3%</w:t>
            </w:r>
          </w:p>
        </w:tc>
        <w:tc>
          <w:tcPr>
            <w:tcW w:w="850" w:type="dxa"/>
            <w:tcBorders>
              <w:top w:val="single" w:sz="8" w:space="0" w:color="auto"/>
              <w:bottom w:val="single" w:sz="8" w:space="0" w:color="auto"/>
            </w:tcBorders>
          </w:tcPr>
          <w:p w14:paraId="78148E78" w14:textId="77777777" w:rsidR="00773F7B" w:rsidRPr="0096767F" w:rsidRDefault="00773F7B" w:rsidP="00773F7B">
            <w:pPr>
              <w:pStyle w:val="T2"/>
              <w:jc w:val="right"/>
              <w:rPr>
                <w:bCs/>
              </w:rPr>
            </w:pPr>
            <w:r>
              <w:rPr>
                <w:bCs/>
              </w:rPr>
              <w:t>6.2%</w:t>
            </w:r>
          </w:p>
        </w:tc>
      </w:tr>
    </w:tbl>
    <w:p w14:paraId="76154BF0" w14:textId="77777777" w:rsidR="00773F7B" w:rsidRDefault="00773F7B" w:rsidP="00773F7B">
      <w:pPr>
        <w:pStyle w:val="Paragraph"/>
        <w:spacing w:before="0"/>
        <w:ind w:left="714"/>
        <w:rPr>
          <w:sz w:val="16"/>
          <w:szCs w:val="16"/>
        </w:rPr>
      </w:pPr>
    </w:p>
    <w:p w14:paraId="2A0F39C3" w14:textId="77777777" w:rsidR="00773F7B" w:rsidRPr="00FC568F" w:rsidRDefault="00773F7B" w:rsidP="00E168F7">
      <w:pPr>
        <w:pStyle w:val="Paragraph"/>
        <w:numPr>
          <w:ilvl w:val="0"/>
          <w:numId w:val="6"/>
        </w:numPr>
        <w:spacing w:before="0"/>
        <w:ind w:left="714" w:hanging="357"/>
        <w:rPr>
          <w:sz w:val="15"/>
          <w:szCs w:val="15"/>
        </w:rPr>
      </w:pPr>
      <w:r w:rsidRPr="00FC568F">
        <w:rPr>
          <w:sz w:val="15"/>
          <w:szCs w:val="15"/>
        </w:rPr>
        <w:t>Includes tax credit on exceptional items of £0.</w:t>
      </w:r>
      <w:r>
        <w:rPr>
          <w:sz w:val="15"/>
          <w:szCs w:val="15"/>
        </w:rPr>
        <w:t>4</w:t>
      </w:r>
      <w:r w:rsidRPr="00FC568F">
        <w:rPr>
          <w:sz w:val="15"/>
          <w:szCs w:val="15"/>
        </w:rPr>
        <w:t>m (2019: £0.5m)</w:t>
      </w:r>
    </w:p>
    <w:p w14:paraId="2527C62F" w14:textId="77777777" w:rsidR="00773F7B" w:rsidRPr="00FC568F" w:rsidRDefault="00773F7B" w:rsidP="00E168F7">
      <w:pPr>
        <w:pStyle w:val="Paragraph"/>
        <w:numPr>
          <w:ilvl w:val="0"/>
          <w:numId w:val="6"/>
        </w:numPr>
        <w:spacing w:before="0"/>
        <w:ind w:left="714" w:hanging="357"/>
        <w:rPr>
          <w:sz w:val="15"/>
          <w:szCs w:val="15"/>
        </w:rPr>
      </w:pPr>
      <w:r w:rsidRPr="00FC568F">
        <w:rPr>
          <w:sz w:val="15"/>
          <w:szCs w:val="15"/>
        </w:rPr>
        <w:t xml:space="preserve">Finance costs less finance income </w:t>
      </w:r>
    </w:p>
    <w:p w14:paraId="01EAB279" w14:textId="04B61415" w:rsidR="00773F7B" w:rsidRPr="00FC568F" w:rsidRDefault="00773F7B" w:rsidP="00E168F7">
      <w:pPr>
        <w:pStyle w:val="Paragraph"/>
        <w:numPr>
          <w:ilvl w:val="0"/>
          <w:numId w:val="6"/>
        </w:numPr>
        <w:spacing w:before="0"/>
        <w:ind w:left="714" w:hanging="357"/>
        <w:rPr>
          <w:sz w:val="15"/>
          <w:szCs w:val="15"/>
        </w:rPr>
      </w:pPr>
      <w:r w:rsidRPr="00FC568F">
        <w:rPr>
          <w:sz w:val="15"/>
          <w:szCs w:val="15"/>
        </w:rPr>
        <w:t>Excludes amortisation of acquisition related intangibles</w:t>
      </w:r>
      <w:r w:rsidR="00B41E40">
        <w:rPr>
          <w:sz w:val="15"/>
          <w:szCs w:val="15"/>
        </w:rPr>
        <w:t xml:space="preserve">. </w:t>
      </w:r>
      <w:r w:rsidR="00B41E40" w:rsidRPr="00267082">
        <w:rPr>
          <w:sz w:val="15"/>
          <w:szCs w:val="15"/>
        </w:rPr>
        <w:t>The current period includes depreciation of right-of-use lease assets</w:t>
      </w:r>
    </w:p>
    <w:p w14:paraId="23CD84AE" w14:textId="77777777" w:rsidR="00773F7B" w:rsidRDefault="00773F7B" w:rsidP="00773F7B">
      <w:pPr>
        <w:pStyle w:val="Paragraph"/>
        <w:spacing w:before="0"/>
        <w:ind w:left="720"/>
      </w:pPr>
    </w:p>
    <w:p w14:paraId="1E67CDF3" w14:textId="77777777" w:rsidR="00773F7B" w:rsidRDefault="00773F7B" w:rsidP="00773F7B">
      <w:pPr>
        <w:pStyle w:val="Paragraph"/>
        <w:rPr>
          <w:b/>
        </w:rPr>
      </w:pPr>
      <w:r w:rsidRPr="00BE3FBD">
        <w:rPr>
          <w:b/>
        </w:rPr>
        <w:t>ADJUSTED PROFIT BEFORE TAX ('PBT') FOR CONTINUING OPERATIONS</w:t>
      </w:r>
    </w:p>
    <w:p w14:paraId="0F549961" w14:textId="77777777" w:rsidR="00773F7B" w:rsidRDefault="00773F7B" w:rsidP="00773F7B">
      <w:pPr>
        <w:pStyle w:val="Paragraph"/>
        <w:jc w:val="both"/>
      </w:pPr>
      <w:r w:rsidRPr="00BE3FBD">
        <w:t>Adjusted PBT is used as a measure by the Group to measure overall performance before associated tax charge and exceptional items.</w:t>
      </w:r>
    </w:p>
    <w:p w14:paraId="3B8CD742" w14:textId="77777777" w:rsidR="00773F7B" w:rsidRDefault="00773F7B" w:rsidP="00773F7B">
      <w:pPr>
        <w:pStyle w:val="Paragraph"/>
        <w:jc w:val="both"/>
      </w:pPr>
      <w:r w:rsidRPr="00BE3FBD">
        <w:t>The Group calculates Adjusted PBT as profit before taxation, excluding tax on share of profit of associates and before exceptional items, pension finance items, amortisation of acquisition related intangibles, FX on inter</w:t>
      </w:r>
      <w:r>
        <w:t>–</w:t>
      </w:r>
      <w:r w:rsidRPr="00BE3FBD">
        <w:t>company and certain external balances and the movement on the fair value of all derivative financial instruments and related debt adjustments.</w:t>
      </w:r>
    </w:p>
    <w:p w14:paraId="252AE196" w14:textId="77777777" w:rsidR="00773F7B" w:rsidRDefault="00773F7B" w:rsidP="00773F7B">
      <w:pPr>
        <w:pStyle w:val="Paragraph"/>
        <w:jc w:val="both"/>
      </w:pPr>
      <w:r w:rsidRPr="005638C0">
        <w:t>The following table sets out the calculation of Adjusted PBT:</w:t>
      </w:r>
    </w:p>
    <w:tbl>
      <w:tblPr>
        <w:tblStyle w:val="TableGrid"/>
        <w:tblW w:w="9844" w:type="dxa"/>
        <w:tblInd w:w="-108" w:type="dxa"/>
        <w:tblLook w:val="04A0" w:firstRow="1" w:lastRow="0" w:firstColumn="1" w:lastColumn="0" w:noHBand="0" w:noVBand="1"/>
      </w:tblPr>
      <w:tblGrid>
        <w:gridCol w:w="108"/>
        <w:gridCol w:w="7792"/>
        <w:gridCol w:w="992"/>
        <w:gridCol w:w="844"/>
        <w:gridCol w:w="108"/>
      </w:tblGrid>
      <w:tr w:rsidR="00773F7B" w14:paraId="57B3963D" w14:textId="77777777" w:rsidTr="005B3BEE">
        <w:trPr>
          <w:gridBefore w:val="1"/>
          <w:wBefore w:w="108" w:type="dxa"/>
        </w:trPr>
        <w:tc>
          <w:tcPr>
            <w:tcW w:w="7792" w:type="dxa"/>
            <w:tcBorders>
              <w:top w:val="nil"/>
              <w:left w:val="nil"/>
              <w:bottom w:val="nil"/>
              <w:right w:val="nil"/>
            </w:tcBorders>
          </w:tcPr>
          <w:p w14:paraId="791CEC77" w14:textId="77777777" w:rsidR="00773F7B" w:rsidRPr="004F4EB9" w:rsidRDefault="00773F7B" w:rsidP="00773F7B">
            <w:pPr>
              <w:pStyle w:val="T2"/>
            </w:pPr>
          </w:p>
        </w:tc>
        <w:tc>
          <w:tcPr>
            <w:tcW w:w="992" w:type="dxa"/>
            <w:tcBorders>
              <w:top w:val="nil"/>
              <w:left w:val="nil"/>
              <w:bottom w:val="nil"/>
              <w:right w:val="nil"/>
            </w:tcBorders>
            <w:vAlign w:val="bottom"/>
          </w:tcPr>
          <w:p w14:paraId="65A87B2D" w14:textId="77777777" w:rsidR="00773F7B" w:rsidRPr="004F4EB9" w:rsidRDefault="00773F7B" w:rsidP="00773F7B">
            <w:pPr>
              <w:pStyle w:val="T2"/>
              <w:jc w:val="right"/>
              <w:rPr>
                <w:b/>
              </w:rPr>
            </w:pPr>
            <w:r w:rsidRPr="004F4EB9">
              <w:rPr>
                <w:b/>
              </w:rPr>
              <w:t xml:space="preserve">Half year </w:t>
            </w:r>
            <w:r w:rsidRPr="004F4EB9">
              <w:rPr>
                <w:b/>
              </w:rPr>
              <w:br/>
              <w:t>20</w:t>
            </w:r>
            <w:r>
              <w:rPr>
                <w:b/>
              </w:rPr>
              <w:t>20</w:t>
            </w:r>
          </w:p>
        </w:tc>
        <w:tc>
          <w:tcPr>
            <w:tcW w:w="952" w:type="dxa"/>
            <w:gridSpan w:val="2"/>
            <w:tcBorders>
              <w:top w:val="nil"/>
              <w:left w:val="nil"/>
              <w:bottom w:val="nil"/>
              <w:right w:val="nil"/>
            </w:tcBorders>
            <w:vAlign w:val="bottom"/>
          </w:tcPr>
          <w:p w14:paraId="0B8A678F" w14:textId="77777777" w:rsidR="00773F7B" w:rsidRPr="004F4EB9" w:rsidRDefault="00773F7B" w:rsidP="00773F7B">
            <w:pPr>
              <w:pStyle w:val="T2"/>
              <w:jc w:val="right"/>
            </w:pPr>
            <w:r w:rsidRPr="004F4EB9">
              <w:t xml:space="preserve">Half year </w:t>
            </w:r>
            <w:r w:rsidRPr="004F4EB9">
              <w:br/>
              <w:t>201</w:t>
            </w:r>
            <w:r>
              <w:t>9</w:t>
            </w:r>
            <w:r w:rsidRPr="004F4EB9">
              <w:t xml:space="preserve"> </w:t>
            </w:r>
          </w:p>
        </w:tc>
      </w:tr>
      <w:tr w:rsidR="00773F7B" w14:paraId="57D80406" w14:textId="77777777" w:rsidTr="005B3BEE">
        <w:trPr>
          <w:gridBefore w:val="1"/>
          <w:wBefore w:w="108" w:type="dxa"/>
        </w:trPr>
        <w:tc>
          <w:tcPr>
            <w:tcW w:w="7792" w:type="dxa"/>
            <w:tcBorders>
              <w:top w:val="nil"/>
              <w:left w:val="nil"/>
              <w:bottom w:val="single" w:sz="2" w:space="0" w:color="auto"/>
              <w:right w:val="nil"/>
            </w:tcBorders>
            <w:vAlign w:val="bottom"/>
          </w:tcPr>
          <w:p w14:paraId="1F979255" w14:textId="77777777" w:rsidR="00773F7B" w:rsidRPr="000D1D55" w:rsidRDefault="00773F7B" w:rsidP="00773F7B">
            <w:pPr>
              <w:pStyle w:val="T2"/>
              <w:jc w:val="left"/>
            </w:pPr>
          </w:p>
        </w:tc>
        <w:tc>
          <w:tcPr>
            <w:tcW w:w="992" w:type="dxa"/>
            <w:tcBorders>
              <w:top w:val="nil"/>
              <w:left w:val="nil"/>
              <w:bottom w:val="single" w:sz="2" w:space="0" w:color="auto"/>
              <w:right w:val="nil"/>
            </w:tcBorders>
            <w:vAlign w:val="bottom"/>
          </w:tcPr>
          <w:p w14:paraId="14D57723" w14:textId="77777777" w:rsidR="00773F7B" w:rsidRPr="004F4EB9" w:rsidRDefault="00773F7B" w:rsidP="00773F7B">
            <w:pPr>
              <w:pStyle w:val="T2"/>
              <w:jc w:val="right"/>
              <w:rPr>
                <w:b/>
              </w:rPr>
            </w:pPr>
            <w:r w:rsidRPr="004F4EB9">
              <w:rPr>
                <w:b/>
              </w:rPr>
              <w:t>£m</w:t>
            </w:r>
          </w:p>
        </w:tc>
        <w:tc>
          <w:tcPr>
            <w:tcW w:w="952" w:type="dxa"/>
            <w:gridSpan w:val="2"/>
            <w:tcBorders>
              <w:top w:val="nil"/>
              <w:left w:val="nil"/>
              <w:bottom w:val="single" w:sz="2" w:space="0" w:color="auto"/>
              <w:right w:val="nil"/>
            </w:tcBorders>
            <w:vAlign w:val="bottom"/>
          </w:tcPr>
          <w:p w14:paraId="5C482C4A" w14:textId="77777777" w:rsidR="00773F7B" w:rsidRPr="004F4EB9" w:rsidRDefault="00773F7B" w:rsidP="00773F7B">
            <w:pPr>
              <w:pStyle w:val="T2"/>
              <w:jc w:val="right"/>
            </w:pPr>
            <w:r w:rsidRPr="004F4EB9">
              <w:t>£m</w:t>
            </w:r>
          </w:p>
        </w:tc>
      </w:tr>
      <w:tr w:rsidR="00773F7B" w14:paraId="10E0A47E" w14:textId="77777777" w:rsidTr="005B3BEE">
        <w:trPr>
          <w:gridBefore w:val="1"/>
          <w:wBefore w:w="108" w:type="dxa"/>
        </w:trPr>
        <w:tc>
          <w:tcPr>
            <w:tcW w:w="7792" w:type="dxa"/>
            <w:tcBorders>
              <w:top w:val="single" w:sz="2" w:space="0" w:color="auto"/>
              <w:left w:val="nil"/>
              <w:bottom w:val="nil"/>
              <w:right w:val="nil"/>
            </w:tcBorders>
            <w:vAlign w:val="bottom"/>
          </w:tcPr>
          <w:p w14:paraId="151F3EA9" w14:textId="77777777" w:rsidR="00773F7B" w:rsidRPr="003479B7" w:rsidRDefault="00773F7B" w:rsidP="00773F7B">
            <w:pPr>
              <w:pStyle w:val="T2"/>
              <w:jc w:val="left"/>
              <w:rPr>
                <w:b/>
              </w:rPr>
            </w:pPr>
            <w:r w:rsidRPr="003479B7">
              <w:rPr>
                <w:b/>
              </w:rPr>
              <w:t>Profit before taxation for continuing operations</w:t>
            </w:r>
          </w:p>
        </w:tc>
        <w:tc>
          <w:tcPr>
            <w:tcW w:w="992" w:type="dxa"/>
            <w:tcBorders>
              <w:top w:val="single" w:sz="2" w:space="0" w:color="auto"/>
              <w:left w:val="nil"/>
              <w:bottom w:val="nil"/>
              <w:right w:val="nil"/>
            </w:tcBorders>
            <w:vAlign w:val="bottom"/>
          </w:tcPr>
          <w:p w14:paraId="6AB3A31F" w14:textId="77777777" w:rsidR="00773F7B" w:rsidRPr="00FC568F" w:rsidRDefault="00773F7B" w:rsidP="00773F7B">
            <w:pPr>
              <w:jc w:val="right"/>
              <w:rPr>
                <w:b/>
                <w:bCs/>
                <w:sz w:val="18"/>
                <w:szCs w:val="18"/>
              </w:rPr>
            </w:pPr>
            <w:r w:rsidRPr="00FC568F">
              <w:rPr>
                <w:b/>
                <w:bCs/>
                <w:sz w:val="18"/>
                <w:szCs w:val="18"/>
              </w:rPr>
              <w:t>27.</w:t>
            </w:r>
            <w:r>
              <w:rPr>
                <w:b/>
                <w:bCs/>
                <w:sz w:val="18"/>
                <w:szCs w:val="18"/>
              </w:rPr>
              <w:t>3</w:t>
            </w:r>
          </w:p>
        </w:tc>
        <w:tc>
          <w:tcPr>
            <w:tcW w:w="952" w:type="dxa"/>
            <w:gridSpan w:val="2"/>
            <w:tcBorders>
              <w:top w:val="single" w:sz="2" w:space="0" w:color="auto"/>
              <w:left w:val="nil"/>
              <w:bottom w:val="nil"/>
              <w:right w:val="nil"/>
            </w:tcBorders>
            <w:vAlign w:val="bottom"/>
          </w:tcPr>
          <w:p w14:paraId="0885D247" w14:textId="77777777" w:rsidR="00773F7B" w:rsidRPr="004F4EB9" w:rsidRDefault="00773F7B" w:rsidP="00773F7B">
            <w:pPr>
              <w:pStyle w:val="T2"/>
              <w:jc w:val="right"/>
            </w:pPr>
            <w:r w:rsidRPr="0096767F">
              <w:rPr>
                <w:bCs/>
              </w:rPr>
              <w:t xml:space="preserve">5.7 </w:t>
            </w:r>
          </w:p>
        </w:tc>
      </w:tr>
      <w:tr w:rsidR="00773F7B" w14:paraId="28BEE7E6" w14:textId="77777777" w:rsidTr="005B3BEE">
        <w:trPr>
          <w:gridBefore w:val="1"/>
          <w:wBefore w:w="108" w:type="dxa"/>
        </w:trPr>
        <w:tc>
          <w:tcPr>
            <w:tcW w:w="7792" w:type="dxa"/>
            <w:tcBorders>
              <w:top w:val="nil"/>
              <w:left w:val="nil"/>
              <w:bottom w:val="nil"/>
              <w:right w:val="nil"/>
            </w:tcBorders>
            <w:vAlign w:val="bottom"/>
          </w:tcPr>
          <w:p w14:paraId="1513402E" w14:textId="77777777" w:rsidR="00773F7B" w:rsidRPr="000D1D55" w:rsidRDefault="00773F7B" w:rsidP="00773F7B">
            <w:pPr>
              <w:pStyle w:val="T2"/>
              <w:jc w:val="left"/>
            </w:pPr>
            <w:r w:rsidRPr="000D1D55">
              <w:t>Taxation on share of profit of associates</w:t>
            </w:r>
          </w:p>
        </w:tc>
        <w:tc>
          <w:tcPr>
            <w:tcW w:w="992" w:type="dxa"/>
            <w:tcBorders>
              <w:top w:val="nil"/>
              <w:left w:val="nil"/>
              <w:bottom w:val="nil"/>
              <w:right w:val="nil"/>
            </w:tcBorders>
            <w:vAlign w:val="bottom"/>
          </w:tcPr>
          <w:p w14:paraId="1E91E65A" w14:textId="77777777" w:rsidR="00773F7B" w:rsidRPr="00FC568F" w:rsidRDefault="00773F7B" w:rsidP="00773F7B">
            <w:pPr>
              <w:jc w:val="right"/>
              <w:rPr>
                <w:b/>
                <w:bCs/>
                <w:sz w:val="18"/>
                <w:szCs w:val="18"/>
              </w:rPr>
            </w:pPr>
            <w:r w:rsidRPr="00FC568F">
              <w:rPr>
                <w:b/>
                <w:bCs/>
                <w:sz w:val="18"/>
                <w:szCs w:val="18"/>
              </w:rPr>
              <w:t>0.1</w:t>
            </w:r>
          </w:p>
        </w:tc>
        <w:tc>
          <w:tcPr>
            <w:tcW w:w="952" w:type="dxa"/>
            <w:gridSpan w:val="2"/>
            <w:tcBorders>
              <w:top w:val="nil"/>
              <w:left w:val="nil"/>
              <w:bottom w:val="nil"/>
              <w:right w:val="nil"/>
            </w:tcBorders>
            <w:vAlign w:val="bottom"/>
          </w:tcPr>
          <w:p w14:paraId="5E3EC2AA" w14:textId="77777777" w:rsidR="00773F7B" w:rsidRPr="004F4EB9" w:rsidRDefault="00773F7B" w:rsidP="00773F7B">
            <w:pPr>
              <w:pStyle w:val="T2"/>
              <w:jc w:val="right"/>
            </w:pPr>
            <w:r w:rsidRPr="0096767F">
              <w:rPr>
                <w:bCs/>
              </w:rPr>
              <w:t xml:space="preserve">0.1 </w:t>
            </w:r>
          </w:p>
        </w:tc>
      </w:tr>
      <w:tr w:rsidR="00773F7B" w14:paraId="16FA0221" w14:textId="77777777" w:rsidTr="005B3BEE">
        <w:trPr>
          <w:gridBefore w:val="1"/>
          <w:wBefore w:w="108" w:type="dxa"/>
        </w:trPr>
        <w:tc>
          <w:tcPr>
            <w:tcW w:w="7792" w:type="dxa"/>
            <w:tcBorders>
              <w:top w:val="nil"/>
              <w:left w:val="nil"/>
              <w:bottom w:val="nil"/>
              <w:right w:val="nil"/>
            </w:tcBorders>
            <w:vAlign w:val="bottom"/>
          </w:tcPr>
          <w:p w14:paraId="3ED32ADC" w14:textId="77777777" w:rsidR="00773F7B" w:rsidRPr="000D1D55" w:rsidRDefault="00773F7B" w:rsidP="00773F7B">
            <w:pPr>
              <w:pStyle w:val="T2"/>
              <w:jc w:val="left"/>
            </w:pPr>
            <w:r w:rsidRPr="000D1D55">
              <w:t xml:space="preserve">Exceptional items </w:t>
            </w:r>
          </w:p>
        </w:tc>
        <w:tc>
          <w:tcPr>
            <w:tcW w:w="992" w:type="dxa"/>
            <w:tcBorders>
              <w:top w:val="nil"/>
              <w:left w:val="nil"/>
              <w:bottom w:val="nil"/>
              <w:right w:val="nil"/>
            </w:tcBorders>
            <w:vAlign w:val="bottom"/>
          </w:tcPr>
          <w:p w14:paraId="46201EA0" w14:textId="77777777" w:rsidR="00773F7B" w:rsidRPr="00FC568F" w:rsidRDefault="00773F7B" w:rsidP="00773F7B">
            <w:pPr>
              <w:jc w:val="right"/>
              <w:rPr>
                <w:b/>
                <w:bCs/>
                <w:sz w:val="18"/>
                <w:szCs w:val="18"/>
              </w:rPr>
            </w:pPr>
            <w:r w:rsidRPr="00C21BC1">
              <w:rPr>
                <w:b/>
                <w:bCs/>
              </w:rPr>
              <w:t>–</w:t>
            </w:r>
          </w:p>
        </w:tc>
        <w:tc>
          <w:tcPr>
            <w:tcW w:w="952" w:type="dxa"/>
            <w:gridSpan w:val="2"/>
            <w:tcBorders>
              <w:top w:val="nil"/>
              <w:left w:val="nil"/>
              <w:bottom w:val="nil"/>
              <w:right w:val="nil"/>
            </w:tcBorders>
            <w:vAlign w:val="bottom"/>
          </w:tcPr>
          <w:p w14:paraId="5943BEC2" w14:textId="77777777" w:rsidR="00773F7B" w:rsidRPr="004F4EB9" w:rsidRDefault="00773F7B" w:rsidP="00773F7B">
            <w:pPr>
              <w:pStyle w:val="T2"/>
              <w:jc w:val="right"/>
            </w:pPr>
            <w:r w:rsidRPr="0096767F">
              <w:rPr>
                <w:bCs/>
              </w:rPr>
              <w:t xml:space="preserve">28.4 </w:t>
            </w:r>
          </w:p>
        </w:tc>
      </w:tr>
      <w:tr w:rsidR="00773F7B" w14:paraId="74133CAF" w14:textId="77777777" w:rsidTr="005B3BEE">
        <w:trPr>
          <w:gridBefore w:val="1"/>
          <w:wBefore w:w="108" w:type="dxa"/>
        </w:trPr>
        <w:tc>
          <w:tcPr>
            <w:tcW w:w="7792" w:type="dxa"/>
            <w:tcBorders>
              <w:top w:val="nil"/>
              <w:left w:val="nil"/>
              <w:bottom w:val="nil"/>
              <w:right w:val="nil"/>
            </w:tcBorders>
            <w:vAlign w:val="bottom"/>
          </w:tcPr>
          <w:p w14:paraId="103063D0" w14:textId="77777777" w:rsidR="00773F7B" w:rsidRPr="000D1D55" w:rsidRDefault="00773F7B" w:rsidP="00773F7B">
            <w:pPr>
              <w:pStyle w:val="T2"/>
              <w:jc w:val="left"/>
            </w:pPr>
            <w:r w:rsidRPr="000D1D55">
              <w:t xml:space="preserve">Pension finance items </w:t>
            </w:r>
          </w:p>
        </w:tc>
        <w:tc>
          <w:tcPr>
            <w:tcW w:w="992" w:type="dxa"/>
            <w:tcBorders>
              <w:top w:val="nil"/>
              <w:left w:val="nil"/>
              <w:bottom w:val="nil"/>
              <w:right w:val="nil"/>
            </w:tcBorders>
            <w:vAlign w:val="bottom"/>
          </w:tcPr>
          <w:p w14:paraId="2B71E267" w14:textId="77777777" w:rsidR="00773F7B" w:rsidRPr="00FC568F" w:rsidRDefault="00773F7B" w:rsidP="00773F7B">
            <w:pPr>
              <w:jc w:val="right"/>
              <w:rPr>
                <w:b/>
                <w:bCs/>
                <w:sz w:val="18"/>
                <w:szCs w:val="18"/>
              </w:rPr>
            </w:pPr>
            <w:r w:rsidRPr="00FC568F">
              <w:rPr>
                <w:b/>
                <w:bCs/>
                <w:sz w:val="18"/>
                <w:szCs w:val="18"/>
              </w:rPr>
              <w:t>1.0</w:t>
            </w:r>
          </w:p>
        </w:tc>
        <w:tc>
          <w:tcPr>
            <w:tcW w:w="952" w:type="dxa"/>
            <w:gridSpan w:val="2"/>
            <w:tcBorders>
              <w:top w:val="nil"/>
              <w:left w:val="nil"/>
              <w:bottom w:val="nil"/>
              <w:right w:val="nil"/>
            </w:tcBorders>
            <w:vAlign w:val="bottom"/>
          </w:tcPr>
          <w:p w14:paraId="4B0759F7" w14:textId="77777777" w:rsidR="00773F7B" w:rsidRPr="004F4EB9" w:rsidRDefault="00773F7B" w:rsidP="00773F7B">
            <w:pPr>
              <w:pStyle w:val="T2"/>
              <w:jc w:val="right"/>
            </w:pPr>
            <w:r w:rsidRPr="0096767F">
              <w:rPr>
                <w:bCs/>
              </w:rPr>
              <w:t xml:space="preserve">1.3 </w:t>
            </w:r>
          </w:p>
        </w:tc>
      </w:tr>
      <w:tr w:rsidR="00773F7B" w14:paraId="55B15299" w14:textId="77777777" w:rsidTr="005B3BEE">
        <w:trPr>
          <w:gridBefore w:val="1"/>
          <w:wBefore w:w="108" w:type="dxa"/>
        </w:trPr>
        <w:tc>
          <w:tcPr>
            <w:tcW w:w="7792" w:type="dxa"/>
            <w:tcBorders>
              <w:top w:val="nil"/>
              <w:left w:val="nil"/>
              <w:bottom w:val="nil"/>
              <w:right w:val="nil"/>
            </w:tcBorders>
            <w:vAlign w:val="bottom"/>
          </w:tcPr>
          <w:p w14:paraId="210BEB41" w14:textId="77777777" w:rsidR="00773F7B" w:rsidRPr="000D1D55" w:rsidRDefault="00773F7B" w:rsidP="00773F7B">
            <w:pPr>
              <w:pStyle w:val="T2"/>
              <w:jc w:val="left"/>
            </w:pPr>
            <w:r w:rsidRPr="000D1D55">
              <w:t xml:space="preserve">Amortisation of acquisition related intangibles </w:t>
            </w:r>
          </w:p>
        </w:tc>
        <w:tc>
          <w:tcPr>
            <w:tcW w:w="992" w:type="dxa"/>
            <w:tcBorders>
              <w:top w:val="nil"/>
              <w:left w:val="nil"/>
              <w:bottom w:val="nil"/>
              <w:right w:val="nil"/>
            </w:tcBorders>
            <w:vAlign w:val="bottom"/>
          </w:tcPr>
          <w:p w14:paraId="614CE2D2" w14:textId="77777777" w:rsidR="00773F7B" w:rsidRPr="00FC568F" w:rsidRDefault="00773F7B" w:rsidP="00773F7B">
            <w:pPr>
              <w:jc w:val="right"/>
              <w:rPr>
                <w:b/>
                <w:bCs/>
                <w:sz w:val="18"/>
                <w:szCs w:val="18"/>
              </w:rPr>
            </w:pPr>
            <w:r w:rsidRPr="00FC568F">
              <w:rPr>
                <w:b/>
                <w:bCs/>
                <w:sz w:val="18"/>
                <w:szCs w:val="18"/>
              </w:rPr>
              <w:t>2.7</w:t>
            </w:r>
          </w:p>
        </w:tc>
        <w:tc>
          <w:tcPr>
            <w:tcW w:w="952" w:type="dxa"/>
            <w:gridSpan w:val="2"/>
            <w:tcBorders>
              <w:top w:val="nil"/>
              <w:left w:val="nil"/>
              <w:bottom w:val="nil"/>
              <w:right w:val="nil"/>
            </w:tcBorders>
            <w:vAlign w:val="bottom"/>
          </w:tcPr>
          <w:p w14:paraId="5DA673B2" w14:textId="77777777" w:rsidR="00773F7B" w:rsidRPr="004F4EB9" w:rsidRDefault="00773F7B" w:rsidP="00773F7B">
            <w:pPr>
              <w:pStyle w:val="T2"/>
              <w:jc w:val="right"/>
            </w:pPr>
            <w:r w:rsidRPr="0096767F">
              <w:rPr>
                <w:bCs/>
              </w:rPr>
              <w:t xml:space="preserve">0.4 </w:t>
            </w:r>
          </w:p>
        </w:tc>
      </w:tr>
      <w:tr w:rsidR="00773F7B" w14:paraId="379CB11B" w14:textId="77777777" w:rsidTr="005B3BEE">
        <w:trPr>
          <w:gridBefore w:val="1"/>
          <w:wBefore w:w="108" w:type="dxa"/>
        </w:trPr>
        <w:tc>
          <w:tcPr>
            <w:tcW w:w="7792" w:type="dxa"/>
            <w:tcBorders>
              <w:top w:val="nil"/>
              <w:left w:val="nil"/>
              <w:bottom w:val="single" w:sz="2" w:space="0" w:color="auto"/>
              <w:right w:val="nil"/>
            </w:tcBorders>
            <w:vAlign w:val="bottom"/>
          </w:tcPr>
          <w:p w14:paraId="0EBA96BF" w14:textId="77777777" w:rsidR="00773F7B" w:rsidRPr="000D1D55" w:rsidRDefault="00773F7B" w:rsidP="00773F7B">
            <w:pPr>
              <w:pStyle w:val="T2"/>
              <w:jc w:val="left"/>
            </w:pPr>
            <w:r w:rsidRPr="000D1D55">
              <w:t>FX and fair value movements</w:t>
            </w:r>
            <w:r w:rsidRPr="005C6269">
              <w:rPr>
                <w:vertAlign w:val="superscript"/>
              </w:rPr>
              <w:t>(A)</w:t>
            </w:r>
            <w:r w:rsidRPr="000D1D55">
              <w:t xml:space="preserve"> </w:t>
            </w:r>
          </w:p>
        </w:tc>
        <w:tc>
          <w:tcPr>
            <w:tcW w:w="992" w:type="dxa"/>
            <w:tcBorders>
              <w:top w:val="nil"/>
              <w:left w:val="nil"/>
              <w:bottom w:val="single" w:sz="2" w:space="0" w:color="auto"/>
              <w:right w:val="nil"/>
            </w:tcBorders>
            <w:vAlign w:val="bottom"/>
          </w:tcPr>
          <w:p w14:paraId="2735C4BA" w14:textId="77777777" w:rsidR="00773F7B" w:rsidRPr="00FC568F" w:rsidRDefault="00773F7B" w:rsidP="00773F7B">
            <w:pPr>
              <w:jc w:val="right"/>
              <w:rPr>
                <w:b/>
                <w:bCs/>
                <w:sz w:val="18"/>
                <w:szCs w:val="18"/>
              </w:rPr>
            </w:pPr>
            <w:r w:rsidRPr="00C21BC1">
              <w:rPr>
                <w:b/>
                <w:bCs/>
              </w:rPr>
              <w:t>–</w:t>
            </w:r>
          </w:p>
        </w:tc>
        <w:tc>
          <w:tcPr>
            <w:tcW w:w="952" w:type="dxa"/>
            <w:gridSpan w:val="2"/>
            <w:tcBorders>
              <w:top w:val="nil"/>
              <w:left w:val="nil"/>
              <w:bottom w:val="single" w:sz="2" w:space="0" w:color="auto"/>
              <w:right w:val="nil"/>
            </w:tcBorders>
            <w:vAlign w:val="bottom"/>
          </w:tcPr>
          <w:p w14:paraId="54C8D4E8" w14:textId="77777777" w:rsidR="00773F7B" w:rsidRPr="004F4EB9" w:rsidRDefault="00773F7B" w:rsidP="00773F7B">
            <w:pPr>
              <w:pStyle w:val="T2"/>
              <w:jc w:val="right"/>
            </w:pPr>
            <w:r w:rsidRPr="0096767F">
              <w:rPr>
                <w:bCs/>
              </w:rPr>
              <w:t xml:space="preserve">1.8 </w:t>
            </w:r>
          </w:p>
        </w:tc>
      </w:tr>
      <w:tr w:rsidR="00773F7B" w14:paraId="757764CD" w14:textId="77777777" w:rsidTr="005B3BEE">
        <w:trPr>
          <w:gridBefore w:val="1"/>
          <w:wBefore w:w="108" w:type="dxa"/>
        </w:trPr>
        <w:tc>
          <w:tcPr>
            <w:tcW w:w="7792" w:type="dxa"/>
            <w:tcBorders>
              <w:top w:val="single" w:sz="2" w:space="0" w:color="auto"/>
              <w:left w:val="nil"/>
              <w:bottom w:val="single" w:sz="8" w:space="0" w:color="auto"/>
              <w:right w:val="nil"/>
            </w:tcBorders>
            <w:vAlign w:val="bottom"/>
          </w:tcPr>
          <w:p w14:paraId="11433712" w14:textId="77777777" w:rsidR="00773F7B" w:rsidRPr="003479B7" w:rsidRDefault="00773F7B" w:rsidP="00773F7B">
            <w:pPr>
              <w:pStyle w:val="T2"/>
              <w:jc w:val="left"/>
              <w:rPr>
                <w:b/>
              </w:rPr>
            </w:pPr>
            <w:r w:rsidRPr="003479B7">
              <w:rPr>
                <w:b/>
              </w:rPr>
              <w:t>Adjusted Profit Before Tax for continuing operations</w:t>
            </w:r>
          </w:p>
        </w:tc>
        <w:tc>
          <w:tcPr>
            <w:tcW w:w="992" w:type="dxa"/>
            <w:tcBorders>
              <w:top w:val="single" w:sz="2" w:space="0" w:color="auto"/>
              <w:left w:val="nil"/>
              <w:bottom w:val="single" w:sz="8" w:space="0" w:color="auto"/>
              <w:right w:val="nil"/>
            </w:tcBorders>
            <w:vAlign w:val="bottom"/>
          </w:tcPr>
          <w:p w14:paraId="5AA47458" w14:textId="77777777" w:rsidR="00773F7B" w:rsidRPr="00FC568F" w:rsidRDefault="00773F7B" w:rsidP="00773F7B">
            <w:pPr>
              <w:jc w:val="right"/>
              <w:rPr>
                <w:b/>
                <w:bCs/>
                <w:sz w:val="18"/>
                <w:szCs w:val="18"/>
              </w:rPr>
            </w:pPr>
            <w:r>
              <w:rPr>
                <w:b/>
                <w:bCs/>
                <w:sz w:val="18"/>
                <w:szCs w:val="18"/>
              </w:rPr>
              <w:t>31.1</w:t>
            </w:r>
          </w:p>
        </w:tc>
        <w:tc>
          <w:tcPr>
            <w:tcW w:w="952" w:type="dxa"/>
            <w:gridSpan w:val="2"/>
            <w:tcBorders>
              <w:top w:val="single" w:sz="2" w:space="0" w:color="auto"/>
              <w:left w:val="nil"/>
              <w:bottom w:val="single" w:sz="8" w:space="0" w:color="auto"/>
              <w:right w:val="nil"/>
            </w:tcBorders>
            <w:vAlign w:val="bottom"/>
          </w:tcPr>
          <w:p w14:paraId="721046C2" w14:textId="77777777" w:rsidR="00773F7B" w:rsidRPr="004F4EB9" w:rsidRDefault="00773F7B" w:rsidP="00E168F7">
            <w:pPr>
              <w:pStyle w:val="T2"/>
              <w:numPr>
                <w:ilvl w:val="1"/>
                <w:numId w:val="11"/>
              </w:numPr>
              <w:jc w:val="right"/>
            </w:pPr>
          </w:p>
        </w:tc>
      </w:tr>
      <w:tr w:rsidR="00773F7B" w14:paraId="742C0C1B" w14:textId="77777777" w:rsidTr="005B3BEE">
        <w:trPr>
          <w:gridAfter w:val="1"/>
          <w:wAfter w:w="108" w:type="dxa"/>
        </w:trPr>
        <w:tc>
          <w:tcPr>
            <w:tcW w:w="9736" w:type="dxa"/>
            <w:gridSpan w:val="4"/>
            <w:tcBorders>
              <w:top w:val="single" w:sz="8" w:space="0" w:color="auto"/>
              <w:left w:val="nil"/>
              <w:bottom w:val="nil"/>
              <w:right w:val="nil"/>
            </w:tcBorders>
            <w:vAlign w:val="center"/>
          </w:tcPr>
          <w:p w14:paraId="04015508" w14:textId="77777777" w:rsidR="009A2F48" w:rsidRDefault="009A2F48" w:rsidP="005B3BEE">
            <w:pPr>
              <w:pStyle w:val="T2"/>
              <w:ind w:left="176"/>
              <w:jc w:val="left"/>
              <w:rPr>
                <w:sz w:val="15"/>
                <w:szCs w:val="15"/>
              </w:rPr>
            </w:pPr>
          </w:p>
          <w:p w14:paraId="00631512" w14:textId="582D2186" w:rsidR="00773F7B" w:rsidRPr="005B3BEE" w:rsidRDefault="009A2F48" w:rsidP="00E168F7">
            <w:pPr>
              <w:pStyle w:val="T2"/>
              <w:numPr>
                <w:ilvl w:val="0"/>
                <w:numId w:val="14"/>
              </w:numPr>
              <w:jc w:val="left"/>
              <w:rPr>
                <w:sz w:val="15"/>
                <w:szCs w:val="15"/>
              </w:rPr>
            </w:pPr>
            <w:r>
              <w:rPr>
                <w:sz w:val="15"/>
                <w:szCs w:val="15"/>
              </w:rPr>
              <w:t xml:space="preserve"> </w:t>
            </w:r>
            <w:r w:rsidR="00773F7B" w:rsidRPr="005B3BEE">
              <w:rPr>
                <w:sz w:val="15"/>
                <w:szCs w:val="15"/>
              </w:rPr>
              <w:t xml:space="preserve">FX on inter–company and certain external balances and the movement in the fair value of all derivative financial instruments and related debt </w:t>
            </w:r>
            <w:r>
              <w:rPr>
                <w:sz w:val="15"/>
                <w:szCs w:val="15"/>
              </w:rPr>
              <w:t xml:space="preserve">                 </w:t>
            </w:r>
            <w:r w:rsidR="00773F7B" w:rsidRPr="005B3BEE">
              <w:rPr>
                <w:sz w:val="15"/>
                <w:szCs w:val="15"/>
              </w:rPr>
              <w:t>adjustments</w:t>
            </w:r>
          </w:p>
        </w:tc>
      </w:tr>
    </w:tbl>
    <w:p w14:paraId="490B88FC" w14:textId="77777777" w:rsidR="00773F7B" w:rsidRDefault="00773F7B" w:rsidP="00773F7B">
      <w:pPr>
        <w:pStyle w:val="Paragraph"/>
        <w:rPr>
          <w:b/>
        </w:rPr>
      </w:pPr>
      <w:r w:rsidRPr="00B8126A">
        <w:rPr>
          <w:b/>
        </w:rPr>
        <w:t>ADJUSTED EARNINGS PER SHARE ('EPS')</w:t>
      </w:r>
    </w:p>
    <w:p w14:paraId="5A93198A" w14:textId="77777777" w:rsidR="00773F7B" w:rsidRDefault="00773F7B" w:rsidP="00773F7B">
      <w:pPr>
        <w:pStyle w:val="Paragraph"/>
        <w:jc w:val="both"/>
      </w:pPr>
      <w:r>
        <w:t>The Group uses Adjusted Earnings and Adjusted EPS as key measures of the overall underlying performance of the Group and returns generated for each share.</w:t>
      </w:r>
    </w:p>
    <w:p w14:paraId="5847B5D9" w14:textId="77777777" w:rsidR="00773F7B" w:rsidRDefault="00773F7B" w:rsidP="00773F7B">
      <w:pPr>
        <w:pStyle w:val="Paragraph"/>
        <w:jc w:val="both"/>
      </w:pPr>
      <w:r>
        <w:t>Adjusted Earnings is calculated as Profit attributable to equity holders (as shown on the Group’s Income Statement) adjusted to exclude exceptional items (net of tax), the effect of foreign exchange (FX) on inter–company and external balances where hedge accounting is not applied, the movement in the fair value of all derivative financial instruments and related debt adjustments, the amortisation of acquisition related intangible assets (net of tax) and the interest expense relating to legacy defined benefit pension liabilities (net of tax). Adjusted EPS is calculated by dividing Adjusted Earnings by the weighted average number of Ordinary Shares in issue during the year, excluding Ordinary Shares purchased by Greencore and held in trust in respect of the Annual Bonus Plan and the Performance Share Plan. Adjusted EPS described as an APM here is Adjusted Basic EPS.</w:t>
      </w:r>
    </w:p>
    <w:p w14:paraId="52182331" w14:textId="77777777" w:rsidR="00773F7B" w:rsidRDefault="00773F7B" w:rsidP="00773F7B">
      <w:pPr>
        <w:pStyle w:val="Paragraph"/>
        <w:jc w:val="both"/>
      </w:pPr>
      <w:r w:rsidRPr="00B8126A">
        <w:lastRenderedPageBreak/>
        <w:t xml:space="preserve">The following table sets forth a reconciliation of the Group’s Profit attributable to equity holders of </w:t>
      </w:r>
      <w:r>
        <w:t>the Company</w:t>
      </w:r>
      <w:r w:rsidRPr="00B8126A">
        <w:t xml:space="preserve"> to its Adjusted Earnings for the financial years indicated.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65"/>
        <w:gridCol w:w="1282"/>
        <w:gridCol w:w="1099"/>
      </w:tblGrid>
      <w:tr w:rsidR="00773F7B" w14:paraId="7DCBFF76" w14:textId="77777777" w:rsidTr="00773F7B">
        <w:tc>
          <w:tcPr>
            <w:tcW w:w="7365" w:type="dxa"/>
            <w:vAlign w:val="bottom"/>
          </w:tcPr>
          <w:p w14:paraId="030AF515" w14:textId="77777777" w:rsidR="00773F7B" w:rsidRPr="00E5128C" w:rsidRDefault="00773F7B" w:rsidP="00773F7B">
            <w:pPr>
              <w:pStyle w:val="T2"/>
              <w:jc w:val="left"/>
            </w:pPr>
          </w:p>
        </w:tc>
        <w:tc>
          <w:tcPr>
            <w:tcW w:w="1282" w:type="dxa"/>
            <w:vAlign w:val="bottom"/>
          </w:tcPr>
          <w:p w14:paraId="5668D7C8" w14:textId="77777777" w:rsidR="00773F7B" w:rsidRPr="003A5223" w:rsidRDefault="00773F7B" w:rsidP="00773F7B">
            <w:pPr>
              <w:pStyle w:val="T2"/>
              <w:jc w:val="right"/>
              <w:rPr>
                <w:b/>
              </w:rPr>
            </w:pPr>
            <w:r w:rsidRPr="003A5223">
              <w:rPr>
                <w:b/>
              </w:rPr>
              <w:t>Half year</w:t>
            </w:r>
            <w:r w:rsidRPr="003A5223">
              <w:rPr>
                <w:b/>
              </w:rPr>
              <w:br/>
              <w:t>20</w:t>
            </w:r>
            <w:r>
              <w:rPr>
                <w:b/>
              </w:rPr>
              <w:t>20</w:t>
            </w:r>
          </w:p>
        </w:tc>
        <w:tc>
          <w:tcPr>
            <w:tcW w:w="1099" w:type="dxa"/>
            <w:vAlign w:val="bottom"/>
          </w:tcPr>
          <w:p w14:paraId="0F2AF37F" w14:textId="77777777" w:rsidR="00773F7B" w:rsidRPr="00E5128C" w:rsidRDefault="00773F7B" w:rsidP="00773F7B">
            <w:pPr>
              <w:pStyle w:val="T2"/>
              <w:jc w:val="right"/>
            </w:pPr>
            <w:r w:rsidRPr="00E5128C">
              <w:t>Half year</w:t>
            </w:r>
            <w:r w:rsidRPr="00E5128C">
              <w:br/>
              <w:t>201</w:t>
            </w:r>
            <w:r>
              <w:t>9</w:t>
            </w:r>
          </w:p>
        </w:tc>
      </w:tr>
      <w:tr w:rsidR="00773F7B" w14:paraId="2CAC4661" w14:textId="77777777" w:rsidTr="00773F7B">
        <w:tc>
          <w:tcPr>
            <w:tcW w:w="7365" w:type="dxa"/>
            <w:tcBorders>
              <w:bottom w:val="single" w:sz="2" w:space="0" w:color="auto"/>
            </w:tcBorders>
            <w:vAlign w:val="bottom"/>
          </w:tcPr>
          <w:p w14:paraId="16145824" w14:textId="77777777" w:rsidR="00773F7B" w:rsidRPr="00E5128C" w:rsidRDefault="00773F7B" w:rsidP="00773F7B">
            <w:pPr>
              <w:pStyle w:val="T2"/>
              <w:jc w:val="left"/>
            </w:pPr>
          </w:p>
        </w:tc>
        <w:tc>
          <w:tcPr>
            <w:tcW w:w="1282" w:type="dxa"/>
            <w:tcBorders>
              <w:bottom w:val="single" w:sz="2" w:space="0" w:color="auto"/>
            </w:tcBorders>
            <w:vAlign w:val="bottom"/>
          </w:tcPr>
          <w:p w14:paraId="258623BD" w14:textId="77777777" w:rsidR="00773F7B" w:rsidRPr="003A5223" w:rsidRDefault="00773F7B" w:rsidP="00773F7B">
            <w:pPr>
              <w:pStyle w:val="T2"/>
              <w:jc w:val="right"/>
              <w:rPr>
                <w:b/>
              </w:rPr>
            </w:pPr>
            <w:r w:rsidRPr="003A5223">
              <w:rPr>
                <w:b/>
              </w:rPr>
              <w:t>£m</w:t>
            </w:r>
          </w:p>
        </w:tc>
        <w:tc>
          <w:tcPr>
            <w:tcW w:w="1099" w:type="dxa"/>
            <w:tcBorders>
              <w:bottom w:val="single" w:sz="2" w:space="0" w:color="auto"/>
            </w:tcBorders>
            <w:vAlign w:val="bottom"/>
          </w:tcPr>
          <w:p w14:paraId="2615C827" w14:textId="77777777" w:rsidR="00773F7B" w:rsidRPr="00E5128C" w:rsidRDefault="00773F7B" w:rsidP="00773F7B">
            <w:pPr>
              <w:pStyle w:val="T2"/>
              <w:jc w:val="right"/>
            </w:pPr>
            <w:r w:rsidRPr="00E5128C">
              <w:t>£m</w:t>
            </w:r>
          </w:p>
        </w:tc>
      </w:tr>
      <w:tr w:rsidR="00773F7B" w14:paraId="19E42DCE" w14:textId="77777777" w:rsidTr="00773F7B">
        <w:tc>
          <w:tcPr>
            <w:tcW w:w="7365" w:type="dxa"/>
            <w:tcBorders>
              <w:top w:val="single" w:sz="2" w:space="0" w:color="auto"/>
            </w:tcBorders>
            <w:vAlign w:val="bottom"/>
          </w:tcPr>
          <w:p w14:paraId="6814B248" w14:textId="77777777" w:rsidR="00773F7B" w:rsidRPr="003A5223" w:rsidRDefault="00773F7B" w:rsidP="00773F7B">
            <w:pPr>
              <w:pStyle w:val="T2"/>
              <w:jc w:val="left"/>
              <w:rPr>
                <w:b/>
              </w:rPr>
            </w:pPr>
            <w:r w:rsidRPr="003A5223">
              <w:rPr>
                <w:b/>
              </w:rPr>
              <w:t xml:space="preserve">Profit attributable to equity holders of </w:t>
            </w:r>
            <w:r>
              <w:rPr>
                <w:b/>
              </w:rPr>
              <w:t>the Company</w:t>
            </w:r>
          </w:p>
        </w:tc>
        <w:tc>
          <w:tcPr>
            <w:tcW w:w="1282" w:type="dxa"/>
            <w:tcBorders>
              <w:top w:val="single" w:sz="2" w:space="0" w:color="auto"/>
            </w:tcBorders>
            <w:vAlign w:val="bottom"/>
          </w:tcPr>
          <w:p w14:paraId="7D085316" w14:textId="77777777" w:rsidR="00773F7B" w:rsidRPr="005C6269" w:rsidRDefault="00773F7B" w:rsidP="00773F7B">
            <w:pPr>
              <w:jc w:val="right"/>
              <w:rPr>
                <w:b/>
                <w:sz w:val="18"/>
                <w:szCs w:val="18"/>
              </w:rPr>
            </w:pPr>
            <w:r>
              <w:rPr>
                <w:b/>
                <w:sz w:val="18"/>
                <w:szCs w:val="18"/>
              </w:rPr>
              <w:t>23.3</w:t>
            </w:r>
          </w:p>
        </w:tc>
        <w:tc>
          <w:tcPr>
            <w:tcW w:w="1099" w:type="dxa"/>
            <w:tcBorders>
              <w:top w:val="single" w:sz="2" w:space="0" w:color="auto"/>
            </w:tcBorders>
            <w:vAlign w:val="bottom"/>
          </w:tcPr>
          <w:p w14:paraId="43687884" w14:textId="77777777" w:rsidR="00773F7B" w:rsidRPr="005D0EFF" w:rsidRDefault="00773F7B" w:rsidP="00773F7B">
            <w:pPr>
              <w:pStyle w:val="T2"/>
              <w:jc w:val="right"/>
              <w:rPr>
                <w:bCs/>
              </w:rPr>
            </w:pPr>
            <w:r w:rsidRPr="005D0EFF">
              <w:rPr>
                <w:bCs/>
              </w:rPr>
              <w:t>65.1</w:t>
            </w:r>
          </w:p>
        </w:tc>
      </w:tr>
      <w:tr w:rsidR="00773F7B" w14:paraId="19418F64" w14:textId="77777777" w:rsidTr="00773F7B">
        <w:tc>
          <w:tcPr>
            <w:tcW w:w="7365" w:type="dxa"/>
            <w:vAlign w:val="bottom"/>
          </w:tcPr>
          <w:p w14:paraId="61BE071C" w14:textId="77777777" w:rsidR="00773F7B" w:rsidRPr="00E5128C" w:rsidRDefault="00773F7B" w:rsidP="00773F7B">
            <w:pPr>
              <w:pStyle w:val="T2"/>
              <w:jc w:val="left"/>
            </w:pPr>
            <w:r w:rsidRPr="00E5128C">
              <w:t>Exceptional items (net of tax)</w:t>
            </w:r>
          </w:p>
        </w:tc>
        <w:tc>
          <w:tcPr>
            <w:tcW w:w="1282" w:type="dxa"/>
            <w:vAlign w:val="bottom"/>
          </w:tcPr>
          <w:p w14:paraId="52239DC1" w14:textId="77777777" w:rsidR="00773F7B" w:rsidRPr="005C6269" w:rsidRDefault="00773F7B" w:rsidP="00773F7B">
            <w:pPr>
              <w:jc w:val="right"/>
              <w:rPr>
                <w:b/>
                <w:sz w:val="18"/>
                <w:szCs w:val="18"/>
              </w:rPr>
            </w:pPr>
            <w:r w:rsidRPr="001E1407">
              <w:rPr>
                <w:b/>
                <w:sz w:val="18"/>
                <w:szCs w:val="18"/>
              </w:rPr>
              <w:t>(0.4)</w:t>
            </w:r>
          </w:p>
        </w:tc>
        <w:tc>
          <w:tcPr>
            <w:tcW w:w="1099" w:type="dxa"/>
            <w:vAlign w:val="bottom"/>
          </w:tcPr>
          <w:p w14:paraId="3B67D41F" w14:textId="77777777" w:rsidR="00773F7B" w:rsidRPr="005D0EFF" w:rsidRDefault="00773F7B" w:rsidP="00773F7B">
            <w:pPr>
              <w:pStyle w:val="T2"/>
              <w:jc w:val="right"/>
              <w:rPr>
                <w:bCs/>
              </w:rPr>
            </w:pPr>
            <w:r w:rsidRPr="005D0EFF">
              <w:rPr>
                <w:bCs/>
              </w:rPr>
              <w:t>(28.8)</w:t>
            </w:r>
          </w:p>
        </w:tc>
      </w:tr>
      <w:tr w:rsidR="00773F7B" w14:paraId="39D9DC85" w14:textId="77777777" w:rsidTr="00773F7B">
        <w:tc>
          <w:tcPr>
            <w:tcW w:w="7365" w:type="dxa"/>
            <w:vAlign w:val="bottom"/>
          </w:tcPr>
          <w:p w14:paraId="0326B8E9" w14:textId="77777777" w:rsidR="00773F7B" w:rsidRPr="00E5128C" w:rsidRDefault="00773F7B" w:rsidP="00773F7B">
            <w:pPr>
              <w:pStyle w:val="T2"/>
              <w:jc w:val="left"/>
            </w:pPr>
            <w:r w:rsidRPr="00E5128C">
              <w:t>FX effect on inter</w:t>
            </w:r>
            <w:r>
              <w:t>–</w:t>
            </w:r>
            <w:r w:rsidRPr="00E5128C">
              <w:t>company and external balances where hedge accounting is not applied</w:t>
            </w:r>
          </w:p>
        </w:tc>
        <w:tc>
          <w:tcPr>
            <w:tcW w:w="1282" w:type="dxa"/>
            <w:vAlign w:val="bottom"/>
          </w:tcPr>
          <w:p w14:paraId="7F90845A" w14:textId="77777777" w:rsidR="00773F7B" w:rsidRPr="005C6269" w:rsidRDefault="00773F7B" w:rsidP="00773F7B">
            <w:pPr>
              <w:jc w:val="right"/>
              <w:rPr>
                <w:b/>
                <w:sz w:val="18"/>
                <w:szCs w:val="18"/>
              </w:rPr>
            </w:pPr>
            <w:r>
              <w:rPr>
                <w:b/>
                <w:sz w:val="18"/>
                <w:szCs w:val="18"/>
              </w:rPr>
              <w:t>0.</w:t>
            </w:r>
            <w:r w:rsidR="0068359D">
              <w:rPr>
                <w:b/>
                <w:sz w:val="18"/>
                <w:szCs w:val="18"/>
              </w:rPr>
              <w:t>4</w:t>
            </w:r>
          </w:p>
        </w:tc>
        <w:tc>
          <w:tcPr>
            <w:tcW w:w="1099" w:type="dxa"/>
            <w:vAlign w:val="bottom"/>
          </w:tcPr>
          <w:p w14:paraId="66327C5D" w14:textId="77777777" w:rsidR="00773F7B" w:rsidRPr="005D0EFF" w:rsidRDefault="00773F7B" w:rsidP="00773F7B">
            <w:pPr>
              <w:pStyle w:val="T2"/>
              <w:jc w:val="right"/>
              <w:rPr>
                <w:bCs/>
              </w:rPr>
            </w:pPr>
            <w:r w:rsidRPr="005D0EFF">
              <w:rPr>
                <w:bCs/>
              </w:rPr>
              <w:t>1.2</w:t>
            </w:r>
          </w:p>
        </w:tc>
      </w:tr>
      <w:tr w:rsidR="00773F7B" w14:paraId="65EF5C24" w14:textId="77777777" w:rsidTr="00773F7B">
        <w:tc>
          <w:tcPr>
            <w:tcW w:w="7365" w:type="dxa"/>
            <w:vAlign w:val="bottom"/>
          </w:tcPr>
          <w:p w14:paraId="75EDA0E5" w14:textId="77777777" w:rsidR="00773F7B" w:rsidRPr="00E5128C" w:rsidRDefault="00773F7B" w:rsidP="00773F7B">
            <w:pPr>
              <w:pStyle w:val="T2"/>
              <w:jc w:val="left"/>
            </w:pPr>
            <w:r w:rsidRPr="00E5128C">
              <w:t>Movement in fair value of derivative financial instruments and related debt adjustments</w:t>
            </w:r>
          </w:p>
        </w:tc>
        <w:tc>
          <w:tcPr>
            <w:tcW w:w="1282" w:type="dxa"/>
            <w:vAlign w:val="bottom"/>
          </w:tcPr>
          <w:p w14:paraId="38427571" w14:textId="77777777" w:rsidR="00773F7B" w:rsidRPr="005C6269" w:rsidRDefault="00773F7B" w:rsidP="00773F7B">
            <w:pPr>
              <w:jc w:val="right"/>
              <w:rPr>
                <w:b/>
                <w:sz w:val="18"/>
                <w:szCs w:val="18"/>
              </w:rPr>
            </w:pPr>
            <w:r>
              <w:rPr>
                <w:b/>
                <w:sz w:val="18"/>
                <w:szCs w:val="18"/>
              </w:rPr>
              <w:t>(0.</w:t>
            </w:r>
            <w:r w:rsidR="0068359D">
              <w:rPr>
                <w:b/>
                <w:sz w:val="18"/>
                <w:szCs w:val="18"/>
              </w:rPr>
              <w:t>4</w:t>
            </w:r>
            <w:r>
              <w:rPr>
                <w:b/>
                <w:sz w:val="18"/>
                <w:szCs w:val="18"/>
              </w:rPr>
              <w:t>)</w:t>
            </w:r>
          </w:p>
        </w:tc>
        <w:tc>
          <w:tcPr>
            <w:tcW w:w="1099" w:type="dxa"/>
            <w:vAlign w:val="bottom"/>
          </w:tcPr>
          <w:p w14:paraId="68A03A74" w14:textId="77777777" w:rsidR="00773F7B" w:rsidRPr="005D0EFF" w:rsidRDefault="00773F7B" w:rsidP="00773F7B">
            <w:pPr>
              <w:pStyle w:val="T2"/>
              <w:jc w:val="right"/>
              <w:rPr>
                <w:bCs/>
              </w:rPr>
            </w:pPr>
            <w:r w:rsidRPr="005D0EFF">
              <w:rPr>
                <w:bCs/>
              </w:rPr>
              <w:t>0.6</w:t>
            </w:r>
          </w:p>
        </w:tc>
      </w:tr>
      <w:tr w:rsidR="00773F7B" w14:paraId="4AB1F65B" w14:textId="77777777" w:rsidTr="00773F7B">
        <w:tc>
          <w:tcPr>
            <w:tcW w:w="7365" w:type="dxa"/>
            <w:vAlign w:val="bottom"/>
          </w:tcPr>
          <w:p w14:paraId="2AAEAF6A" w14:textId="77777777" w:rsidR="00773F7B" w:rsidRPr="00E5128C" w:rsidRDefault="00773F7B" w:rsidP="00773F7B">
            <w:pPr>
              <w:pStyle w:val="T2"/>
              <w:jc w:val="left"/>
            </w:pPr>
            <w:r w:rsidRPr="00E5128C">
              <w:t>Amortisation of acquisition related intangible assets (net of tax)</w:t>
            </w:r>
          </w:p>
        </w:tc>
        <w:tc>
          <w:tcPr>
            <w:tcW w:w="1282" w:type="dxa"/>
            <w:vAlign w:val="bottom"/>
          </w:tcPr>
          <w:p w14:paraId="0A8C4349" w14:textId="77777777" w:rsidR="00773F7B" w:rsidRPr="005C6269" w:rsidRDefault="00773F7B" w:rsidP="00773F7B">
            <w:pPr>
              <w:jc w:val="right"/>
              <w:rPr>
                <w:b/>
                <w:sz w:val="18"/>
                <w:szCs w:val="18"/>
              </w:rPr>
            </w:pPr>
            <w:r>
              <w:rPr>
                <w:b/>
                <w:sz w:val="18"/>
                <w:szCs w:val="18"/>
              </w:rPr>
              <w:t>2.2</w:t>
            </w:r>
          </w:p>
        </w:tc>
        <w:tc>
          <w:tcPr>
            <w:tcW w:w="1099" w:type="dxa"/>
            <w:vAlign w:val="bottom"/>
          </w:tcPr>
          <w:p w14:paraId="41FE0FD3" w14:textId="77777777" w:rsidR="00773F7B" w:rsidRPr="005D0EFF" w:rsidRDefault="00773F7B" w:rsidP="00773F7B">
            <w:pPr>
              <w:pStyle w:val="T2"/>
              <w:jc w:val="right"/>
              <w:rPr>
                <w:bCs/>
              </w:rPr>
            </w:pPr>
            <w:r w:rsidRPr="005D0EFF">
              <w:rPr>
                <w:bCs/>
              </w:rPr>
              <w:t>0.3</w:t>
            </w:r>
          </w:p>
        </w:tc>
      </w:tr>
      <w:tr w:rsidR="00773F7B" w14:paraId="712F3F24" w14:textId="77777777" w:rsidTr="00773F7B">
        <w:tc>
          <w:tcPr>
            <w:tcW w:w="7365" w:type="dxa"/>
            <w:tcBorders>
              <w:bottom w:val="single" w:sz="2" w:space="0" w:color="auto"/>
            </w:tcBorders>
            <w:vAlign w:val="bottom"/>
          </w:tcPr>
          <w:p w14:paraId="2844DFB2" w14:textId="77777777" w:rsidR="00773F7B" w:rsidRPr="00E5128C" w:rsidRDefault="00773F7B" w:rsidP="00773F7B">
            <w:pPr>
              <w:pStyle w:val="T2"/>
              <w:jc w:val="left"/>
            </w:pPr>
            <w:r w:rsidRPr="00E5128C">
              <w:t>Pension financing (net of tax)</w:t>
            </w:r>
          </w:p>
        </w:tc>
        <w:tc>
          <w:tcPr>
            <w:tcW w:w="1282" w:type="dxa"/>
            <w:tcBorders>
              <w:bottom w:val="single" w:sz="2" w:space="0" w:color="auto"/>
            </w:tcBorders>
            <w:vAlign w:val="bottom"/>
          </w:tcPr>
          <w:p w14:paraId="754672F2" w14:textId="77777777" w:rsidR="00773F7B" w:rsidRPr="005C6269" w:rsidRDefault="00773F7B" w:rsidP="00773F7B">
            <w:pPr>
              <w:jc w:val="right"/>
              <w:rPr>
                <w:b/>
                <w:sz w:val="18"/>
                <w:szCs w:val="18"/>
              </w:rPr>
            </w:pPr>
            <w:r>
              <w:rPr>
                <w:b/>
                <w:sz w:val="18"/>
                <w:szCs w:val="18"/>
              </w:rPr>
              <w:t>0.8</w:t>
            </w:r>
          </w:p>
        </w:tc>
        <w:tc>
          <w:tcPr>
            <w:tcW w:w="1099" w:type="dxa"/>
            <w:tcBorders>
              <w:bottom w:val="single" w:sz="2" w:space="0" w:color="auto"/>
            </w:tcBorders>
            <w:vAlign w:val="bottom"/>
          </w:tcPr>
          <w:p w14:paraId="2AB4B277" w14:textId="77777777" w:rsidR="00773F7B" w:rsidRPr="005D0EFF" w:rsidRDefault="00773F7B" w:rsidP="00773F7B">
            <w:pPr>
              <w:pStyle w:val="T2"/>
              <w:jc w:val="right"/>
              <w:rPr>
                <w:bCs/>
              </w:rPr>
            </w:pPr>
            <w:r w:rsidRPr="005D0EFF">
              <w:rPr>
                <w:bCs/>
              </w:rPr>
              <w:t>1.1</w:t>
            </w:r>
          </w:p>
        </w:tc>
      </w:tr>
      <w:tr w:rsidR="00773F7B" w14:paraId="7AAF2EDE" w14:textId="77777777" w:rsidTr="00773F7B">
        <w:tc>
          <w:tcPr>
            <w:tcW w:w="7365" w:type="dxa"/>
            <w:tcBorders>
              <w:top w:val="single" w:sz="2" w:space="0" w:color="auto"/>
              <w:bottom w:val="single" w:sz="8" w:space="0" w:color="auto"/>
            </w:tcBorders>
            <w:vAlign w:val="bottom"/>
          </w:tcPr>
          <w:p w14:paraId="3C9645F5" w14:textId="77777777" w:rsidR="00773F7B" w:rsidRPr="003A5223" w:rsidRDefault="00773F7B" w:rsidP="00773F7B">
            <w:pPr>
              <w:pStyle w:val="T2"/>
              <w:jc w:val="left"/>
              <w:rPr>
                <w:b/>
              </w:rPr>
            </w:pPr>
            <w:r w:rsidRPr="003A5223">
              <w:rPr>
                <w:b/>
              </w:rPr>
              <w:t>Adjusted Earnings</w:t>
            </w:r>
          </w:p>
        </w:tc>
        <w:tc>
          <w:tcPr>
            <w:tcW w:w="1282" w:type="dxa"/>
            <w:tcBorders>
              <w:top w:val="single" w:sz="2" w:space="0" w:color="auto"/>
              <w:bottom w:val="single" w:sz="8" w:space="0" w:color="auto"/>
            </w:tcBorders>
            <w:vAlign w:val="bottom"/>
          </w:tcPr>
          <w:p w14:paraId="6C06A7D6" w14:textId="77777777" w:rsidR="00773F7B" w:rsidRPr="005C6269" w:rsidRDefault="00773F7B" w:rsidP="00773F7B">
            <w:pPr>
              <w:jc w:val="right"/>
              <w:rPr>
                <w:b/>
                <w:sz w:val="18"/>
                <w:szCs w:val="18"/>
              </w:rPr>
            </w:pPr>
            <w:r>
              <w:rPr>
                <w:b/>
                <w:sz w:val="18"/>
                <w:szCs w:val="18"/>
              </w:rPr>
              <w:t>25.9</w:t>
            </w:r>
          </w:p>
        </w:tc>
        <w:tc>
          <w:tcPr>
            <w:tcW w:w="1099" w:type="dxa"/>
            <w:tcBorders>
              <w:top w:val="single" w:sz="2" w:space="0" w:color="auto"/>
              <w:bottom w:val="single" w:sz="8" w:space="0" w:color="auto"/>
            </w:tcBorders>
            <w:vAlign w:val="bottom"/>
          </w:tcPr>
          <w:p w14:paraId="5661A2CB" w14:textId="77777777" w:rsidR="00773F7B" w:rsidRPr="005D0EFF" w:rsidRDefault="00773F7B" w:rsidP="00773F7B">
            <w:pPr>
              <w:pStyle w:val="T2"/>
              <w:jc w:val="right"/>
              <w:rPr>
                <w:bCs/>
              </w:rPr>
            </w:pPr>
            <w:r w:rsidRPr="005D0EFF">
              <w:rPr>
                <w:bCs/>
              </w:rPr>
              <w:t>39.5</w:t>
            </w:r>
          </w:p>
        </w:tc>
      </w:tr>
      <w:tr w:rsidR="00773F7B" w14:paraId="317AE537" w14:textId="77777777" w:rsidTr="00773F7B">
        <w:tc>
          <w:tcPr>
            <w:tcW w:w="7365" w:type="dxa"/>
            <w:tcBorders>
              <w:top w:val="single" w:sz="8" w:space="0" w:color="auto"/>
            </w:tcBorders>
            <w:vAlign w:val="bottom"/>
          </w:tcPr>
          <w:p w14:paraId="2DA5F4C8" w14:textId="77777777" w:rsidR="00773F7B" w:rsidRPr="00E5128C" w:rsidRDefault="00773F7B" w:rsidP="00773F7B">
            <w:pPr>
              <w:pStyle w:val="T2"/>
              <w:jc w:val="left"/>
            </w:pPr>
          </w:p>
        </w:tc>
        <w:tc>
          <w:tcPr>
            <w:tcW w:w="1282" w:type="dxa"/>
            <w:tcBorders>
              <w:top w:val="single" w:sz="8" w:space="0" w:color="auto"/>
            </w:tcBorders>
            <w:vAlign w:val="bottom"/>
          </w:tcPr>
          <w:p w14:paraId="52AC797E" w14:textId="77777777" w:rsidR="00773F7B" w:rsidRPr="003A5223" w:rsidRDefault="00773F7B" w:rsidP="00773F7B">
            <w:pPr>
              <w:jc w:val="right"/>
              <w:rPr>
                <w:b/>
              </w:rPr>
            </w:pPr>
          </w:p>
        </w:tc>
        <w:tc>
          <w:tcPr>
            <w:tcW w:w="1099" w:type="dxa"/>
            <w:tcBorders>
              <w:top w:val="single" w:sz="8" w:space="0" w:color="auto"/>
            </w:tcBorders>
            <w:vAlign w:val="bottom"/>
          </w:tcPr>
          <w:p w14:paraId="3DBDB2A3" w14:textId="77777777" w:rsidR="00773F7B" w:rsidRPr="00E5128C" w:rsidRDefault="00773F7B" w:rsidP="00773F7B">
            <w:pPr>
              <w:pStyle w:val="T2"/>
              <w:jc w:val="right"/>
            </w:pPr>
          </w:p>
        </w:tc>
      </w:tr>
      <w:tr w:rsidR="00773F7B" w14:paraId="5E2AD0D4" w14:textId="77777777" w:rsidTr="00773F7B">
        <w:tc>
          <w:tcPr>
            <w:tcW w:w="7365" w:type="dxa"/>
            <w:vAlign w:val="bottom"/>
          </w:tcPr>
          <w:p w14:paraId="52B84C31" w14:textId="77777777" w:rsidR="00773F7B" w:rsidRPr="00A934DC" w:rsidRDefault="00773F7B" w:rsidP="00773F7B">
            <w:pPr>
              <w:pStyle w:val="T2"/>
            </w:pPr>
          </w:p>
        </w:tc>
        <w:tc>
          <w:tcPr>
            <w:tcW w:w="1282" w:type="dxa"/>
            <w:vAlign w:val="bottom"/>
          </w:tcPr>
          <w:p w14:paraId="034FCC25" w14:textId="77777777" w:rsidR="00773F7B" w:rsidRPr="003A5223" w:rsidRDefault="00773F7B" w:rsidP="00773F7B">
            <w:pPr>
              <w:pStyle w:val="T2"/>
              <w:jc w:val="right"/>
              <w:rPr>
                <w:b/>
              </w:rPr>
            </w:pPr>
            <w:r w:rsidRPr="003A5223">
              <w:rPr>
                <w:b/>
              </w:rPr>
              <w:t>Half year</w:t>
            </w:r>
            <w:r w:rsidRPr="003A5223">
              <w:rPr>
                <w:b/>
              </w:rPr>
              <w:br/>
              <w:t>20</w:t>
            </w:r>
            <w:r>
              <w:rPr>
                <w:b/>
              </w:rPr>
              <w:t>20</w:t>
            </w:r>
          </w:p>
        </w:tc>
        <w:tc>
          <w:tcPr>
            <w:tcW w:w="1099" w:type="dxa"/>
            <w:vAlign w:val="bottom"/>
          </w:tcPr>
          <w:p w14:paraId="275760D7" w14:textId="77777777" w:rsidR="00773F7B" w:rsidRPr="00A934DC" w:rsidRDefault="00773F7B" w:rsidP="00773F7B">
            <w:pPr>
              <w:pStyle w:val="T2"/>
              <w:jc w:val="right"/>
            </w:pPr>
            <w:r w:rsidRPr="00A934DC">
              <w:t>Half year</w:t>
            </w:r>
            <w:r w:rsidRPr="00A934DC">
              <w:br/>
              <w:t>201</w:t>
            </w:r>
            <w:r>
              <w:t>9</w:t>
            </w:r>
          </w:p>
        </w:tc>
      </w:tr>
      <w:tr w:rsidR="00773F7B" w14:paraId="32CC886C" w14:textId="77777777" w:rsidTr="00773F7B">
        <w:tc>
          <w:tcPr>
            <w:tcW w:w="7365" w:type="dxa"/>
            <w:tcBorders>
              <w:bottom w:val="single" w:sz="4" w:space="0" w:color="auto"/>
            </w:tcBorders>
            <w:vAlign w:val="bottom"/>
          </w:tcPr>
          <w:p w14:paraId="2B9A32C1" w14:textId="77777777" w:rsidR="00773F7B" w:rsidRPr="00A934DC" w:rsidRDefault="00773F7B" w:rsidP="00773F7B">
            <w:pPr>
              <w:pStyle w:val="T2"/>
            </w:pPr>
          </w:p>
        </w:tc>
        <w:tc>
          <w:tcPr>
            <w:tcW w:w="1282" w:type="dxa"/>
            <w:tcBorders>
              <w:bottom w:val="single" w:sz="4" w:space="0" w:color="auto"/>
            </w:tcBorders>
            <w:vAlign w:val="bottom"/>
          </w:tcPr>
          <w:p w14:paraId="5599D281" w14:textId="77777777" w:rsidR="00773F7B" w:rsidRPr="003A5223" w:rsidRDefault="00773F7B" w:rsidP="00773F7B">
            <w:pPr>
              <w:pStyle w:val="T2"/>
              <w:jc w:val="right"/>
              <w:rPr>
                <w:b/>
              </w:rPr>
            </w:pPr>
            <w:r w:rsidRPr="003A5223">
              <w:rPr>
                <w:b/>
              </w:rPr>
              <w:t>‘000</w:t>
            </w:r>
          </w:p>
        </w:tc>
        <w:tc>
          <w:tcPr>
            <w:tcW w:w="1099" w:type="dxa"/>
            <w:tcBorders>
              <w:bottom w:val="single" w:sz="4" w:space="0" w:color="auto"/>
            </w:tcBorders>
            <w:vAlign w:val="bottom"/>
          </w:tcPr>
          <w:p w14:paraId="092D8824" w14:textId="77777777" w:rsidR="00773F7B" w:rsidRPr="00A934DC" w:rsidRDefault="00773F7B" w:rsidP="00773F7B">
            <w:pPr>
              <w:pStyle w:val="T2"/>
              <w:jc w:val="right"/>
            </w:pPr>
            <w:r w:rsidRPr="00A934DC">
              <w:t>‘000</w:t>
            </w:r>
          </w:p>
        </w:tc>
      </w:tr>
      <w:tr w:rsidR="00773F7B" w14:paraId="41C07A1D" w14:textId="77777777" w:rsidTr="00773F7B">
        <w:tc>
          <w:tcPr>
            <w:tcW w:w="7365" w:type="dxa"/>
            <w:tcBorders>
              <w:top w:val="single" w:sz="4" w:space="0" w:color="auto"/>
              <w:bottom w:val="single" w:sz="8" w:space="0" w:color="auto"/>
            </w:tcBorders>
            <w:vAlign w:val="bottom"/>
          </w:tcPr>
          <w:p w14:paraId="6B9A6BAD" w14:textId="77777777" w:rsidR="00773F7B" w:rsidRPr="003A5223" w:rsidRDefault="00773F7B" w:rsidP="00773F7B">
            <w:pPr>
              <w:pStyle w:val="T2"/>
              <w:jc w:val="left"/>
              <w:rPr>
                <w:b/>
              </w:rPr>
            </w:pPr>
            <w:r w:rsidRPr="003A5223">
              <w:rPr>
                <w:b/>
              </w:rPr>
              <w:t>Weighted average number of ordinary shares in issue during the year</w:t>
            </w:r>
          </w:p>
        </w:tc>
        <w:tc>
          <w:tcPr>
            <w:tcW w:w="1282" w:type="dxa"/>
            <w:tcBorders>
              <w:top w:val="single" w:sz="4" w:space="0" w:color="auto"/>
              <w:bottom w:val="single" w:sz="8" w:space="0" w:color="auto"/>
            </w:tcBorders>
            <w:vAlign w:val="bottom"/>
          </w:tcPr>
          <w:p w14:paraId="1E21C0E3" w14:textId="77777777" w:rsidR="00773F7B" w:rsidRPr="00FC568F" w:rsidRDefault="00773F7B" w:rsidP="00773F7B">
            <w:pPr>
              <w:pStyle w:val="T2"/>
              <w:jc w:val="right"/>
              <w:rPr>
                <w:b/>
                <w:bCs/>
              </w:rPr>
            </w:pPr>
            <w:r w:rsidRPr="00FC568F">
              <w:rPr>
                <w:b/>
                <w:bCs/>
              </w:rPr>
              <w:t>443,304</w:t>
            </w:r>
          </w:p>
        </w:tc>
        <w:tc>
          <w:tcPr>
            <w:tcW w:w="1099" w:type="dxa"/>
            <w:tcBorders>
              <w:top w:val="single" w:sz="4" w:space="0" w:color="auto"/>
              <w:bottom w:val="single" w:sz="8" w:space="0" w:color="auto"/>
            </w:tcBorders>
            <w:vAlign w:val="bottom"/>
          </w:tcPr>
          <w:p w14:paraId="0FF193D1" w14:textId="77777777" w:rsidR="00773F7B" w:rsidRPr="00A934DC" w:rsidRDefault="00773F7B" w:rsidP="00773F7B">
            <w:pPr>
              <w:pStyle w:val="T2"/>
              <w:jc w:val="right"/>
            </w:pPr>
            <w:r w:rsidRPr="0096767F">
              <w:rPr>
                <w:bCs/>
              </w:rPr>
              <w:t xml:space="preserve"> 620,854</w:t>
            </w:r>
          </w:p>
        </w:tc>
      </w:tr>
      <w:tr w:rsidR="00773F7B" w14:paraId="5F643450" w14:textId="77777777" w:rsidTr="00773F7B">
        <w:tc>
          <w:tcPr>
            <w:tcW w:w="7365" w:type="dxa"/>
            <w:tcBorders>
              <w:top w:val="single" w:sz="8" w:space="0" w:color="auto"/>
            </w:tcBorders>
            <w:vAlign w:val="bottom"/>
          </w:tcPr>
          <w:p w14:paraId="1019856D" w14:textId="77777777" w:rsidR="00773F7B" w:rsidRPr="00A934DC" w:rsidRDefault="00773F7B" w:rsidP="00773F7B">
            <w:pPr>
              <w:pStyle w:val="T2"/>
              <w:jc w:val="left"/>
            </w:pPr>
          </w:p>
        </w:tc>
        <w:tc>
          <w:tcPr>
            <w:tcW w:w="1282" w:type="dxa"/>
            <w:tcBorders>
              <w:top w:val="single" w:sz="8" w:space="0" w:color="auto"/>
            </w:tcBorders>
            <w:vAlign w:val="bottom"/>
          </w:tcPr>
          <w:p w14:paraId="3E2066BD" w14:textId="77777777" w:rsidR="00773F7B" w:rsidRPr="005D0EFF" w:rsidRDefault="00773F7B" w:rsidP="00773F7B">
            <w:pPr>
              <w:pStyle w:val="T2"/>
              <w:jc w:val="right"/>
              <w:rPr>
                <w:bCs/>
              </w:rPr>
            </w:pPr>
          </w:p>
        </w:tc>
        <w:tc>
          <w:tcPr>
            <w:tcW w:w="1099" w:type="dxa"/>
            <w:tcBorders>
              <w:top w:val="single" w:sz="8" w:space="0" w:color="auto"/>
            </w:tcBorders>
            <w:vAlign w:val="bottom"/>
          </w:tcPr>
          <w:p w14:paraId="7C1226B7" w14:textId="77777777" w:rsidR="00773F7B" w:rsidRPr="00A934DC" w:rsidRDefault="00773F7B" w:rsidP="00773F7B">
            <w:pPr>
              <w:pStyle w:val="T2"/>
              <w:jc w:val="right"/>
            </w:pPr>
          </w:p>
        </w:tc>
      </w:tr>
      <w:tr w:rsidR="00773F7B" w14:paraId="3D55BE9C" w14:textId="77777777" w:rsidTr="00773F7B">
        <w:tc>
          <w:tcPr>
            <w:tcW w:w="7365" w:type="dxa"/>
            <w:tcBorders>
              <w:bottom w:val="single" w:sz="4" w:space="0" w:color="auto"/>
            </w:tcBorders>
            <w:vAlign w:val="bottom"/>
          </w:tcPr>
          <w:p w14:paraId="2237C864" w14:textId="77777777" w:rsidR="00773F7B" w:rsidRPr="00A934DC" w:rsidRDefault="00773F7B" w:rsidP="00773F7B">
            <w:pPr>
              <w:pStyle w:val="T2"/>
              <w:jc w:val="left"/>
            </w:pPr>
          </w:p>
        </w:tc>
        <w:tc>
          <w:tcPr>
            <w:tcW w:w="1282" w:type="dxa"/>
            <w:tcBorders>
              <w:bottom w:val="single" w:sz="4" w:space="0" w:color="auto"/>
            </w:tcBorders>
            <w:vAlign w:val="bottom"/>
          </w:tcPr>
          <w:p w14:paraId="510F6A4F" w14:textId="77777777" w:rsidR="00773F7B" w:rsidRPr="002E0E9E" w:rsidRDefault="00B41E40" w:rsidP="00773F7B">
            <w:pPr>
              <w:pStyle w:val="T2"/>
              <w:jc w:val="right"/>
              <w:rPr>
                <w:b/>
                <w:bCs/>
              </w:rPr>
            </w:pPr>
            <w:r w:rsidRPr="002E0E9E">
              <w:rPr>
                <w:b/>
                <w:bCs/>
              </w:rPr>
              <w:t>Pence</w:t>
            </w:r>
          </w:p>
        </w:tc>
        <w:tc>
          <w:tcPr>
            <w:tcW w:w="1099" w:type="dxa"/>
            <w:tcBorders>
              <w:bottom w:val="single" w:sz="4" w:space="0" w:color="auto"/>
            </w:tcBorders>
            <w:vAlign w:val="bottom"/>
          </w:tcPr>
          <w:p w14:paraId="576E4B90" w14:textId="77777777" w:rsidR="00773F7B" w:rsidRPr="00A934DC" w:rsidRDefault="00773F7B" w:rsidP="00773F7B">
            <w:pPr>
              <w:pStyle w:val="T2"/>
              <w:jc w:val="right"/>
            </w:pPr>
            <w:r w:rsidRPr="0096767F">
              <w:rPr>
                <w:bCs/>
              </w:rPr>
              <w:t>Pence</w:t>
            </w:r>
          </w:p>
        </w:tc>
      </w:tr>
      <w:tr w:rsidR="00773F7B" w14:paraId="14B56184" w14:textId="77777777" w:rsidTr="00773F7B">
        <w:tc>
          <w:tcPr>
            <w:tcW w:w="7365" w:type="dxa"/>
            <w:tcBorders>
              <w:top w:val="single" w:sz="4" w:space="0" w:color="auto"/>
              <w:bottom w:val="single" w:sz="8" w:space="0" w:color="auto"/>
            </w:tcBorders>
            <w:vAlign w:val="bottom"/>
          </w:tcPr>
          <w:p w14:paraId="1D7E44B6" w14:textId="77777777" w:rsidR="00773F7B" w:rsidRPr="003A5223" w:rsidRDefault="00773F7B" w:rsidP="00773F7B">
            <w:pPr>
              <w:pStyle w:val="T2"/>
              <w:jc w:val="left"/>
              <w:rPr>
                <w:b/>
              </w:rPr>
            </w:pPr>
            <w:r w:rsidRPr="003A5223">
              <w:rPr>
                <w:b/>
              </w:rPr>
              <w:t>Adjusted Earnings Per Share</w:t>
            </w:r>
          </w:p>
        </w:tc>
        <w:tc>
          <w:tcPr>
            <w:tcW w:w="1282" w:type="dxa"/>
            <w:tcBorders>
              <w:top w:val="single" w:sz="4" w:space="0" w:color="auto"/>
              <w:bottom w:val="single" w:sz="8" w:space="0" w:color="auto"/>
            </w:tcBorders>
            <w:vAlign w:val="bottom"/>
          </w:tcPr>
          <w:p w14:paraId="101EAC06" w14:textId="77777777" w:rsidR="00773F7B" w:rsidRPr="00FC568F" w:rsidRDefault="00773F7B" w:rsidP="00773F7B">
            <w:pPr>
              <w:pStyle w:val="T2"/>
              <w:jc w:val="right"/>
              <w:rPr>
                <w:b/>
                <w:bCs/>
              </w:rPr>
            </w:pPr>
            <w:r w:rsidRPr="00FC568F">
              <w:rPr>
                <w:b/>
                <w:bCs/>
              </w:rPr>
              <w:t>5.</w:t>
            </w:r>
            <w:r>
              <w:rPr>
                <w:b/>
                <w:bCs/>
              </w:rPr>
              <w:t>8</w:t>
            </w:r>
          </w:p>
        </w:tc>
        <w:tc>
          <w:tcPr>
            <w:tcW w:w="1099" w:type="dxa"/>
            <w:tcBorders>
              <w:top w:val="single" w:sz="4" w:space="0" w:color="auto"/>
              <w:bottom w:val="single" w:sz="8" w:space="0" w:color="auto"/>
            </w:tcBorders>
            <w:vAlign w:val="bottom"/>
          </w:tcPr>
          <w:p w14:paraId="03BA149C" w14:textId="77777777" w:rsidR="00773F7B" w:rsidRPr="00A934DC" w:rsidRDefault="00773F7B" w:rsidP="00773F7B">
            <w:pPr>
              <w:pStyle w:val="T2"/>
              <w:jc w:val="right"/>
            </w:pPr>
            <w:r w:rsidRPr="0096767F">
              <w:rPr>
                <w:bCs/>
              </w:rPr>
              <w:t>6.4</w:t>
            </w:r>
          </w:p>
        </w:tc>
      </w:tr>
    </w:tbl>
    <w:p w14:paraId="0D6ACB50" w14:textId="77777777" w:rsidR="00773F7B" w:rsidRDefault="00773F7B" w:rsidP="00773F7B">
      <w:pPr>
        <w:pStyle w:val="Paragraph"/>
        <w:rPr>
          <w:b/>
        </w:rPr>
      </w:pPr>
    </w:p>
    <w:p w14:paraId="5506850B" w14:textId="77777777" w:rsidR="00773F7B" w:rsidRDefault="00773F7B" w:rsidP="00773F7B">
      <w:pPr>
        <w:pStyle w:val="Paragraph"/>
        <w:rPr>
          <w:b/>
        </w:rPr>
      </w:pPr>
      <w:r w:rsidRPr="00E743B0">
        <w:rPr>
          <w:b/>
        </w:rPr>
        <w:t>CAPITAL EXPENDITURE</w:t>
      </w:r>
    </w:p>
    <w:p w14:paraId="762ACDAF" w14:textId="77777777" w:rsidR="00773F7B" w:rsidRDefault="00773F7B" w:rsidP="00773F7B">
      <w:pPr>
        <w:pStyle w:val="Paragraph"/>
        <w:rPr>
          <w:b/>
        </w:rPr>
      </w:pPr>
      <w:r w:rsidRPr="00E743B0">
        <w:rPr>
          <w:b/>
        </w:rPr>
        <w:t>MAINTENANCE CAPITAL EXPENDITURE</w:t>
      </w:r>
    </w:p>
    <w:p w14:paraId="6321B8D8" w14:textId="77777777" w:rsidR="00773F7B" w:rsidRDefault="00773F7B" w:rsidP="00773F7B">
      <w:pPr>
        <w:pStyle w:val="Paragraph"/>
        <w:jc w:val="both"/>
      </w:pPr>
      <w:r w:rsidRPr="00E743B0">
        <w:t xml:space="preserve">The Group defines Maintenance Capital Expenditure as the expenditure required for the purpose of sustaining the operating capacity and asset base of the Group, and </w:t>
      </w:r>
      <w:r>
        <w:t xml:space="preserve">to </w:t>
      </w:r>
      <w:r w:rsidRPr="00E743B0">
        <w:t>comply with applicable laws and regulations. It includes continuous improvement projects of less than £1m that will generate additional returns for the Group.</w:t>
      </w:r>
    </w:p>
    <w:p w14:paraId="1FBD237E" w14:textId="77777777" w:rsidR="00773F7B" w:rsidRDefault="00773F7B" w:rsidP="00773F7B">
      <w:pPr>
        <w:pStyle w:val="Paragraph"/>
        <w:jc w:val="both"/>
      </w:pPr>
      <w:r w:rsidRPr="007B035B">
        <w:rPr>
          <w:b/>
        </w:rPr>
        <w:t>STRATEGIC CAPITAL EXPENDITURE</w:t>
      </w:r>
    </w:p>
    <w:p w14:paraId="36075744" w14:textId="77777777" w:rsidR="00773F7B" w:rsidRDefault="00773F7B" w:rsidP="00773F7B">
      <w:pPr>
        <w:pStyle w:val="Paragraph"/>
        <w:jc w:val="both"/>
      </w:pPr>
      <w:r w:rsidRPr="007B035B">
        <w:t>The Group defines Strategic Capital Expenditure as the expenditure required for the purpose of facilitating growth and developing and enhancing relationships with existing and new customers. It includes continuous improvement projects of greater than £1m that will generate additional returns for the Group. Strategic Capital Expenditure is generally expansionary expenditure creating additional capacity beyond what is necessary to maintain the Group’s current competitive position and enables the Group to service new customers and/or contracts or to enter into new categories and/or new manufacturing competencies.</w:t>
      </w:r>
    </w:p>
    <w:p w14:paraId="508FACF4" w14:textId="2E7C1D7D" w:rsidR="00773F7B" w:rsidRDefault="00773F7B" w:rsidP="00773F7B">
      <w:pPr>
        <w:pStyle w:val="Paragraph"/>
        <w:jc w:val="both"/>
      </w:pPr>
      <w:r w:rsidRPr="007B035B">
        <w:t>The following table sets forth the breakdown of the Group</w:t>
      </w:r>
      <w:r>
        <w:t>’</w:t>
      </w:r>
      <w:r w:rsidRPr="007B035B">
        <w:t>s purchase of property, plant and equipment and purchase of intangible assets between Strategic Capital Expenditure and Maintenance Capital Expenditure:</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276"/>
        <w:gridCol w:w="1276"/>
        <w:gridCol w:w="709"/>
        <w:gridCol w:w="1275"/>
        <w:gridCol w:w="1276"/>
        <w:gridCol w:w="709"/>
      </w:tblGrid>
      <w:tr w:rsidR="00773F7B" w:rsidRPr="00D61AE9" w14:paraId="258EA4E7" w14:textId="77777777" w:rsidTr="002E0E9E">
        <w:trPr>
          <w:trHeight w:val="345"/>
        </w:trPr>
        <w:tc>
          <w:tcPr>
            <w:tcW w:w="3402" w:type="dxa"/>
            <w:tcBorders>
              <w:bottom w:val="single" w:sz="2" w:space="0" w:color="auto"/>
            </w:tcBorders>
            <w:vAlign w:val="bottom"/>
          </w:tcPr>
          <w:p w14:paraId="32EAF9D1" w14:textId="77777777" w:rsidR="00773F7B" w:rsidRPr="00D61AE9" w:rsidRDefault="00773F7B" w:rsidP="00773F7B">
            <w:pPr>
              <w:pStyle w:val="T2"/>
              <w:rPr>
                <w:rFonts w:ascii="Calibri" w:hAnsi="Calibri" w:cs="Calibri"/>
              </w:rPr>
            </w:pPr>
          </w:p>
        </w:tc>
        <w:tc>
          <w:tcPr>
            <w:tcW w:w="3261" w:type="dxa"/>
            <w:gridSpan w:val="3"/>
            <w:tcBorders>
              <w:bottom w:val="single" w:sz="2" w:space="0" w:color="auto"/>
            </w:tcBorders>
            <w:vAlign w:val="bottom"/>
          </w:tcPr>
          <w:p w14:paraId="7B7E83FD" w14:textId="77777777" w:rsidR="00773F7B" w:rsidRPr="003A5223" w:rsidRDefault="00773F7B" w:rsidP="00773F7B">
            <w:pPr>
              <w:pStyle w:val="T2"/>
              <w:rPr>
                <w:b/>
              </w:rPr>
            </w:pPr>
            <w:r>
              <w:rPr>
                <w:b/>
              </w:rPr>
              <w:t xml:space="preserve">Half year </w:t>
            </w:r>
            <w:r w:rsidRPr="003A5223">
              <w:rPr>
                <w:b/>
              </w:rPr>
              <w:t>20</w:t>
            </w:r>
            <w:r>
              <w:rPr>
                <w:b/>
              </w:rPr>
              <w:t>20</w:t>
            </w:r>
          </w:p>
        </w:tc>
        <w:tc>
          <w:tcPr>
            <w:tcW w:w="3260" w:type="dxa"/>
            <w:gridSpan w:val="3"/>
            <w:tcBorders>
              <w:bottom w:val="single" w:sz="2" w:space="0" w:color="auto"/>
            </w:tcBorders>
            <w:vAlign w:val="bottom"/>
          </w:tcPr>
          <w:p w14:paraId="3F9A8289" w14:textId="77777777" w:rsidR="00773F7B" w:rsidRPr="00E5128C" w:rsidRDefault="00773F7B" w:rsidP="00773F7B">
            <w:pPr>
              <w:pStyle w:val="T2"/>
            </w:pPr>
            <w:r>
              <w:t>Half year 2019</w:t>
            </w:r>
          </w:p>
        </w:tc>
      </w:tr>
      <w:tr w:rsidR="00773F7B" w:rsidRPr="00D61AE9" w14:paraId="0025BC7A" w14:textId="77777777" w:rsidTr="002E0E9E">
        <w:trPr>
          <w:trHeight w:val="645"/>
        </w:trPr>
        <w:tc>
          <w:tcPr>
            <w:tcW w:w="3402" w:type="dxa"/>
            <w:tcBorders>
              <w:bottom w:val="single" w:sz="2" w:space="0" w:color="auto"/>
            </w:tcBorders>
            <w:vAlign w:val="bottom"/>
          </w:tcPr>
          <w:p w14:paraId="6C58F14E" w14:textId="77777777" w:rsidR="00773F7B" w:rsidRPr="00D61AE9" w:rsidRDefault="00773F7B" w:rsidP="00773F7B">
            <w:pPr>
              <w:pStyle w:val="T2"/>
              <w:rPr>
                <w:rFonts w:ascii="Calibri" w:hAnsi="Calibri" w:cs="Calibri"/>
              </w:rPr>
            </w:pPr>
          </w:p>
        </w:tc>
        <w:tc>
          <w:tcPr>
            <w:tcW w:w="1276" w:type="dxa"/>
            <w:tcBorders>
              <w:bottom w:val="single" w:sz="2" w:space="0" w:color="auto"/>
            </w:tcBorders>
            <w:vAlign w:val="bottom"/>
          </w:tcPr>
          <w:p w14:paraId="2B2E30CD" w14:textId="77777777" w:rsidR="00773F7B" w:rsidRPr="00737A18" w:rsidRDefault="00773F7B" w:rsidP="00773F7B">
            <w:pPr>
              <w:pStyle w:val="T2"/>
              <w:jc w:val="right"/>
              <w:rPr>
                <w:b/>
              </w:rPr>
            </w:pPr>
            <w:r w:rsidRPr="00737A18">
              <w:rPr>
                <w:b/>
              </w:rPr>
              <w:t>Convenience Foods UK &amp; Ireland</w:t>
            </w:r>
          </w:p>
        </w:tc>
        <w:tc>
          <w:tcPr>
            <w:tcW w:w="1276" w:type="dxa"/>
            <w:tcBorders>
              <w:bottom w:val="single" w:sz="2" w:space="0" w:color="auto"/>
            </w:tcBorders>
          </w:tcPr>
          <w:p w14:paraId="2612FEDE" w14:textId="77777777" w:rsidR="00773F7B" w:rsidRDefault="00773F7B" w:rsidP="00773F7B">
            <w:pPr>
              <w:pStyle w:val="T2"/>
              <w:jc w:val="right"/>
              <w:rPr>
                <w:b/>
              </w:rPr>
            </w:pPr>
          </w:p>
          <w:p w14:paraId="41C84EAF" w14:textId="77777777" w:rsidR="00773F7B" w:rsidRPr="00737A18" w:rsidRDefault="00773F7B" w:rsidP="00773F7B">
            <w:pPr>
              <w:pStyle w:val="T2"/>
              <w:jc w:val="right"/>
              <w:rPr>
                <w:b/>
              </w:rPr>
            </w:pPr>
            <w:r w:rsidRPr="00737A18">
              <w:rPr>
                <w:b/>
              </w:rPr>
              <w:t>Discontinued Operations</w:t>
            </w:r>
          </w:p>
        </w:tc>
        <w:tc>
          <w:tcPr>
            <w:tcW w:w="709" w:type="dxa"/>
            <w:tcBorders>
              <w:bottom w:val="single" w:sz="2" w:space="0" w:color="auto"/>
            </w:tcBorders>
          </w:tcPr>
          <w:p w14:paraId="3C7F66B7" w14:textId="77777777" w:rsidR="00773F7B" w:rsidRDefault="00773F7B" w:rsidP="00773F7B">
            <w:pPr>
              <w:pStyle w:val="T2"/>
              <w:jc w:val="right"/>
              <w:rPr>
                <w:b/>
              </w:rPr>
            </w:pPr>
          </w:p>
          <w:p w14:paraId="7E945DD5" w14:textId="77777777" w:rsidR="00773F7B" w:rsidRDefault="00773F7B" w:rsidP="00773F7B">
            <w:pPr>
              <w:pStyle w:val="T2"/>
              <w:jc w:val="right"/>
              <w:rPr>
                <w:b/>
              </w:rPr>
            </w:pPr>
          </w:p>
          <w:p w14:paraId="1CE0AF0A" w14:textId="77777777" w:rsidR="00773F7B" w:rsidRPr="00737A18" w:rsidRDefault="00773F7B" w:rsidP="00773F7B">
            <w:pPr>
              <w:pStyle w:val="T2"/>
              <w:jc w:val="right"/>
              <w:rPr>
                <w:b/>
              </w:rPr>
            </w:pPr>
            <w:r w:rsidRPr="00737A18">
              <w:rPr>
                <w:b/>
              </w:rPr>
              <w:t>Total</w:t>
            </w:r>
          </w:p>
        </w:tc>
        <w:tc>
          <w:tcPr>
            <w:tcW w:w="1275" w:type="dxa"/>
            <w:tcBorders>
              <w:bottom w:val="single" w:sz="2" w:space="0" w:color="auto"/>
            </w:tcBorders>
            <w:vAlign w:val="bottom"/>
          </w:tcPr>
          <w:p w14:paraId="72A7D371" w14:textId="77777777" w:rsidR="00773F7B" w:rsidRPr="00D61AE9" w:rsidRDefault="00773F7B" w:rsidP="00773F7B">
            <w:pPr>
              <w:pStyle w:val="T2"/>
              <w:jc w:val="right"/>
            </w:pPr>
            <w:r>
              <w:t>Convenience Foods UK &amp; Ireland</w:t>
            </w:r>
          </w:p>
        </w:tc>
        <w:tc>
          <w:tcPr>
            <w:tcW w:w="1276" w:type="dxa"/>
            <w:tcBorders>
              <w:bottom w:val="single" w:sz="2" w:space="0" w:color="auto"/>
            </w:tcBorders>
          </w:tcPr>
          <w:p w14:paraId="2B679AD3" w14:textId="77777777" w:rsidR="00773F7B" w:rsidRDefault="00773F7B" w:rsidP="00773F7B">
            <w:pPr>
              <w:pStyle w:val="T2"/>
              <w:jc w:val="right"/>
            </w:pPr>
          </w:p>
          <w:p w14:paraId="40AB6566" w14:textId="77777777" w:rsidR="00773F7B" w:rsidRPr="00E5128C" w:rsidRDefault="00773F7B" w:rsidP="00773F7B">
            <w:pPr>
              <w:pStyle w:val="T2"/>
              <w:jc w:val="right"/>
            </w:pPr>
            <w:r>
              <w:t>Discontinued Operations</w:t>
            </w:r>
          </w:p>
        </w:tc>
        <w:tc>
          <w:tcPr>
            <w:tcW w:w="709" w:type="dxa"/>
            <w:tcBorders>
              <w:bottom w:val="single" w:sz="2" w:space="0" w:color="auto"/>
            </w:tcBorders>
          </w:tcPr>
          <w:p w14:paraId="0A5DBE3E" w14:textId="77777777" w:rsidR="00773F7B" w:rsidRDefault="00773F7B" w:rsidP="00773F7B">
            <w:pPr>
              <w:pStyle w:val="T2"/>
              <w:jc w:val="right"/>
            </w:pPr>
          </w:p>
          <w:p w14:paraId="49580F3D" w14:textId="77777777" w:rsidR="00773F7B" w:rsidRDefault="00773F7B" w:rsidP="00773F7B">
            <w:pPr>
              <w:pStyle w:val="T2"/>
              <w:jc w:val="right"/>
            </w:pPr>
          </w:p>
          <w:p w14:paraId="524D7246" w14:textId="77777777" w:rsidR="00773F7B" w:rsidRPr="00E5128C" w:rsidRDefault="00773F7B" w:rsidP="00773F7B">
            <w:pPr>
              <w:pStyle w:val="T2"/>
              <w:jc w:val="right"/>
            </w:pPr>
            <w:r>
              <w:t>Total</w:t>
            </w:r>
          </w:p>
        </w:tc>
      </w:tr>
      <w:tr w:rsidR="00773F7B" w:rsidRPr="00D61AE9" w14:paraId="225143CC" w14:textId="77777777" w:rsidTr="002E0E9E">
        <w:trPr>
          <w:trHeight w:val="218"/>
        </w:trPr>
        <w:tc>
          <w:tcPr>
            <w:tcW w:w="3402" w:type="dxa"/>
            <w:tcBorders>
              <w:bottom w:val="single" w:sz="2" w:space="0" w:color="auto"/>
            </w:tcBorders>
            <w:vAlign w:val="bottom"/>
          </w:tcPr>
          <w:p w14:paraId="42BC4E04" w14:textId="77777777" w:rsidR="00773F7B" w:rsidRPr="00D61AE9" w:rsidRDefault="00773F7B" w:rsidP="00773F7B">
            <w:pPr>
              <w:pStyle w:val="T2"/>
              <w:rPr>
                <w:rFonts w:ascii="Calibri" w:hAnsi="Calibri" w:cs="Calibri"/>
              </w:rPr>
            </w:pPr>
          </w:p>
        </w:tc>
        <w:tc>
          <w:tcPr>
            <w:tcW w:w="1276" w:type="dxa"/>
            <w:tcBorders>
              <w:bottom w:val="single" w:sz="2" w:space="0" w:color="auto"/>
            </w:tcBorders>
          </w:tcPr>
          <w:p w14:paraId="4D09C40C" w14:textId="77777777" w:rsidR="00773F7B" w:rsidRPr="00737A18" w:rsidRDefault="00773F7B" w:rsidP="00773F7B">
            <w:pPr>
              <w:pStyle w:val="T2"/>
              <w:jc w:val="right"/>
            </w:pPr>
            <w:r w:rsidRPr="00143344">
              <w:rPr>
                <w:b/>
              </w:rPr>
              <w:t>£m</w:t>
            </w:r>
          </w:p>
        </w:tc>
        <w:tc>
          <w:tcPr>
            <w:tcW w:w="1276" w:type="dxa"/>
            <w:tcBorders>
              <w:bottom w:val="single" w:sz="2" w:space="0" w:color="auto"/>
            </w:tcBorders>
          </w:tcPr>
          <w:p w14:paraId="0AB2EB5C" w14:textId="77777777" w:rsidR="00773F7B" w:rsidRPr="00143344" w:rsidRDefault="00773F7B" w:rsidP="00773F7B">
            <w:pPr>
              <w:pStyle w:val="T2"/>
              <w:jc w:val="right"/>
              <w:rPr>
                <w:b/>
              </w:rPr>
            </w:pPr>
            <w:r w:rsidRPr="00143344">
              <w:rPr>
                <w:b/>
              </w:rPr>
              <w:t>£m</w:t>
            </w:r>
          </w:p>
        </w:tc>
        <w:tc>
          <w:tcPr>
            <w:tcW w:w="709" w:type="dxa"/>
            <w:tcBorders>
              <w:bottom w:val="single" w:sz="2" w:space="0" w:color="auto"/>
            </w:tcBorders>
            <w:vAlign w:val="bottom"/>
          </w:tcPr>
          <w:p w14:paraId="0CFBEA96" w14:textId="77777777" w:rsidR="00773F7B" w:rsidRPr="00143344" w:rsidRDefault="00773F7B" w:rsidP="00773F7B">
            <w:pPr>
              <w:pStyle w:val="T2"/>
              <w:jc w:val="right"/>
              <w:rPr>
                <w:b/>
              </w:rPr>
            </w:pPr>
            <w:r w:rsidRPr="00143344">
              <w:rPr>
                <w:b/>
              </w:rPr>
              <w:t>£m</w:t>
            </w:r>
          </w:p>
        </w:tc>
        <w:tc>
          <w:tcPr>
            <w:tcW w:w="1275" w:type="dxa"/>
            <w:tcBorders>
              <w:bottom w:val="single" w:sz="2" w:space="0" w:color="auto"/>
            </w:tcBorders>
            <w:vAlign w:val="bottom"/>
          </w:tcPr>
          <w:p w14:paraId="37633EE1" w14:textId="77777777" w:rsidR="00773F7B" w:rsidRPr="00D61AE9" w:rsidRDefault="00773F7B" w:rsidP="00773F7B">
            <w:pPr>
              <w:pStyle w:val="T2"/>
              <w:jc w:val="right"/>
            </w:pPr>
            <w:r w:rsidRPr="00D61AE9">
              <w:t>£m</w:t>
            </w:r>
          </w:p>
        </w:tc>
        <w:tc>
          <w:tcPr>
            <w:tcW w:w="1276" w:type="dxa"/>
            <w:tcBorders>
              <w:bottom w:val="single" w:sz="2" w:space="0" w:color="auto"/>
            </w:tcBorders>
          </w:tcPr>
          <w:p w14:paraId="75701507" w14:textId="77777777" w:rsidR="00773F7B" w:rsidRPr="00D61AE9" w:rsidRDefault="00773F7B" w:rsidP="00773F7B">
            <w:pPr>
              <w:pStyle w:val="T2"/>
              <w:jc w:val="right"/>
            </w:pPr>
            <w:r w:rsidRPr="00D61AE9">
              <w:t>£m</w:t>
            </w:r>
          </w:p>
        </w:tc>
        <w:tc>
          <w:tcPr>
            <w:tcW w:w="709" w:type="dxa"/>
            <w:tcBorders>
              <w:bottom w:val="single" w:sz="2" w:space="0" w:color="auto"/>
            </w:tcBorders>
          </w:tcPr>
          <w:p w14:paraId="67E39ED5" w14:textId="77777777" w:rsidR="00773F7B" w:rsidRPr="00D61AE9" w:rsidRDefault="00773F7B" w:rsidP="00773F7B">
            <w:pPr>
              <w:pStyle w:val="T2"/>
              <w:jc w:val="right"/>
            </w:pPr>
            <w:r w:rsidRPr="00D61AE9">
              <w:t>£m</w:t>
            </w:r>
          </w:p>
        </w:tc>
      </w:tr>
      <w:tr w:rsidR="00773F7B" w:rsidRPr="00D61AE9" w14:paraId="670116B0" w14:textId="77777777" w:rsidTr="002E0E9E">
        <w:trPr>
          <w:trHeight w:val="208"/>
        </w:trPr>
        <w:tc>
          <w:tcPr>
            <w:tcW w:w="3402" w:type="dxa"/>
            <w:tcBorders>
              <w:top w:val="single" w:sz="2" w:space="0" w:color="auto"/>
            </w:tcBorders>
            <w:vAlign w:val="bottom"/>
          </w:tcPr>
          <w:p w14:paraId="22A2AA99" w14:textId="77777777" w:rsidR="00773F7B" w:rsidRPr="00D61AE9" w:rsidRDefault="00773F7B" w:rsidP="00773F7B">
            <w:pPr>
              <w:pStyle w:val="T2"/>
              <w:jc w:val="left"/>
              <w:rPr>
                <w:rFonts w:ascii="Calibri" w:hAnsi="Calibri" w:cs="Calibri"/>
              </w:rPr>
            </w:pPr>
            <w:r w:rsidRPr="00D61AE9">
              <w:rPr>
                <w:rFonts w:ascii="Calibri" w:hAnsi="Calibri" w:cs="Calibri"/>
              </w:rPr>
              <w:t>Purchase of property, plant and equipment</w:t>
            </w:r>
          </w:p>
        </w:tc>
        <w:tc>
          <w:tcPr>
            <w:tcW w:w="1276" w:type="dxa"/>
            <w:tcBorders>
              <w:top w:val="single" w:sz="2" w:space="0" w:color="auto"/>
            </w:tcBorders>
            <w:vAlign w:val="bottom"/>
          </w:tcPr>
          <w:p w14:paraId="55777FFB" w14:textId="77777777" w:rsidR="00773F7B" w:rsidRPr="00FC568F" w:rsidRDefault="00773F7B" w:rsidP="00773F7B">
            <w:pPr>
              <w:pStyle w:val="T2"/>
              <w:jc w:val="right"/>
              <w:rPr>
                <w:rFonts w:ascii="Calibri" w:hAnsi="Calibri" w:cs="Calibri"/>
                <w:b/>
              </w:rPr>
            </w:pPr>
            <w:r w:rsidRPr="00FC568F">
              <w:rPr>
                <w:rFonts w:ascii="Calibri" w:hAnsi="Calibri" w:cs="Calibri"/>
                <w:b/>
              </w:rPr>
              <w:t>1</w:t>
            </w:r>
            <w:r>
              <w:rPr>
                <w:rFonts w:ascii="Calibri" w:hAnsi="Calibri" w:cs="Calibri"/>
                <w:b/>
              </w:rPr>
              <w:t>9.3</w:t>
            </w:r>
          </w:p>
        </w:tc>
        <w:tc>
          <w:tcPr>
            <w:tcW w:w="1276" w:type="dxa"/>
            <w:tcBorders>
              <w:top w:val="single" w:sz="2" w:space="0" w:color="auto"/>
            </w:tcBorders>
            <w:vAlign w:val="bottom"/>
          </w:tcPr>
          <w:p w14:paraId="64759633" w14:textId="77777777" w:rsidR="00773F7B" w:rsidRPr="005D0EFF" w:rsidRDefault="00773F7B" w:rsidP="00773F7B">
            <w:pPr>
              <w:pStyle w:val="T2"/>
              <w:jc w:val="right"/>
              <w:rPr>
                <w:rFonts w:ascii="Calibri" w:hAnsi="Calibri" w:cs="Calibri"/>
              </w:rPr>
            </w:pPr>
            <w:r w:rsidRPr="001F6040">
              <w:rPr>
                <w:b/>
                <w:bCs/>
              </w:rPr>
              <w:t>–</w:t>
            </w:r>
          </w:p>
        </w:tc>
        <w:tc>
          <w:tcPr>
            <w:tcW w:w="709" w:type="dxa"/>
            <w:tcBorders>
              <w:top w:val="single" w:sz="2" w:space="0" w:color="auto"/>
            </w:tcBorders>
            <w:vAlign w:val="bottom"/>
          </w:tcPr>
          <w:p w14:paraId="0E101073" w14:textId="77777777" w:rsidR="00773F7B" w:rsidRPr="00FC568F" w:rsidRDefault="00773F7B" w:rsidP="00773F7B">
            <w:pPr>
              <w:pStyle w:val="T2"/>
              <w:jc w:val="right"/>
              <w:rPr>
                <w:rFonts w:ascii="Calibri" w:hAnsi="Calibri" w:cs="Calibri"/>
                <w:b/>
              </w:rPr>
            </w:pPr>
            <w:r>
              <w:rPr>
                <w:rFonts w:ascii="Calibri" w:hAnsi="Calibri" w:cs="Calibri"/>
                <w:b/>
              </w:rPr>
              <w:t>19.3</w:t>
            </w:r>
          </w:p>
        </w:tc>
        <w:tc>
          <w:tcPr>
            <w:tcW w:w="1275" w:type="dxa"/>
            <w:tcBorders>
              <w:top w:val="single" w:sz="2" w:space="0" w:color="auto"/>
            </w:tcBorders>
            <w:vAlign w:val="bottom"/>
          </w:tcPr>
          <w:p w14:paraId="1953D12A" w14:textId="77777777" w:rsidR="00773F7B" w:rsidRPr="005C6269" w:rsidRDefault="00773F7B" w:rsidP="00773F7B">
            <w:pPr>
              <w:pStyle w:val="T2"/>
              <w:jc w:val="right"/>
              <w:rPr>
                <w:rFonts w:ascii="Calibri" w:hAnsi="Calibri" w:cs="Calibri"/>
              </w:rPr>
            </w:pPr>
            <w:r w:rsidRPr="0096767F">
              <w:rPr>
                <w:rFonts w:ascii="Calibri" w:hAnsi="Calibri" w:cs="Calibri"/>
              </w:rPr>
              <w:t>17.1</w:t>
            </w:r>
          </w:p>
        </w:tc>
        <w:tc>
          <w:tcPr>
            <w:tcW w:w="1276" w:type="dxa"/>
            <w:tcBorders>
              <w:top w:val="single" w:sz="2" w:space="0" w:color="auto"/>
            </w:tcBorders>
          </w:tcPr>
          <w:p w14:paraId="3F8BF360" w14:textId="77777777" w:rsidR="00773F7B" w:rsidRDefault="00773F7B" w:rsidP="00773F7B">
            <w:pPr>
              <w:pStyle w:val="T2"/>
              <w:jc w:val="right"/>
              <w:rPr>
                <w:rFonts w:ascii="Calibri" w:hAnsi="Calibri" w:cs="Calibri"/>
              </w:rPr>
            </w:pPr>
          </w:p>
          <w:p w14:paraId="77048FC6" w14:textId="77777777" w:rsidR="00773F7B" w:rsidRPr="0096767F" w:rsidRDefault="00773F7B" w:rsidP="00773F7B">
            <w:pPr>
              <w:pStyle w:val="T2"/>
              <w:jc w:val="right"/>
              <w:rPr>
                <w:rFonts w:ascii="Calibri" w:hAnsi="Calibri" w:cs="Calibri"/>
              </w:rPr>
            </w:pPr>
            <w:r>
              <w:rPr>
                <w:rFonts w:ascii="Calibri" w:hAnsi="Calibri" w:cs="Calibri"/>
              </w:rPr>
              <w:t>1.2</w:t>
            </w:r>
          </w:p>
        </w:tc>
        <w:tc>
          <w:tcPr>
            <w:tcW w:w="709" w:type="dxa"/>
            <w:tcBorders>
              <w:top w:val="single" w:sz="2" w:space="0" w:color="auto"/>
            </w:tcBorders>
          </w:tcPr>
          <w:p w14:paraId="050CA056" w14:textId="77777777" w:rsidR="00773F7B" w:rsidRDefault="00773F7B" w:rsidP="00773F7B">
            <w:pPr>
              <w:pStyle w:val="T2"/>
              <w:jc w:val="right"/>
              <w:rPr>
                <w:rFonts w:ascii="Calibri" w:hAnsi="Calibri" w:cs="Calibri"/>
              </w:rPr>
            </w:pPr>
          </w:p>
          <w:p w14:paraId="506FAB07" w14:textId="77777777" w:rsidR="00773F7B" w:rsidRPr="0096767F" w:rsidRDefault="00773F7B" w:rsidP="00773F7B">
            <w:pPr>
              <w:pStyle w:val="T2"/>
              <w:jc w:val="right"/>
              <w:rPr>
                <w:rFonts w:ascii="Calibri" w:hAnsi="Calibri" w:cs="Calibri"/>
              </w:rPr>
            </w:pPr>
            <w:r>
              <w:rPr>
                <w:rFonts w:ascii="Calibri" w:hAnsi="Calibri" w:cs="Calibri"/>
              </w:rPr>
              <w:t>18.3</w:t>
            </w:r>
          </w:p>
        </w:tc>
      </w:tr>
      <w:tr w:rsidR="00773F7B" w:rsidRPr="00D61AE9" w14:paraId="4B1F325C" w14:textId="77777777" w:rsidTr="002E0E9E">
        <w:trPr>
          <w:trHeight w:val="218"/>
        </w:trPr>
        <w:tc>
          <w:tcPr>
            <w:tcW w:w="3402" w:type="dxa"/>
            <w:tcBorders>
              <w:bottom w:val="single" w:sz="2" w:space="0" w:color="auto"/>
            </w:tcBorders>
            <w:vAlign w:val="bottom"/>
          </w:tcPr>
          <w:p w14:paraId="2FD05467" w14:textId="77777777" w:rsidR="00773F7B" w:rsidRPr="00D61AE9" w:rsidRDefault="00773F7B" w:rsidP="00773F7B">
            <w:pPr>
              <w:pStyle w:val="T2"/>
              <w:jc w:val="left"/>
              <w:rPr>
                <w:rFonts w:ascii="Calibri" w:hAnsi="Calibri" w:cs="Calibri"/>
              </w:rPr>
            </w:pPr>
            <w:r w:rsidRPr="00D61AE9">
              <w:rPr>
                <w:rFonts w:ascii="Calibri" w:hAnsi="Calibri" w:cs="Calibri"/>
              </w:rPr>
              <w:t>Purchase of intangible assets</w:t>
            </w:r>
          </w:p>
        </w:tc>
        <w:tc>
          <w:tcPr>
            <w:tcW w:w="1276" w:type="dxa"/>
            <w:tcBorders>
              <w:bottom w:val="single" w:sz="2" w:space="0" w:color="auto"/>
            </w:tcBorders>
            <w:vAlign w:val="bottom"/>
          </w:tcPr>
          <w:p w14:paraId="6642AD8F" w14:textId="77777777" w:rsidR="00773F7B" w:rsidRPr="00FC568F" w:rsidRDefault="00773F7B" w:rsidP="00773F7B">
            <w:pPr>
              <w:pStyle w:val="T2"/>
              <w:jc w:val="right"/>
              <w:rPr>
                <w:rFonts w:ascii="Calibri" w:hAnsi="Calibri" w:cs="Calibri"/>
                <w:b/>
              </w:rPr>
            </w:pPr>
            <w:r w:rsidRPr="00FC568F">
              <w:rPr>
                <w:rFonts w:ascii="Calibri" w:hAnsi="Calibri" w:cs="Calibri"/>
                <w:b/>
              </w:rPr>
              <w:t>1.8</w:t>
            </w:r>
          </w:p>
        </w:tc>
        <w:tc>
          <w:tcPr>
            <w:tcW w:w="1276" w:type="dxa"/>
            <w:tcBorders>
              <w:bottom w:val="single" w:sz="2" w:space="0" w:color="auto"/>
            </w:tcBorders>
            <w:vAlign w:val="bottom"/>
          </w:tcPr>
          <w:p w14:paraId="2709455B" w14:textId="77777777" w:rsidR="00773F7B" w:rsidRPr="005D0EFF" w:rsidRDefault="00773F7B" w:rsidP="00773F7B">
            <w:pPr>
              <w:pStyle w:val="T2"/>
              <w:jc w:val="right"/>
              <w:rPr>
                <w:rFonts w:ascii="Calibri" w:hAnsi="Calibri" w:cs="Calibri"/>
              </w:rPr>
            </w:pPr>
            <w:r w:rsidRPr="001F6040">
              <w:rPr>
                <w:b/>
                <w:bCs/>
              </w:rPr>
              <w:t>–</w:t>
            </w:r>
          </w:p>
        </w:tc>
        <w:tc>
          <w:tcPr>
            <w:tcW w:w="709" w:type="dxa"/>
            <w:tcBorders>
              <w:bottom w:val="single" w:sz="2" w:space="0" w:color="auto"/>
            </w:tcBorders>
            <w:vAlign w:val="bottom"/>
          </w:tcPr>
          <w:p w14:paraId="29B677F2" w14:textId="77777777" w:rsidR="00773F7B" w:rsidRPr="00FC568F" w:rsidRDefault="00773F7B" w:rsidP="00773F7B">
            <w:pPr>
              <w:pStyle w:val="T2"/>
              <w:jc w:val="right"/>
              <w:rPr>
                <w:rFonts w:ascii="Calibri" w:hAnsi="Calibri" w:cs="Calibri"/>
                <w:b/>
              </w:rPr>
            </w:pPr>
            <w:r w:rsidRPr="00FC568F">
              <w:rPr>
                <w:rFonts w:ascii="Calibri" w:hAnsi="Calibri" w:cs="Calibri"/>
                <w:b/>
              </w:rPr>
              <w:t>1.8</w:t>
            </w:r>
          </w:p>
        </w:tc>
        <w:tc>
          <w:tcPr>
            <w:tcW w:w="1275" w:type="dxa"/>
            <w:tcBorders>
              <w:bottom w:val="single" w:sz="2" w:space="0" w:color="auto"/>
            </w:tcBorders>
            <w:vAlign w:val="bottom"/>
          </w:tcPr>
          <w:p w14:paraId="5824481E" w14:textId="77777777" w:rsidR="00773F7B" w:rsidRPr="005C6269" w:rsidRDefault="00773F7B" w:rsidP="00773F7B">
            <w:pPr>
              <w:pStyle w:val="T2"/>
              <w:jc w:val="right"/>
              <w:rPr>
                <w:rFonts w:ascii="Calibri" w:hAnsi="Calibri" w:cs="Calibri"/>
              </w:rPr>
            </w:pPr>
            <w:r w:rsidRPr="0096767F">
              <w:rPr>
                <w:rFonts w:ascii="Calibri" w:hAnsi="Calibri" w:cs="Calibri"/>
              </w:rPr>
              <w:t>0.6</w:t>
            </w:r>
          </w:p>
        </w:tc>
        <w:tc>
          <w:tcPr>
            <w:tcW w:w="1276" w:type="dxa"/>
            <w:tcBorders>
              <w:bottom w:val="single" w:sz="2" w:space="0" w:color="auto"/>
            </w:tcBorders>
          </w:tcPr>
          <w:p w14:paraId="02EF9280" w14:textId="77777777" w:rsidR="00773F7B" w:rsidRPr="0096767F" w:rsidRDefault="00773F7B" w:rsidP="00773F7B">
            <w:pPr>
              <w:pStyle w:val="T2"/>
              <w:jc w:val="right"/>
              <w:rPr>
                <w:rFonts w:ascii="Calibri" w:hAnsi="Calibri" w:cs="Calibri"/>
              </w:rPr>
            </w:pPr>
            <w:r>
              <w:rPr>
                <w:rFonts w:ascii="Calibri" w:hAnsi="Calibri" w:cs="Calibri"/>
              </w:rPr>
              <w:t>–</w:t>
            </w:r>
          </w:p>
        </w:tc>
        <w:tc>
          <w:tcPr>
            <w:tcW w:w="709" w:type="dxa"/>
            <w:tcBorders>
              <w:bottom w:val="single" w:sz="2" w:space="0" w:color="auto"/>
            </w:tcBorders>
          </w:tcPr>
          <w:p w14:paraId="3BD3E5AF" w14:textId="77777777" w:rsidR="00773F7B" w:rsidRPr="0096767F" w:rsidRDefault="00773F7B" w:rsidP="00773F7B">
            <w:pPr>
              <w:pStyle w:val="T2"/>
              <w:jc w:val="right"/>
              <w:rPr>
                <w:rFonts w:ascii="Calibri" w:hAnsi="Calibri" w:cs="Calibri"/>
              </w:rPr>
            </w:pPr>
            <w:r>
              <w:rPr>
                <w:rFonts w:ascii="Calibri" w:hAnsi="Calibri" w:cs="Calibri"/>
              </w:rPr>
              <w:t>0.6</w:t>
            </w:r>
          </w:p>
        </w:tc>
      </w:tr>
      <w:tr w:rsidR="00773F7B" w:rsidRPr="00D61AE9" w14:paraId="41A04534" w14:textId="77777777" w:rsidTr="002E0E9E">
        <w:trPr>
          <w:trHeight w:val="218"/>
        </w:trPr>
        <w:tc>
          <w:tcPr>
            <w:tcW w:w="3402" w:type="dxa"/>
            <w:tcBorders>
              <w:top w:val="single" w:sz="2" w:space="0" w:color="auto"/>
              <w:bottom w:val="single" w:sz="8" w:space="0" w:color="auto"/>
            </w:tcBorders>
            <w:vAlign w:val="bottom"/>
          </w:tcPr>
          <w:p w14:paraId="06DBBE5B" w14:textId="77777777" w:rsidR="00773F7B" w:rsidRPr="00D61AE9" w:rsidRDefault="00773F7B" w:rsidP="00773F7B">
            <w:pPr>
              <w:pStyle w:val="T2"/>
              <w:jc w:val="left"/>
              <w:rPr>
                <w:rFonts w:ascii="Calibri" w:hAnsi="Calibri" w:cs="Calibri"/>
                <w:b/>
                <w:bCs/>
              </w:rPr>
            </w:pPr>
            <w:r w:rsidRPr="00D61AE9">
              <w:rPr>
                <w:rFonts w:ascii="Calibri" w:hAnsi="Calibri" w:cs="Calibri"/>
                <w:b/>
                <w:bCs/>
              </w:rPr>
              <w:t>Net cash outflow from capital expenditure</w:t>
            </w:r>
          </w:p>
        </w:tc>
        <w:tc>
          <w:tcPr>
            <w:tcW w:w="1276" w:type="dxa"/>
            <w:tcBorders>
              <w:top w:val="single" w:sz="2" w:space="0" w:color="auto"/>
              <w:bottom w:val="single" w:sz="8" w:space="0" w:color="auto"/>
            </w:tcBorders>
            <w:vAlign w:val="bottom"/>
          </w:tcPr>
          <w:p w14:paraId="37224EC0" w14:textId="77777777" w:rsidR="00773F7B" w:rsidRPr="00FC568F" w:rsidRDefault="00773F7B" w:rsidP="00773F7B">
            <w:pPr>
              <w:pStyle w:val="T2"/>
              <w:jc w:val="right"/>
              <w:rPr>
                <w:rFonts w:ascii="Calibri" w:hAnsi="Calibri" w:cs="Calibri"/>
                <w:b/>
              </w:rPr>
            </w:pPr>
            <w:r w:rsidRPr="00FC568F">
              <w:rPr>
                <w:rFonts w:ascii="Calibri" w:hAnsi="Calibri" w:cs="Calibri"/>
                <w:b/>
              </w:rPr>
              <w:t>2</w:t>
            </w:r>
            <w:r>
              <w:rPr>
                <w:rFonts w:ascii="Calibri" w:hAnsi="Calibri" w:cs="Calibri"/>
                <w:b/>
              </w:rPr>
              <w:t>1.1</w:t>
            </w:r>
          </w:p>
        </w:tc>
        <w:tc>
          <w:tcPr>
            <w:tcW w:w="1276" w:type="dxa"/>
            <w:tcBorders>
              <w:top w:val="single" w:sz="2" w:space="0" w:color="auto"/>
              <w:bottom w:val="single" w:sz="8" w:space="0" w:color="auto"/>
            </w:tcBorders>
            <w:vAlign w:val="bottom"/>
          </w:tcPr>
          <w:p w14:paraId="3A33DD3D" w14:textId="77777777" w:rsidR="00773F7B" w:rsidRPr="005D0EFF" w:rsidRDefault="00773F7B" w:rsidP="00773F7B">
            <w:pPr>
              <w:pStyle w:val="T2"/>
              <w:jc w:val="right"/>
              <w:rPr>
                <w:rFonts w:ascii="Calibri" w:hAnsi="Calibri" w:cs="Calibri"/>
              </w:rPr>
            </w:pPr>
            <w:r w:rsidRPr="001F6040">
              <w:rPr>
                <w:b/>
                <w:bCs/>
              </w:rPr>
              <w:t>–</w:t>
            </w:r>
          </w:p>
        </w:tc>
        <w:tc>
          <w:tcPr>
            <w:tcW w:w="709" w:type="dxa"/>
            <w:tcBorders>
              <w:top w:val="single" w:sz="2" w:space="0" w:color="auto"/>
              <w:bottom w:val="single" w:sz="8" w:space="0" w:color="auto"/>
            </w:tcBorders>
            <w:vAlign w:val="bottom"/>
          </w:tcPr>
          <w:p w14:paraId="72BB3D8E" w14:textId="77777777" w:rsidR="00773F7B" w:rsidRPr="00FC568F" w:rsidRDefault="00773F7B" w:rsidP="00773F7B">
            <w:pPr>
              <w:pStyle w:val="T2"/>
              <w:jc w:val="right"/>
              <w:rPr>
                <w:rFonts w:ascii="Calibri" w:hAnsi="Calibri" w:cs="Calibri"/>
                <w:b/>
              </w:rPr>
            </w:pPr>
            <w:r>
              <w:rPr>
                <w:rFonts w:ascii="Calibri" w:hAnsi="Calibri" w:cs="Calibri"/>
                <w:b/>
              </w:rPr>
              <w:t>21.1</w:t>
            </w:r>
          </w:p>
        </w:tc>
        <w:tc>
          <w:tcPr>
            <w:tcW w:w="1275" w:type="dxa"/>
            <w:tcBorders>
              <w:top w:val="single" w:sz="2" w:space="0" w:color="auto"/>
              <w:bottom w:val="single" w:sz="8" w:space="0" w:color="auto"/>
            </w:tcBorders>
            <w:vAlign w:val="bottom"/>
          </w:tcPr>
          <w:p w14:paraId="14356CF8" w14:textId="77777777" w:rsidR="00773F7B" w:rsidRPr="005C6269" w:rsidRDefault="00773F7B" w:rsidP="00773F7B">
            <w:pPr>
              <w:pStyle w:val="T2"/>
              <w:jc w:val="right"/>
            </w:pPr>
            <w:r w:rsidRPr="0096767F">
              <w:rPr>
                <w:rFonts w:ascii="Calibri" w:hAnsi="Calibri" w:cs="Calibri"/>
              </w:rPr>
              <w:t>17.7</w:t>
            </w:r>
          </w:p>
        </w:tc>
        <w:tc>
          <w:tcPr>
            <w:tcW w:w="1276" w:type="dxa"/>
            <w:tcBorders>
              <w:top w:val="single" w:sz="2" w:space="0" w:color="auto"/>
              <w:bottom w:val="single" w:sz="8" w:space="0" w:color="auto"/>
            </w:tcBorders>
          </w:tcPr>
          <w:p w14:paraId="60A22DA6" w14:textId="77777777" w:rsidR="00773F7B" w:rsidRPr="0096767F" w:rsidRDefault="00773F7B" w:rsidP="00773F7B">
            <w:pPr>
              <w:pStyle w:val="T2"/>
              <w:jc w:val="right"/>
              <w:rPr>
                <w:rFonts w:ascii="Calibri" w:hAnsi="Calibri" w:cs="Calibri"/>
              </w:rPr>
            </w:pPr>
            <w:r>
              <w:rPr>
                <w:rFonts w:ascii="Calibri" w:hAnsi="Calibri" w:cs="Calibri"/>
              </w:rPr>
              <w:t>1.2</w:t>
            </w:r>
          </w:p>
        </w:tc>
        <w:tc>
          <w:tcPr>
            <w:tcW w:w="709" w:type="dxa"/>
            <w:tcBorders>
              <w:top w:val="single" w:sz="2" w:space="0" w:color="auto"/>
              <w:bottom w:val="single" w:sz="8" w:space="0" w:color="auto"/>
            </w:tcBorders>
          </w:tcPr>
          <w:p w14:paraId="48BE250D" w14:textId="77777777" w:rsidR="00773F7B" w:rsidRPr="0096767F" w:rsidRDefault="00773F7B" w:rsidP="00773F7B">
            <w:pPr>
              <w:pStyle w:val="T2"/>
              <w:jc w:val="right"/>
              <w:rPr>
                <w:rFonts w:ascii="Calibri" w:hAnsi="Calibri" w:cs="Calibri"/>
              </w:rPr>
            </w:pPr>
            <w:r>
              <w:rPr>
                <w:rFonts w:ascii="Calibri" w:hAnsi="Calibri" w:cs="Calibri"/>
              </w:rPr>
              <w:t>18.9</w:t>
            </w:r>
          </w:p>
        </w:tc>
      </w:tr>
      <w:tr w:rsidR="00773F7B" w:rsidRPr="00D61AE9" w14:paraId="73D68B5D" w14:textId="77777777" w:rsidTr="002E0E9E">
        <w:trPr>
          <w:trHeight w:val="218"/>
        </w:trPr>
        <w:tc>
          <w:tcPr>
            <w:tcW w:w="3402" w:type="dxa"/>
            <w:tcBorders>
              <w:top w:val="single" w:sz="8" w:space="0" w:color="auto"/>
            </w:tcBorders>
            <w:vAlign w:val="bottom"/>
          </w:tcPr>
          <w:p w14:paraId="3C8BC1CB" w14:textId="77777777" w:rsidR="00773F7B" w:rsidRPr="00D61AE9" w:rsidRDefault="00773F7B" w:rsidP="00773F7B">
            <w:pPr>
              <w:pStyle w:val="T2"/>
              <w:jc w:val="left"/>
              <w:rPr>
                <w:rFonts w:ascii="Calibri" w:hAnsi="Calibri" w:cs="Calibri"/>
                <w:b/>
                <w:bCs/>
              </w:rPr>
            </w:pPr>
          </w:p>
        </w:tc>
        <w:tc>
          <w:tcPr>
            <w:tcW w:w="1276" w:type="dxa"/>
            <w:tcBorders>
              <w:top w:val="single" w:sz="8" w:space="0" w:color="auto"/>
            </w:tcBorders>
            <w:vAlign w:val="bottom"/>
          </w:tcPr>
          <w:p w14:paraId="589663C8" w14:textId="77777777" w:rsidR="00773F7B" w:rsidRPr="00FC568F" w:rsidRDefault="00773F7B" w:rsidP="00773F7B">
            <w:pPr>
              <w:pStyle w:val="T2"/>
              <w:jc w:val="right"/>
              <w:rPr>
                <w:rFonts w:ascii="Calibri" w:hAnsi="Calibri" w:cs="Calibri"/>
                <w:b/>
              </w:rPr>
            </w:pPr>
          </w:p>
        </w:tc>
        <w:tc>
          <w:tcPr>
            <w:tcW w:w="1276" w:type="dxa"/>
            <w:tcBorders>
              <w:top w:val="single" w:sz="8" w:space="0" w:color="auto"/>
            </w:tcBorders>
            <w:vAlign w:val="bottom"/>
          </w:tcPr>
          <w:p w14:paraId="1C7EE419" w14:textId="77777777" w:rsidR="00773F7B" w:rsidRPr="005D0EFF" w:rsidRDefault="00773F7B" w:rsidP="00773F7B">
            <w:pPr>
              <w:pStyle w:val="T2"/>
              <w:jc w:val="right"/>
              <w:rPr>
                <w:rFonts w:ascii="Calibri" w:hAnsi="Calibri" w:cs="Calibri"/>
              </w:rPr>
            </w:pPr>
          </w:p>
        </w:tc>
        <w:tc>
          <w:tcPr>
            <w:tcW w:w="709" w:type="dxa"/>
            <w:tcBorders>
              <w:top w:val="single" w:sz="8" w:space="0" w:color="auto"/>
            </w:tcBorders>
            <w:vAlign w:val="bottom"/>
          </w:tcPr>
          <w:p w14:paraId="4B0150E6" w14:textId="77777777" w:rsidR="00773F7B" w:rsidRPr="00FC568F" w:rsidRDefault="00773F7B" w:rsidP="00773F7B">
            <w:pPr>
              <w:pStyle w:val="T2"/>
              <w:jc w:val="right"/>
              <w:rPr>
                <w:rFonts w:ascii="Calibri" w:hAnsi="Calibri" w:cs="Calibri"/>
                <w:b/>
              </w:rPr>
            </w:pPr>
          </w:p>
        </w:tc>
        <w:tc>
          <w:tcPr>
            <w:tcW w:w="1275" w:type="dxa"/>
            <w:tcBorders>
              <w:top w:val="single" w:sz="8" w:space="0" w:color="auto"/>
            </w:tcBorders>
            <w:vAlign w:val="bottom"/>
          </w:tcPr>
          <w:p w14:paraId="0C895BC7" w14:textId="77777777" w:rsidR="00773F7B" w:rsidRPr="005C6269" w:rsidRDefault="00773F7B" w:rsidP="00773F7B">
            <w:pPr>
              <w:pStyle w:val="T2"/>
              <w:jc w:val="right"/>
            </w:pPr>
          </w:p>
        </w:tc>
        <w:tc>
          <w:tcPr>
            <w:tcW w:w="1276" w:type="dxa"/>
            <w:tcBorders>
              <w:top w:val="single" w:sz="8" w:space="0" w:color="auto"/>
            </w:tcBorders>
          </w:tcPr>
          <w:p w14:paraId="0C929B11" w14:textId="77777777" w:rsidR="00773F7B" w:rsidRPr="005C6269" w:rsidRDefault="00773F7B" w:rsidP="00773F7B">
            <w:pPr>
              <w:pStyle w:val="T2"/>
              <w:jc w:val="right"/>
            </w:pPr>
          </w:p>
        </w:tc>
        <w:tc>
          <w:tcPr>
            <w:tcW w:w="709" w:type="dxa"/>
            <w:tcBorders>
              <w:top w:val="single" w:sz="8" w:space="0" w:color="auto"/>
            </w:tcBorders>
          </w:tcPr>
          <w:p w14:paraId="6F53905F" w14:textId="77777777" w:rsidR="00773F7B" w:rsidRPr="005C6269" w:rsidRDefault="00773F7B" w:rsidP="00773F7B">
            <w:pPr>
              <w:pStyle w:val="T2"/>
              <w:jc w:val="right"/>
            </w:pPr>
          </w:p>
        </w:tc>
      </w:tr>
      <w:tr w:rsidR="00773F7B" w:rsidRPr="00D61AE9" w14:paraId="763B406E" w14:textId="77777777" w:rsidTr="002E0E9E">
        <w:trPr>
          <w:trHeight w:val="218"/>
        </w:trPr>
        <w:tc>
          <w:tcPr>
            <w:tcW w:w="3402" w:type="dxa"/>
            <w:vAlign w:val="bottom"/>
          </w:tcPr>
          <w:p w14:paraId="08AD5C8F" w14:textId="77777777" w:rsidR="00773F7B" w:rsidRPr="00D61AE9" w:rsidRDefault="00773F7B" w:rsidP="00773F7B">
            <w:pPr>
              <w:pStyle w:val="T2"/>
              <w:jc w:val="left"/>
              <w:rPr>
                <w:rFonts w:ascii="Calibri" w:hAnsi="Calibri" w:cs="Calibri"/>
              </w:rPr>
            </w:pPr>
            <w:r w:rsidRPr="00D61AE9">
              <w:rPr>
                <w:rFonts w:ascii="Calibri" w:hAnsi="Calibri" w:cs="Calibri"/>
              </w:rPr>
              <w:t>Strategic Capital Expenditure</w:t>
            </w:r>
          </w:p>
        </w:tc>
        <w:tc>
          <w:tcPr>
            <w:tcW w:w="1276" w:type="dxa"/>
            <w:vAlign w:val="bottom"/>
          </w:tcPr>
          <w:p w14:paraId="7DC49178" w14:textId="77777777" w:rsidR="00773F7B" w:rsidRPr="00FC568F" w:rsidRDefault="00773F7B" w:rsidP="00773F7B">
            <w:pPr>
              <w:pStyle w:val="T2"/>
              <w:jc w:val="right"/>
              <w:rPr>
                <w:rFonts w:ascii="Calibri" w:hAnsi="Calibri" w:cs="Calibri"/>
                <w:b/>
              </w:rPr>
            </w:pPr>
            <w:r>
              <w:rPr>
                <w:rFonts w:ascii="Calibri" w:hAnsi="Calibri" w:cs="Calibri"/>
                <w:b/>
              </w:rPr>
              <w:t>9.</w:t>
            </w:r>
            <w:r w:rsidR="00D24AE7">
              <w:rPr>
                <w:rFonts w:ascii="Calibri" w:hAnsi="Calibri" w:cs="Calibri"/>
                <w:b/>
              </w:rPr>
              <w:t>9</w:t>
            </w:r>
          </w:p>
        </w:tc>
        <w:tc>
          <w:tcPr>
            <w:tcW w:w="1276" w:type="dxa"/>
            <w:vAlign w:val="bottom"/>
          </w:tcPr>
          <w:p w14:paraId="790D9948" w14:textId="77777777" w:rsidR="00773F7B" w:rsidRPr="005D0EFF" w:rsidRDefault="00773F7B" w:rsidP="00773F7B">
            <w:pPr>
              <w:pStyle w:val="T2"/>
              <w:jc w:val="right"/>
              <w:rPr>
                <w:rFonts w:ascii="Calibri" w:hAnsi="Calibri" w:cs="Calibri"/>
              </w:rPr>
            </w:pPr>
            <w:r w:rsidRPr="001F6040">
              <w:rPr>
                <w:b/>
                <w:bCs/>
              </w:rPr>
              <w:t>–</w:t>
            </w:r>
          </w:p>
        </w:tc>
        <w:tc>
          <w:tcPr>
            <w:tcW w:w="709" w:type="dxa"/>
            <w:vAlign w:val="bottom"/>
          </w:tcPr>
          <w:p w14:paraId="19BE668E" w14:textId="77777777" w:rsidR="00773F7B" w:rsidRPr="00FC568F" w:rsidRDefault="00773F7B" w:rsidP="00773F7B">
            <w:pPr>
              <w:pStyle w:val="T2"/>
              <w:jc w:val="right"/>
              <w:rPr>
                <w:rFonts w:ascii="Calibri" w:hAnsi="Calibri" w:cs="Calibri"/>
                <w:b/>
              </w:rPr>
            </w:pPr>
            <w:r>
              <w:rPr>
                <w:rFonts w:ascii="Calibri" w:hAnsi="Calibri" w:cs="Calibri"/>
                <w:b/>
              </w:rPr>
              <w:t>9.</w:t>
            </w:r>
            <w:r w:rsidR="00D24AE7">
              <w:rPr>
                <w:rFonts w:ascii="Calibri" w:hAnsi="Calibri" w:cs="Calibri"/>
                <w:b/>
              </w:rPr>
              <w:t>9</w:t>
            </w:r>
          </w:p>
        </w:tc>
        <w:tc>
          <w:tcPr>
            <w:tcW w:w="1275" w:type="dxa"/>
            <w:vAlign w:val="bottom"/>
          </w:tcPr>
          <w:p w14:paraId="387111C1" w14:textId="77777777" w:rsidR="00773F7B" w:rsidRPr="005C6269" w:rsidRDefault="00773F7B" w:rsidP="00773F7B">
            <w:pPr>
              <w:pStyle w:val="T2"/>
              <w:jc w:val="right"/>
              <w:rPr>
                <w:rFonts w:ascii="Calibri" w:hAnsi="Calibri" w:cs="Calibri"/>
              </w:rPr>
            </w:pPr>
            <w:r w:rsidRPr="0096767F">
              <w:rPr>
                <w:rFonts w:ascii="Calibri" w:hAnsi="Calibri" w:cs="Calibri"/>
              </w:rPr>
              <w:t> 4.9</w:t>
            </w:r>
          </w:p>
        </w:tc>
        <w:tc>
          <w:tcPr>
            <w:tcW w:w="1276" w:type="dxa"/>
          </w:tcPr>
          <w:p w14:paraId="64C2ED7B" w14:textId="77777777" w:rsidR="00773F7B" w:rsidRPr="0096767F" w:rsidRDefault="00773F7B" w:rsidP="00773F7B">
            <w:pPr>
              <w:pStyle w:val="T2"/>
              <w:jc w:val="right"/>
              <w:rPr>
                <w:rFonts w:ascii="Calibri" w:hAnsi="Calibri" w:cs="Calibri"/>
              </w:rPr>
            </w:pPr>
            <w:r>
              <w:rPr>
                <w:rFonts w:ascii="Calibri" w:hAnsi="Calibri" w:cs="Calibri"/>
              </w:rPr>
              <w:t>1.2</w:t>
            </w:r>
          </w:p>
        </w:tc>
        <w:tc>
          <w:tcPr>
            <w:tcW w:w="709" w:type="dxa"/>
          </w:tcPr>
          <w:p w14:paraId="251D75C1" w14:textId="77777777" w:rsidR="00773F7B" w:rsidRPr="0096767F" w:rsidRDefault="00773F7B" w:rsidP="00773F7B">
            <w:pPr>
              <w:pStyle w:val="T2"/>
              <w:jc w:val="right"/>
              <w:rPr>
                <w:rFonts w:ascii="Calibri" w:hAnsi="Calibri" w:cs="Calibri"/>
              </w:rPr>
            </w:pPr>
            <w:r>
              <w:rPr>
                <w:rFonts w:ascii="Calibri" w:hAnsi="Calibri" w:cs="Calibri"/>
              </w:rPr>
              <w:t>6.1</w:t>
            </w:r>
          </w:p>
        </w:tc>
      </w:tr>
      <w:tr w:rsidR="00773F7B" w:rsidRPr="00D61AE9" w14:paraId="3789CB7E" w14:textId="77777777" w:rsidTr="002E0E9E">
        <w:trPr>
          <w:trHeight w:val="218"/>
        </w:trPr>
        <w:tc>
          <w:tcPr>
            <w:tcW w:w="3402" w:type="dxa"/>
            <w:tcBorders>
              <w:bottom w:val="single" w:sz="2" w:space="0" w:color="auto"/>
            </w:tcBorders>
            <w:vAlign w:val="bottom"/>
          </w:tcPr>
          <w:p w14:paraId="5A23BB90" w14:textId="77777777" w:rsidR="00773F7B" w:rsidRPr="00D61AE9" w:rsidRDefault="00773F7B" w:rsidP="00773F7B">
            <w:pPr>
              <w:pStyle w:val="T2"/>
              <w:jc w:val="left"/>
              <w:rPr>
                <w:rFonts w:ascii="Calibri" w:hAnsi="Calibri" w:cs="Calibri"/>
              </w:rPr>
            </w:pPr>
            <w:r w:rsidRPr="00D61AE9">
              <w:rPr>
                <w:rFonts w:ascii="Calibri" w:hAnsi="Calibri" w:cs="Calibri"/>
              </w:rPr>
              <w:t>Maintenance Capital Expenditure</w:t>
            </w:r>
          </w:p>
        </w:tc>
        <w:tc>
          <w:tcPr>
            <w:tcW w:w="1276" w:type="dxa"/>
            <w:tcBorders>
              <w:bottom w:val="single" w:sz="2" w:space="0" w:color="auto"/>
            </w:tcBorders>
            <w:vAlign w:val="bottom"/>
          </w:tcPr>
          <w:p w14:paraId="27DF6A0A" w14:textId="77777777" w:rsidR="00773F7B" w:rsidRPr="00FC568F" w:rsidRDefault="00773F7B" w:rsidP="00773F7B">
            <w:pPr>
              <w:pStyle w:val="T2"/>
              <w:jc w:val="right"/>
              <w:rPr>
                <w:rFonts w:ascii="Calibri" w:hAnsi="Calibri" w:cs="Calibri"/>
                <w:b/>
              </w:rPr>
            </w:pPr>
            <w:r>
              <w:rPr>
                <w:rFonts w:ascii="Calibri" w:hAnsi="Calibri" w:cs="Calibri"/>
                <w:b/>
              </w:rPr>
              <w:t>11.</w:t>
            </w:r>
            <w:r w:rsidR="00D24AE7">
              <w:rPr>
                <w:rFonts w:ascii="Calibri" w:hAnsi="Calibri" w:cs="Calibri"/>
                <w:b/>
              </w:rPr>
              <w:t>2</w:t>
            </w:r>
          </w:p>
        </w:tc>
        <w:tc>
          <w:tcPr>
            <w:tcW w:w="1276" w:type="dxa"/>
            <w:tcBorders>
              <w:bottom w:val="single" w:sz="2" w:space="0" w:color="auto"/>
            </w:tcBorders>
            <w:vAlign w:val="bottom"/>
          </w:tcPr>
          <w:p w14:paraId="40F3DC99" w14:textId="77777777" w:rsidR="00773F7B" w:rsidRPr="005D0EFF" w:rsidRDefault="00773F7B" w:rsidP="00773F7B">
            <w:pPr>
              <w:pStyle w:val="T2"/>
              <w:jc w:val="right"/>
              <w:rPr>
                <w:rFonts w:ascii="Calibri" w:hAnsi="Calibri" w:cs="Calibri"/>
              </w:rPr>
            </w:pPr>
            <w:r w:rsidRPr="001F6040">
              <w:rPr>
                <w:b/>
                <w:bCs/>
              </w:rPr>
              <w:t>–</w:t>
            </w:r>
          </w:p>
        </w:tc>
        <w:tc>
          <w:tcPr>
            <w:tcW w:w="709" w:type="dxa"/>
            <w:tcBorders>
              <w:bottom w:val="single" w:sz="2" w:space="0" w:color="auto"/>
            </w:tcBorders>
            <w:vAlign w:val="bottom"/>
          </w:tcPr>
          <w:p w14:paraId="6662A0B0" w14:textId="77777777" w:rsidR="00773F7B" w:rsidRPr="00FC568F" w:rsidRDefault="00773F7B" w:rsidP="00773F7B">
            <w:pPr>
              <w:pStyle w:val="T2"/>
              <w:jc w:val="right"/>
              <w:rPr>
                <w:rFonts w:ascii="Calibri" w:hAnsi="Calibri" w:cs="Calibri"/>
                <w:b/>
              </w:rPr>
            </w:pPr>
            <w:r>
              <w:rPr>
                <w:rFonts w:ascii="Calibri" w:hAnsi="Calibri" w:cs="Calibri"/>
                <w:b/>
              </w:rPr>
              <w:t>11.</w:t>
            </w:r>
            <w:r w:rsidR="00D24AE7">
              <w:rPr>
                <w:rFonts w:ascii="Calibri" w:hAnsi="Calibri" w:cs="Calibri"/>
                <w:b/>
              </w:rPr>
              <w:t>2</w:t>
            </w:r>
          </w:p>
        </w:tc>
        <w:tc>
          <w:tcPr>
            <w:tcW w:w="1275" w:type="dxa"/>
            <w:tcBorders>
              <w:bottom w:val="single" w:sz="2" w:space="0" w:color="auto"/>
            </w:tcBorders>
            <w:vAlign w:val="bottom"/>
          </w:tcPr>
          <w:p w14:paraId="70BB683C" w14:textId="77777777" w:rsidR="00773F7B" w:rsidRPr="005C6269" w:rsidRDefault="00773F7B" w:rsidP="00773F7B">
            <w:pPr>
              <w:pStyle w:val="T2"/>
              <w:jc w:val="right"/>
              <w:rPr>
                <w:rFonts w:ascii="Calibri" w:hAnsi="Calibri" w:cs="Calibri"/>
              </w:rPr>
            </w:pPr>
            <w:r w:rsidRPr="0096767F">
              <w:rPr>
                <w:rFonts w:ascii="Calibri" w:hAnsi="Calibri" w:cs="Calibri"/>
              </w:rPr>
              <w:t> 12.8</w:t>
            </w:r>
          </w:p>
        </w:tc>
        <w:tc>
          <w:tcPr>
            <w:tcW w:w="1276" w:type="dxa"/>
            <w:tcBorders>
              <w:bottom w:val="single" w:sz="2" w:space="0" w:color="auto"/>
            </w:tcBorders>
          </w:tcPr>
          <w:p w14:paraId="609AC001" w14:textId="77777777" w:rsidR="00773F7B" w:rsidRPr="0096767F" w:rsidRDefault="00773F7B" w:rsidP="00773F7B">
            <w:pPr>
              <w:pStyle w:val="T2"/>
              <w:jc w:val="right"/>
              <w:rPr>
                <w:rFonts w:ascii="Calibri" w:hAnsi="Calibri" w:cs="Calibri"/>
              </w:rPr>
            </w:pPr>
            <w:r>
              <w:rPr>
                <w:rFonts w:ascii="Calibri" w:hAnsi="Calibri" w:cs="Calibri"/>
              </w:rPr>
              <w:t>–</w:t>
            </w:r>
          </w:p>
        </w:tc>
        <w:tc>
          <w:tcPr>
            <w:tcW w:w="709" w:type="dxa"/>
            <w:tcBorders>
              <w:bottom w:val="single" w:sz="2" w:space="0" w:color="auto"/>
            </w:tcBorders>
          </w:tcPr>
          <w:p w14:paraId="2BC4CA18" w14:textId="77777777" w:rsidR="00773F7B" w:rsidRPr="0096767F" w:rsidRDefault="00773F7B" w:rsidP="00773F7B">
            <w:pPr>
              <w:pStyle w:val="T2"/>
              <w:jc w:val="right"/>
              <w:rPr>
                <w:rFonts w:ascii="Calibri" w:hAnsi="Calibri" w:cs="Calibri"/>
              </w:rPr>
            </w:pPr>
            <w:r>
              <w:rPr>
                <w:rFonts w:ascii="Calibri" w:hAnsi="Calibri" w:cs="Calibri"/>
              </w:rPr>
              <w:t>12.8</w:t>
            </w:r>
          </w:p>
        </w:tc>
      </w:tr>
      <w:tr w:rsidR="00773F7B" w:rsidRPr="00D61AE9" w14:paraId="63CDA464" w14:textId="77777777" w:rsidTr="002E0E9E">
        <w:trPr>
          <w:trHeight w:val="208"/>
        </w:trPr>
        <w:tc>
          <w:tcPr>
            <w:tcW w:w="3402" w:type="dxa"/>
            <w:tcBorders>
              <w:top w:val="single" w:sz="2" w:space="0" w:color="auto"/>
              <w:bottom w:val="single" w:sz="8" w:space="0" w:color="auto"/>
            </w:tcBorders>
            <w:vAlign w:val="bottom"/>
          </w:tcPr>
          <w:p w14:paraId="3C507345" w14:textId="77777777" w:rsidR="00773F7B" w:rsidRPr="00D61AE9" w:rsidRDefault="00773F7B" w:rsidP="00773F7B">
            <w:pPr>
              <w:pStyle w:val="T2"/>
              <w:jc w:val="left"/>
              <w:rPr>
                <w:rFonts w:ascii="Calibri" w:hAnsi="Calibri" w:cs="Calibri"/>
                <w:b/>
                <w:bCs/>
              </w:rPr>
            </w:pPr>
            <w:r w:rsidRPr="00D61AE9">
              <w:rPr>
                <w:rFonts w:ascii="Calibri" w:hAnsi="Calibri" w:cs="Calibri"/>
                <w:b/>
                <w:bCs/>
              </w:rPr>
              <w:t>Net cash outflow from capital expenditure</w:t>
            </w:r>
          </w:p>
        </w:tc>
        <w:tc>
          <w:tcPr>
            <w:tcW w:w="1276" w:type="dxa"/>
            <w:tcBorders>
              <w:top w:val="single" w:sz="2" w:space="0" w:color="auto"/>
              <w:bottom w:val="single" w:sz="8" w:space="0" w:color="auto"/>
            </w:tcBorders>
            <w:vAlign w:val="bottom"/>
          </w:tcPr>
          <w:p w14:paraId="7562F761" w14:textId="77777777" w:rsidR="00773F7B" w:rsidRPr="00FC568F" w:rsidRDefault="00773F7B" w:rsidP="00773F7B">
            <w:pPr>
              <w:pStyle w:val="T2"/>
              <w:jc w:val="right"/>
              <w:rPr>
                <w:rFonts w:ascii="Calibri" w:hAnsi="Calibri" w:cs="Calibri"/>
                <w:b/>
              </w:rPr>
            </w:pPr>
            <w:r>
              <w:rPr>
                <w:rFonts w:ascii="Calibri" w:hAnsi="Calibri" w:cs="Calibri"/>
                <w:b/>
              </w:rPr>
              <w:t>21.1</w:t>
            </w:r>
          </w:p>
        </w:tc>
        <w:tc>
          <w:tcPr>
            <w:tcW w:w="1276" w:type="dxa"/>
            <w:tcBorders>
              <w:top w:val="single" w:sz="2" w:space="0" w:color="auto"/>
              <w:bottom w:val="single" w:sz="8" w:space="0" w:color="auto"/>
            </w:tcBorders>
            <w:vAlign w:val="bottom"/>
          </w:tcPr>
          <w:p w14:paraId="70B931DB" w14:textId="77777777" w:rsidR="00773F7B" w:rsidRPr="005D0EFF" w:rsidRDefault="00773F7B" w:rsidP="00773F7B">
            <w:pPr>
              <w:pStyle w:val="T2"/>
              <w:jc w:val="right"/>
              <w:rPr>
                <w:rFonts w:ascii="Calibri" w:hAnsi="Calibri" w:cs="Calibri"/>
              </w:rPr>
            </w:pPr>
            <w:r w:rsidRPr="001F6040">
              <w:rPr>
                <w:b/>
                <w:bCs/>
              </w:rPr>
              <w:t>–</w:t>
            </w:r>
          </w:p>
        </w:tc>
        <w:tc>
          <w:tcPr>
            <w:tcW w:w="709" w:type="dxa"/>
            <w:tcBorders>
              <w:top w:val="single" w:sz="2" w:space="0" w:color="auto"/>
              <w:bottom w:val="single" w:sz="8" w:space="0" w:color="auto"/>
            </w:tcBorders>
            <w:vAlign w:val="bottom"/>
          </w:tcPr>
          <w:p w14:paraId="0BBA94E0" w14:textId="77777777" w:rsidR="00773F7B" w:rsidRPr="00FC568F" w:rsidRDefault="00773F7B" w:rsidP="00773F7B">
            <w:pPr>
              <w:pStyle w:val="T2"/>
              <w:jc w:val="right"/>
              <w:rPr>
                <w:rFonts w:ascii="Calibri" w:hAnsi="Calibri" w:cs="Calibri"/>
                <w:b/>
              </w:rPr>
            </w:pPr>
            <w:r>
              <w:rPr>
                <w:rFonts w:ascii="Calibri" w:hAnsi="Calibri" w:cs="Calibri"/>
                <w:b/>
              </w:rPr>
              <w:t>21.1</w:t>
            </w:r>
          </w:p>
        </w:tc>
        <w:tc>
          <w:tcPr>
            <w:tcW w:w="1275" w:type="dxa"/>
            <w:tcBorders>
              <w:top w:val="single" w:sz="2" w:space="0" w:color="auto"/>
              <w:bottom w:val="single" w:sz="8" w:space="0" w:color="auto"/>
            </w:tcBorders>
            <w:vAlign w:val="bottom"/>
          </w:tcPr>
          <w:p w14:paraId="0FEE01A9" w14:textId="77777777" w:rsidR="00773F7B" w:rsidRPr="005C6269" w:rsidRDefault="00773F7B" w:rsidP="00773F7B">
            <w:pPr>
              <w:pStyle w:val="T2"/>
              <w:jc w:val="right"/>
            </w:pPr>
            <w:r w:rsidRPr="0096767F">
              <w:rPr>
                <w:rFonts w:ascii="Calibri" w:hAnsi="Calibri" w:cs="Calibri"/>
              </w:rPr>
              <w:t>17.7</w:t>
            </w:r>
          </w:p>
        </w:tc>
        <w:tc>
          <w:tcPr>
            <w:tcW w:w="1276" w:type="dxa"/>
            <w:tcBorders>
              <w:top w:val="single" w:sz="2" w:space="0" w:color="auto"/>
              <w:bottom w:val="single" w:sz="8" w:space="0" w:color="auto"/>
            </w:tcBorders>
          </w:tcPr>
          <w:p w14:paraId="38C27148" w14:textId="77777777" w:rsidR="00773F7B" w:rsidRPr="0096767F" w:rsidRDefault="00773F7B" w:rsidP="00773F7B">
            <w:pPr>
              <w:pStyle w:val="T2"/>
              <w:jc w:val="right"/>
              <w:rPr>
                <w:rFonts w:ascii="Calibri" w:hAnsi="Calibri" w:cs="Calibri"/>
              </w:rPr>
            </w:pPr>
            <w:r>
              <w:rPr>
                <w:rFonts w:ascii="Calibri" w:hAnsi="Calibri" w:cs="Calibri"/>
              </w:rPr>
              <w:t>1.2</w:t>
            </w:r>
          </w:p>
        </w:tc>
        <w:tc>
          <w:tcPr>
            <w:tcW w:w="709" w:type="dxa"/>
            <w:tcBorders>
              <w:top w:val="single" w:sz="2" w:space="0" w:color="auto"/>
              <w:bottom w:val="single" w:sz="8" w:space="0" w:color="auto"/>
            </w:tcBorders>
          </w:tcPr>
          <w:p w14:paraId="1680BC89" w14:textId="77777777" w:rsidR="00773F7B" w:rsidRPr="0096767F" w:rsidRDefault="00773F7B" w:rsidP="00773F7B">
            <w:pPr>
              <w:pStyle w:val="T2"/>
              <w:jc w:val="right"/>
              <w:rPr>
                <w:rFonts w:ascii="Calibri" w:hAnsi="Calibri" w:cs="Calibri"/>
              </w:rPr>
            </w:pPr>
            <w:r>
              <w:rPr>
                <w:rFonts w:ascii="Calibri" w:hAnsi="Calibri" w:cs="Calibri"/>
              </w:rPr>
              <w:t>18.9</w:t>
            </w:r>
          </w:p>
        </w:tc>
      </w:tr>
    </w:tbl>
    <w:p w14:paraId="63287B40" w14:textId="77777777" w:rsidR="00773F7B" w:rsidRDefault="00773F7B" w:rsidP="00773F7B">
      <w:pPr>
        <w:pStyle w:val="Paragraph"/>
        <w:rPr>
          <w:b/>
        </w:rPr>
      </w:pPr>
    </w:p>
    <w:p w14:paraId="230D27CF" w14:textId="566BFED9" w:rsidR="00773F7B" w:rsidRDefault="00773F7B" w:rsidP="00773F7B">
      <w:pPr>
        <w:pStyle w:val="Paragraph"/>
        <w:rPr>
          <w:b/>
        </w:rPr>
      </w:pPr>
      <w:r w:rsidRPr="006F5FF6">
        <w:rPr>
          <w:b/>
        </w:rPr>
        <w:t>FREE CASH FLOW</w:t>
      </w:r>
      <w:r>
        <w:rPr>
          <w:b/>
        </w:rPr>
        <w:t xml:space="preserve"> </w:t>
      </w:r>
    </w:p>
    <w:p w14:paraId="4ABCF6B5" w14:textId="77777777" w:rsidR="00773F7B" w:rsidRDefault="00773F7B" w:rsidP="00773F7B">
      <w:pPr>
        <w:pStyle w:val="Paragraph"/>
        <w:jc w:val="both"/>
      </w:pPr>
      <w:r>
        <w:t xml:space="preserve">The Group uses Free Cash Flow to measure the amount of underlying cash generation and the cash available for distribution and allocation. </w:t>
      </w:r>
    </w:p>
    <w:p w14:paraId="4E5154AC" w14:textId="77777777" w:rsidR="00773F7B" w:rsidRDefault="00773F7B" w:rsidP="00773F7B">
      <w:pPr>
        <w:pStyle w:val="Paragraph"/>
        <w:jc w:val="both"/>
      </w:pPr>
      <w:r>
        <w:t>The Group calculates the Free Cash Flow as the net cash inflow/outflow from operating and investing activities before Strategic Capital Expenditure, acquisition and disposal of undertakings and adjusting for lease payments</w:t>
      </w:r>
      <w:r w:rsidR="0068359D">
        <w:t xml:space="preserve"> </w:t>
      </w:r>
      <w:r>
        <w:t xml:space="preserve">and dividends paid to non–controlling interests. </w:t>
      </w:r>
    </w:p>
    <w:p w14:paraId="670B697B" w14:textId="77777777" w:rsidR="00773F7B" w:rsidRDefault="00773F7B" w:rsidP="00773F7B">
      <w:pPr>
        <w:pStyle w:val="Paragraph"/>
        <w:jc w:val="both"/>
      </w:pPr>
      <w:r w:rsidRPr="00C80FA6">
        <w:lastRenderedPageBreak/>
        <w:t>The following table sets forth a reconciliation from the Group</w:t>
      </w:r>
      <w:r>
        <w:t>’</w:t>
      </w:r>
      <w:r w:rsidRPr="00C80FA6">
        <w:t xml:space="preserve">s net cash inflow from operating activities and net cash outflow from investing activities to </w:t>
      </w:r>
      <w:r>
        <w:t>Free</w:t>
      </w:r>
      <w:r w:rsidRPr="00C80FA6">
        <w:t xml:space="preserve"> Cash Flow:</w:t>
      </w:r>
    </w:p>
    <w:p w14:paraId="3BDA79A9" w14:textId="77777777" w:rsidR="00773F7B" w:rsidRDefault="00773F7B" w:rsidP="00773F7B">
      <w:pPr>
        <w:pStyle w:val="Paragraph"/>
        <w:jc w:val="both"/>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276"/>
        <w:gridCol w:w="1276"/>
        <w:gridCol w:w="709"/>
        <w:gridCol w:w="1275"/>
        <w:gridCol w:w="1276"/>
        <w:gridCol w:w="851"/>
      </w:tblGrid>
      <w:tr w:rsidR="00B41E40" w14:paraId="1540ECE0" w14:textId="77777777" w:rsidTr="002E0E9E">
        <w:tc>
          <w:tcPr>
            <w:tcW w:w="3402" w:type="dxa"/>
          </w:tcPr>
          <w:p w14:paraId="477A2A67" w14:textId="77777777" w:rsidR="00773F7B" w:rsidRPr="00782F7E" w:rsidRDefault="00773F7B" w:rsidP="00773F7B">
            <w:pPr>
              <w:pStyle w:val="T2"/>
            </w:pPr>
          </w:p>
        </w:tc>
        <w:tc>
          <w:tcPr>
            <w:tcW w:w="3261" w:type="dxa"/>
            <w:gridSpan w:val="3"/>
            <w:vAlign w:val="bottom"/>
          </w:tcPr>
          <w:p w14:paraId="34B97B60" w14:textId="77777777" w:rsidR="00773F7B" w:rsidRPr="00782F7E" w:rsidRDefault="00773F7B" w:rsidP="00773F7B">
            <w:pPr>
              <w:pStyle w:val="T2"/>
              <w:rPr>
                <w:b/>
              </w:rPr>
            </w:pPr>
            <w:r>
              <w:rPr>
                <w:b/>
              </w:rPr>
              <w:t xml:space="preserve">Half year </w:t>
            </w:r>
            <w:r w:rsidRPr="00782F7E">
              <w:rPr>
                <w:b/>
              </w:rPr>
              <w:t>20</w:t>
            </w:r>
            <w:r>
              <w:rPr>
                <w:b/>
              </w:rPr>
              <w:t>20</w:t>
            </w:r>
          </w:p>
        </w:tc>
        <w:tc>
          <w:tcPr>
            <w:tcW w:w="3402" w:type="dxa"/>
            <w:gridSpan w:val="3"/>
            <w:vAlign w:val="bottom"/>
          </w:tcPr>
          <w:p w14:paraId="4ABED011" w14:textId="77777777" w:rsidR="00773F7B" w:rsidRPr="00782F7E" w:rsidRDefault="00773F7B" w:rsidP="00773F7B">
            <w:pPr>
              <w:pStyle w:val="T2"/>
            </w:pPr>
            <w:r>
              <w:t>Half year 2019</w:t>
            </w:r>
          </w:p>
        </w:tc>
      </w:tr>
      <w:tr w:rsidR="00B41E40" w14:paraId="4AFD9C83" w14:textId="77777777" w:rsidTr="002E0E9E">
        <w:tc>
          <w:tcPr>
            <w:tcW w:w="3402" w:type="dxa"/>
          </w:tcPr>
          <w:p w14:paraId="76CC18E6" w14:textId="77777777" w:rsidR="00773F7B" w:rsidRPr="00782F7E" w:rsidRDefault="00773F7B" w:rsidP="00773F7B">
            <w:pPr>
              <w:pStyle w:val="T2"/>
            </w:pPr>
          </w:p>
        </w:tc>
        <w:tc>
          <w:tcPr>
            <w:tcW w:w="1276" w:type="dxa"/>
            <w:vAlign w:val="bottom"/>
          </w:tcPr>
          <w:p w14:paraId="0EE4335B" w14:textId="77777777" w:rsidR="00773F7B" w:rsidRPr="00737A18" w:rsidRDefault="00773F7B" w:rsidP="00773F7B">
            <w:pPr>
              <w:pStyle w:val="T2"/>
              <w:jc w:val="right"/>
              <w:rPr>
                <w:b/>
              </w:rPr>
            </w:pPr>
            <w:r w:rsidRPr="00737A18">
              <w:rPr>
                <w:b/>
              </w:rPr>
              <w:t>Convenience Foods UK &amp; Ireland</w:t>
            </w:r>
          </w:p>
        </w:tc>
        <w:tc>
          <w:tcPr>
            <w:tcW w:w="1276" w:type="dxa"/>
            <w:vAlign w:val="bottom"/>
          </w:tcPr>
          <w:p w14:paraId="6392F104" w14:textId="77777777" w:rsidR="00773F7B" w:rsidRPr="00737A18" w:rsidRDefault="00773F7B" w:rsidP="00773F7B">
            <w:pPr>
              <w:pStyle w:val="T2"/>
              <w:jc w:val="right"/>
              <w:rPr>
                <w:b/>
              </w:rPr>
            </w:pPr>
            <w:r w:rsidRPr="00737A18">
              <w:rPr>
                <w:b/>
              </w:rPr>
              <w:t>Discontinued Operations</w:t>
            </w:r>
          </w:p>
        </w:tc>
        <w:tc>
          <w:tcPr>
            <w:tcW w:w="709" w:type="dxa"/>
            <w:vAlign w:val="bottom"/>
          </w:tcPr>
          <w:p w14:paraId="173500D2" w14:textId="77777777" w:rsidR="00773F7B" w:rsidRPr="00737A18" w:rsidRDefault="00773F7B" w:rsidP="00773F7B">
            <w:pPr>
              <w:pStyle w:val="T2"/>
              <w:jc w:val="right"/>
              <w:rPr>
                <w:b/>
              </w:rPr>
            </w:pPr>
            <w:r w:rsidRPr="00737A18">
              <w:rPr>
                <w:b/>
              </w:rPr>
              <w:t>Total</w:t>
            </w:r>
          </w:p>
        </w:tc>
        <w:tc>
          <w:tcPr>
            <w:tcW w:w="1275" w:type="dxa"/>
            <w:vAlign w:val="bottom"/>
          </w:tcPr>
          <w:p w14:paraId="676D2E03" w14:textId="77777777" w:rsidR="00773F7B" w:rsidRPr="00782F7E" w:rsidRDefault="00773F7B" w:rsidP="00773F7B">
            <w:pPr>
              <w:pStyle w:val="T2"/>
              <w:jc w:val="right"/>
            </w:pPr>
            <w:r>
              <w:t>Convenience Foods UK &amp; Ireland</w:t>
            </w:r>
          </w:p>
        </w:tc>
        <w:tc>
          <w:tcPr>
            <w:tcW w:w="1276" w:type="dxa"/>
            <w:vAlign w:val="bottom"/>
          </w:tcPr>
          <w:p w14:paraId="628B0BFE" w14:textId="77777777" w:rsidR="00773F7B" w:rsidRPr="00782F7E" w:rsidRDefault="00773F7B" w:rsidP="00773F7B">
            <w:pPr>
              <w:pStyle w:val="T2"/>
              <w:jc w:val="right"/>
            </w:pPr>
            <w:r>
              <w:t>Discontinued Operations</w:t>
            </w:r>
          </w:p>
        </w:tc>
        <w:tc>
          <w:tcPr>
            <w:tcW w:w="851" w:type="dxa"/>
            <w:vAlign w:val="bottom"/>
          </w:tcPr>
          <w:p w14:paraId="0B58067D" w14:textId="77777777" w:rsidR="00773F7B" w:rsidRPr="00782F7E" w:rsidRDefault="00773F7B" w:rsidP="00773F7B">
            <w:pPr>
              <w:pStyle w:val="T2"/>
              <w:jc w:val="right"/>
            </w:pPr>
            <w:r>
              <w:t>Total</w:t>
            </w:r>
          </w:p>
        </w:tc>
      </w:tr>
      <w:tr w:rsidR="00B41E40" w14:paraId="22047A33" w14:textId="77777777" w:rsidTr="002E0E9E">
        <w:tc>
          <w:tcPr>
            <w:tcW w:w="3402" w:type="dxa"/>
            <w:tcBorders>
              <w:bottom w:val="single" w:sz="2" w:space="0" w:color="auto"/>
            </w:tcBorders>
          </w:tcPr>
          <w:p w14:paraId="7E6A22C8" w14:textId="77777777" w:rsidR="00773F7B" w:rsidRPr="00782F7E" w:rsidRDefault="00773F7B" w:rsidP="00773F7B">
            <w:pPr>
              <w:pStyle w:val="T2"/>
            </w:pPr>
          </w:p>
        </w:tc>
        <w:tc>
          <w:tcPr>
            <w:tcW w:w="1276" w:type="dxa"/>
            <w:tcBorders>
              <w:bottom w:val="single" w:sz="2" w:space="0" w:color="auto"/>
            </w:tcBorders>
          </w:tcPr>
          <w:p w14:paraId="48C540A7" w14:textId="77777777" w:rsidR="00773F7B" w:rsidRPr="00782F7E" w:rsidRDefault="00773F7B" w:rsidP="00773F7B">
            <w:pPr>
              <w:pStyle w:val="T2"/>
              <w:jc w:val="right"/>
              <w:rPr>
                <w:b/>
              </w:rPr>
            </w:pPr>
            <w:r w:rsidRPr="00782F7E">
              <w:rPr>
                <w:b/>
              </w:rPr>
              <w:t>£m</w:t>
            </w:r>
          </w:p>
        </w:tc>
        <w:tc>
          <w:tcPr>
            <w:tcW w:w="1276" w:type="dxa"/>
            <w:tcBorders>
              <w:bottom w:val="single" w:sz="2" w:space="0" w:color="auto"/>
            </w:tcBorders>
          </w:tcPr>
          <w:p w14:paraId="524E1305" w14:textId="77777777" w:rsidR="00773F7B" w:rsidRPr="00782F7E" w:rsidRDefault="00773F7B" w:rsidP="00773F7B">
            <w:pPr>
              <w:pStyle w:val="T2"/>
              <w:jc w:val="right"/>
              <w:rPr>
                <w:b/>
              </w:rPr>
            </w:pPr>
            <w:r w:rsidRPr="00782F7E">
              <w:rPr>
                <w:b/>
              </w:rPr>
              <w:t>£m</w:t>
            </w:r>
          </w:p>
        </w:tc>
        <w:tc>
          <w:tcPr>
            <w:tcW w:w="709" w:type="dxa"/>
            <w:tcBorders>
              <w:bottom w:val="single" w:sz="2" w:space="0" w:color="auto"/>
            </w:tcBorders>
            <w:vAlign w:val="bottom"/>
          </w:tcPr>
          <w:p w14:paraId="183C842E" w14:textId="77777777" w:rsidR="00773F7B" w:rsidRPr="00782F7E" w:rsidRDefault="00773F7B" w:rsidP="00773F7B">
            <w:pPr>
              <w:pStyle w:val="T2"/>
              <w:jc w:val="right"/>
              <w:rPr>
                <w:b/>
              </w:rPr>
            </w:pPr>
            <w:r w:rsidRPr="00782F7E">
              <w:rPr>
                <w:b/>
              </w:rPr>
              <w:t>£m</w:t>
            </w:r>
          </w:p>
        </w:tc>
        <w:tc>
          <w:tcPr>
            <w:tcW w:w="1275" w:type="dxa"/>
            <w:tcBorders>
              <w:bottom w:val="single" w:sz="2" w:space="0" w:color="auto"/>
            </w:tcBorders>
            <w:vAlign w:val="bottom"/>
          </w:tcPr>
          <w:p w14:paraId="64A7989F" w14:textId="77777777" w:rsidR="00773F7B" w:rsidRPr="00782F7E" w:rsidRDefault="00773F7B" w:rsidP="00773F7B">
            <w:pPr>
              <w:pStyle w:val="T2"/>
              <w:jc w:val="right"/>
            </w:pPr>
            <w:r w:rsidRPr="00782F7E">
              <w:t>£m</w:t>
            </w:r>
          </w:p>
        </w:tc>
        <w:tc>
          <w:tcPr>
            <w:tcW w:w="1276" w:type="dxa"/>
            <w:tcBorders>
              <w:bottom w:val="single" w:sz="2" w:space="0" w:color="auto"/>
            </w:tcBorders>
          </w:tcPr>
          <w:p w14:paraId="0C9709A5" w14:textId="77777777" w:rsidR="00773F7B" w:rsidRPr="00782F7E" w:rsidRDefault="00773F7B" w:rsidP="00773F7B">
            <w:pPr>
              <w:pStyle w:val="T2"/>
              <w:jc w:val="right"/>
            </w:pPr>
            <w:r w:rsidRPr="00782F7E">
              <w:t>£m</w:t>
            </w:r>
          </w:p>
        </w:tc>
        <w:tc>
          <w:tcPr>
            <w:tcW w:w="851" w:type="dxa"/>
            <w:tcBorders>
              <w:bottom w:val="single" w:sz="2" w:space="0" w:color="auto"/>
            </w:tcBorders>
          </w:tcPr>
          <w:p w14:paraId="1959B86A" w14:textId="77777777" w:rsidR="00773F7B" w:rsidRPr="00782F7E" w:rsidRDefault="00773F7B" w:rsidP="00773F7B">
            <w:pPr>
              <w:pStyle w:val="T2"/>
              <w:jc w:val="right"/>
            </w:pPr>
            <w:r w:rsidRPr="00782F7E">
              <w:t>£m</w:t>
            </w:r>
          </w:p>
        </w:tc>
      </w:tr>
      <w:tr w:rsidR="00B41E40" w14:paraId="52FAD95E" w14:textId="77777777" w:rsidTr="002E0E9E">
        <w:tc>
          <w:tcPr>
            <w:tcW w:w="3402" w:type="dxa"/>
            <w:tcBorders>
              <w:top w:val="single" w:sz="2" w:space="0" w:color="auto"/>
            </w:tcBorders>
            <w:vAlign w:val="bottom"/>
          </w:tcPr>
          <w:p w14:paraId="20D0B924" w14:textId="77777777" w:rsidR="00773F7B" w:rsidRPr="00782F7E" w:rsidRDefault="00773F7B" w:rsidP="00773F7B">
            <w:pPr>
              <w:pStyle w:val="T2"/>
              <w:jc w:val="left"/>
            </w:pPr>
            <w:r w:rsidRPr="00782F7E">
              <w:t>Net cash inflow</w:t>
            </w:r>
            <w:r>
              <w:t>/(outflow)</w:t>
            </w:r>
            <w:r w:rsidRPr="00782F7E">
              <w:t xml:space="preserve"> from operating activities</w:t>
            </w:r>
          </w:p>
        </w:tc>
        <w:tc>
          <w:tcPr>
            <w:tcW w:w="1276" w:type="dxa"/>
            <w:tcBorders>
              <w:top w:val="single" w:sz="2" w:space="0" w:color="auto"/>
            </w:tcBorders>
          </w:tcPr>
          <w:p w14:paraId="025B5FEA" w14:textId="77777777" w:rsidR="00773F7B" w:rsidRDefault="00773F7B" w:rsidP="00773F7B">
            <w:pPr>
              <w:pStyle w:val="T2"/>
              <w:jc w:val="right"/>
              <w:rPr>
                <w:b/>
                <w:bCs/>
              </w:rPr>
            </w:pPr>
          </w:p>
          <w:p w14:paraId="067B5294" w14:textId="77777777" w:rsidR="00773F7B" w:rsidRPr="00FC568F" w:rsidRDefault="00773F7B" w:rsidP="00773F7B">
            <w:pPr>
              <w:pStyle w:val="T2"/>
              <w:jc w:val="right"/>
              <w:rPr>
                <w:b/>
                <w:bCs/>
              </w:rPr>
            </w:pPr>
            <w:r w:rsidRPr="00FC568F">
              <w:rPr>
                <w:b/>
                <w:bCs/>
              </w:rPr>
              <w:t>2</w:t>
            </w:r>
            <w:r w:rsidR="00173CA5">
              <w:rPr>
                <w:b/>
                <w:bCs/>
              </w:rPr>
              <w:t>0.8</w:t>
            </w:r>
          </w:p>
        </w:tc>
        <w:tc>
          <w:tcPr>
            <w:tcW w:w="1276" w:type="dxa"/>
            <w:tcBorders>
              <w:top w:val="single" w:sz="2" w:space="0" w:color="auto"/>
            </w:tcBorders>
          </w:tcPr>
          <w:p w14:paraId="441B9E95" w14:textId="77777777" w:rsidR="00773F7B" w:rsidRDefault="00773F7B" w:rsidP="00773F7B">
            <w:pPr>
              <w:pStyle w:val="T2"/>
              <w:jc w:val="right"/>
              <w:rPr>
                <w:b/>
                <w:bCs/>
              </w:rPr>
            </w:pPr>
          </w:p>
          <w:p w14:paraId="729F880B" w14:textId="77777777" w:rsidR="00773F7B" w:rsidRPr="00FC568F" w:rsidRDefault="00773F7B" w:rsidP="00773F7B">
            <w:pPr>
              <w:pStyle w:val="T2"/>
              <w:jc w:val="right"/>
              <w:rPr>
                <w:b/>
                <w:bCs/>
              </w:rPr>
            </w:pPr>
            <w:r w:rsidRPr="00FC568F">
              <w:rPr>
                <w:b/>
                <w:bCs/>
              </w:rPr>
              <w:t>–</w:t>
            </w:r>
          </w:p>
        </w:tc>
        <w:tc>
          <w:tcPr>
            <w:tcW w:w="709" w:type="dxa"/>
            <w:tcBorders>
              <w:top w:val="single" w:sz="2" w:space="0" w:color="auto"/>
            </w:tcBorders>
          </w:tcPr>
          <w:p w14:paraId="6D32FB50" w14:textId="77777777" w:rsidR="00773F7B" w:rsidRDefault="00773F7B" w:rsidP="00773F7B">
            <w:pPr>
              <w:pStyle w:val="T2"/>
              <w:jc w:val="right"/>
              <w:rPr>
                <w:b/>
                <w:bCs/>
              </w:rPr>
            </w:pPr>
          </w:p>
          <w:p w14:paraId="57E02CDD" w14:textId="77777777" w:rsidR="00773F7B" w:rsidRPr="00FC568F" w:rsidRDefault="00773F7B" w:rsidP="00773F7B">
            <w:pPr>
              <w:pStyle w:val="T2"/>
              <w:jc w:val="right"/>
              <w:rPr>
                <w:b/>
                <w:bCs/>
              </w:rPr>
            </w:pPr>
            <w:r w:rsidRPr="001F6040">
              <w:rPr>
                <w:b/>
                <w:bCs/>
              </w:rPr>
              <w:t>2</w:t>
            </w:r>
            <w:r w:rsidR="00173CA5">
              <w:rPr>
                <w:b/>
                <w:bCs/>
              </w:rPr>
              <w:t>0.8</w:t>
            </w:r>
          </w:p>
        </w:tc>
        <w:tc>
          <w:tcPr>
            <w:tcW w:w="1275" w:type="dxa"/>
            <w:tcBorders>
              <w:top w:val="single" w:sz="2" w:space="0" w:color="auto"/>
            </w:tcBorders>
            <w:vAlign w:val="bottom"/>
          </w:tcPr>
          <w:p w14:paraId="4E25FD6A" w14:textId="77777777" w:rsidR="00773F7B" w:rsidRPr="00782F7E" w:rsidRDefault="00773F7B" w:rsidP="00773F7B">
            <w:pPr>
              <w:pStyle w:val="T2"/>
              <w:jc w:val="right"/>
            </w:pPr>
            <w:r>
              <w:t>7.3</w:t>
            </w:r>
          </w:p>
        </w:tc>
        <w:tc>
          <w:tcPr>
            <w:tcW w:w="1276" w:type="dxa"/>
            <w:tcBorders>
              <w:top w:val="single" w:sz="2" w:space="0" w:color="auto"/>
            </w:tcBorders>
            <w:vAlign w:val="bottom"/>
          </w:tcPr>
          <w:p w14:paraId="2277B143" w14:textId="77777777" w:rsidR="00773F7B" w:rsidRPr="0096767F" w:rsidRDefault="00773F7B" w:rsidP="00773F7B">
            <w:pPr>
              <w:pStyle w:val="T2"/>
              <w:jc w:val="right"/>
              <w:rPr>
                <w:bCs/>
              </w:rPr>
            </w:pPr>
            <w:r>
              <w:rPr>
                <w:bCs/>
              </w:rPr>
              <w:t>(12.2)</w:t>
            </w:r>
          </w:p>
        </w:tc>
        <w:tc>
          <w:tcPr>
            <w:tcW w:w="851" w:type="dxa"/>
            <w:tcBorders>
              <w:top w:val="single" w:sz="2" w:space="0" w:color="auto"/>
            </w:tcBorders>
            <w:vAlign w:val="bottom"/>
          </w:tcPr>
          <w:p w14:paraId="64D82470" w14:textId="77777777" w:rsidR="00773F7B" w:rsidRPr="0096767F" w:rsidRDefault="00773F7B" w:rsidP="00773F7B">
            <w:pPr>
              <w:pStyle w:val="T2"/>
              <w:jc w:val="right"/>
              <w:rPr>
                <w:bCs/>
              </w:rPr>
            </w:pPr>
            <w:r w:rsidRPr="0096767F">
              <w:rPr>
                <w:bCs/>
              </w:rPr>
              <w:t>(4.9)</w:t>
            </w:r>
          </w:p>
        </w:tc>
      </w:tr>
      <w:tr w:rsidR="00B41E40" w14:paraId="756BB84F" w14:textId="77777777" w:rsidTr="002E0E9E">
        <w:tc>
          <w:tcPr>
            <w:tcW w:w="3402" w:type="dxa"/>
            <w:tcBorders>
              <w:bottom w:val="single" w:sz="2" w:space="0" w:color="auto"/>
            </w:tcBorders>
            <w:vAlign w:val="bottom"/>
          </w:tcPr>
          <w:p w14:paraId="7C71CE93" w14:textId="70B018FE" w:rsidR="00773F7B" w:rsidRPr="00782F7E" w:rsidRDefault="00773F7B" w:rsidP="00773F7B">
            <w:pPr>
              <w:pStyle w:val="T2"/>
              <w:jc w:val="left"/>
            </w:pPr>
            <w:r w:rsidRPr="00782F7E">
              <w:t xml:space="preserve">Net cash </w:t>
            </w:r>
            <w:r w:rsidR="005F0358">
              <w:t>(out</w:t>
            </w:r>
            <w:r>
              <w:t>flow</w:t>
            </w:r>
            <w:r w:rsidR="005F0358">
              <w:t>)</w:t>
            </w:r>
            <w:r>
              <w:t>/</w:t>
            </w:r>
            <w:r w:rsidR="005F0358">
              <w:t>In</w:t>
            </w:r>
            <w:r w:rsidRPr="00782F7E">
              <w:t>flow from investing activities</w:t>
            </w:r>
          </w:p>
        </w:tc>
        <w:tc>
          <w:tcPr>
            <w:tcW w:w="1276" w:type="dxa"/>
            <w:tcBorders>
              <w:bottom w:val="single" w:sz="2" w:space="0" w:color="auto"/>
            </w:tcBorders>
          </w:tcPr>
          <w:p w14:paraId="350EDF07" w14:textId="77777777" w:rsidR="00773F7B" w:rsidRDefault="00773F7B" w:rsidP="00773F7B">
            <w:pPr>
              <w:pStyle w:val="T2"/>
              <w:jc w:val="right"/>
              <w:rPr>
                <w:b/>
                <w:bCs/>
              </w:rPr>
            </w:pPr>
          </w:p>
          <w:p w14:paraId="168EF2AD" w14:textId="77777777" w:rsidR="00773F7B" w:rsidRPr="00FC568F" w:rsidRDefault="00773F7B" w:rsidP="00773F7B">
            <w:pPr>
              <w:pStyle w:val="T2"/>
              <w:jc w:val="right"/>
              <w:rPr>
                <w:b/>
                <w:bCs/>
              </w:rPr>
            </w:pPr>
            <w:r w:rsidRPr="00FC568F">
              <w:rPr>
                <w:b/>
                <w:bCs/>
              </w:rPr>
              <w:t>(</w:t>
            </w:r>
            <w:r>
              <w:rPr>
                <w:b/>
                <w:bCs/>
              </w:rPr>
              <w:t>20.8</w:t>
            </w:r>
            <w:r w:rsidRPr="00FC568F">
              <w:rPr>
                <w:b/>
                <w:bCs/>
              </w:rPr>
              <w:t>)</w:t>
            </w:r>
          </w:p>
        </w:tc>
        <w:tc>
          <w:tcPr>
            <w:tcW w:w="1276" w:type="dxa"/>
            <w:tcBorders>
              <w:bottom w:val="single" w:sz="2" w:space="0" w:color="auto"/>
            </w:tcBorders>
          </w:tcPr>
          <w:p w14:paraId="0500963E" w14:textId="77777777" w:rsidR="00773F7B" w:rsidRDefault="00773F7B" w:rsidP="00773F7B">
            <w:pPr>
              <w:pStyle w:val="T2"/>
              <w:jc w:val="right"/>
              <w:rPr>
                <w:b/>
                <w:bCs/>
              </w:rPr>
            </w:pPr>
          </w:p>
          <w:p w14:paraId="02906F44" w14:textId="77777777" w:rsidR="00773F7B" w:rsidRPr="00FC568F" w:rsidRDefault="00773F7B" w:rsidP="00773F7B">
            <w:pPr>
              <w:pStyle w:val="T2"/>
              <w:jc w:val="right"/>
              <w:rPr>
                <w:b/>
                <w:bCs/>
              </w:rPr>
            </w:pPr>
            <w:r w:rsidRPr="00FC568F">
              <w:rPr>
                <w:b/>
                <w:bCs/>
              </w:rPr>
              <w:t>–</w:t>
            </w:r>
          </w:p>
        </w:tc>
        <w:tc>
          <w:tcPr>
            <w:tcW w:w="709" w:type="dxa"/>
            <w:tcBorders>
              <w:bottom w:val="single" w:sz="2" w:space="0" w:color="auto"/>
            </w:tcBorders>
          </w:tcPr>
          <w:p w14:paraId="7A0933A7" w14:textId="77777777" w:rsidR="00773F7B" w:rsidRDefault="00773F7B" w:rsidP="00773F7B">
            <w:pPr>
              <w:pStyle w:val="T2"/>
              <w:jc w:val="right"/>
              <w:rPr>
                <w:b/>
                <w:bCs/>
              </w:rPr>
            </w:pPr>
          </w:p>
          <w:p w14:paraId="4E0F9777" w14:textId="77777777" w:rsidR="00773F7B" w:rsidRPr="005D0EFF" w:rsidRDefault="00773F7B" w:rsidP="00773F7B">
            <w:pPr>
              <w:pStyle w:val="T2"/>
              <w:jc w:val="right"/>
              <w:rPr>
                <w:bCs/>
              </w:rPr>
            </w:pPr>
            <w:r w:rsidRPr="001F6040">
              <w:rPr>
                <w:b/>
                <w:bCs/>
              </w:rPr>
              <w:t>(</w:t>
            </w:r>
            <w:r>
              <w:rPr>
                <w:b/>
                <w:bCs/>
              </w:rPr>
              <w:t>20.8</w:t>
            </w:r>
            <w:r w:rsidRPr="001F6040">
              <w:rPr>
                <w:b/>
                <w:bCs/>
              </w:rPr>
              <w:t>)</w:t>
            </w:r>
          </w:p>
        </w:tc>
        <w:tc>
          <w:tcPr>
            <w:tcW w:w="1275" w:type="dxa"/>
            <w:tcBorders>
              <w:bottom w:val="single" w:sz="2" w:space="0" w:color="auto"/>
            </w:tcBorders>
            <w:vAlign w:val="bottom"/>
          </w:tcPr>
          <w:p w14:paraId="47327C22" w14:textId="77777777" w:rsidR="00773F7B" w:rsidRPr="00782F7E" w:rsidRDefault="00773F7B" w:rsidP="00773F7B">
            <w:pPr>
              <w:pStyle w:val="T2"/>
              <w:jc w:val="right"/>
            </w:pPr>
            <w:r>
              <w:t>794.2</w:t>
            </w:r>
          </w:p>
        </w:tc>
        <w:tc>
          <w:tcPr>
            <w:tcW w:w="1276" w:type="dxa"/>
            <w:tcBorders>
              <w:bottom w:val="single" w:sz="2" w:space="0" w:color="auto"/>
            </w:tcBorders>
            <w:vAlign w:val="bottom"/>
          </w:tcPr>
          <w:p w14:paraId="76D0FE43" w14:textId="77777777" w:rsidR="00773F7B" w:rsidRPr="0096767F" w:rsidRDefault="00773F7B" w:rsidP="00773F7B">
            <w:pPr>
              <w:pStyle w:val="T2"/>
              <w:jc w:val="right"/>
              <w:rPr>
                <w:bCs/>
              </w:rPr>
            </w:pPr>
            <w:r>
              <w:rPr>
                <w:bCs/>
              </w:rPr>
              <w:t>(1.2)</w:t>
            </w:r>
          </w:p>
        </w:tc>
        <w:tc>
          <w:tcPr>
            <w:tcW w:w="851" w:type="dxa"/>
            <w:tcBorders>
              <w:bottom w:val="single" w:sz="2" w:space="0" w:color="auto"/>
            </w:tcBorders>
            <w:vAlign w:val="bottom"/>
          </w:tcPr>
          <w:p w14:paraId="4AB74F58" w14:textId="77777777" w:rsidR="00773F7B" w:rsidRPr="0096767F" w:rsidRDefault="00773F7B" w:rsidP="00773F7B">
            <w:pPr>
              <w:pStyle w:val="T2"/>
              <w:jc w:val="right"/>
              <w:rPr>
                <w:bCs/>
              </w:rPr>
            </w:pPr>
            <w:r w:rsidRPr="0096767F">
              <w:rPr>
                <w:bCs/>
              </w:rPr>
              <w:t>793.0</w:t>
            </w:r>
          </w:p>
        </w:tc>
      </w:tr>
      <w:tr w:rsidR="00B41E40" w14:paraId="0793B4AB" w14:textId="77777777" w:rsidTr="002E0E9E">
        <w:tc>
          <w:tcPr>
            <w:tcW w:w="3402" w:type="dxa"/>
            <w:tcBorders>
              <w:top w:val="single" w:sz="2" w:space="0" w:color="auto"/>
            </w:tcBorders>
            <w:vAlign w:val="bottom"/>
          </w:tcPr>
          <w:p w14:paraId="408AAAA2" w14:textId="77777777" w:rsidR="00773F7B" w:rsidRPr="00457332" w:rsidRDefault="00773F7B" w:rsidP="00773F7B">
            <w:pPr>
              <w:pStyle w:val="T2"/>
              <w:jc w:val="left"/>
              <w:rPr>
                <w:b/>
              </w:rPr>
            </w:pPr>
            <w:r w:rsidRPr="00457332">
              <w:rPr>
                <w:b/>
              </w:rPr>
              <w:t xml:space="preserve">Net cash </w:t>
            </w:r>
            <w:r>
              <w:rPr>
                <w:b/>
              </w:rPr>
              <w:t>inflow/(</w:t>
            </w:r>
            <w:r w:rsidRPr="00457332">
              <w:rPr>
                <w:b/>
              </w:rPr>
              <w:t>outflow</w:t>
            </w:r>
            <w:r>
              <w:rPr>
                <w:b/>
              </w:rPr>
              <w:t>)</w:t>
            </w:r>
            <w:r w:rsidRPr="00457332">
              <w:rPr>
                <w:b/>
              </w:rPr>
              <w:t xml:space="preserve"> from operating and investing activities</w:t>
            </w:r>
          </w:p>
        </w:tc>
        <w:tc>
          <w:tcPr>
            <w:tcW w:w="1276" w:type="dxa"/>
            <w:tcBorders>
              <w:top w:val="single" w:sz="2" w:space="0" w:color="auto"/>
            </w:tcBorders>
          </w:tcPr>
          <w:p w14:paraId="22C0CD1D" w14:textId="77777777" w:rsidR="00773F7B" w:rsidRDefault="00773F7B" w:rsidP="00773F7B">
            <w:pPr>
              <w:pStyle w:val="T2"/>
              <w:jc w:val="right"/>
              <w:rPr>
                <w:b/>
                <w:bCs/>
              </w:rPr>
            </w:pPr>
          </w:p>
          <w:p w14:paraId="59899738" w14:textId="77777777" w:rsidR="00773F7B" w:rsidRPr="00FC568F" w:rsidRDefault="00173CA5" w:rsidP="00773F7B">
            <w:pPr>
              <w:pStyle w:val="T2"/>
              <w:jc w:val="right"/>
              <w:rPr>
                <w:b/>
                <w:bCs/>
              </w:rPr>
            </w:pPr>
            <w:r w:rsidRPr="00FC568F">
              <w:rPr>
                <w:b/>
                <w:bCs/>
              </w:rPr>
              <w:t>–</w:t>
            </w:r>
          </w:p>
        </w:tc>
        <w:tc>
          <w:tcPr>
            <w:tcW w:w="1276" w:type="dxa"/>
            <w:tcBorders>
              <w:top w:val="single" w:sz="2" w:space="0" w:color="auto"/>
            </w:tcBorders>
          </w:tcPr>
          <w:p w14:paraId="0E7B1657" w14:textId="77777777" w:rsidR="00773F7B" w:rsidRDefault="00773F7B" w:rsidP="00773F7B">
            <w:pPr>
              <w:pStyle w:val="T2"/>
              <w:jc w:val="right"/>
              <w:rPr>
                <w:b/>
                <w:bCs/>
              </w:rPr>
            </w:pPr>
          </w:p>
          <w:p w14:paraId="2314B6AA" w14:textId="77777777" w:rsidR="00773F7B" w:rsidRPr="00FC568F" w:rsidRDefault="00773F7B" w:rsidP="00773F7B">
            <w:pPr>
              <w:pStyle w:val="T2"/>
              <w:jc w:val="right"/>
              <w:rPr>
                <w:b/>
                <w:bCs/>
              </w:rPr>
            </w:pPr>
            <w:r w:rsidRPr="00FC568F">
              <w:rPr>
                <w:b/>
                <w:bCs/>
              </w:rPr>
              <w:t>–</w:t>
            </w:r>
          </w:p>
        </w:tc>
        <w:tc>
          <w:tcPr>
            <w:tcW w:w="709" w:type="dxa"/>
            <w:tcBorders>
              <w:top w:val="single" w:sz="2" w:space="0" w:color="auto"/>
            </w:tcBorders>
          </w:tcPr>
          <w:p w14:paraId="6CB04DEE" w14:textId="77777777" w:rsidR="00773F7B" w:rsidRDefault="00773F7B" w:rsidP="00773F7B">
            <w:pPr>
              <w:pStyle w:val="T2"/>
              <w:jc w:val="right"/>
              <w:rPr>
                <w:b/>
                <w:bCs/>
              </w:rPr>
            </w:pPr>
          </w:p>
          <w:p w14:paraId="42AA89D0" w14:textId="77777777" w:rsidR="00773F7B" w:rsidRPr="005D0EFF" w:rsidRDefault="00173CA5" w:rsidP="00773F7B">
            <w:pPr>
              <w:pStyle w:val="T2"/>
              <w:jc w:val="right"/>
              <w:rPr>
                <w:bCs/>
              </w:rPr>
            </w:pPr>
            <w:r w:rsidRPr="00FC568F">
              <w:rPr>
                <w:b/>
                <w:bCs/>
              </w:rPr>
              <w:t>–</w:t>
            </w:r>
          </w:p>
        </w:tc>
        <w:tc>
          <w:tcPr>
            <w:tcW w:w="1275" w:type="dxa"/>
            <w:tcBorders>
              <w:top w:val="single" w:sz="2" w:space="0" w:color="auto"/>
            </w:tcBorders>
            <w:vAlign w:val="bottom"/>
          </w:tcPr>
          <w:p w14:paraId="2375CF33" w14:textId="77777777" w:rsidR="00773F7B" w:rsidRPr="00782F7E" w:rsidRDefault="00773F7B" w:rsidP="00773F7B">
            <w:pPr>
              <w:pStyle w:val="T2"/>
              <w:jc w:val="right"/>
            </w:pPr>
            <w:r>
              <w:t>801.5</w:t>
            </w:r>
          </w:p>
        </w:tc>
        <w:tc>
          <w:tcPr>
            <w:tcW w:w="1276" w:type="dxa"/>
            <w:tcBorders>
              <w:top w:val="single" w:sz="2" w:space="0" w:color="auto"/>
            </w:tcBorders>
            <w:vAlign w:val="bottom"/>
          </w:tcPr>
          <w:p w14:paraId="799A9ACF" w14:textId="77777777" w:rsidR="00773F7B" w:rsidRPr="0096767F" w:rsidRDefault="00773F7B" w:rsidP="00773F7B">
            <w:pPr>
              <w:pStyle w:val="T2"/>
              <w:jc w:val="right"/>
              <w:rPr>
                <w:bCs/>
              </w:rPr>
            </w:pPr>
            <w:r>
              <w:rPr>
                <w:bCs/>
              </w:rPr>
              <w:t>(13.4)</w:t>
            </w:r>
          </w:p>
        </w:tc>
        <w:tc>
          <w:tcPr>
            <w:tcW w:w="851" w:type="dxa"/>
            <w:tcBorders>
              <w:top w:val="single" w:sz="2" w:space="0" w:color="auto"/>
            </w:tcBorders>
            <w:vAlign w:val="bottom"/>
          </w:tcPr>
          <w:p w14:paraId="3B31FBBF" w14:textId="77777777" w:rsidR="00773F7B" w:rsidRPr="0096767F" w:rsidRDefault="00773F7B" w:rsidP="00773F7B">
            <w:pPr>
              <w:pStyle w:val="T2"/>
              <w:jc w:val="right"/>
              <w:rPr>
                <w:bCs/>
              </w:rPr>
            </w:pPr>
            <w:r w:rsidRPr="0096767F">
              <w:rPr>
                <w:bCs/>
              </w:rPr>
              <w:t>788.1</w:t>
            </w:r>
          </w:p>
        </w:tc>
      </w:tr>
      <w:tr w:rsidR="00B41E40" w14:paraId="23813215" w14:textId="77777777" w:rsidTr="002E0E9E">
        <w:tc>
          <w:tcPr>
            <w:tcW w:w="3402" w:type="dxa"/>
            <w:vAlign w:val="bottom"/>
          </w:tcPr>
          <w:p w14:paraId="4886B546" w14:textId="77777777" w:rsidR="00773F7B" w:rsidRPr="00782F7E" w:rsidRDefault="00773F7B" w:rsidP="00773F7B">
            <w:pPr>
              <w:pStyle w:val="T2"/>
              <w:jc w:val="left"/>
            </w:pPr>
            <w:r w:rsidRPr="00782F7E">
              <w:t>Strategic Capital Expenditure</w:t>
            </w:r>
          </w:p>
        </w:tc>
        <w:tc>
          <w:tcPr>
            <w:tcW w:w="1276" w:type="dxa"/>
          </w:tcPr>
          <w:p w14:paraId="72E51E43" w14:textId="77777777" w:rsidR="00773F7B" w:rsidRPr="00FC568F" w:rsidRDefault="00773F7B">
            <w:pPr>
              <w:pStyle w:val="T2"/>
              <w:jc w:val="right"/>
              <w:rPr>
                <w:b/>
                <w:bCs/>
              </w:rPr>
            </w:pPr>
            <w:r>
              <w:rPr>
                <w:b/>
                <w:bCs/>
              </w:rPr>
              <w:t>9.</w:t>
            </w:r>
            <w:r w:rsidR="00D24AE7">
              <w:rPr>
                <w:b/>
                <w:bCs/>
              </w:rPr>
              <w:t>9</w:t>
            </w:r>
          </w:p>
        </w:tc>
        <w:tc>
          <w:tcPr>
            <w:tcW w:w="1276" w:type="dxa"/>
          </w:tcPr>
          <w:p w14:paraId="5AC6D664" w14:textId="77777777" w:rsidR="00773F7B" w:rsidRPr="00FC568F" w:rsidRDefault="00773F7B" w:rsidP="00773F7B">
            <w:pPr>
              <w:pStyle w:val="T2"/>
              <w:jc w:val="right"/>
              <w:rPr>
                <w:b/>
                <w:bCs/>
              </w:rPr>
            </w:pPr>
            <w:r w:rsidRPr="00FC568F">
              <w:rPr>
                <w:b/>
                <w:bCs/>
              </w:rPr>
              <w:t>–</w:t>
            </w:r>
          </w:p>
        </w:tc>
        <w:tc>
          <w:tcPr>
            <w:tcW w:w="709" w:type="dxa"/>
          </w:tcPr>
          <w:p w14:paraId="191BA375" w14:textId="77777777" w:rsidR="00773F7B" w:rsidRPr="005D0EFF" w:rsidRDefault="00773F7B">
            <w:pPr>
              <w:pStyle w:val="T2"/>
              <w:jc w:val="right"/>
              <w:rPr>
                <w:bCs/>
              </w:rPr>
            </w:pPr>
            <w:r>
              <w:rPr>
                <w:b/>
                <w:bCs/>
              </w:rPr>
              <w:t>9.</w:t>
            </w:r>
            <w:r w:rsidR="00D24AE7">
              <w:rPr>
                <w:b/>
                <w:bCs/>
              </w:rPr>
              <w:t>9</w:t>
            </w:r>
          </w:p>
        </w:tc>
        <w:tc>
          <w:tcPr>
            <w:tcW w:w="1275" w:type="dxa"/>
            <w:vAlign w:val="bottom"/>
          </w:tcPr>
          <w:p w14:paraId="545A6CE9" w14:textId="77777777" w:rsidR="00773F7B" w:rsidRPr="00782F7E" w:rsidRDefault="00773F7B" w:rsidP="00773F7B">
            <w:pPr>
              <w:pStyle w:val="T2"/>
              <w:jc w:val="right"/>
            </w:pPr>
            <w:r>
              <w:t>4.9</w:t>
            </w:r>
          </w:p>
        </w:tc>
        <w:tc>
          <w:tcPr>
            <w:tcW w:w="1276" w:type="dxa"/>
            <w:vAlign w:val="bottom"/>
          </w:tcPr>
          <w:p w14:paraId="2C110355" w14:textId="77777777" w:rsidR="00773F7B" w:rsidRPr="0096767F" w:rsidRDefault="00773F7B" w:rsidP="00773F7B">
            <w:pPr>
              <w:pStyle w:val="T2"/>
              <w:jc w:val="right"/>
              <w:rPr>
                <w:bCs/>
              </w:rPr>
            </w:pPr>
            <w:r>
              <w:rPr>
                <w:bCs/>
              </w:rPr>
              <w:t>1.2</w:t>
            </w:r>
          </w:p>
        </w:tc>
        <w:tc>
          <w:tcPr>
            <w:tcW w:w="851" w:type="dxa"/>
            <w:vAlign w:val="bottom"/>
          </w:tcPr>
          <w:p w14:paraId="23B9A1CE" w14:textId="77777777" w:rsidR="00773F7B" w:rsidRPr="0096767F" w:rsidRDefault="00773F7B" w:rsidP="00773F7B">
            <w:pPr>
              <w:pStyle w:val="T2"/>
              <w:jc w:val="right"/>
              <w:rPr>
                <w:bCs/>
              </w:rPr>
            </w:pPr>
            <w:r w:rsidRPr="0096767F">
              <w:rPr>
                <w:bCs/>
              </w:rPr>
              <w:t>6.1</w:t>
            </w:r>
          </w:p>
        </w:tc>
      </w:tr>
      <w:tr w:rsidR="00B41E40" w14:paraId="525447CD" w14:textId="77777777" w:rsidTr="002E0E9E">
        <w:tc>
          <w:tcPr>
            <w:tcW w:w="3402" w:type="dxa"/>
            <w:vAlign w:val="bottom"/>
          </w:tcPr>
          <w:p w14:paraId="2E6B05BB" w14:textId="77777777" w:rsidR="00773F7B" w:rsidRPr="00782F7E" w:rsidRDefault="00773F7B" w:rsidP="00773F7B">
            <w:pPr>
              <w:pStyle w:val="T2"/>
              <w:jc w:val="left"/>
            </w:pPr>
            <w:r w:rsidRPr="00782F7E">
              <w:t>Disposal of undertakings</w:t>
            </w:r>
          </w:p>
        </w:tc>
        <w:tc>
          <w:tcPr>
            <w:tcW w:w="1276" w:type="dxa"/>
          </w:tcPr>
          <w:p w14:paraId="5AC78FF4" w14:textId="77777777" w:rsidR="00773F7B" w:rsidRPr="00FC568F" w:rsidRDefault="00773F7B" w:rsidP="00773F7B">
            <w:pPr>
              <w:pStyle w:val="T2"/>
              <w:jc w:val="right"/>
              <w:rPr>
                <w:b/>
                <w:bCs/>
              </w:rPr>
            </w:pPr>
            <w:r w:rsidRPr="00FC568F">
              <w:rPr>
                <w:b/>
                <w:bCs/>
              </w:rPr>
              <w:t>–</w:t>
            </w:r>
          </w:p>
        </w:tc>
        <w:tc>
          <w:tcPr>
            <w:tcW w:w="1276" w:type="dxa"/>
          </w:tcPr>
          <w:p w14:paraId="34EA663F" w14:textId="77777777" w:rsidR="00773F7B" w:rsidRPr="00FC568F" w:rsidRDefault="00773F7B" w:rsidP="00773F7B">
            <w:pPr>
              <w:pStyle w:val="T2"/>
              <w:jc w:val="right"/>
              <w:rPr>
                <w:b/>
                <w:bCs/>
              </w:rPr>
            </w:pPr>
            <w:r w:rsidRPr="00FC568F">
              <w:rPr>
                <w:b/>
                <w:bCs/>
              </w:rPr>
              <w:t>–</w:t>
            </w:r>
          </w:p>
        </w:tc>
        <w:tc>
          <w:tcPr>
            <w:tcW w:w="709" w:type="dxa"/>
          </w:tcPr>
          <w:p w14:paraId="1F615A3A" w14:textId="77777777" w:rsidR="00773F7B" w:rsidRPr="005D0EFF" w:rsidRDefault="00773F7B" w:rsidP="00773F7B">
            <w:pPr>
              <w:pStyle w:val="T2"/>
              <w:jc w:val="right"/>
              <w:rPr>
                <w:bCs/>
              </w:rPr>
            </w:pPr>
            <w:r w:rsidRPr="001F6040">
              <w:rPr>
                <w:b/>
                <w:bCs/>
              </w:rPr>
              <w:t>–</w:t>
            </w:r>
          </w:p>
        </w:tc>
        <w:tc>
          <w:tcPr>
            <w:tcW w:w="1275" w:type="dxa"/>
            <w:vAlign w:val="bottom"/>
          </w:tcPr>
          <w:p w14:paraId="74CF26A7" w14:textId="77777777" w:rsidR="00773F7B" w:rsidRPr="00782F7E" w:rsidRDefault="00773F7B" w:rsidP="00773F7B">
            <w:pPr>
              <w:pStyle w:val="T2"/>
              <w:jc w:val="right"/>
            </w:pPr>
            <w:r>
              <w:t>(811.4)</w:t>
            </w:r>
          </w:p>
        </w:tc>
        <w:tc>
          <w:tcPr>
            <w:tcW w:w="1276" w:type="dxa"/>
            <w:vAlign w:val="bottom"/>
          </w:tcPr>
          <w:p w14:paraId="4A0ACEBA" w14:textId="77777777" w:rsidR="00773F7B" w:rsidRPr="0096767F" w:rsidRDefault="00773F7B" w:rsidP="00773F7B">
            <w:pPr>
              <w:pStyle w:val="T2"/>
              <w:jc w:val="right"/>
              <w:rPr>
                <w:bCs/>
              </w:rPr>
            </w:pPr>
            <w:r>
              <w:rPr>
                <w:bCs/>
              </w:rPr>
              <w:t>–</w:t>
            </w:r>
          </w:p>
        </w:tc>
        <w:tc>
          <w:tcPr>
            <w:tcW w:w="851" w:type="dxa"/>
            <w:vAlign w:val="bottom"/>
          </w:tcPr>
          <w:p w14:paraId="1BA98B5E" w14:textId="77777777" w:rsidR="00773F7B" w:rsidRPr="0096767F" w:rsidRDefault="00773F7B" w:rsidP="00773F7B">
            <w:pPr>
              <w:pStyle w:val="T2"/>
              <w:jc w:val="right"/>
              <w:rPr>
                <w:bCs/>
              </w:rPr>
            </w:pPr>
            <w:r w:rsidRPr="0096767F">
              <w:rPr>
                <w:bCs/>
              </w:rPr>
              <w:t>(811.4)</w:t>
            </w:r>
          </w:p>
        </w:tc>
      </w:tr>
      <w:tr w:rsidR="00B41E40" w14:paraId="24668DB5" w14:textId="77777777" w:rsidTr="002E0E9E">
        <w:tc>
          <w:tcPr>
            <w:tcW w:w="3402" w:type="dxa"/>
            <w:vAlign w:val="bottom"/>
          </w:tcPr>
          <w:p w14:paraId="06535539" w14:textId="77777777" w:rsidR="00773F7B" w:rsidRPr="00782F7E" w:rsidRDefault="00B41E40" w:rsidP="00773F7B">
            <w:pPr>
              <w:pStyle w:val="T2"/>
              <w:jc w:val="left"/>
            </w:pPr>
            <w:r>
              <w:t>Repayment of lease liabilities</w:t>
            </w:r>
          </w:p>
        </w:tc>
        <w:tc>
          <w:tcPr>
            <w:tcW w:w="1276" w:type="dxa"/>
          </w:tcPr>
          <w:p w14:paraId="45F925B4" w14:textId="77777777" w:rsidR="00773F7B" w:rsidRPr="00FC568F" w:rsidDel="007A051A" w:rsidRDefault="00773F7B" w:rsidP="00773F7B">
            <w:pPr>
              <w:pStyle w:val="T2"/>
              <w:jc w:val="right"/>
              <w:rPr>
                <w:b/>
                <w:bCs/>
              </w:rPr>
            </w:pPr>
            <w:r w:rsidRPr="00FC568F">
              <w:rPr>
                <w:b/>
                <w:bCs/>
              </w:rPr>
              <w:t>(</w:t>
            </w:r>
            <w:r w:rsidR="00173CA5">
              <w:rPr>
                <w:b/>
                <w:bCs/>
              </w:rPr>
              <w:t>4.9</w:t>
            </w:r>
            <w:r w:rsidRPr="00FC568F">
              <w:rPr>
                <w:b/>
                <w:bCs/>
              </w:rPr>
              <w:t>)</w:t>
            </w:r>
          </w:p>
        </w:tc>
        <w:tc>
          <w:tcPr>
            <w:tcW w:w="1276" w:type="dxa"/>
          </w:tcPr>
          <w:p w14:paraId="02283480" w14:textId="77777777" w:rsidR="00773F7B" w:rsidRPr="00FC568F" w:rsidDel="007A051A" w:rsidRDefault="00773F7B" w:rsidP="00773F7B">
            <w:pPr>
              <w:pStyle w:val="T2"/>
              <w:jc w:val="right"/>
              <w:rPr>
                <w:b/>
                <w:bCs/>
              </w:rPr>
            </w:pPr>
            <w:r w:rsidRPr="00FC568F">
              <w:rPr>
                <w:b/>
                <w:bCs/>
              </w:rPr>
              <w:t>–</w:t>
            </w:r>
          </w:p>
        </w:tc>
        <w:tc>
          <w:tcPr>
            <w:tcW w:w="709" w:type="dxa"/>
          </w:tcPr>
          <w:p w14:paraId="5B72B843" w14:textId="77777777" w:rsidR="00773F7B" w:rsidRPr="007A051A" w:rsidDel="007A051A" w:rsidRDefault="00773F7B" w:rsidP="00773F7B">
            <w:pPr>
              <w:pStyle w:val="T2"/>
              <w:jc w:val="right"/>
              <w:rPr>
                <w:bCs/>
              </w:rPr>
            </w:pPr>
            <w:r w:rsidRPr="001F6040">
              <w:rPr>
                <w:b/>
                <w:bCs/>
              </w:rPr>
              <w:t>(</w:t>
            </w:r>
            <w:r w:rsidR="00107F4D">
              <w:rPr>
                <w:b/>
                <w:bCs/>
              </w:rPr>
              <w:t>4.9</w:t>
            </w:r>
            <w:r w:rsidRPr="001F6040">
              <w:rPr>
                <w:b/>
                <w:bCs/>
              </w:rPr>
              <w:t>)</w:t>
            </w:r>
          </w:p>
        </w:tc>
        <w:tc>
          <w:tcPr>
            <w:tcW w:w="1275" w:type="dxa"/>
            <w:vAlign w:val="bottom"/>
          </w:tcPr>
          <w:p w14:paraId="5B13D129" w14:textId="77777777" w:rsidR="00773F7B" w:rsidRPr="0096767F" w:rsidRDefault="00773F7B" w:rsidP="00773F7B">
            <w:pPr>
              <w:pStyle w:val="T2"/>
              <w:jc w:val="right"/>
              <w:rPr>
                <w:bCs/>
              </w:rPr>
            </w:pPr>
            <w:r>
              <w:rPr>
                <w:bCs/>
              </w:rPr>
              <w:t>–</w:t>
            </w:r>
          </w:p>
        </w:tc>
        <w:tc>
          <w:tcPr>
            <w:tcW w:w="1276" w:type="dxa"/>
            <w:vAlign w:val="bottom"/>
          </w:tcPr>
          <w:p w14:paraId="224BF52D" w14:textId="77777777" w:rsidR="00773F7B" w:rsidRDefault="00773F7B" w:rsidP="00773F7B">
            <w:pPr>
              <w:pStyle w:val="T2"/>
              <w:jc w:val="right"/>
              <w:rPr>
                <w:bCs/>
              </w:rPr>
            </w:pPr>
            <w:r>
              <w:rPr>
                <w:bCs/>
              </w:rPr>
              <w:t>–</w:t>
            </w:r>
          </w:p>
        </w:tc>
        <w:tc>
          <w:tcPr>
            <w:tcW w:w="851" w:type="dxa"/>
            <w:vAlign w:val="bottom"/>
          </w:tcPr>
          <w:p w14:paraId="57098CAC" w14:textId="77777777" w:rsidR="00773F7B" w:rsidRDefault="00773F7B" w:rsidP="00773F7B">
            <w:pPr>
              <w:pStyle w:val="T2"/>
              <w:jc w:val="right"/>
              <w:rPr>
                <w:bCs/>
              </w:rPr>
            </w:pPr>
            <w:r>
              <w:rPr>
                <w:bCs/>
              </w:rPr>
              <w:t>–</w:t>
            </w:r>
          </w:p>
        </w:tc>
      </w:tr>
      <w:tr w:rsidR="00B41E40" w14:paraId="28BC8DED" w14:textId="77777777" w:rsidTr="00B52070">
        <w:tc>
          <w:tcPr>
            <w:tcW w:w="3402" w:type="dxa"/>
            <w:tcBorders>
              <w:bottom w:val="single" w:sz="2" w:space="0" w:color="auto"/>
            </w:tcBorders>
            <w:vAlign w:val="bottom"/>
          </w:tcPr>
          <w:p w14:paraId="0D572FD3" w14:textId="77777777" w:rsidR="00773F7B" w:rsidRPr="00782F7E" w:rsidRDefault="00773F7B" w:rsidP="00773F7B">
            <w:pPr>
              <w:pStyle w:val="T2"/>
              <w:jc w:val="left"/>
            </w:pPr>
            <w:r w:rsidRPr="00782F7E">
              <w:t>Dividends paid to non</w:t>
            </w:r>
            <w:r>
              <w:t>–</w:t>
            </w:r>
            <w:r w:rsidRPr="00782F7E">
              <w:t>controlling interests</w:t>
            </w:r>
          </w:p>
        </w:tc>
        <w:tc>
          <w:tcPr>
            <w:tcW w:w="1276" w:type="dxa"/>
            <w:tcBorders>
              <w:bottom w:val="single" w:sz="2" w:space="0" w:color="auto"/>
            </w:tcBorders>
          </w:tcPr>
          <w:p w14:paraId="64D267AC" w14:textId="77777777" w:rsidR="00773F7B" w:rsidRPr="00FC568F" w:rsidRDefault="00773F7B" w:rsidP="00773F7B">
            <w:pPr>
              <w:pStyle w:val="T2"/>
              <w:jc w:val="right"/>
              <w:rPr>
                <w:b/>
                <w:bCs/>
              </w:rPr>
            </w:pPr>
            <w:r w:rsidRPr="00FC568F">
              <w:rPr>
                <w:b/>
                <w:bCs/>
              </w:rPr>
              <w:t>(2.4)</w:t>
            </w:r>
          </w:p>
        </w:tc>
        <w:tc>
          <w:tcPr>
            <w:tcW w:w="1276" w:type="dxa"/>
            <w:tcBorders>
              <w:bottom w:val="single" w:sz="2" w:space="0" w:color="auto"/>
            </w:tcBorders>
          </w:tcPr>
          <w:p w14:paraId="76E03043" w14:textId="77777777" w:rsidR="00773F7B" w:rsidRPr="00FC568F" w:rsidRDefault="00773F7B" w:rsidP="00773F7B">
            <w:pPr>
              <w:pStyle w:val="T2"/>
              <w:jc w:val="right"/>
              <w:rPr>
                <w:b/>
                <w:bCs/>
              </w:rPr>
            </w:pPr>
            <w:r w:rsidRPr="00FC568F">
              <w:rPr>
                <w:b/>
                <w:bCs/>
              </w:rPr>
              <w:t>–</w:t>
            </w:r>
          </w:p>
        </w:tc>
        <w:tc>
          <w:tcPr>
            <w:tcW w:w="709" w:type="dxa"/>
            <w:tcBorders>
              <w:bottom w:val="single" w:sz="2" w:space="0" w:color="auto"/>
            </w:tcBorders>
          </w:tcPr>
          <w:p w14:paraId="11A86112" w14:textId="77777777" w:rsidR="00773F7B" w:rsidRPr="005D0EFF" w:rsidRDefault="00773F7B" w:rsidP="00773F7B">
            <w:pPr>
              <w:pStyle w:val="T2"/>
              <w:jc w:val="right"/>
              <w:rPr>
                <w:bCs/>
              </w:rPr>
            </w:pPr>
            <w:r w:rsidRPr="001F6040">
              <w:rPr>
                <w:b/>
                <w:bCs/>
              </w:rPr>
              <w:t>(2.4)</w:t>
            </w:r>
          </w:p>
        </w:tc>
        <w:tc>
          <w:tcPr>
            <w:tcW w:w="1275" w:type="dxa"/>
            <w:tcBorders>
              <w:bottom w:val="single" w:sz="2" w:space="0" w:color="auto"/>
            </w:tcBorders>
            <w:vAlign w:val="bottom"/>
          </w:tcPr>
          <w:p w14:paraId="03A0A438" w14:textId="77777777" w:rsidR="00773F7B" w:rsidRPr="00782F7E" w:rsidRDefault="00773F7B" w:rsidP="00773F7B">
            <w:pPr>
              <w:pStyle w:val="T2"/>
              <w:jc w:val="right"/>
            </w:pPr>
            <w:r>
              <w:t>(2.2)</w:t>
            </w:r>
          </w:p>
        </w:tc>
        <w:tc>
          <w:tcPr>
            <w:tcW w:w="1276" w:type="dxa"/>
            <w:tcBorders>
              <w:bottom w:val="single" w:sz="2" w:space="0" w:color="auto"/>
            </w:tcBorders>
            <w:vAlign w:val="bottom"/>
          </w:tcPr>
          <w:p w14:paraId="44C8A00E" w14:textId="77777777" w:rsidR="00773F7B" w:rsidRPr="0096767F" w:rsidRDefault="00773F7B" w:rsidP="00773F7B">
            <w:pPr>
              <w:pStyle w:val="T2"/>
              <w:jc w:val="right"/>
              <w:rPr>
                <w:bCs/>
              </w:rPr>
            </w:pPr>
            <w:r>
              <w:rPr>
                <w:bCs/>
              </w:rPr>
              <w:t>–</w:t>
            </w:r>
          </w:p>
        </w:tc>
        <w:tc>
          <w:tcPr>
            <w:tcW w:w="851" w:type="dxa"/>
            <w:tcBorders>
              <w:bottom w:val="single" w:sz="2" w:space="0" w:color="auto"/>
            </w:tcBorders>
            <w:vAlign w:val="bottom"/>
          </w:tcPr>
          <w:p w14:paraId="5FB11D43" w14:textId="77777777" w:rsidR="00773F7B" w:rsidRPr="0096767F" w:rsidRDefault="00773F7B" w:rsidP="00773F7B">
            <w:pPr>
              <w:pStyle w:val="T2"/>
              <w:jc w:val="right"/>
              <w:rPr>
                <w:bCs/>
              </w:rPr>
            </w:pPr>
            <w:r w:rsidRPr="0096767F">
              <w:rPr>
                <w:bCs/>
              </w:rPr>
              <w:t>(2.2)</w:t>
            </w:r>
          </w:p>
        </w:tc>
      </w:tr>
      <w:tr w:rsidR="00B41E40" w14:paraId="264243C0" w14:textId="77777777" w:rsidTr="00B52070">
        <w:tc>
          <w:tcPr>
            <w:tcW w:w="3402" w:type="dxa"/>
            <w:tcBorders>
              <w:top w:val="single" w:sz="2" w:space="0" w:color="auto"/>
              <w:bottom w:val="single" w:sz="8" w:space="0" w:color="auto"/>
            </w:tcBorders>
            <w:vAlign w:val="bottom"/>
          </w:tcPr>
          <w:p w14:paraId="649D76DE" w14:textId="77777777" w:rsidR="00773F7B" w:rsidRPr="00B52070" w:rsidRDefault="00773F7B" w:rsidP="00773F7B">
            <w:pPr>
              <w:pStyle w:val="T2"/>
              <w:jc w:val="left"/>
              <w:rPr>
                <w:rFonts w:ascii="Calibri" w:hAnsi="Calibri" w:cs="Calibri"/>
                <w:b/>
                <w:bCs/>
              </w:rPr>
            </w:pPr>
            <w:r w:rsidRPr="00B52070">
              <w:rPr>
                <w:rFonts w:ascii="Calibri" w:hAnsi="Calibri" w:cs="Calibri"/>
                <w:b/>
                <w:bCs/>
              </w:rPr>
              <w:t>Free Cash Flow</w:t>
            </w:r>
          </w:p>
        </w:tc>
        <w:tc>
          <w:tcPr>
            <w:tcW w:w="1276" w:type="dxa"/>
            <w:tcBorders>
              <w:top w:val="single" w:sz="2" w:space="0" w:color="auto"/>
              <w:bottom w:val="single" w:sz="8" w:space="0" w:color="auto"/>
            </w:tcBorders>
          </w:tcPr>
          <w:p w14:paraId="07E5FE37" w14:textId="77777777" w:rsidR="00773F7B" w:rsidRPr="00B52070" w:rsidRDefault="00773F7B" w:rsidP="00773F7B">
            <w:pPr>
              <w:pStyle w:val="T2"/>
              <w:jc w:val="right"/>
              <w:rPr>
                <w:rFonts w:ascii="Calibri" w:hAnsi="Calibri" w:cs="Calibri"/>
                <w:b/>
                <w:bCs/>
              </w:rPr>
            </w:pPr>
            <w:r w:rsidRPr="00B52070">
              <w:rPr>
                <w:rFonts w:ascii="Calibri" w:hAnsi="Calibri" w:cs="Calibri"/>
                <w:b/>
                <w:bCs/>
              </w:rPr>
              <w:t>2.</w:t>
            </w:r>
            <w:r w:rsidR="00D24AE7" w:rsidRPr="00B52070">
              <w:rPr>
                <w:rFonts w:ascii="Calibri" w:hAnsi="Calibri" w:cs="Calibri"/>
                <w:b/>
                <w:bCs/>
              </w:rPr>
              <w:t>6</w:t>
            </w:r>
          </w:p>
        </w:tc>
        <w:tc>
          <w:tcPr>
            <w:tcW w:w="1276" w:type="dxa"/>
            <w:tcBorders>
              <w:top w:val="single" w:sz="2" w:space="0" w:color="auto"/>
              <w:bottom w:val="single" w:sz="8" w:space="0" w:color="auto"/>
            </w:tcBorders>
          </w:tcPr>
          <w:p w14:paraId="1D56361C" w14:textId="77777777" w:rsidR="00773F7B" w:rsidRPr="00B52070" w:rsidRDefault="00773F7B" w:rsidP="00773F7B">
            <w:pPr>
              <w:pStyle w:val="T2"/>
              <w:jc w:val="right"/>
              <w:rPr>
                <w:rFonts w:ascii="Calibri" w:hAnsi="Calibri" w:cs="Calibri"/>
                <w:b/>
                <w:bCs/>
              </w:rPr>
            </w:pPr>
            <w:r w:rsidRPr="00B52070">
              <w:rPr>
                <w:rFonts w:ascii="Calibri" w:hAnsi="Calibri" w:cs="Calibri"/>
                <w:b/>
                <w:bCs/>
              </w:rPr>
              <w:t>–</w:t>
            </w:r>
          </w:p>
        </w:tc>
        <w:tc>
          <w:tcPr>
            <w:tcW w:w="709" w:type="dxa"/>
            <w:tcBorders>
              <w:top w:val="single" w:sz="2" w:space="0" w:color="auto"/>
              <w:bottom w:val="single" w:sz="8" w:space="0" w:color="auto"/>
            </w:tcBorders>
          </w:tcPr>
          <w:p w14:paraId="0F669782" w14:textId="77777777" w:rsidR="00773F7B" w:rsidRPr="00B52070" w:rsidRDefault="00773F7B">
            <w:pPr>
              <w:pStyle w:val="T2"/>
              <w:jc w:val="right"/>
              <w:rPr>
                <w:rFonts w:ascii="Calibri" w:hAnsi="Calibri" w:cs="Calibri"/>
                <w:b/>
                <w:bCs/>
              </w:rPr>
            </w:pPr>
            <w:r w:rsidRPr="00B52070">
              <w:rPr>
                <w:rFonts w:ascii="Calibri" w:hAnsi="Calibri" w:cs="Calibri"/>
                <w:b/>
                <w:bCs/>
              </w:rPr>
              <w:t>2.</w:t>
            </w:r>
            <w:r w:rsidR="00D24AE7" w:rsidRPr="00B52070">
              <w:rPr>
                <w:rFonts w:ascii="Calibri" w:hAnsi="Calibri" w:cs="Calibri"/>
                <w:b/>
                <w:bCs/>
              </w:rPr>
              <w:t>6</w:t>
            </w:r>
          </w:p>
        </w:tc>
        <w:tc>
          <w:tcPr>
            <w:tcW w:w="1275" w:type="dxa"/>
            <w:tcBorders>
              <w:top w:val="single" w:sz="2" w:space="0" w:color="auto"/>
              <w:bottom w:val="single" w:sz="8" w:space="0" w:color="auto"/>
            </w:tcBorders>
            <w:vAlign w:val="bottom"/>
          </w:tcPr>
          <w:p w14:paraId="6DCF06B4" w14:textId="77777777" w:rsidR="00773F7B" w:rsidRPr="00B52070" w:rsidRDefault="00773F7B" w:rsidP="00773F7B">
            <w:pPr>
              <w:pStyle w:val="T2"/>
              <w:jc w:val="right"/>
              <w:rPr>
                <w:rFonts w:ascii="Calibri" w:hAnsi="Calibri" w:cs="Calibri"/>
                <w:b/>
                <w:bCs/>
              </w:rPr>
            </w:pPr>
            <w:r w:rsidRPr="00B52070">
              <w:rPr>
                <w:rFonts w:ascii="Calibri" w:hAnsi="Calibri" w:cs="Calibri"/>
                <w:b/>
                <w:bCs/>
              </w:rPr>
              <w:t>(7.2)</w:t>
            </w:r>
          </w:p>
        </w:tc>
        <w:tc>
          <w:tcPr>
            <w:tcW w:w="1276" w:type="dxa"/>
            <w:tcBorders>
              <w:top w:val="single" w:sz="2" w:space="0" w:color="auto"/>
              <w:bottom w:val="single" w:sz="8" w:space="0" w:color="auto"/>
            </w:tcBorders>
            <w:vAlign w:val="bottom"/>
          </w:tcPr>
          <w:p w14:paraId="3A41153C" w14:textId="77777777" w:rsidR="00773F7B" w:rsidRPr="00B52070" w:rsidRDefault="00773F7B" w:rsidP="00773F7B">
            <w:pPr>
              <w:pStyle w:val="T2"/>
              <w:jc w:val="right"/>
              <w:rPr>
                <w:rFonts w:ascii="Calibri" w:hAnsi="Calibri" w:cs="Calibri"/>
                <w:b/>
                <w:bCs/>
              </w:rPr>
            </w:pPr>
            <w:r w:rsidRPr="00B52070">
              <w:rPr>
                <w:rFonts w:ascii="Calibri" w:hAnsi="Calibri" w:cs="Calibri"/>
                <w:b/>
                <w:bCs/>
              </w:rPr>
              <w:t>(12.2)</w:t>
            </w:r>
          </w:p>
        </w:tc>
        <w:tc>
          <w:tcPr>
            <w:tcW w:w="851" w:type="dxa"/>
            <w:tcBorders>
              <w:top w:val="single" w:sz="2" w:space="0" w:color="auto"/>
              <w:bottom w:val="single" w:sz="8" w:space="0" w:color="auto"/>
            </w:tcBorders>
            <w:vAlign w:val="bottom"/>
          </w:tcPr>
          <w:p w14:paraId="6DD883B9" w14:textId="77777777" w:rsidR="00773F7B" w:rsidRPr="00B52070" w:rsidRDefault="00773F7B" w:rsidP="00773F7B">
            <w:pPr>
              <w:pStyle w:val="T2"/>
              <w:jc w:val="right"/>
              <w:rPr>
                <w:rFonts w:ascii="Calibri" w:hAnsi="Calibri" w:cs="Calibri"/>
                <w:b/>
                <w:bCs/>
              </w:rPr>
            </w:pPr>
            <w:r w:rsidRPr="00B52070">
              <w:rPr>
                <w:rFonts w:ascii="Calibri" w:hAnsi="Calibri" w:cs="Calibri"/>
                <w:b/>
                <w:bCs/>
              </w:rPr>
              <w:t>(19.4)</w:t>
            </w:r>
          </w:p>
        </w:tc>
      </w:tr>
    </w:tbl>
    <w:p w14:paraId="5FE8B141" w14:textId="77777777" w:rsidR="00000B37" w:rsidRDefault="00000B37" w:rsidP="00773F7B">
      <w:pPr>
        <w:pStyle w:val="Paragraph"/>
        <w:rPr>
          <w:b/>
        </w:rPr>
      </w:pPr>
    </w:p>
    <w:p w14:paraId="4595690A" w14:textId="66DA4DD4" w:rsidR="00773F7B" w:rsidRDefault="00773F7B" w:rsidP="00773F7B">
      <w:pPr>
        <w:pStyle w:val="Paragraph"/>
        <w:rPr>
          <w:b/>
        </w:rPr>
      </w:pPr>
      <w:r w:rsidRPr="00457332">
        <w:rPr>
          <w:b/>
        </w:rPr>
        <w:t>NET DEBT</w:t>
      </w:r>
      <w:r>
        <w:rPr>
          <w:b/>
        </w:rPr>
        <w:t xml:space="preserve"> AND NET DEBT EXCLUDING LEASE LIABILITIES</w:t>
      </w:r>
    </w:p>
    <w:p w14:paraId="0FEB7A0E" w14:textId="77777777" w:rsidR="00773F7B" w:rsidRDefault="00773F7B" w:rsidP="00773F7B">
      <w:pPr>
        <w:pStyle w:val="Paragraph"/>
        <w:jc w:val="both"/>
      </w:pPr>
      <w:r w:rsidRPr="00457332">
        <w:t>Net Debt is used by the Group to measure overall cash generation of the Group and to identify cash available to reduce borrowings</w:t>
      </w:r>
      <w:r>
        <w:t>. N</w:t>
      </w:r>
      <w:r w:rsidRPr="00457332">
        <w:t>et Debt comprises current and non</w:t>
      </w:r>
      <w:r>
        <w:t>–</w:t>
      </w:r>
      <w:r w:rsidRPr="00457332">
        <w:t>current borrowings less net cash and cash equivalents</w:t>
      </w:r>
      <w:r>
        <w:t>.</w:t>
      </w:r>
    </w:p>
    <w:p w14:paraId="57B62142" w14:textId="77777777" w:rsidR="00B41E40" w:rsidRDefault="00B41E40" w:rsidP="00665CB5">
      <w:pPr>
        <w:pStyle w:val="Paragraph"/>
        <w:jc w:val="both"/>
      </w:pPr>
      <w:r>
        <w:t>Net Debt excluding</w:t>
      </w:r>
      <w:r w:rsidRPr="004A2ED9">
        <w:t xml:space="preserve"> Lease</w:t>
      </w:r>
      <w:r>
        <w:t xml:space="preserve"> Liabilities</w:t>
      </w:r>
      <w:r w:rsidRPr="004A2ED9">
        <w:t xml:space="preserve"> is a measure used by the Group to measure Net De</w:t>
      </w:r>
      <w:r>
        <w:t xml:space="preserve">bt excluding the impact of IFRS 16 </w:t>
      </w:r>
      <w:r w:rsidRPr="00D63F20">
        <w:rPr>
          <w:i/>
          <w:iCs/>
        </w:rPr>
        <w:t>Leases</w:t>
      </w:r>
      <w:r>
        <w:t>. Net Debt excluding Lease Liabilities is used for the purpose of calculating leverage under the Groups financing agreements.</w:t>
      </w:r>
    </w:p>
    <w:p w14:paraId="0126C755" w14:textId="77777777" w:rsidR="00B41E40" w:rsidRDefault="00B41E40" w:rsidP="00B41E40">
      <w:pPr>
        <w:pStyle w:val="Paragraph"/>
        <w:jc w:val="both"/>
      </w:pPr>
      <w:r w:rsidRPr="00457332">
        <w:t>The following table sets out the calculation of Net Debt</w:t>
      </w:r>
      <w:r>
        <w:t xml:space="preserve"> excluding lease liabilities and Net Debt</w:t>
      </w:r>
      <w:r w:rsidRPr="0045733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992"/>
        <w:gridCol w:w="947"/>
      </w:tblGrid>
      <w:tr w:rsidR="00773F7B" w14:paraId="55613529" w14:textId="77777777" w:rsidTr="00773F7B">
        <w:tc>
          <w:tcPr>
            <w:tcW w:w="7797" w:type="dxa"/>
            <w:vAlign w:val="bottom"/>
          </w:tcPr>
          <w:p w14:paraId="47B9C000" w14:textId="77777777" w:rsidR="00773F7B" w:rsidRPr="00457332" w:rsidRDefault="00773F7B" w:rsidP="00773F7B">
            <w:pPr>
              <w:pStyle w:val="T2"/>
              <w:jc w:val="left"/>
            </w:pPr>
          </w:p>
        </w:tc>
        <w:tc>
          <w:tcPr>
            <w:tcW w:w="992" w:type="dxa"/>
            <w:vAlign w:val="bottom"/>
          </w:tcPr>
          <w:p w14:paraId="3C079BB7" w14:textId="77777777" w:rsidR="00773F7B" w:rsidRPr="000C1EBD" w:rsidRDefault="00773F7B" w:rsidP="00773F7B">
            <w:pPr>
              <w:pStyle w:val="T2"/>
              <w:jc w:val="right"/>
              <w:rPr>
                <w:b/>
              </w:rPr>
            </w:pPr>
            <w:r w:rsidRPr="000C1EBD">
              <w:rPr>
                <w:b/>
              </w:rPr>
              <w:t>Half year</w:t>
            </w:r>
            <w:r w:rsidRPr="000C1EBD">
              <w:rPr>
                <w:b/>
              </w:rPr>
              <w:br/>
              <w:t>20</w:t>
            </w:r>
            <w:r>
              <w:rPr>
                <w:b/>
              </w:rPr>
              <w:t>20</w:t>
            </w:r>
          </w:p>
        </w:tc>
        <w:tc>
          <w:tcPr>
            <w:tcW w:w="947" w:type="dxa"/>
            <w:vAlign w:val="bottom"/>
          </w:tcPr>
          <w:p w14:paraId="0AED8703" w14:textId="77777777" w:rsidR="00773F7B" w:rsidRPr="00457332" w:rsidRDefault="00773F7B" w:rsidP="00773F7B">
            <w:pPr>
              <w:pStyle w:val="T2"/>
              <w:jc w:val="right"/>
            </w:pPr>
            <w:r w:rsidRPr="00457332">
              <w:t>Half year</w:t>
            </w:r>
            <w:r w:rsidRPr="00457332">
              <w:br/>
              <w:t>201</w:t>
            </w:r>
            <w:r>
              <w:t>9</w:t>
            </w:r>
          </w:p>
        </w:tc>
      </w:tr>
      <w:tr w:rsidR="00773F7B" w14:paraId="40677ECA" w14:textId="77777777" w:rsidTr="00773F7B">
        <w:tc>
          <w:tcPr>
            <w:tcW w:w="7797" w:type="dxa"/>
            <w:tcBorders>
              <w:bottom w:val="single" w:sz="2" w:space="0" w:color="auto"/>
            </w:tcBorders>
            <w:vAlign w:val="bottom"/>
          </w:tcPr>
          <w:p w14:paraId="0D415325" w14:textId="77777777" w:rsidR="00773F7B" w:rsidRPr="00457332" w:rsidRDefault="00773F7B" w:rsidP="00773F7B">
            <w:pPr>
              <w:pStyle w:val="T2"/>
              <w:jc w:val="left"/>
            </w:pPr>
          </w:p>
        </w:tc>
        <w:tc>
          <w:tcPr>
            <w:tcW w:w="992" w:type="dxa"/>
            <w:tcBorders>
              <w:bottom w:val="single" w:sz="2" w:space="0" w:color="auto"/>
            </w:tcBorders>
            <w:vAlign w:val="bottom"/>
          </w:tcPr>
          <w:p w14:paraId="1E1F5F7A" w14:textId="77777777" w:rsidR="00773F7B" w:rsidRPr="000C1EBD" w:rsidRDefault="00773F7B" w:rsidP="00773F7B">
            <w:pPr>
              <w:pStyle w:val="T2"/>
              <w:jc w:val="right"/>
              <w:rPr>
                <w:b/>
              </w:rPr>
            </w:pPr>
            <w:r w:rsidRPr="000C1EBD">
              <w:rPr>
                <w:b/>
              </w:rPr>
              <w:t>£m</w:t>
            </w:r>
          </w:p>
        </w:tc>
        <w:tc>
          <w:tcPr>
            <w:tcW w:w="947" w:type="dxa"/>
            <w:tcBorders>
              <w:bottom w:val="single" w:sz="2" w:space="0" w:color="auto"/>
            </w:tcBorders>
            <w:vAlign w:val="bottom"/>
          </w:tcPr>
          <w:p w14:paraId="349E852A" w14:textId="77777777" w:rsidR="00773F7B" w:rsidRPr="00457332" w:rsidRDefault="00773F7B" w:rsidP="00773F7B">
            <w:pPr>
              <w:pStyle w:val="T2"/>
              <w:jc w:val="right"/>
            </w:pPr>
            <w:r w:rsidRPr="00457332">
              <w:t>£m</w:t>
            </w:r>
          </w:p>
        </w:tc>
      </w:tr>
      <w:tr w:rsidR="00773F7B" w14:paraId="7DD15EE8" w14:textId="77777777" w:rsidTr="00773F7B">
        <w:tc>
          <w:tcPr>
            <w:tcW w:w="7797" w:type="dxa"/>
            <w:vAlign w:val="bottom"/>
          </w:tcPr>
          <w:p w14:paraId="5D77DFC0" w14:textId="77777777" w:rsidR="00773F7B" w:rsidRPr="00457332" w:rsidRDefault="00773F7B" w:rsidP="00773F7B">
            <w:pPr>
              <w:pStyle w:val="T2"/>
              <w:jc w:val="left"/>
            </w:pPr>
            <w:r w:rsidRPr="00457332">
              <w:t xml:space="preserve">Cash </w:t>
            </w:r>
            <w:r>
              <w:t>and</w:t>
            </w:r>
            <w:r w:rsidRPr="00457332">
              <w:t xml:space="preserve"> cash equivalents</w:t>
            </w:r>
          </w:p>
        </w:tc>
        <w:tc>
          <w:tcPr>
            <w:tcW w:w="992" w:type="dxa"/>
            <w:vAlign w:val="bottom"/>
          </w:tcPr>
          <w:p w14:paraId="5ACFB6D1" w14:textId="77777777" w:rsidR="00773F7B" w:rsidRPr="00FC568F" w:rsidRDefault="00773F7B" w:rsidP="00773F7B">
            <w:pPr>
              <w:pStyle w:val="T2"/>
              <w:jc w:val="right"/>
              <w:rPr>
                <w:b/>
                <w:bCs/>
              </w:rPr>
            </w:pPr>
            <w:r w:rsidRPr="00FC568F">
              <w:rPr>
                <w:b/>
                <w:bCs/>
              </w:rPr>
              <w:t>34.5</w:t>
            </w:r>
          </w:p>
        </w:tc>
        <w:tc>
          <w:tcPr>
            <w:tcW w:w="947" w:type="dxa"/>
            <w:vAlign w:val="bottom"/>
          </w:tcPr>
          <w:p w14:paraId="6DA5699B" w14:textId="77777777" w:rsidR="00773F7B" w:rsidRPr="0096767F" w:rsidRDefault="00773F7B" w:rsidP="00773F7B">
            <w:pPr>
              <w:pStyle w:val="T2"/>
              <w:jc w:val="right"/>
              <w:rPr>
                <w:bCs/>
              </w:rPr>
            </w:pPr>
            <w:r w:rsidRPr="0096767F">
              <w:rPr>
                <w:bCs/>
              </w:rPr>
              <w:t>15.5</w:t>
            </w:r>
          </w:p>
        </w:tc>
      </w:tr>
      <w:tr w:rsidR="00773F7B" w14:paraId="4C1CFCCA" w14:textId="77777777" w:rsidTr="00773F7B">
        <w:tc>
          <w:tcPr>
            <w:tcW w:w="7797" w:type="dxa"/>
            <w:vAlign w:val="bottom"/>
          </w:tcPr>
          <w:p w14:paraId="6432F75F" w14:textId="77777777" w:rsidR="00773F7B" w:rsidRPr="00457332" w:rsidRDefault="00773F7B" w:rsidP="00773F7B">
            <w:pPr>
              <w:pStyle w:val="T2"/>
              <w:jc w:val="left"/>
            </w:pPr>
            <w:r w:rsidRPr="00457332">
              <w:t>Bank borrowings</w:t>
            </w:r>
          </w:p>
        </w:tc>
        <w:tc>
          <w:tcPr>
            <w:tcW w:w="992" w:type="dxa"/>
            <w:vAlign w:val="bottom"/>
          </w:tcPr>
          <w:p w14:paraId="1248D28D" w14:textId="77777777" w:rsidR="00773F7B" w:rsidRPr="00FC568F" w:rsidRDefault="00773F7B" w:rsidP="00773F7B">
            <w:pPr>
              <w:pStyle w:val="T2"/>
              <w:jc w:val="right"/>
              <w:rPr>
                <w:b/>
                <w:bCs/>
              </w:rPr>
            </w:pPr>
            <w:r w:rsidRPr="00FC568F">
              <w:rPr>
                <w:b/>
                <w:bCs/>
              </w:rPr>
              <w:t>(230.7)</w:t>
            </w:r>
          </w:p>
        </w:tc>
        <w:tc>
          <w:tcPr>
            <w:tcW w:w="947" w:type="dxa"/>
            <w:vAlign w:val="bottom"/>
          </w:tcPr>
          <w:p w14:paraId="0EC2394D" w14:textId="77777777" w:rsidR="00773F7B" w:rsidRPr="00457332" w:rsidRDefault="00773F7B" w:rsidP="00773F7B">
            <w:pPr>
              <w:pStyle w:val="T2"/>
              <w:jc w:val="right"/>
            </w:pPr>
            <w:r w:rsidRPr="0096767F">
              <w:rPr>
                <w:bCs/>
              </w:rPr>
              <w:t>(189.0)</w:t>
            </w:r>
          </w:p>
        </w:tc>
      </w:tr>
      <w:tr w:rsidR="00773F7B" w14:paraId="4C169C81" w14:textId="77777777" w:rsidTr="00773F7B">
        <w:tc>
          <w:tcPr>
            <w:tcW w:w="7797" w:type="dxa"/>
            <w:vAlign w:val="bottom"/>
          </w:tcPr>
          <w:p w14:paraId="0F1AA59B" w14:textId="77777777" w:rsidR="00773F7B" w:rsidRPr="00457332" w:rsidRDefault="00773F7B" w:rsidP="00773F7B">
            <w:pPr>
              <w:pStyle w:val="T2"/>
              <w:jc w:val="left"/>
            </w:pPr>
            <w:r w:rsidRPr="00457332">
              <w:t>Private Placement Notes</w:t>
            </w:r>
          </w:p>
        </w:tc>
        <w:tc>
          <w:tcPr>
            <w:tcW w:w="992" w:type="dxa"/>
            <w:vAlign w:val="bottom"/>
          </w:tcPr>
          <w:p w14:paraId="0C4FE515" w14:textId="77777777" w:rsidR="00773F7B" w:rsidRPr="00FC568F" w:rsidRDefault="00773F7B" w:rsidP="00773F7B">
            <w:pPr>
              <w:pStyle w:val="T2"/>
              <w:jc w:val="right"/>
              <w:rPr>
                <w:b/>
                <w:bCs/>
              </w:rPr>
            </w:pPr>
            <w:r w:rsidRPr="00FC568F">
              <w:rPr>
                <w:b/>
                <w:bCs/>
              </w:rPr>
              <w:t>(114.9)</w:t>
            </w:r>
          </w:p>
        </w:tc>
        <w:tc>
          <w:tcPr>
            <w:tcW w:w="947" w:type="dxa"/>
            <w:vAlign w:val="bottom"/>
          </w:tcPr>
          <w:p w14:paraId="70140BD3" w14:textId="77777777" w:rsidR="00773F7B" w:rsidRPr="00457332" w:rsidRDefault="00773F7B" w:rsidP="00773F7B">
            <w:pPr>
              <w:pStyle w:val="T2"/>
              <w:jc w:val="right"/>
            </w:pPr>
            <w:r w:rsidRPr="0096767F">
              <w:rPr>
                <w:bCs/>
              </w:rPr>
              <w:t>(110.6)</w:t>
            </w:r>
          </w:p>
        </w:tc>
      </w:tr>
      <w:tr w:rsidR="00773F7B" w14:paraId="152B770E" w14:textId="77777777" w:rsidTr="00773F7B">
        <w:tc>
          <w:tcPr>
            <w:tcW w:w="7797" w:type="dxa"/>
            <w:tcBorders>
              <w:top w:val="single" w:sz="2" w:space="0" w:color="auto"/>
            </w:tcBorders>
            <w:vAlign w:val="bottom"/>
          </w:tcPr>
          <w:p w14:paraId="1A7EEEA3" w14:textId="77777777" w:rsidR="00773F7B" w:rsidRPr="001D58B5" w:rsidRDefault="00773F7B">
            <w:pPr>
              <w:pStyle w:val="T2"/>
              <w:jc w:val="left"/>
              <w:rPr>
                <w:b/>
              </w:rPr>
            </w:pPr>
            <w:r>
              <w:rPr>
                <w:b/>
              </w:rPr>
              <w:t>Net debt excluding lease</w:t>
            </w:r>
            <w:r w:rsidR="0068359D">
              <w:rPr>
                <w:b/>
              </w:rPr>
              <w:t xml:space="preserve"> liabilities</w:t>
            </w:r>
          </w:p>
        </w:tc>
        <w:tc>
          <w:tcPr>
            <w:tcW w:w="992" w:type="dxa"/>
            <w:tcBorders>
              <w:top w:val="single" w:sz="2" w:space="0" w:color="auto"/>
            </w:tcBorders>
            <w:vAlign w:val="bottom"/>
          </w:tcPr>
          <w:p w14:paraId="12959AAA" w14:textId="77777777" w:rsidR="00773F7B" w:rsidRPr="00FC568F" w:rsidRDefault="00773F7B" w:rsidP="00773F7B">
            <w:pPr>
              <w:pStyle w:val="T2"/>
              <w:jc w:val="right"/>
              <w:rPr>
                <w:b/>
                <w:bCs/>
              </w:rPr>
            </w:pPr>
            <w:r>
              <w:rPr>
                <w:b/>
                <w:bCs/>
              </w:rPr>
              <w:t>(311.1</w:t>
            </w:r>
            <w:r w:rsidRPr="00FC568F">
              <w:rPr>
                <w:b/>
                <w:bCs/>
              </w:rPr>
              <w:t>)</w:t>
            </w:r>
          </w:p>
        </w:tc>
        <w:tc>
          <w:tcPr>
            <w:tcW w:w="947" w:type="dxa"/>
            <w:tcBorders>
              <w:top w:val="single" w:sz="2" w:space="0" w:color="auto"/>
            </w:tcBorders>
            <w:vAlign w:val="bottom"/>
          </w:tcPr>
          <w:p w14:paraId="105B2F1F" w14:textId="77777777" w:rsidR="00773F7B" w:rsidRPr="00457332" w:rsidRDefault="00773F7B" w:rsidP="00773F7B">
            <w:pPr>
              <w:pStyle w:val="T2"/>
              <w:jc w:val="right"/>
            </w:pPr>
            <w:r>
              <w:rPr>
                <w:bCs/>
              </w:rPr>
              <w:t>(284.1</w:t>
            </w:r>
            <w:r w:rsidRPr="0096767F">
              <w:rPr>
                <w:bCs/>
              </w:rPr>
              <w:t>)</w:t>
            </w:r>
          </w:p>
        </w:tc>
      </w:tr>
      <w:tr w:rsidR="00773F7B" w14:paraId="581F57B7" w14:textId="77777777" w:rsidTr="00773F7B">
        <w:tc>
          <w:tcPr>
            <w:tcW w:w="7797" w:type="dxa"/>
            <w:tcBorders>
              <w:bottom w:val="single" w:sz="2" w:space="0" w:color="auto"/>
            </w:tcBorders>
            <w:vAlign w:val="bottom"/>
          </w:tcPr>
          <w:p w14:paraId="3F830FCE" w14:textId="77777777" w:rsidR="00773F7B" w:rsidRPr="00457332" w:rsidRDefault="00773F7B" w:rsidP="00773F7B">
            <w:pPr>
              <w:pStyle w:val="T2"/>
              <w:jc w:val="left"/>
            </w:pPr>
            <w:r>
              <w:t>Lease Liabilities</w:t>
            </w:r>
          </w:p>
        </w:tc>
        <w:tc>
          <w:tcPr>
            <w:tcW w:w="992" w:type="dxa"/>
            <w:tcBorders>
              <w:bottom w:val="single" w:sz="2" w:space="0" w:color="auto"/>
            </w:tcBorders>
            <w:vAlign w:val="bottom"/>
          </w:tcPr>
          <w:p w14:paraId="220222C3" w14:textId="77777777" w:rsidR="00773F7B" w:rsidRPr="00FC568F" w:rsidRDefault="00773F7B" w:rsidP="00773F7B">
            <w:pPr>
              <w:pStyle w:val="T2"/>
              <w:jc w:val="right"/>
              <w:rPr>
                <w:b/>
                <w:bCs/>
              </w:rPr>
            </w:pPr>
            <w:r>
              <w:rPr>
                <w:b/>
                <w:bCs/>
              </w:rPr>
              <w:t>(63.3</w:t>
            </w:r>
            <w:r w:rsidRPr="00FC568F">
              <w:rPr>
                <w:b/>
                <w:bCs/>
              </w:rPr>
              <w:t>)</w:t>
            </w:r>
          </w:p>
        </w:tc>
        <w:tc>
          <w:tcPr>
            <w:tcW w:w="947" w:type="dxa"/>
            <w:tcBorders>
              <w:bottom w:val="single" w:sz="2" w:space="0" w:color="auto"/>
            </w:tcBorders>
            <w:vAlign w:val="bottom"/>
          </w:tcPr>
          <w:p w14:paraId="46FC4CE9" w14:textId="77777777" w:rsidR="00773F7B" w:rsidRPr="00457332" w:rsidRDefault="00773F7B" w:rsidP="00773F7B">
            <w:pPr>
              <w:pStyle w:val="T2"/>
              <w:jc w:val="right"/>
            </w:pPr>
            <w:r w:rsidRPr="0096767F">
              <w:rPr>
                <w:bCs/>
              </w:rPr>
              <w:t>–</w:t>
            </w:r>
          </w:p>
        </w:tc>
      </w:tr>
      <w:tr w:rsidR="00773F7B" w14:paraId="17C189C3" w14:textId="77777777" w:rsidTr="00773F7B">
        <w:tc>
          <w:tcPr>
            <w:tcW w:w="7797" w:type="dxa"/>
            <w:tcBorders>
              <w:top w:val="single" w:sz="2" w:space="0" w:color="auto"/>
              <w:bottom w:val="single" w:sz="8" w:space="0" w:color="auto"/>
            </w:tcBorders>
            <w:vAlign w:val="bottom"/>
          </w:tcPr>
          <w:p w14:paraId="4574F5DA" w14:textId="77777777" w:rsidR="00773F7B" w:rsidRPr="00141317" w:rsidRDefault="00773F7B" w:rsidP="00773F7B">
            <w:pPr>
              <w:pStyle w:val="T2"/>
              <w:jc w:val="left"/>
              <w:rPr>
                <w:b/>
              </w:rPr>
            </w:pPr>
            <w:r w:rsidRPr="00141317">
              <w:rPr>
                <w:b/>
              </w:rPr>
              <w:t>Net Debt</w:t>
            </w:r>
          </w:p>
        </w:tc>
        <w:tc>
          <w:tcPr>
            <w:tcW w:w="992" w:type="dxa"/>
            <w:tcBorders>
              <w:top w:val="single" w:sz="2" w:space="0" w:color="auto"/>
              <w:bottom w:val="single" w:sz="8" w:space="0" w:color="auto"/>
            </w:tcBorders>
            <w:vAlign w:val="bottom"/>
          </w:tcPr>
          <w:p w14:paraId="33087507" w14:textId="77777777" w:rsidR="00773F7B" w:rsidRPr="00FC568F" w:rsidRDefault="00773F7B" w:rsidP="00773F7B">
            <w:pPr>
              <w:pStyle w:val="T2"/>
              <w:jc w:val="right"/>
              <w:rPr>
                <w:b/>
                <w:bCs/>
              </w:rPr>
            </w:pPr>
            <w:r>
              <w:rPr>
                <w:b/>
                <w:bCs/>
              </w:rPr>
              <w:t>(374.4)</w:t>
            </w:r>
          </w:p>
        </w:tc>
        <w:tc>
          <w:tcPr>
            <w:tcW w:w="947" w:type="dxa"/>
            <w:tcBorders>
              <w:top w:val="single" w:sz="2" w:space="0" w:color="auto"/>
              <w:bottom w:val="single" w:sz="8" w:space="0" w:color="auto"/>
            </w:tcBorders>
            <w:vAlign w:val="bottom"/>
          </w:tcPr>
          <w:p w14:paraId="667E564C" w14:textId="77777777" w:rsidR="00773F7B" w:rsidRPr="00457332" w:rsidRDefault="00773F7B" w:rsidP="00773F7B">
            <w:pPr>
              <w:pStyle w:val="T2"/>
              <w:jc w:val="right"/>
            </w:pPr>
            <w:r w:rsidRPr="0096767F">
              <w:rPr>
                <w:bCs/>
              </w:rPr>
              <w:t>(284.1)</w:t>
            </w:r>
          </w:p>
        </w:tc>
      </w:tr>
    </w:tbl>
    <w:p w14:paraId="76CEC3BF" w14:textId="77777777" w:rsidR="00773F7B" w:rsidRDefault="00773F7B" w:rsidP="00773F7B">
      <w:pPr>
        <w:pStyle w:val="Paragraph"/>
        <w:rPr>
          <w:b/>
        </w:rPr>
      </w:pPr>
    </w:p>
    <w:p w14:paraId="75386248" w14:textId="77777777" w:rsidR="00773F7B" w:rsidRDefault="00773F7B" w:rsidP="00773F7B">
      <w:pPr>
        <w:pStyle w:val="Paragraph"/>
        <w:rPr>
          <w:b/>
        </w:rPr>
      </w:pPr>
      <w:r w:rsidRPr="00B66A87">
        <w:rPr>
          <w:b/>
        </w:rPr>
        <w:t>RETURN ON INVESTED CAPITAL (‘ROIC’)</w:t>
      </w:r>
    </w:p>
    <w:p w14:paraId="0F1F5394" w14:textId="77777777" w:rsidR="00773F7B" w:rsidRDefault="00773F7B" w:rsidP="00773F7B">
      <w:pPr>
        <w:pStyle w:val="Paragraph"/>
        <w:jc w:val="both"/>
      </w:pPr>
      <w:r>
        <w:t xml:space="preserve">The Group uses ROIC as a key measure to determine returns from each business unit, along with the measurements of potential new investments. </w:t>
      </w:r>
    </w:p>
    <w:p w14:paraId="3FD60C23" w14:textId="77777777" w:rsidR="00773F7B" w:rsidRDefault="00773F7B" w:rsidP="00773F7B">
      <w:pPr>
        <w:pStyle w:val="Paragraph"/>
        <w:jc w:val="both"/>
      </w:pPr>
      <w:r>
        <w:t xml:space="preserve">The Group uses invested capital as a basis for this calculation as it reflects the tangible and intangible assets the Group has added through its capital investment programme, the intangible assets the Group has added through acquisition, as well as the working capital requirements of the business. </w:t>
      </w:r>
      <w:r w:rsidRPr="000C1EBD">
        <w:t xml:space="preserve">Invested Capital is calculated as net assets (total assets less total liabilities) excluding Net Debt and the </w:t>
      </w:r>
      <w:r>
        <w:t>carrying value of</w:t>
      </w:r>
      <w:r w:rsidRPr="000C1EBD">
        <w:t xml:space="preserve"> derivatives not designated as fair value hedges, it also excludes retirement benefit obligations (net of deferred tax assets). Average Invested Capital is calculated by adding together the invested capital from the opening and closing balance sheet and dividing by two.</w:t>
      </w:r>
    </w:p>
    <w:p w14:paraId="119C7D79" w14:textId="77777777" w:rsidR="00773F7B" w:rsidRDefault="00773F7B" w:rsidP="00773F7B">
      <w:pPr>
        <w:pStyle w:val="Paragraph"/>
        <w:jc w:val="both"/>
      </w:pPr>
      <w:r w:rsidRPr="000C1EBD">
        <w:t xml:space="preserve">The Group calculates ROIC as </w:t>
      </w:r>
      <w:r>
        <w:t>N</w:t>
      </w:r>
      <w:r w:rsidRPr="000C1EBD">
        <w:t xml:space="preserve">et Adjusted Operating Profit </w:t>
      </w:r>
      <w:r>
        <w:t>A</w:t>
      </w:r>
      <w:r w:rsidRPr="000C1EBD">
        <w:t xml:space="preserve">fter </w:t>
      </w:r>
      <w:r>
        <w:t>T</w:t>
      </w:r>
      <w:r w:rsidRPr="000C1EBD">
        <w:t xml:space="preserve">ax (‘NOPAT’) divided by average </w:t>
      </w:r>
      <w:r>
        <w:t>I</w:t>
      </w:r>
      <w:r w:rsidRPr="000C1EBD">
        <w:t xml:space="preserve">nvested </w:t>
      </w:r>
      <w:r>
        <w:t>C</w:t>
      </w:r>
      <w:r w:rsidRPr="000C1EBD">
        <w:t xml:space="preserve">apital for continuing operations. NOPAT is calculated as Adjusted Operating Profit plus share of profit of associates before tax, less tax at the effective rate in the Income Statement. </w:t>
      </w:r>
    </w:p>
    <w:p w14:paraId="3B864DDE" w14:textId="77777777" w:rsidR="00773F7B" w:rsidRDefault="00773F7B" w:rsidP="00773F7B">
      <w:pPr>
        <w:pStyle w:val="Paragraph"/>
        <w:jc w:val="both"/>
      </w:pPr>
      <w:r w:rsidRPr="000C1EBD">
        <w:t xml:space="preserve">The following table sets forth the calculation of </w:t>
      </w:r>
      <w:r>
        <w:t>N</w:t>
      </w:r>
      <w:r w:rsidRPr="000C1EBD">
        <w:t xml:space="preserve">et </w:t>
      </w:r>
      <w:r>
        <w:t>O</w:t>
      </w:r>
      <w:r w:rsidRPr="000C1EBD">
        <w:t xml:space="preserve">perating </w:t>
      </w:r>
      <w:r>
        <w:t>P</w:t>
      </w:r>
      <w:r w:rsidRPr="000C1EBD">
        <w:t xml:space="preserve">rofit </w:t>
      </w:r>
      <w:r>
        <w:t>A</w:t>
      </w:r>
      <w:r w:rsidRPr="000C1EBD">
        <w:t xml:space="preserve">fter </w:t>
      </w:r>
      <w:r>
        <w:t>T</w:t>
      </w:r>
      <w:r w:rsidRPr="000C1EBD">
        <w:t>ax (‘NOPAT’) and invested capital used in the calculation of ROIC for the financial years.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8"/>
        <w:gridCol w:w="1417"/>
        <w:gridCol w:w="1276"/>
      </w:tblGrid>
      <w:tr w:rsidR="00773F7B" w14:paraId="7ED93E54" w14:textId="77777777" w:rsidTr="00773F7B">
        <w:tc>
          <w:tcPr>
            <w:tcW w:w="7088" w:type="dxa"/>
            <w:vAlign w:val="bottom"/>
          </w:tcPr>
          <w:p w14:paraId="2A661F5B" w14:textId="77777777" w:rsidR="00773F7B" w:rsidRPr="00DF121E" w:rsidRDefault="00773F7B" w:rsidP="00773F7B">
            <w:pPr>
              <w:pStyle w:val="T2"/>
              <w:jc w:val="left"/>
            </w:pPr>
          </w:p>
        </w:tc>
        <w:tc>
          <w:tcPr>
            <w:tcW w:w="1417" w:type="dxa"/>
          </w:tcPr>
          <w:p w14:paraId="2ACDBA81" w14:textId="77777777" w:rsidR="00773F7B" w:rsidRPr="00DF121E" w:rsidRDefault="00773F7B" w:rsidP="00773F7B">
            <w:pPr>
              <w:pStyle w:val="T2"/>
              <w:jc w:val="right"/>
              <w:rPr>
                <w:b/>
              </w:rPr>
            </w:pPr>
            <w:r w:rsidRPr="00DF121E">
              <w:rPr>
                <w:b/>
              </w:rPr>
              <w:t>12 months to</w:t>
            </w:r>
            <w:r w:rsidRPr="00DF121E">
              <w:rPr>
                <w:b/>
              </w:rPr>
              <w:br/>
              <w:t>March 20</w:t>
            </w:r>
            <w:r>
              <w:rPr>
                <w:b/>
              </w:rPr>
              <w:t>20</w:t>
            </w:r>
          </w:p>
        </w:tc>
        <w:tc>
          <w:tcPr>
            <w:tcW w:w="1276" w:type="dxa"/>
          </w:tcPr>
          <w:p w14:paraId="3178B58A" w14:textId="77777777" w:rsidR="00773F7B" w:rsidRPr="00DF121E" w:rsidRDefault="00773F7B" w:rsidP="00773F7B">
            <w:pPr>
              <w:pStyle w:val="T2"/>
              <w:jc w:val="right"/>
            </w:pPr>
            <w:r w:rsidRPr="00DF121E">
              <w:t>12 months to</w:t>
            </w:r>
            <w:r w:rsidRPr="00DF121E">
              <w:br/>
              <w:t>March 201</w:t>
            </w:r>
            <w:r>
              <w:t>9</w:t>
            </w:r>
          </w:p>
        </w:tc>
      </w:tr>
      <w:tr w:rsidR="00773F7B" w14:paraId="62807A88" w14:textId="77777777" w:rsidTr="00773F7B">
        <w:tc>
          <w:tcPr>
            <w:tcW w:w="7088" w:type="dxa"/>
            <w:tcBorders>
              <w:bottom w:val="single" w:sz="2" w:space="0" w:color="auto"/>
            </w:tcBorders>
            <w:vAlign w:val="bottom"/>
          </w:tcPr>
          <w:p w14:paraId="6F391C7E" w14:textId="77777777" w:rsidR="00773F7B" w:rsidRPr="00DF121E" w:rsidRDefault="00773F7B" w:rsidP="00773F7B">
            <w:pPr>
              <w:pStyle w:val="T2"/>
              <w:jc w:val="left"/>
            </w:pPr>
          </w:p>
        </w:tc>
        <w:tc>
          <w:tcPr>
            <w:tcW w:w="1417" w:type="dxa"/>
            <w:tcBorders>
              <w:bottom w:val="single" w:sz="2" w:space="0" w:color="auto"/>
            </w:tcBorders>
          </w:tcPr>
          <w:p w14:paraId="7D06F0E6" w14:textId="77777777" w:rsidR="00773F7B" w:rsidRPr="00DF121E" w:rsidRDefault="00773F7B" w:rsidP="00773F7B">
            <w:pPr>
              <w:pStyle w:val="T2"/>
              <w:jc w:val="right"/>
              <w:rPr>
                <w:b/>
              </w:rPr>
            </w:pPr>
            <w:r w:rsidRPr="00DF121E">
              <w:rPr>
                <w:b/>
              </w:rPr>
              <w:t>£m</w:t>
            </w:r>
          </w:p>
        </w:tc>
        <w:tc>
          <w:tcPr>
            <w:tcW w:w="1276" w:type="dxa"/>
            <w:tcBorders>
              <w:bottom w:val="single" w:sz="2" w:space="0" w:color="auto"/>
            </w:tcBorders>
          </w:tcPr>
          <w:p w14:paraId="0E54B3C0" w14:textId="77777777" w:rsidR="00773F7B" w:rsidRPr="00DF121E" w:rsidRDefault="00773F7B" w:rsidP="00773F7B">
            <w:pPr>
              <w:pStyle w:val="T2"/>
              <w:jc w:val="right"/>
            </w:pPr>
            <w:r w:rsidRPr="00DF121E">
              <w:t>£m</w:t>
            </w:r>
          </w:p>
        </w:tc>
      </w:tr>
      <w:tr w:rsidR="00773F7B" w14:paraId="5B5743E0" w14:textId="77777777" w:rsidTr="00773F7B">
        <w:tc>
          <w:tcPr>
            <w:tcW w:w="7088" w:type="dxa"/>
            <w:tcBorders>
              <w:top w:val="single" w:sz="2" w:space="0" w:color="auto"/>
            </w:tcBorders>
            <w:vAlign w:val="bottom"/>
          </w:tcPr>
          <w:p w14:paraId="75E98C91" w14:textId="77777777" w:rsidR="00773F7B" w:rsidRPr="00246A66" w:rsidRDefault="00773F7B" w:rsidP="00773F7B">
            <w:pPr>
              <w:pStyle w:val="T2"/>
              <w:jc w:val="left"/>
              <w:rPr>
                <w:b/>
              </w:rPr>
            </w:pPr>
            <w:r w:rsidRPr="00246A66">
              <w:rPr>
                <w:b/>
              </w:rPr>
              <w:t>Adjusted Operating Profit</w:t>
            </w:r>
          </w:p>
        </w:tc>
        <w:tc>
          <w:tcPr>
            <w:tcW w:w="1417" w:type="dxa"/>
            <w:tcBorders>
              <w:top w:val="single" w:sz="2" w:space="0" w:color="auto"/>
            </w:tcBorders>
          </w:tcPr>
          <w:p w14:paraId="1BC29CBA" w14:textId="77777777" w:rsidR="00773F7B" w:rsidRPr="00DF121E" w:rsidRDefault="00773F7B" w:rsidP="00773F7B">
            <w:pPr>
              <w:pStyle w:val="T2"/>
              <w:jc w:val="right"/>
              <w:rPr>
                <w:b/>
              </w:rPr>
            </w:pPr>
            <w:r>
              <w:rPr>
                <w:b/>
              </w:rPr>
              <w:t>99.1</w:t>
            </w:r>
          </w:p>
        </w:tc>
        <w:tc>
          <w:tcPr>
            <w:tcW w:w="1276" w:type="dxa"/>
            <w:tcBorders>
              <w:top w:val="single" w:sz="2" w:space="0" w:color="auto"/>
            </w:tcBorders>
          </w:tcPr>
          <w:p w14:paraId="14033D67" w14:textId="77777777" w:rsidR="00773F7B" w:rsidRPr="00DF121E" w:rsidRDefault="00773F7B" w:rsidP="00773F7B">
            <w:pPr>
              <w:pStyle w:val="T2"/>
              <w:jc w:val="right"/>
            </w:pPr>
            <w:r>
              <w:t>105.0</w:t>
            </w:r>
          </w:p>
        </w:tc>
      </w:tr>
      <w:tr w:rsidR="00773F7B" w14:paraId="7408632C" w14:textId="77777777" w:rsidTr="00773F7B">
        <w:tc>
          <w:tcPr>
            <w:tcW w:w="7088" w:type="dxa"/>
            <w:vAlign w:val="bottom"/>
          </w:tcPr>
          <w:p w14:paraId="3DD3CFB4" w14:textId="77777777" w:rsidR="00773F7B" w:rsidRPr="00DF121E" w:rsidRDefault="00773F7B" w:rsidP="00773F7B">
            <w:pPr>
              <w:pStyle w:val="T2"/>
              <w:jc w:val="left"/>
            </w:pPr>
            <w:r w:rsidRPr="00DF121E">
              <w:lastRenderedPageBreak/>
              <w:t>Share of profit of associates before tax</w:t>
            </w:r>
          </w:p>
        </w:tc>
        <w:tc>
          <w:tcPr>
            <w:tcW w:w="1417" w:type="dxa"/>
          </w:tcPr>
          <w:p w14:paraId="01D3F261" w14:textId="77777777" w:rsidR="00773F7B" w:rsidRPr="00DF121E" w:rsidRDefault="00773F7B" w:rsidP="00773F7B">
            <w:pPr>
              <w:pStyle w:val="T2"/>
              <w:jc w:val="right"/>
              <w:rPr>
                <w:b/>
              </w:rPr>
            </w:pPr>
            <w:r>
              <w:rPr>
                <w:b/>
              </w:rPr>
              <w:t>0.9</w:t>
            </w:r>
          </w:p>
        </w:tc>
        <w:tc>
          <w:tcPr>
            <w:tcW w:w="1276" w:type="dxa"/>
          </w:tcPr>
          <w:p w14:paraId="3B061961" w14:textId="77777777" w:rsidR="00773F7B" w:rsidRPr="00DF121E" w:rsidRDefault="00773F7B" w:rsidP="00773F7B">
            <w:pPr>
              <w:pStyle w:val="T2"/>
              <w:jc w:val="right"/>
            </w:pPr>
            <w:r>
              <w:t>1.2</w:t>
            </w:r>
          </w:p>
        </w:tc>
      </w:tr>
      <w:tr w:rsidR="00773F7B" w14:paraId="47D4B89B" w14:textId="77777777" w:rsidTr="00773F7B">
        <w:tc>
          <w:tcPr>
            <w:tcW w:w="7088" w:type="dxa"/>
            <w:tcBorders>
              <w:bottom w:val="single" w:sz="2" w:space="0" w:color="auto"/>
            </w:tcBorders>
            <w:vAlign w:val="bottom"/>
          </w:tcPr>
          <w:p w14:paraId="00D18407" w14:textId="77777777" w:rsidR="00773F7B" w:rsidRPr="00DF121E" w:rsidRDefault="00773F7B" w:rsidP="00773F7B">
            <w:pPr>
              <w:pStyle w:val="T2"/>
              <w:jc w:val="left"/>
            </w:pPr>
            <w:r w:rsidRPr="00DF121E">
              <w:t>Taxation at the effective tax rate</w:t>
            </w:r>
            <w:r w:rsidRPr="00A96D81">
              <w:rPr>
                <w:vertAlign w:val="superscript"/>
              </w:rPr>
              <w:t>(</w:t>
            </w:r>
            <w:r>
              <w:rPr>
                <w:vertAlign w:val="superscript"/>
              </w:rPr>
              <w:t>A</w:t>
            </w:r>
            <w:r w:rsidRPr="00A96D81">
              <w:rPr>
                <w:vertAlign w:val="superscript"/>
              </w:rPr>
              <w:t xml:space="preserve">) </w:t>
            </w:r>
          </w:p>
        </w:tc>
        <w:tc>
          <w:tcPr>
            <w:tcW w:w="1417" w:type="dxa"/>
            <w:tcBorders>
              <w:bottom w:val="single" w:sz="2" w:space="0" w:color="auto"/>
            </w:tcBorders>
          </w:tcPr>
          <w:p w14:paraId="00C2A988" w14:textId="77777777" w:rsidR="00773F7B" w:rsidRPr="00DF121E" w:rsidRDefault="00773F7B" w:rsidP="00773F7B">
            <w:pPr>
              <w:pStyle w:val="T2"/>
              <w:jc w:val="right"/>
              <w:rPr>
                <w:b/>
              </w:rPr>
            </w:pPr>
            <w:r>
              <w:rPr>
                <w:b/>
              </w:rPr>
              <w:t>(14.2)</w:t>
            </w:r>
          </w:p>
        </w:tc>
        <w:tc>
          <w:tcPr>
            <w:tcW w:w="1276" w:type="dxa"/>
            <w:tcBorders>
              <w:bottom w:val="single" w:sz="2" w:space="0" w:color="auto"/>
            </w:tcBorders>
          </w:tcPr>
          <w:p w14:paraId="46EE8798" w14:textId="77777777" w:rsidR="00773F7B" w:rsidRPr="00DF121E" w:rsidRDefault="00773F7B" w:rsidP="00773F7B">
            <w:pPr>
              <w:pStyle w:val="T2"/>
              <w:jc w:val="right"/>
            </w:pPr>
            <w:r>
              <w:t>(14.6)</w:t>
            </w:r>
          </w:p>
        </w:tc>
      </w:tr>
      <w:tr w:rsidR="00773F7B" w14:paraId="6AEDB41A" w14:textId="77777777" w:rsidTr="00773F7B">
        <w:tc>
          <w:tcPr>
            <w:tcW w:w="7088" w:type="dxa"/>
            <w:tcBorders>
              <w:top w:val="single" w:sz="2" w:space="0" w:color="auto"/>
              <w:bottom w:val="single" w:sz="8" w:space="0" w:color="auto"/>
            </w:tcBorders>
            <w:vAlign w:val="bottom"/>
          </w:tcPr>
          <w:p w14:paraId="46BAF07E" w14:textId="77777777" w:rsidR="00773F7B" w:rsidRPr="00246A66" w:rsidRDefault="00773F7B" w:rsidP="00773F7B">
            <w:pPr>
              <w:pStyle w:val="T2"/>
              <w:jc w:val="left"/>
              <w:rPr>
                <w:b/>
              </w:rPr>
            </w:pPr>
            <w:r>
              <w:rPr>
                <w:b/>
              </w:rPr>
              <w:t xml:space="preserve">Group </w:t>
            </w:r>
            <w:r w:rsidRPr="00246A66">
              <w:rPr>
                <w:b/>
              </w:rPr>
              <w:t>NOPAT</w:t>
            </w:r>
          </w:p>
        </w:tc>
        <w:tc>
          <w:tcPr>
            <w:tcW w:w="1417" w:type="dxa"/>
            <w:tcBorders>
              <w:top w:val="single" w:sz="2" w:space="0" w:color="auto"/>
              <w:bottom w:val="single" w:sz="8" w:space="0" w:color="auto"/>
            </w:tcBorders>
          </w:tcPr>
          <w:p w14:paraId="0CA8F7FB" w14:textId="77777777" w:rsidR="00773F7B" w:rsidRPr="00DF121E" w:rsidRDefault="00773F7B" w:rsidP="00773F7B">
            <w:pPr>
              <w:pStyle w:val="T2"/>
              <w:jc w:val="right"/>
              <w:rPr>
                <w:b/>
              </w:rPr>
            </w:pPr>
            <w:r>
              <w:rPr>
                <w:b/>
              </w:rPr>
              <w:t>85.8</w:t>
            </w:r>
          </w:p>
        </w:tc>
        <w:tc>
          <w:tcPr>
            <w:tcW w:w="1276" w:type="dxa"/>
            <w:tcBorders>
              <w:top w:val="single" w:sz="2" w:space="0" w:color="auto"/>
              <w:bottom w:val="single" w:sz="8" w:space="0" w:color="auto"/>
            </w:tcBorders>
          </w:tcPr>
          <w:p w14:paraId="493E025E" w14:textId="77777777" w:rsidR="00773F7B" w:rsidRPr="00DF121E" w:rsidRDefault="00773F7B" w:rsidP="00773F7B">
            <w:pPr>
              <w:pStyle w:val="T2"/>
              <w:jc w:val="right"/>
            </w:pPr>
            <w:r>
              <w:t>91.6</w:t>
            </w:r>
          </w:p>
        </w:tc>
      </w:tr>
    </w:tbl>
    <w:p w14:paraId="3C232F20" w14:textId="77777777" w:rsidR="00773F7B" w:rsidRDefault="00773F7B" w:rsidP="00773F7B">
      <w:pPr>
        <w:pStyle w:val="Paragraph"/>
      </w:pPr>
    </w:p>
    <w:tbl>
      <w:tblPr>
        <w:tblStyle w:val="TableGrid"/>
        <w:tblW w:w="9781" w:type="dxa"/>
        <w:tblLook w:val="04A0" w:firstRow="1" w:lastRow="0" w:firstColumn="1" w:lastColumn="0" w:noHBand="0" w:noVBand="1"/>
      </w:tblPr>
      <w:tblGrid>
        <w:gridCol w:w="7088"/>
        <w:gridCol w:w="1417"/>
        <w:gridCol w:w="1276"/>
      </w:tblGrid>
      <w:tr w:rsidR="00773F7B" w14:paraId="5A7B73C9" w14:textId="77777777" w:rsidTr="00773F7B">
        <w:tc>
          <w:tcPr>
            <w:tcW w:w="7088" w:type="dxa"/>
            <w:tcBorders>
              <w:top w:val="nil"/>
              <w:left w:val="nil"/>
              <w:bottom w:val="nil"/>
              <w:right w:val="nil"/>
            </w:tcBorders>
            <w:vAlign w:val="bottom"/>
          </w:tcPr>
          <w:p w14:paraId="26D7517F" w14:textId="77777777" w:rsidR="00773F7B" w:rsidRPr="004B7A34" w:rsidRDefault="00773F7B" w:rsidP="00773F7B">
            <w:pPr>
              <w:pStyle w:val="Paragraph"/>
            </w:pPr>
          </w:p>
        </w:tc>
        <w:tc>
          <w:tcPr>
            <w:tcW w:w="1417" w:type="dxa"/>
            <w:tcBorders>
              <w:top w:val="nil"/>
              <w:left w:val="nil"/>
              <w:bottom w:val="nil"/>
              <w:right w:val="nil"/>
            </w:tcBorders>
            <w:vAlign w:val="bottom"/>
          </w:tcPr>
          <w:p w14:paraId="2D5E4204" w14:textId="77777777" w:rsidR="00773F7B" w:rsidRDefault="00773F7B" w:rsidP="00773F7B">
            <w:pPr>
              <w:pStyle w:val="T2"/>
              <w:jc w:val="right"/>
              <w:rPr>
                <w:b/>
              </w:rPr>
            </w:pPr>
            <w:r w:rsidRPr="00EF37E9">
              <w:rPr>
                <w:b/>
              </w:rPr>
              <w:t>Half year</w:t>
            </w:r>
            <w:r w:rsidRPr="00EF37E9">
              <w:rPr>
                <w:b/>
              </w:rPr>
              <w:br/>
              <w:t>20</w:t>
            </w:r>
            <w:r>
              <w:rPr>
                <w:b/>
              </w:rPr>
              <w:t>20</w:t>
            </w:r>
          </w:p>
          <w:p w14:paraId="141754DE" w14:textId="77777777" w:rsidR="00773F7B" w:rsidRPr="00EF37E9" w:rsidRDefault="00773F7B" w:rsidP="00773F7B">
            <w:pPr>
              <w:pStyle w:val="T2"/>
              <w:jc w:val="right"/>
              <w:rPr>
                <w:b/>
              </w:rPr>
            </w:pPr>
            <w:r>
              <w:rPr>
                <w:b/>
              </w:rPr>
              <w:t>£m</w:t>
            </w:r>
          </w:p>
        </w:tc>
        <w:tc>
          <w:tcPr>
            <w:tcW w:w="1276" w:type="dxa"/>
            <w:tcBorders>
              <w:top w:val="nil"/>
              <w:left w:val="nil"/>
              <w:bottom w:val="nil"/>
              <w:right w:val="nil"/>
            </w:tcBorders>
          </w:tcPr>
          <w:p w14:paraId="5E1F9214" w14:textId="77777777" w:rsidR="00773F7B" w:rsidRDefault="00773F7B" w:rsidP="00773F7B">
            <w:pPr>
              <w:pStyle w:val="T2"/>
              <w:jc w:val="right"/>
            </w:pPr>
            <w:r>
              <w:t xml:space="preserve">Half year </w:t>
            </w:r>
          </w:p>
          <w:p w14:paraId="7C33E367" w14:textId="77777777" w:rsidR="00773F7B" w:rsidRDefault="00773F7B" w:rsidP="00773F7B">
            <w:pPr>
              <w:pStyle w:val="T2"/>
              <w:jc w:val="right"/>
            </w:pPr>
            <w:r>
              <w:t>2019</w:t>
            </w:r>
          </w:p>
          <w:p w14:paraId="6DA7D3F6" w14:textId="77777777" w:rsidR="00773F7B" w:rsidRPr="004B7A34" w:rsidRDefault="00773F7B" w:rsidP="00773F7B">
            <w:pPr>
              <w:pStyle w:val="T2"/>
              <w:jc w:val="right"/>
            </w:pPr>
            <w:r>
              <w:t>£m</w:t>
            </w:r>
          </w:p>
        </w:tc>
      </w:tr>
      <w:tr w:rsidR="00773F7B" w14:paraId="73522570" w14:textId="77777777" w:rsidTr="00773F7B">
        <w:tc>
          <w:tcPr>
            <w:tcW w:w="7088" w:type="dxa"/>
            <w:tcBorders>
              <w:top w:val="single" w:sz="2" w:space="0" w:color="auto"/>
              <w:left w:val="nil"/>
              <w:bottom w:val="nil"/>
              <w:right w:val="nil"/>
            </w:tcBorders>
            <w:vAlign w:val="bottom"/>
          </w:tcPr>
          <w:p w14:paraId="4D15C3C1" w14:textId="77777777" w:rsidR="00773F7B" w:rsidRPr="00EF37E9" w:rsidRDefault="00773F7B" w:rsidP="00773F7B">
            <w:pPr>
              <w:pStyle w:val="T2"/>
              <w:jc w:val="left"/>
              <w:rPr>
                <w:b/>
              </w:rPr>
            </w:pPr>
            <w:r w:rsidRPr="00EF37E9">
              <w:rPr>
                <w:b/>
              </w:rPr>
              <w:t xml:space="preserve">Invested </w:t>
            </w:r>
            <w:r>
              <w:rPr>
                <w:b/>
              </w:rPr>
              <w:t>C</w:t>
            </w:r>
            <w:r w:rsidRPr="00EF37E9">
              <w:rPr>
                <w:b/>
              </w:rPr>
              <w:t>apital</w:t>
            </w:r>
          </w:p>
        </w:tc>
        <w:tc>
          <w:tcPr>
            <w:tcW w:w="1417" w:type="dxa"/>
            <w:tcBorders>
              <w:top w:val="single" w:sz="2" w:space="0" w:color="auto"/>
              <w:left w:val="nil"/>
              <w:bottom w:val="nil"/>
              <w:right w:val="nil"/>
            </w:tcBorders>
            <w:vAlign w:val="bottom"/>
          </w:tcPr>
          <w:p w14:paraId="5703A5DE" w14:textId="77777777" w:rsidR="00773F7B" w:rsidRPr="00EF37E9" w:rsidRDefault="00773F7B" w:rsidP="00773F7B">
            <w:pPr>
              <w:pStyle w:val="T2"/>
              <w:jc w:val="right"/>
              <w:rPr>
                <w:b/>
              </w:rPr>
            </w:pPr>
            <w:r w:rsidRPr="00EF37E9">
              <w:rPr>
                <w:b/>
              </w:rPr>
              <w:t xml:space="preserve">                         </w:t>
            </w:r>
          </w:p>
        </w:tc>
        <w:tc>
          <w:tcPr>
            <w:tcW w:w="1276" w:type="dxa"/>
            <w:tcBorders>
              <w:top w:val="single" w:sz="2" w:space="0" w:color="auto"/>
              <w:left w:val="nil"/>
              <w:bottom w:val="nil"/>
              <w:right w:val="nil"/>
            </w:tcBorders>
          </w:tcPr>
          <w:p w14:paraId="41FF1EEC" w14:textId="77777777" w:rsidR="00773F7B" w:rsidRPr="004B7A34" w:rsidRDefault="00773F7B" w:rsidP="00773F7B">
            <w:pPr>
              <w:pStyle w:val="T2"/>
              <w:jc w:val="right"/>
            </w:pPr>
          </w:p>
        </w:tc>
      </w:tr>
      <w:tr w:rsidR="00773F7B" w14:paraId="3A635858" w14:textId="77777777" w:rsidTr="00773F7B">
        <w:tc>
          <w:tcPr>
            <w:tcW w:w="7088" w:type="dxa"/>
            <w:tcBorders>
              <w:top w:val="nil"/>
              <w:left w:val="nil"/>
              <w:bottom w:val="nil"/>
              <w:right w:val="nil"/>
            </w:tcBorders>
            <w:vAlign w:val="bottom"/>
          </w:tcPr>
          <w:p w14:paraId="3173347F" w14:textId="77777777" w:rsidR="00773F7B" w:rsidRPr="004B7A34" w:rsidRDefault="00773F7B" w:rsidP="00773F7B">
            <w:pPr>
              <w:pStyle w:val="T2"/>
              <w:jc w:val="left"/>
            </w:pPr>
            <w:r w:rsidRPr="004B7A34">
              <w:t>Total assets</w:t>
            </w:r>
          </w:p>
        </w:tc>
        <w:tc>
          <w:tcPr>
            <w:tcW w:w="1417" w:type="dxa"/>
            <w:tcBorders>
              <w:top w:val="nil"/>
              <w:left w:val="nil"/>
              <w:bottom w:val="nil"/>
              <w:right w:val="nil"/>
            </w:tcBorders>
            <w:vAlign w:val="bottom"/>
          </w:tcPr>
          <w:p w14:paraId="2BB1BAE3" w14:textId="77777777" w:rsidR="00773F7B" w:rsidRPr="00FC568F" w:rsidRDefault="00773F7B" w:rsidP="00773F7B">
            <w:pPr>
              <w:pStyle w:val="T2"/>
              <w:jc w:val="right"/>
              <w:rPr>
                <w:b/>
                <w:bCs/>
              </w:rPr>
            </w:pPr>
            <w:r w:rsidRPr="00FC568F">
              <w:rPr>
                <w:b/>
                <w:bCs/>
              </w:rPr>
              <w:t>1,22</w:t>
            </w:r>
            <w:r>
              <w:rPr>
                <w:b/>
                <w:bCs/>
              </w:rPr>
              <w:t>0.</w:t>
            </w:r>
            <w:r w:rsidR="008A6C9F">
              <w:rPr>
                <w:b/>
                <w:bCs/>
              </w:rPr>
              <w:t>9</w:t>
            </w:r>
          </w:p>
        </w:tc>
        <w:tc>
          <w:tcPr>
            <w:tcW w:w="1276" w:type="dxa"/>
            <w:tcBorders>
              <w:top w:val="nil"/>
              <w:left w:val="nil"/>
              <w:bottom w:val="nil"/>
              <w:right w:val="nil"/>
            </w:tcBorders>
            <w:vAlign w:val="bottom"/>
          </w:tcPr>
          <w:p w14:paraId="5C5B6CA2" w14:textId="77777777" w:rsidR="00773F7B" w:rsidRPr="004B7A34" w:rsidRDefault="00773F7B" w:rsidP="00773F7B">
            <w:pPr>
              <w:pStyle w:val="T2"/>
              <w:jc w:val="right"/>
            </w:pPr>
            <w:r w:rsidRPr="0096767F">
              <w:rPr>
                <w:bCs/>
              </w:rPr>
              <w:t xml:space="preserve">1,052.7 </w:t>
            </w:r>
          </w:p>
        </w:tc>
      </w:tr>
      <w:tr w:rsidR="00773F7B" w14:paraId="4BED66CD" w14:textId="77777777" w:rsidTr="00773F7B">
        <w:tc>
          <w:tcPr>
            <w:tcW w:w="7088" w:type="dxa"/>
            <w:tcBorders>
              <w:top w:val="nil"/>
              <w:left w:val="nil"/>
              <w:bottom w:val="nil"/>
              <w:right w:val="nil"/>
            </w:tcBorders>
            <w:vAlign w:val="bottom"/>
          </w:tcPr>
          <w:p w14:paraId="10410B7A" w14:textId="77777777" w:rsidR="00773F7B" w:rsidRPr="004B7A34" w:rsidRDefault="00773F7B" w:rsidP="00773F7B">
            <w:pPr>
              <w:pStyle w:val="T2"/>
              <w:jc w:val="left"/>
            </w:pPr>
            <w:r w:rsidRPr="004B7A34">
              <w:t>Total liabilities</w:t>
            </w:r>
          </w:p>
        </w:tc>
        <w:tc>
          <w:tcPr>
            <w:tcW w:w="1417" w:type="dxa"/>
            <w:tcBorders>
              <w:top w:val="nil"/>
              <w:left w:val="nil"/>
              <w:bottom w:val="nil"/>
              <w:right w:val="nil"/>
            </w:tcBorders>
            <w:vAlign w:val="bottom"/>
          </w:tcPr>
          <w:p w14:paraId="2A620331" w14:textId="77777777" w:rsidR="00773F7B" w:rsidRPr="00FC568F" w:rsidRDefault="00773F7B" w:rsidP="00773F7B">
            <w:pPr>
              <w:pStyle w:val="T2"/>
              <w:jc w:val="right"/>
              <w:rPr>
                <w:b/>
                <w:bCs/>
              </w:rPr>
            </w:pPr>
            <w:r w:rsidRPr="00FC568F">
              <w:rPr>
                <w:b/>
                <w:bCs/>
              </w:rPr>
              <w:t>(8</w:t>
            </w:r>
            <w:r>
              <w:rPr>
                <w:b/>
                <w:bCs/>
              </w:rPr>
              <w:t>79.</w:t>
            </w:r>
            <w:r w:rsidR="008A6C9F">
              <w:rPr>
                <w:b/>
                <w:bCs/>
              </w:rPr>
              <w:t>4</w:t>
            </w:r>
            <w:r w:rsidRPr="00FC568F">
              <w:rPr>
                <w:b/>
                <w:bCs/>
              </w:rPr>
              <w:t>)</w:t>
            </w:r>
          </w:p>
        </w:tc>
        <w:tc>
          <w:tcPr>
            <w:tcW w:w="1276" w:type="dxa"/>
            <w:tcBorders>
              <w:top w:val="nil"/>
              <w:left w:val="nil"/>
              <w:bottom w:val="nil"/>
              <w:right w:val="nil"/>
            </w:tcBorders>
            <w:vAlign w:val="bottom"/>
          </w:tcPr>
          <w:p w14:paraId="0D21274D" w14:textId="77777777" w:rsidR="00773F7B" w:rsidRPr="004B7A34" w:rsidRDefault="00773F7B" w:rsidP="00773F7B">
            <w:pPr>
              <w:pStyle w:val="T2"/>
              <w:jc w:val="right"/>
            </w:pPr>
            <w:r w:rsidRPr="0096767F">
              <w:rPr>
                <w:bCs/>
              </w:rPr>
              <w:t xml:space="preserve">(780.9) </w:t>
            </w:r>
          </w:p>
        </w:tc>
      </w:tr>
      <w:tr w:rsidR="00773F7B" w14:paraId="203D376A" w14:textId="77777777" w:rsidTr="00773F7B">
        <w:tc>
          <w:tcPr>
            <w:tcW w:w="7088" w:type="dxa"/>
            <w:tcBorders>
              <w:top w:val="nil"/>
              <w:left w:val="nil"/>
              <w:bottom w:val="nil"/>
              <w:right w:val="nil"/>
            </w:tcBorders>
            <w:vAlign w:val="bottom"/>
          </w:tcPr>
          <w:p w14:paraId="6D8D984B" w14:textId="77777777" w:rsidR="00773F7B" w:rsidRPr="004B7A34" w:rsidRDefault="00773F7B" w:rsidP="00773F7B">
            <w:pPr>
              <w:pStyle w:val="T2"/>
              <w:jc w:val="left"/>
            </w:pPr>
            <w:r w:rsidRPr="004B7A34">
              <w:t>Net Debt</w:t>
            </w:r>
          </w:p>
        </w:tc>
        <w:tc>
          <w:tcPr>
            <w:tcW w:w="1417" w:type="dxa"/>
            <w:tcBorders>
              <w:top w:val="nil"/>
              <w:left w:val="nil"/>
              <w:bottom w:val="nil"/>
              <w:right w:val="nil"/>
            </w:tcBorders>
            <w:vAlign w:val="bottom"/>
          </w:tcPr>
          <w:p w14:paraId="6C185C92" w14:textId="77777777" w:rsidR="00773F7B" w:rsidRPr="00FC568F" w:rsidRDefault="00773F7B" w:rsidP="00773F7B">
            <w:pPr>
              <w:pStyle w:val="T2"/>
              <w:jc w:val="right"/>
              <w:rPr>
                <w:b/>
                <w:bCs/>
              </w:rPr>
            </w:pPr>
            <w:r>
              <w:rPr>
                <w:b/>
                <w:bCs/>
              </w:rPr>
              <w:t>374.4</w:t>
            </w:r>
          </w:p>
        </w:tc>
        <w:tc>
          <w:tcPr>
            <w:tcW w:w="1276" w:type="dxa"/>
            <w:tcBorders>
              <w:top w:val="nil"/>
              <w:left w:val="nil"/>
              <w:bottom w:val="nil"/>
              <w:right w:val="nil"/>
            </w:tcBorders>
            <w:vAlign w:val="bottom"/>
          </w:tcPr>
          <w:p w14:paraId="7DA43975" w14:textId="77777777" w:rsidR="00773F7B" w:rsidRPr="004B7A34" w:rsidRDefault="00773F7B" w:rsidP="00773F7B">
            <w:pPr>
              <w:pStyle w:val="T2"/>
              <w:jc w:val="right"/>
            </w:pPr>
            <w:r w:rsidRPr="0096767F">
              <w:rPr>
                <w:bCs/>
              </w:rPr>
              <w:t xml:space="preserve">284.1 </w:t>
            </w:r>
          </w:p>
        </w:tc>
      </w:tr>
      <w:tr w:rsidR="00773F7B" w14:paraId="75CD27AC" w14:textId="77777777" w:rsidTr="00773F7B">
        <w:tc>
          <w:tcPr>
            <w:tcW w:w="7088" w:type="dxa"/>
            <w:tcBorders>
              <w:top w:val="nil"/>
              <w:left w:val="nil"/>
              <w:bottom w:val="nil"/>
              <w:right w:val="nil"/>
            </w:tcBorders>
            <w:vAlign w:val="bottom"/>
          </w:tcPr>
          <w:p w14:paraId="6783A55D" w14:textId="77777777" w:rsidR="00773F7B" w:rsidRPr="004B7A34" w:rsidRDefault="00773F7B" w:rsidP="00773F7B">
            <w:pPr>
              <w:pStyle w:val="T2"/>
              <w:jc w:val="left"/>
            </w:pPr>
            <w:r w:rsidRPr="004B7A34">
              <w:t>Derivatives not designated as fair value hedges</w:t>
            </w:r>
          </w:p>
        </w:tc>
        <w:tc>
          <w:tcPr>
            <w:tcW w:w="1417" w:type="dxa"/>
            <w:tcBorders>
              <w:top w:val="nil"/>
              <w:left w:val="nil"/>
              <w:bottom w:val="nil"/>
              <w:right w:val="nil"/>
            </w:tcBorders>
            <w:vAlign w:val="bottom"/>
          </w:tcPr>
          <w:p w14:paraId="406BC20B" w14:textId="77777777" w:rsidR="00773F7B" w:rsidRPr="00FC568F" w:rsidRDefault="00773F7B" w:rsidP="00773F7B">
            <w:pPr>
              <w:pStyle w:val="T2"/>
              <w:jc w:val="right"/>
              <w:rPr>
                <w:b/>
                <w:bCs/>
              </w:rPr>
            </w:pPr>
            <w:r>
              <w:rPr>
                <w:b/>
                <w:bCs/>
              </w:rPr>
              <w:t>(3.5)</w:t>
            </w:r>
          </w:p>
        </w:tc>
        <w:tc>
          <w:tcPr>
            <w:tcW w:w="1276" w:type="dxa"/>
            <w:tcBorders>
              <w:top w:val="nil"/>
              <w:left w:val="nil"/>
              <w:bottom w:val="nil"/>
              <w:right w:val="nil"/>
            </w:tcBorders>
            <w:vAlign w:val="bottom"/>
          </w:tcPr>
          <w:p w14:paraId="00FFF0FF" w14:textId="77777777" w:rsidR="00773F7B" w:rsidRPr="004B7A34" w:rsidRDefault="00773F7B" w:rsidP="00773F7B">
            <w:pPr>
              <w:pStyle w:val="T2"/>
              <w:jc w:val="right"/>
            </w:pPr>
            <w:r w:rsidRPr="0096767F">
              <w:rPr>
                <w:bCs/>
              </w:rPr>
              <w:t xml:space="preserve">4.3 </w:t>
            </w:r>
          </w:p>
        </w:tc>
      </w:tr>
      <w:tr w:rsidR="00773F7B" w14:paraId="50C2AE37" w14:textId="77777777" w:rsidTr="00773F7B">
        <w:tc>
          <w:tcPr>
            <w:tcW w:w="7088" w:type="dxa"/>
            <w:tcBorders>
              <w:top w:val="nil"/>
              <w:left w:val="nil"/>
              <w:bottom w:val="nil"/>
              <w:right w:val="nil"/>
            </w:tcBorders>
            <w:vAlign w:val="bottom"/>
          </w:tcPr>
          <w:p w14:paraId="5A77E4CD" w14:textId="77777777" w:rsidR="00773F7B" w:rsidRPr="004B7A34" w:rsidRDefault="00773F7B" w:rsidP="00773F7B">
            <w:pPr>
              <w:pStyle w:val="T2"/>
              <w:jc w:val="left"/>
            </w:pPr>
            <w:r w:rsidRPr="004B7A34">
              <w:t>Retirement benefit obligation (net of deferred tax asset)</w:t>
            </w:r>
          </w:p>
        </w:tc>
        <w:tc>
          <w:tcPr>
            <w:tcW w:w="1417" w:type="dxa"/>
            <w:tcBorders>
              <w:top w:val="nil"/>
              <w:left w:val="nil"/>
              <w:bottom w:val="nil"/>
              <w:right w:val="nil"/>
            </w:tcBorders>
            <w:vAlign w:val="bottom"/>
          </w:tcPr>
          <w:p w14:paraId="44916078" w14:textId="77777777" w:rsidR="00773F7B" w:rsidRPr="00FC568F" w:rsidRDefault="00773F7B" w:rsidP="00773F7B">
            <w:pPr>
              <w:pStyle w:val="T2"/>
              <w:jc w:val="right"/>
              <w:rPr>
                <w:b/>
                <w:bCs/>
              </w:rPr>
            </w:pPr>
            <w:r>
              <w:rPr>
                <w:b/>
                <w:bCs/>
              </w:rPr>
              <w:t>39.2</w:t>
            </w:r>
          </w:p>
        </w:tc>
        <w:tc>
          <w:tcPr>
            <w:tcW w:w="1276" w:type="dxa"/>
            <w:tcBorders>
              <w:top w:val="nil"/>
              <w:left w:val="nil"/>
              <w:bottom w:val="nil"/>
              <w:right w:val="nil"/>
            </w:tcBorders>
            <w:vAlign w:val="bottom"/>
          </w:tcPr>
          <w:p w14:paraId="182EA6D3" w14:textId="77777777" w:rsidR="00773F7B" w:rsidRPr="004B7A34" w:rsidRDefault="00773F7B" w:rsidP="00773F7B">
            <w:pPr>
              <w:pStyle w:val="T2"/>
              <w:jc w:val="right"/>
            </w:pPr>
            <w:r w:rsidRPr="0096767F">
              <w:rPr>
                <w:bCs/>
              </w:rPr>
              <w:t>79.9</w:t>
            </w:r>
          </w:p>
        </w:tc>
      </w:tr>
      <w:tr w:rsidR="00773F7B" w14:paraId="68647A02" w14:textId="77777777" w:rsidTr="00773F7B">
        <w:tc>
          <w:tcPr>
            <w:tcW w:w="7088" w:type="dxa"/>
            <w:tcBorders>
              <w:top w:val="single" w:sz="2" w:space="0" w:color="auto"/>
              <w:left w:val="nil"/>
              <w:bottom w:val="single" w:sz="2" w:space="0" w:color="auto"/>
              <w:right w:val="nil"/>
            </w:tcBorders>
            <w:vAlign w:val="bottom"/>
          </w:tcPr>
          <w:p w14:paraId="57A24B59" w14:textId="77777777" w:rsidR="00773F7B" w:rsidRPr="00EF37E9" w:rsidRDefault="00773F7B" w:rsidP="00773F7B">
            <w:pPr>
              <w:pStyle w:val="T2"/>
              <w:jc w:val="left"/>
              <w:rPr>
                <w:b/>
              </w:rPr>
            </w:pPr>
            <w:r w:rsidRPr="00EF37E9">
              <w:rPr>
                <w:b/>
              </w:rPr>
              <w:t xml:space="preserve">Invested </w:t>
            </w:r>
            <w:r>
              <w:rPr>
                <w:b/>
              </w:rPr>
              <w:t>C</w:t>
            </w:r>
            <w:r w:rsidRPr="00EF37E9">
              <w:rPr>
                <w:b/>
              </w:rPr>
              <w:t>apital</w:t>
            </w:r>
            <w:r>
              <w:rPr>
                <w:b/>
              </w:rPr>
              <w:t xml:space="preserve"> for the Group</w:t>
            </w:r>
            <w:r w:rsidRPr="00EF37E9">
              <w:rPr>
                <w:b/>
              </w:rPr>
              <w:t xml:space="preserve"> </w:t>
            </w:r>
            <w:r w:rsidRPr="002F04E0">
              <w:rPr>
                <w:b/>
                <w:vertAlign w:val="superscript"/>
              </w:rPr>
              <w:t>(</w:t>
            </w:r>
            <w:r>
              <w:rPr>
                <w:b/>
                <w:vertAlign w:val="superscript"/>
              </w:rPr>
              <w:t>B</w:t>
            </w:r>
            <w:r w:rsidRPr="002F04E0">
              <w:rPr>
                <w:b/>
                <w:vertAlign w:val="superscript"/>
              </w:rPr>
              <w:t>)</w:t>
            </w:r>
          </w:p>
        </w:tc>
        <w:tc>
          <w:tcPr>
            <w:tcW w:w="1417" w:type="dxa"/>
            <w:tcBorders>
              <w:top w:val="single" w:sz="2" w:space="0" w:color="auto"/>
              <w:left w:val="nil"/>
              <w:bottom w:val="single" w:sz="2" w:space="0" w:color="auto"/>
              <w:right w:val="nil"/>
            </w:tcBorders>
            <w:vAlign w:val="bottom"/>
          </w:tcPr>
          <w:p w14:paraId="0831673B" w14:textId="77777777" w:rsidR="00773F7B" w:rsidRPr="00FC568F" w:rsidRDefault="00773F7B" w:rsidP="00773F7B">
            <w:pPr>
              <w:pStyle w:val="T2"/>
              <w:jc w:val="right"/>
              <w:rPr>
                <w:b/>
                <w:bCs/>
              </w:rPr>
            </w:pPr>
            <w:r w:rsidRPr="00FC568F">
              <w:rPr>
                <w:b/>
                <w:bCs/>
              </w:rPr>
              <w:t>7</w:t>
            </w:r>
            <w:r>
              <w:rPr>
                <w:b/>
                <w:bCs/>
              </w:rPr>
              <w:t>51.6</w:t>
            </w:r>
          </w:p>
        </w:tc>
        <w:tc>
          <w:tcPr>
            <w:tcW w:w="1276" w:type="dxa"/>
            <w:tcBorders>
              <w:top w:val="single" w:sz="2" w:space="0" w:color="auto"/>
              <w:left w:val="nil"/>
              <w:bottom w:val="single" w:sz="2" w:space="0" w:color="auto"/>
              <w:right w:val="nil"/>
            </w:tcBorders>
            <w:vAlign w:val="bottom"/>
          </w:tcPr>
          <w:p w14:paraId="6A520A5D" w14:textId="77777777" w:rsidR="00773F7B" w:rsidRDefault="00773F7B" w:rsidP="00773F7B">
            <w:pPr>
              <w:pStyle w:val="T2"/>
              <w:jc w:val="right"/>
            </w:pPr>
            <w:r w:rsidRPr="0096767F">
              <w:rPr>
                <w:bCs/>
              </w:rPr>
              <w:t xml:space="preserve">640.1 </w:t>
            </w:r>
          </w:p>
        </w:tc>
      </w:tr>
      <w:tr w:rsidR="00773F7B" w14:paraId="7E41F30A" w14:textId="77777777" w:rsidTr="00773F7B">
        <w:tc>
          <w:tcPr>
            <w:tcW w:w="7088" w:type="dxa"/>
            <w:tcBorders>
              <w:top w:val="single" w:sz="2" w:space="0" w:color="auto"/>
              <w:left w:val="nil"/>
              <w:bottom w:val="single" w:sz="2" w:space="0" w:color="auto"/>
              <w:right w:val="nil"/>
            </w:tcBorders>
            <w:vAlign w:val="bottom"/>
          </w:tcPr>
          <w:p w14:paraId="71A991F7" w14:textId="77777777" w:rsidR="00773F7B" w:rsidRPr="00EF37E9" w:rsidRDefault="00773F7B" w:rsidP="00773F7B">
            <w:pPr>
              <w:pStyle w:val="T2"/>
              <w:jc w:val="left"/>
              <w:rPr>
                <w:b/>
              </w:rPr>
            </w:pPr>
          </w:p>
        </w:tc>
        <w:tc>
          <w:tcPr>
            <w:tcW w:w="1417" w:type="dxa"/>
            <w:tcBorders>
              <w:top w:val="single" w:sz="2" w:space="0" w:color="auto"/>
              <w:left w:val="nil"/>
              <w:bottom w:val="single" w:sz="2" w:space="0" w:color="auto"/>
              <w:right w:val="nil"/>
            </w:tcBorders>
            <w:vAlign w:val="bottom"/>
          </w:tcPr>
          <w:p w14:paraId="11519882" w14:textId="77777777" w:rsidR="00773F7B" w:rsidRPr="00FC568F" w:rsidRDefault="00773F7B" w:rsidP="00773F7B">
            <w:pPr>
              <w:pStyle w:val="T2"/>
              <w:jc w:val="right"/>
              <w:rPr>
                <w:b/>
                <w:bCs/>
              </w:rPr>
            </w:pPr>
          </w:p>
        </w:tc>
        <w:tc>
          <w:tcPr>
            <w:tcW w:w="1276" w:type="dxa"/>
            <w:tcBorders>
              <w:top w:val="single" w:sz="2" w:space="0" w:color="auto"/>
              <w:left w:val="nil"/>
              <w:bottom w:val="single" w:sz="2" w:space="0" w:color="auto"/>
              <w:right w:val="nil"/>
            </w:tcBorders>
            <w:vAlign w:val="bottom"/>
          </w:tcPr>
          <w:p w14:paraId="02547CBC" w14:textId="77777777" w:rsidR="00773F7B" w:rsidRPr="0096767F" w:rsidRDefault="00773F7B" w:rsidP="00773F7B">
            <w:pPr>
              <w:pStyle w:val="T2"/>
              <w:jc w:val="right"/>
              <w:rPr>
                <w:bCs/>
              </w:rPr>
            </w:pPr>
          </w:p>
        </w:tc>
      </w:tr>
      <w:tr w:rsidR="00773F7B" w14:paraId="67250C92" w14:textId="77777777" w:rsidTr="00773F7B">
        <w:tc>
          <w:tcPr>
            <w:tcW w:w="7088" w:type="dxa"/>
            <w:tcBorders>
              <w:top w:val="single" w:sz="2" w:space="0" w:color="auto"/>
              <w:left w:val="nil"/>
              <w:bottom w:val="single" w:sz="2" w:space="0" w:color="auto"/>
              <w:right w:val="nil"/>
            </w:tcBorders>
            <w:vAlign w:val="bottom"/>
          </w:tcPr>
          <w:p w14:paraId="4315B00F" w14:textId="77777777" w:rsidR="00773F7B" w:rsidRPr="00EF37E9" w:rsidRDefault="00773F7B" w:rsidP="00773F7B">
            <w:pPr>
              <w:pStyle w:val="T2"/>
              <w:jc w:val="left"/>
              <w:rPr>
                <w:b/>
              </w:rPr>
            </w:pPr>
            <w:r w:rsidRPr="00EF37E9">
              <w:rPr>
                <w:b/>
              </w:rPr>
              <w:t xml:space="preserve">Average </w:t>
            </w:r>
            <w:r>
              <w:rPr>
                <w:b/>
              </w:rPr>
              <w:t>I</w:t>
            </w:r>
            <w:r w:rsidRPr="00EF37E9">
              <w:rPr>
                <w:b/>
              </w:rPr>
              <w:t xml:space="preserve">nvested </w:t>
            </w:r>
            <w:r>
              <w:rPr>
                <w:b/>
              </w:rPr>
              <w:t>C</w:t>
            </w:r>
            <w:r w:rsidRPr="00EF37E9">
              <w:rPr>
                <w:b/>
              </w:rPr>
              <w:t xml:space="preserve">apital for ROIC calculation </w:t>
            </w:r>
            <w:r>
              <w:rPr>
                <w:b/>
              </w:rPr>
              <w:t>for the Group</w:t>
            </w:r>
          </w:p>
        </w:tc>
        <w:tc>
          <w:tcPr>
            <w:tcW w:w="1417" w:type="dxa"/>
            <w:tcBorders>
              <w:top w:val="single" w:sz="2" w:space="0" w:color="auto"/>
              <w:left w:val="nil"/>
              <w:bottom w:val="single" w:sz="2" w:space="0" w:color="auto"/>
              <w:right w:val="nil"/>
            </w:tcBorders>
            <w:vAlign w:val="bottom"/>
          </w:tcPr>
          <w:p w14:paraId="32100FBC" w14:textId="77777777" w:rsidR="00773F7B" w:rsidRPr="00FC568F" w:rsidRDefault="00773F7B" w:rsidP="00773F7B">
            <w:pPr>
              <w:pStyle w:val="T2"/>
              <w:jc w:val="right"/>
              <w:rPr>
                <w:b/>
                <w:bCs/>
              </w:rPr>
            </w:pPr>
            <w:r>
              <w:rPr>
                <w:b/>
                <w:bCs/>
              </w:rPr>
              <w:t>695.9</w:t>
            </w:r>
          </w:p>
        </w:tc>
        <w:tc>
          <w:tcPr>
            <w:tcW w:w="1276" w:type="dxa"/>
            <w:tcBorders>
              <w:top w:val="single" w:sz="2" w:space="0" w:color="auto"/>
              <w:left w:val="nil"/>
              <w:bottom w:val="single" w:sz="2" w:space="0" w:color="auto"/>
              <w:right w:val="nil"/>
            </w:tcBorders>
            <w:vAlign w:val="bottom"/>
          </w:tcPr>
          <w:p w14:paraId="2D38626F" w14:textId="77777777" w:rsidR="00773F7B" w:rsidRDefault="00773F7B" w:rsidP="00773F7B">
            <w:pPr>
              <w:pStyle w:val="T2"/>
              <w:jc w:val="right"/>
            </w:pPr>
            <w:r>
              <w:rPr>
                <w:bCs/>
              </w:rPr>
              <w:t>628.2</w:t>
            </w:r>
          </w:p>
        </w:tc>
      </w:tr>
      <w:tr w:rsidR="00773F7B" w14:paraId="3B5A9DC2" w14:textId="77777777" w:rsidTr="00773F7B">
        <w:tc>
          <w:tcPr>
            <w:tcW w:w="7088" w:type="dxa"/>
            <w:tcBorders>
              <w:top w:val="single" w:sz="2" w:space="0" w:color="auto"/>
              <w:left w:val="nil"/>
              <w:bottom w:val="single" w:sz="8" w:space="0" w:color="auto"/>
              <w:right w:val="nil"/>
            </w:tcBorders>
            <w:vAlign w:val="bottom"/>
          </w:tcPr>
          <w:p w14:paraId="13602B7D" w14:textId="77777777" w:rsidR="00773F7B" w:rsidRPr="00EF37E9" w:rsidRDefault="00773F7B" w:rsidP="00773F7B">
            <w:pPr>
              <w:pStyle w:val="T2"/>
              <w:jc w:val="left"/>
              <w:rPr>
                <w:b/>
              </w:rPr>
            </w:pPr>
          </w:p>
        </w:tc>
        <w:tc>
          <w:tcPr>
            <w:tcW w:w="1417" w:type="dxa"/>
            <w:tcBorders>
              <w:top w:val="single" w:sz="2" w:space="0" w:color="auto"/>
              <w:left w:val="nil"/>
              <w:bottom w:val="single" w:sz="8" w:space="0" w:color="auto"/>
              <w:right w:val="nil"/>
            </w:tcBorders>
            <w:vAlign w:val="bottom"/>
          </w:tcPr>
          <w:p w14:paraId="6B7103D8" w14:textId="77777777" w:rsidR="00773F7B" w:rsidRPr="00FC568F" w:rsidRDefault="00773F7B" w:rsidP="00773F7B">
            <w:pPr>
              <w:pStyle w:val="T2"/>
              <w:jc w:val="right"/>
              <w:rPr>
                <w:b/>
                <w:bCs/>
              </w:rPr>
            </w:pPr>
          </w:p>
        </w:tc>
        <w:tc>
          <w:tcPr>
            <w:tcW w:w="1276" w:type="dxa"/>
            <w:tcBorders>
              <w:top w:val="single" w:sz="2" w:space="0" w:color="auto"/>
              <w:left w:val="nil"/>
              <w:bottom w:val="single" w:sz="8" w:space="0" w:color="auto"/>
              <w:right w:val="nil"/>
            </w:tcBorders>
            <w:vAlign w:val="bottom"/>
          </w:tcPr>
          <w:p w14:paraId="69AD6077" w14:textId="77777777" w:rsidR="00773F7B" w:rsidRPr="0096767F" w:rsidRDefault="00773F7B" w:rsidP="00773F7B">
            <w:pPr>
              <w:pStyle w:val="T2"/>
              <w:jc w:val="right"/>
              <w:rPr>
                <w:bCs/>
              </w:rPr>
            </w:pPr>
          </w:p>
        </w:tc>
      </w:tr>
      <w:tr w:rsidR="00773F7B" w14:paraId="33383EB8" w14:textId="77777777" w:rsidTr="00773F7B">
        <w:tc>
          <w:tcPr>
            <w:tcW w:w="7088" w:type="dxa"/>
            <w:tcBorders>
              <w:top w:val="single" w:sz="2" w:space="0" w:color="auto"/>
              <w:left w:val="nil"/>
              <w:bottom w:val="single" w:sz="8" w:space="0" w:color="auto"/>
              <w:right w:val="nil"/>
            </w:tcBorders>
            <w:vAlign w:val="bottom"/>
          </w:tcPr>
          <w:p w14:paraId="1E62DDDE" w14:textId="77777777" w:rsidR="00773F7B" w:rsidRPr="00EF37E9" w:rsidRDefault="00773F7B" w:rsidP="00773F7B">
            <w:pPr>
              <w:pStyle w:val="T2"/>
              <w:jc w:val="left"/>
              <w:rPr>
                <w:b/>
              </w:rPr>
            </w:pPr>
            <w:r w:rsidRPr="00EF37E9">
              <w:rPr>
                <w:b/>
              </w:rPr>
              <w:t xml:space="preserve">ROIC (%) </w:t>
            </w:r>
            <w:r>
              <w:rPr>
                <w:b/>
              </w:rPr>
              <w:t>for the Group</w:t>
            </w:r>
          </w:p>
        </w:tc>
        <w:tc>
          <w:tcPr>
            <w:tcW w:w="1417" w:type="dxa"/>
            <w:tcBorders>
              <w:top w:val="single" w:sz="2" w:space="0" w:color="auto"/>
              <w:left w:val="nil"/>
              <w:bottom w:val="single" w:sz="8" w:space="0" w:color="auto"/>
              <w:right w:val="nil"/>
            </w:tcBorders>
            <w:vAlign w:val="bottom"/>
          </w:tcPr>
          <w:p w14:paraId="51E63E93" w14:textId="77777777" w:rsidR="00773F7B" w:rsidRPr="00FC568F" w:rsidRDefault="00773F7B" w:rsidP="00773F7B">
            <w:pPr>
              <w:pStyle w:val="T2"/>
              <w:jc w:val="right"/>
              <w:rPr>
                <w:b/>
                <w:bCs/>
              </w:rPr>
            </w:pPr>
            <w:r w:rsidRPr="00FC568F">
              <w:rPr>
                <w:b/>
                <w:bCs/>
              </w:rPr>
              <w:t>1</w:t>
            </w:r>
            <w:r>
              <w:rPr>
                <w:b/>
                <w:bCs/>
              </w:rPr>
              <w:t>2.3</w:t>
            </w:r>
            <w:r w:rsidRPr="00FC568F">
              <w:rPr>
                <w:b/>
                <w:bCs/>
              </w:rPr>
              <w:t>%</w:t>
            </w:r>
          </w:p>
        </w:tc>
        <w:tc>
          <w:tcPr>
            <w:tcW w:w="1276" w:type="dxa"/>
            <w:tcBorders>
              <w:top w:val="single" w:sz="2" w:space="0" w:color="auto"/>
              <w:left w:val="nil"/>
              <w:bottom w:val="single" w:sz="8" w:space="0" w:color="auto"/>
              <w:right w:val="nil"/>
            </w:tcBorders>
            <w:vAlign w:val="bottom"/>
          </w:tcPr>
          <w:p w14:paraId="08FB7EB3" w14:textId="77777777" w:rsidR="00773F7B" w:rsidRDefault="00773F7B" w:rsidP="00773F7B">
            <w:pPr>
              <w:pStyle w:val="T2"/>
              <w:jc w:val="right"/>
            </w:pPr>
            <w:r>
              <w:rPr>
                <w:bCs/>
              </w:rPr>
              <w:t>14.6</w:t>
            </w:r>
            <w:r w:rsidRPr="0096767F">
              <w:rPr>
                <w:bCs/>
              </w:rPr>
              <w:t xml:space="preserve">% </w:t>
            </w:r>
          </w:p>
        </w:tc>
      </w:tr>
    </w:tbl>
    <w:p w14:paraId="0FCADA56" w14:textId="77777777" w:rsidR="00773F7B" w:rsidRPr="00FC568F" w:rsidRDefault="00773F7B" w:rsidP="00E168F7">
      <w:pPr>
        <w:pStyle w:val="ListParagraph"/>
        <w:numPr>
          <w:ilvl w:val="0"/>
          <w:numId w:val="7"/>
        </w:numPr>
        <w:spacing w:before="160" w:after="0" w:line="240" w:lineRule="auto"/>
        <w:rPr>
          <w:sz w:val="15"/>
          <w:szCs w:val="15"/>
        </w:rPr>
      </w:pPr>
      <w:r w:rsidRPr="00FC568F">
        <w:rPr>
          <w:sz w:val="15"/>
          <w:szCs w:val="15"/>
        </w:rPr>
        <w:t>The effective tax rates for the financial period ended 27 March 202</w:t>
      </w:r>
      <w:r>
        <w:rPr>
          <w:sz w:val="15"/>
          <w:szCs w:val="15"/>
        </w:rPr>
        <w:t>0 and 27 September 2019, were 13</w:t>
      </w:r>
      <w:r w:rsidRPr="00FC568F">
        <w:rPr>
          <w:sz w:val="15"/>
          <w:szCs w:val="15"/>
        </w:rPr>
        <w:t>% and 15% respectively</w:t>
      </w:r>
    </w:p>
    <w:p w14:paraId="7426BF46" w14:textId="77777777" w:rsidR="00773F7B" w:rsidRPr="00FC568F" w:rsidRDefault="00773F7B" w:rsidP="00E168F7">
      <w:pPr>
        <w:pStyle w:val="ListParagraph"/>
        <w:numPr>
          <w:ilvl w:val="0"/>
          <w:numId w:val="7"/>
        </w:numPr>
        <w:spacing w:before="160" w:after="0" w:line="240" w:lineRule="auto"/>
        <w:rPr>
          <w:sz w:val="15"/>
          <w:szCs w:val="15"/>
        </w:rPr>
      </w:pPr>
      <w:r w:rsidRPr="00FC568F">
        <w:rPr>
          <w:sz w:val="15"/>
          <w:szCs w:val="15"/>
        </w:rPr>
        <w:t>The invested capital for the Group in March 2018 was £1,306.1m less £689.8m for net assets of the disposal group held for sale</w:t>
      </w:r>
    </w:p>
    <w:p w14:paraId="75A28A54" w14:textId="77777777" w:rsidR="00000B37" w:rsidRDefault="00000B37" w:rsidP="00EF1A4B">
      <w:pPr>
        <w:pStyle w:val="Heading2"/>
      </w:pPr>
    </w:p>
    <w:p w14:paraId="340FDE96" w14:textId="00EBEAFD" w:rsidR="00EF1A4B" w:rsidRPr="001B258F" w:rsidRDefault="00EF1A4B" w:rsidP="00EF1A4B">
      <w:pPr>
        <w:pStyle w:val="Heading2"/>
      </w:pPr>
      <w:r w:rsidRPr="002E0E9E">
        <w:t xml:space="preserve">APPENDIX: </w:t>
      </w:r>
      <w:r>
        <w:t>PRINCIPAL RISKS AND UNCERTAINTIES</w:t>
      </w:r>
    </w:p>
    <w:p w14:paraId="188EA9AC" w14:textId="77777777" w:rsidR="00EF1A4B" w:rsidRDefault="00EF1A4B" w:rsidP="00773F7B">
      <w:pPr>
        <w:spacing w:after="0"/>
        <w:jc w:val="both"/>
        <w:rPr>
          <w:rFonts w:cs="Arial"/>
          <w:i/>
          <w:sz w:val="18"/>
          <w:szCs w:val="18"/>
        </w:rPr>
      </w:pPr>
    </w:p>
    <w:p w14:paraId="01274921" w14:textId="77777777" w:rsidR="00773F7B" w:rsidRPr="001E1407" w:rsidRDefault="00773F7B" w:rsidP="00773F7B">
      <w:pPr>
        <w:spacing w:after="0"/>
        <w:jc w:val="both"/>
        <w:rPr>
          <w:rFonts w:cs="Arial"/>
          <w:sz w:val="18"/>
          <w:szCs w:val="18"/>
        </w:rPr>
      </w:pPr>
      <w:r w:rsidRPr="001E1407">
        <w:rPr>
          <w:rFonts w:cs="Arial"/>
          <w:sz w:val="18"/>
          <w:szCs w:val="18"/>
        </w:rPr>
        <w:t>The principal risks and uncertainties faced by the Group are reported annually within the Annual Report and Financial Statements and are summarised below. Consideration of Brexit risks has been incorporated into the Group</w:t>
      </w:r>
      <w:r>
        <w:rPr>
          <w:rFonts w:cs="Arial"/>
          <w:sz w:val="18"/>
          <w:szCs w:val="18"/>
        </w:rPr>
        <w:t>’</w:t>
      </w:r>
      <w:r w:rsidRPr="001E1407">
        <w:rPr>
          <w:rFonts w:cs="Arial"/>
          <w:sz w:val="18"/>
          <w:szCs w:val="18"/>
        </w:rPr>
        <w:t>s principal risks as appropriate.</w:t>
      </w:r>
    </w:p>
    <w:p w14:paraId="5B2D248B" w14:textId="77777777" w:rsidR="00773F7B" w:rsidRDefault="00773F7B" w:rsidP="00773F7B">
      <w:pPr>
        <w:spacing w:after="0"/>
        <w:jc w:val="both"/>
        <w:rPr>
          <w:rFonts w:cs="Arial"/>
          <w:sz w:val="18"/>
          <w:szCs w:val="18"/>
        </w:rPr>
      </w:pPr>
    </w:p>
    <w:p w14:paraId="6DDFD31E" w14:textId="77777777" w:rsidR="00173CA5" w:rsidRDefault="00773F7B" w:rsidP="002E0E9E">
      <w:pPr>
        <w:spacing w:after="0"/>
        <w:jc w:val="both"/>
        <w:rPr>
          <w:rFonts w:cs="Arial"/>
          <w:sz w:val="18"/>
          <w:szCs w:val="18"/>
        </w:rPr>
      </w:pPr>
      <w:r w:rsidRPr="001E1407">
        <w:rPr>
          <w:rFonts w:cs="Arial"/>
          <w:sz w:val="18"/>
          <w:szCs w:val="18"/>
        </w:rPr>
        <w:t xml:space="preserve">In light of the COVID-19 pandemic the Group has considered the impact of this on its business and reassessed its risk factors accordingly. COVID-19 will have an unpredictable impact on all businesses. Greencore management performed a detailed assessment of the risks faced specifically in relation to COVID-19, and defined strategies for mitigating these risks and the specific actions for achieving these are already underway. </w:t>
      </w:r>
    </w:p>
    <w:p w14:paraId="3EB31D69" w14:textId="77777777" w:rsidR="00773F7B" w:rsidRPr="001E1407" w:rsidRDefault="00773F7B" w:rsidP="002E0E9E">
      <w:pPr>
        <w:spacing w:after="0"/>
        <w:jc w:val="both"/>
        <w:rPr>
          <w:rFonts w:cs="Arial"/>
          <w:sz w:val="18"/>
          <w:szCs w:val="18"/>
        </w:rPr>
      </w:pPr>
    </w:p>
    <w:p w14:paraId="787C1431" w14:textId="77777777" w:rsidR="00173CA5" w:rsidRDefault="00773F7B" w:rsidP="00173CA5">
      <w:pPr>
        <w:spacing w:after="0"/>
        <w:jc w:val="both"/>
        <w:rPr>
          <w:rFonts w:cs="Arial"/>
          <w:sz w:val="18"/>
          <w:szCs w:val="18"/>
        </w:rPr>
      </w:pPr>
      <w:r w:rsidRPr="001E1407">
        <w:rPr>
          <w:rFonts w:cs="Arial"/>
          <w:sz w:val="18"/>
          <w:szCs w:val="18"/>
        </w:rPr>
        <w:t>The Group</w:t>
      </w:r>
      <w:r>
        <w:rPr>
          <w:rFonts w:cs="Arial"/>
          <w:sz w:val="18"/>
          <w:szCs w:val="18"/>
        </w:rPr>
        <w:t>’</w:t>
      </w:r>
      <w:r w:rsidRPr="001E1407">
        <w:rPr>
          <w:rFonts w:cs="Arial"/>
          <w:sz w:val="18"/>
          <w:szCs w:val="18"/>
        </w:rPr>
        <w:t xml:space="preserve">s response is detailed in the Operating Review. </w:t>
      </w:r>
      <w:r w:rsidR="00173CA5">
        <w:rPr>
          <w:rFonts w:cs="Arial"/>
          <w:sz w:val="18"/>
          <w:szCs w:val="18"/>
        </w:rPr>
        <w:t>COVID-19 impacts almost all principal risks below with a summary by risk area.</w:t>
      </w:r>
    </w:p>
    <w:p w14:paraId="4B1F8DD7" w14:textId="77777777" w:rsidR="00173CA5" w:rsidRDefault="00173CA5" w:rsidP="00173CA5">
      <w:pPr>
        <w:spacing w:after="0"/>
        <w:jc w:val="both"/>
        <w:rPr>
          <w:rFonts w:cs="Arial"/>
          <w:sz w:val="18"/>
          <w:szCs w:val="18"/>
        </w:rPr>
      </w:pPr>
    </w:p>
    <w:p w14:paraId="14915CA1" w14:textId="77777777" w:rsidR="00773F7B" w:rsidRPr="00DE2BFE" w:rsidRDefault="00773F7B" w:rsidP="00773F7B">
      <w:pPr>
        <w:spacing w:after="0"/>
        <w:jc w:val="both"/>
        <w:rPr>
          <w:rFonts w:cs="Arial"/>
          <w:b/>
          <w:sz w:val="18"/>
          <w:szCs w:val="18"/>
        </w:rPr>
      </w:pPr>
      <w:r w:rsidRPr="00DE2BFE">
        <w:rPr>
          <w:rFonts w:cs="Arial"/>
          <w:b/>
          <w:sz w:val="18"/>
          <w:szCs w:val="18"/>
        </w:rPr>
        <w:t xml:space="preserve">Strategic </w:t>
      </w:r>
    </w:p>
    <w:p w14:paraId="279B5911" w14:textId="77777777" w:rsidR="00773F7B" w:rsidRDefault="00773F7B" w:rsidP="00773F7B">
      <w:pPr>
        <w:spacing w:after="0"/>
        <w:jc w:val="both"/>
        <w:rPr>
          <w:rFonts w:cs="Arial"/>
          <w:sz w:val="18"/>
          <w:szCs w:val="18"/>
        </w:rPr>
      </w:pPr>
      <w:r w:rsidRPr="00DE2BFE">
        <w:rPr>
          <w:rFonts w:cs="Arial"/>
          <w:i/>
          <w:sz w:val="18"/>
          <w:szCs w:val="18"/>
        </w:rPr>
        <w:t>Competitor activity:</w:t>
      </w:r>
      <w:r>
        <w:rPr>
          <w:rFonts w:cs="Arial"/>
          <w:sz w:val="18"/>
          <w:szCs w:val="18"/>
        </w:rPr>
        <w:t xml:space="preserve"> </w:t>
      </w:r>
      <w:r w:rsidRPr="000711D9">
        <w:rPr>
          <w:rFonts w:cs="Arial"/>
          <w:sz w:val="18"/>
          <w:szCs w:val="18"/>
        </w:rPr>
        <w:t>The Group operates in highly competitive markets. Significant product innovations, technical advances and/or the intensification of price competition by competitors, both</w:t>
      </w:r>
      <w:r>
        <w:rPr>
          <w:rFonts w:cs="Arial"/>
          <w:sz w:val="18"/>
          <w:szCs w:val="18"/>
        </w:rPr>
        <w:t xml:space="preserve"> </w:t>
      </w:r>
      <w:r w:rsidRPr="000711D9">
        <w:rPr>
          <w:rFonts w:cs="Arial"/>
          <w:sz w:val="18"/>
          <w:szCs w:val="18"/>
        </w:rPr>
        <w:t>direct manufacturing competitors or competitors of our cus</w:t>
      </w:r>
      <w:r>
        <w:rPr>
          <w:rFonts w:cs="Arial"/>
          <w:sz w:val="18"/>
          <w:szCs w:val="18"/>
        </w:rPr>
        <w:t xml:space="preserve">tomers, could adversely affect </w:t>
      </w:r>
      <w:r w:rsidRPr="000711D9">
        <w:rPr>
          <w:rFonts w:cs="Arial"/>
          <w:sz w:val="18"/>
          <w:szCs w:val="18"/>
        </w:rPr>
        <w:t>the Group’s results.</w:t>
      </w:r>
    </w:p>
    <w:p w14:paraId="0DB4AD15" w14:textId="77777777" w:rsidR="00773F7B" w:rsidRDefault="00773F7B" w:rsidP="00773F7B">
      <w:pPr>
        <w:spacing w:after="0"/>
        <w:jc w:val="both"/>
        <w:rPr>
          <w:rFonts w:cs="Arial"/>
          <w:sz w:val="18"/>
          <w:szCs w:val="18"/>
        </w:rPr>
      </w:pPr>
    </w:p>
    <w:p w14:paraId="6760B22D" w14:textId="77777777" w:rsidR="00773F7B" w:rsidRPr="00E512C6" w:rsidRDefault="00773F7B" w:rsidP="00773F7B">
      <w:pPr>
        <w:spacing w:after="0"/>
        <w:jc w:val="both"/>
        <w:rPr>
          <w:rFonts w:cs="Arial"/>
          <w:sz w:val="18"/>
          <w:szCs w:val="18"/>
        </w:rPr>
      </w:pPr>
      <w:r w:rsidRPr="00DE2BFE">
        <w:rPr>
          <w:rFonts w:cs="Arial"/>
          <w:i/>
          <w:sz w:val="18"/>
          <w:szCs w:val="18"/>
        </w:rPr>
        <w:t>Growth and change:</w:t>
      </w:r>
      <w:r>
        <w:rPr>
          <w:rFonts w:cs="Arial"/>
          <w:sz w:val="18"/>
          <w:szCs w:val="18"/>
        </w:rPr>
        <w:t xml:space="preserve"> </w:t>
      </w:r>
      <w:r w:rsidRPr="000711D9">
        <w:rPr>
          <w:rFonts w:cs="Arial"/>
          <w:sz w:val="18"/>
          <w:szCs w:val="18"/>
        </w:rPr>
        <w:t>The Group is pursuing a strategy of growth and expansion in the UK. Delivery of our stated strategy will necessitate organisational change and investment, major capital investments and exploiting corporate development opportunities. Major capital investments and corporate development opportunities are often high cost and may involve significant change including the addition of a material number of new employees.</w:t>
      </w:r>
    </w:p>
    <w:p w14:paraId="03A0675B" w14:textId="77777777" w:rsidR="00773F7B" w:rsidRDefault="00773F7B" w:rsidP="00773F7B">
      <w:pPr>
        <w:spacing w:after="0"/>
        <w:jc w:val="both"/>
        <w:rPr>
          <w:rFonts w:cs="Arial"/>
          <w:sz w:val="18"/>
          <w:szCs w:val="18"/>
        </w:rPr>
      </w:pPr>
      <w:r w:rsidRPr="00E512C6">
        <w:rPr>
          <w:rFonts w:cs="Arial"/>
          <w:sz w:val="18"/>
          <w:szCs w:val="18"/>
        </w:rPr>
        <w:t> </w:t>
      </w:r>
    </w:p>
    <w:p w14:paraId="3BA9BCF7" w14:textId="77777777" w:rsidR="00B12541" w:rsidRPr="00E512C6" w:rsidRDefault="00B12541" w:rsidP="00B12541">
      <w:pPr>
        <w:spacing w:after="0"/>
        <w:jc w:val="both"/>
        <w:rPr>
          <w:rFonts w:cs="Arial"/>
          <w:sz w:val="18"/>
          <w:szCs w:val="18"/>
        </w:rPr>
      </w:pPr>
      <w:r w:rsidRPr="00D63F20">
        <w:rPr>
          <w:rFonts w:cs="Arial"/>
          <w:i/>
          <w:iCs/>
          <w:sz w:val="18"/>
          <w:szCs w:val="18"/>
        </w:rPr>
        <w:t>COVID-19 impact</w:t>
      </w:r>
      <w:r>
        <w:rPr>
          <w:rFonts w:cs="Arial"/>
          <w:sz w:val="18"/>
          <w:szCs w:val="18"/>
        </w:rPr>
        <w:t xml:space="preserve">: The crisis is having an unprecedented impact on the Group’s activities and the industry it operates in, which </w:t>
      </w:r>
      <w:r w:rsidR="00D04199">
        <w:rPr>
          <w:rFonts w:cs="Arial"/>
          <w:sz w:val="18"/>
          <w:szCs w:val="18"/>
        </w:rPr>
        <w:t>may</w:t>
      </w:r>
      <w:r>
        <w:rPr>
          <w:rFonts w:cs="Arial"/>
          <w:sz w:val="18"/>
          <w:szCs w:val="18"/>
        </w:rPr>
        <w:t xml:space="preserve"> impact its medium-term strategy. It is working with its customers to anticipate a ‘new normal’ and how it can position itself for the change. However, this ‘new normal’ is uncertain. The Group is also monitoring strategic opportunities as and when they are practicable to execute. </w:t>
      </w:r>
    </w:p>
    <w:p w14:paraId="79C31E54" w14:textId="77777777" w:rsidR="00173CA5" w:rsidRPr="00E512C6" w:rsidRDefault="00173CA5" w:rsidP="00773F7B">
      <w:pPr>
        <w:spacing w:after="0"/>
        <w:jc w:val="both"/>
        <w:rPr>
          <w:rFonts w:cs="Arial"/>
          <w:sz w:val="18"/>
          <w:szCs w:val="18"/>
        </w:rPr>
      </w:pPr>
    </w:p>
    <w:p w14:paraId="4D6F6B1C" w14:textId="77777777" w:rsidR="00773F7B" w:rsidRPr="00DE2BFE" w:rsidRDefault="00773F7B" w:rsidP="00773F7B">
      <w:pPr>
        <w:spacing w:after="0"/>
        <w:jc w:val="both"/>
        <w:rPr>
          <w:rFonts w:cs="Arial"/>
          <w:b/>
          <w:sz w:val="18"/>
          <w:szCs w:val="18"/>
        </w:rPr>
      </w:pPr>
      <w:r w:rsidRPr="00DE2BFE">
        <w:rPr>
          <w:rFonts w:cs="Arial"/>
          <w:b/>
          <w:sz w:val="18"/>
          <w:szCs w:val="18"/>
        </w:rPr>
        <w:t xml:space="preserve">Commercial </w:t>
      </w:r>
    </w:p>
    <w:p w14:paraId="466CEEE8" w14:textId="77777777" w:rsidR="00773F7B" w:rsidRPr="00E512C6" w:rsidRDefault="00773F7B" w:rsidP="00773F7B">
      <w:pPr>
        <w:spacing w:after="0"/>
        <w:jc w:val="both"/>
        <w:rPr>
          <w:rFonts w:cs="Arial"/>
          <w:sz w:val="18"/>
          <w:szCs w:val="18"/>
        </w:rPr>
      </w:pPr>
      <w:r w:rsidRPr="00DE2BFE">
        <w:rPr>
          <w:rFonts w:cs="Arial"/>
          <w:i/>
          <w:sz w:val="18"/>
          <w:szCs w:val="18"/>
        </w:rPr>
        <w:t>Changes in consumer behaviour and demand:</w:t>
      </w:r>
      <w:r>
        <w:rPr>
          <w:rFonts w:cs="Arial"/>
          <w:sz w:val="18"/>
          <w:szCs w:val="18"/>
        </w:rPr>
        <w:t xml:space="preserve"> In common with other food industry manufacturers, unforeseen changes in food consumption patterns or in weather patterns may impact the Group. In addition, demand for a number of the Group’s products can be adversely affected by fluctuations in the economy. </w:t>
      </w:r>
    </w:p>
    <w:p w14:paraId="5C161D09" w14:textId="77777777" w:rsidR="00773F7B" w:rsidRDefault="00773F7B" w:rsidP="00773F7B">
      <w:pPr>
        <w:spacing w:after="0"/>
        <w:jc w:val="both"/>
        <w:rPr>
          <w:rFonts w:cs="Arial"/>
          <w:sz w:val="18"/>
          <w:szCs w:val="18"/>
        </w:rPr>
      </w:pPr>
    </w:p>
    <w:p w14:paraId="5764CB8B" w14:textId="77777777" w:rsidR="00773F7B" w:rsidRDefault="00773F7B" w:rsidP="00773F7B">
      <w:pPr>
        <w:spacing w:after="0"/>
        <w:jc w:val="both"/>
        <w:rPr>
          <w:rFonts w:cs="Arial"/>
          <w:sz w:val="18"/>
          <w:szCs w:val="18"/>
        </w:rPr>
      </w:pPr>
      <w:r w:rsidRPr="00DE2BFE">
        <w:rPr>
          <w:rFonts w:cs="Arial"/>
          <w:i/>
          <w:sz w:val="18"/>
          <w:szCs w:val="18"/>
        </w:rPr>
        <w:t>Key customer relationships and grocery industry structure:</w:t>
      </w:r>
      <w:r>
        <w:rPr>
          <w:rFonts w:cs="Arial"/>
          <w:sz w:val="18"/>
          <w:szCs w:val="18"/>
        </w:rPr>
        <w:t xml:space="preserve"> </w:t>
      </w:r>
      <w:r w:rsidRPr="009C5E92">
        <w:rPr>
          <w:rFonts w:cs="Arial"/>
          <w:sz w:val="18"/>
          <w:szCs w:val="18"/>
        </w:rPr>
        <w:t>The Group benefits from close commercial relationships with a number of key customers. The loss of any of these key customers, tightening of commercial terms, or brand or reputational damage associated with such supply could result in a material impact on the Group’s results. The Group is also exposed to poor performance and execution by the customers in the categories it supplies. Changes to the grocery industry structure may also adversely affect performance.</w:t>
      </w:r>
    </w:p>
    <w:p w14:paraId="50E17534" w14:textId="77777777" w:rsidR="00773F7B" w:rsidRPr="00E512C6" w:rsidRDefault="00773F7B" w:rsidP="00773F7B">
      <w:pPr>
        <w:spacing w:after="0"/>
        <w:jc w:val="both"/>
        <w:rPr>
          <w:rFonts w:cs="Arial"/>
          <w:sz w:val="18"/>
          <w:szCs w:val="18"/>
        </w:rPr>
      </w:pPr>
    </w:p>
    <w:p w14:paraId="745A2055" w14:textId="77777777" w:rsidR="00773F7B" w:rsidRDefault="00773F7B" w:rsidP="00773F7B">
      <w:pPr>
        <w:spacing w:after="0"/>
        <w:jc w:val="both"/>
        <w:rPr>
          <w:rFonts w:cs="Arial"/>
          <w:sz w:val="18"/>
          <w:szCs w:val="18"/>
        </w:rPr>
      </w:pPr>
      <w:r w:rsidRPr="00DE2BFE">
        <w:rPr>
          <w:rFonts w:cs="Arial"/>
          <w:i/>
          <w:sz w:val="18"/>
          <w:szCs w:val="18"/>
        </w:rPr>
        <w:t>Raw material and input cost inflation:</w:t>
      </w:r>
      <w:r>
        <w:rPr>
          <w:rFonts w:cs="Arial"/>
          <w:sz w:val="18"/>
          <w:szCs w:val="18"/>
        </w:rPr>
        <w:t xml:space="preserve"> </w:t>
      </w:r>
      <w:r w:rsidRPr="009C5E92">
        <w:rPr>
          <w:rFonts w:cs="Arial"/>
          <w:sz w:val="18"/>
          <w:szCs w:val="18"/>
        </w:rPr>
        <w:t>The Group’s cost base and margin can be affected by fluctuating raw material and energy prices and changes in cost and price pro</w:t>
      </w:r>
      <w:r>
        <w:rPr>
          <w:rFonts w:cs="Arial"/>
          <w:sz w:val="18"/>
          <w:szCs w:val="18"/>
        </w:rPr>
        <w:t xml:space="preserve">file. The Group also relies on </w:t>
      </w:r>
      <w:r w:rsidRPr="009C5E92">
        <w:rPr>
          <w:rFonts w:cs="Arial"/>
          <w:sz w:val="18"/>
          <w:szCs w:val="18"/>
        </w:rPr>
        <w:t>a concentrated number of key suppliers for certain mat</w:t>
      </w:r>
      <w:r>
        <w:rPr>
          <w:rFonts w:cs="Arial"/>
          <w:sz w:val="18"/>
          <w:szCs w:val="18"/>
        </w:rPr>
        <w:t xml:space="preserve">erials. A loss or interruption </w:t>
      </w:r>
      <w:r w:rsidRPr="009C5E92">
        <w:rPr>
          <w:rFonts w:cs="Arial"/>
          <w:sz w:val="18"/>
          <w:szCs w:val="18"/>
        </w:rPr>
        <w:t>of supply from a key supplier could cause short term disruption to the operational ability of the Group and adversely affect its results.</w:t>
      </w:r>
    </w:p>
    <w:p w14:paraId="409751EB" w14:textId="77777777" w:rsidR="0068359D" w:rsidRDefault="0068359D" w:rsidP="00773F7B">
      <w:pPr>
        <w:spacing w:after="0"/>
        <w:jc w:val="both"/>
        <w:rPr>
          <w:rFonts w:cs="Arial"/>
          <w:sz w:val="18"/>
          <w:szCs w:val="18"/>
        </w:rPr>
      </w:pPr>
    </w:p>
    <w:p w14:paraId="082E73B9" w14:textId="77777777" w:rsidR="0068359D" w:rsidRPr="003C7BC3" w:rsidRDefault="0068359D" w:rsidP="0068359D">
      <w:pPr>
        <w:widowControl w:val="0"/>
        <w:autoSpaceDE w:val="0"/>
        <w:autoSpaceDN w:val="0"/>
        <w:spacing w:after="0" w:line="240" w:lineRule="auto"/>
        <w:jc w:val="both"/>
        <w:rPr>
          <w:rFonts w:ascii="Calibri" w:eastAsia="Calibri" w:hAnsi="Calibri" w:cs="Arial"/>
          <w:sz w:val="18"/>
          <w:szCs w:val="18"/>
          <w:lang w:eastAsia="en-GB" w:bidi="en-GB"/>
        </w:rPr>
      </w:pPr>
      <w:r w:rsidRPr="00D63F20">
        <w:rPr>
          <w:rFonts w:cs="Arial"/>
          <w:i/>
          <w:iCs/>
          <w:sz w:val="18"/>
          <w:szCs w:val="18"/>
        </w:rPr>
        <w:t>COVID-19 impact</w:t>
      </w:r>
      <w:r>
        <w:rPr>
          <w:rFonts w:cs="Arial"/>
          <w:sz w:val="18"/>
          <w:szCs w:val="18"/>
        </w:rPr>
        <w:t>: The crisis has immediately changed the demand patterns for the Group’s products. It has also put pressure on its supply chains. T</w:t>
      </w:r>
      <w:r>
        <w:rPr>
          <w:rFonts w:ascii="Calibri" w:eastAsia="Calibri" w:hAnsi="Calibri" w:cs="Arial"/>
          <w:sz w:val="18"/>
          <w:szCs w:val="18"/>
          <w:lang w:eastAsia="en-GB" w:bidi="en-GB"/>
        </w:rPr>
        <w:t xml:space="preserve">he Group has </w:t>
      </w:r>
      <w:r w:rsidRPr="003C7BC3">
        <w:rPr>
          <w:rFonts w:ascii="Calibri" w:eastAsia="Calibri" w:hAnsi="Calibri" w:cs="Arial"/>
          <w:sz w:val="18"/>
          <w:szCs w:val="18"/>
          <w:lang w:eastAsia="en-GB" w:bidi="en-GB"/>
        </w:rPr>
        <w:t>simplif</w:t>
      </w:r>
      <w:r>
        <w:rPr>
          <w:rFonts w:ascii="Calibri" w:eastAsia="Calibri" w:hAnsi="Calibri" w:cs="Arial"/>
          <w:sz w:val="18"/>
          <w:szCs w:val="18"/>
          <w:lang w:eastAsia="en-GB" w:bidi="en-GB"/>
        </w:rPr>
        <w:t>ied its</w:t>
      </w:r>
      <w:r w:rsidRPr="003C7BC3">
        <w:rPr>
          <w:rFonts w:ascii="Calibri" w:eastAsia="Calibri" w:hAnsi="Calibri" w:cs="Arial"/>
          <w:sz w:val="18"/>
          <w:szCs w:val="18"/>
          <w:lang w:eastAsia="en-GB" w:bidi="en-GB"/>
        </w:rPr>
        <w:t xml:space="preserve"> product ranges</w:t>
      </w:r>
      <w:r>
        <w:rPr>
          <w:rFonts w:ascii="Calibri" w:eastAsia="Calibri" w:hAnsi="Calibri" w:cs="Arial"/>
          <w:sz w:val="18"/>
          <w:szCs w:val="18"/>
          <w:lang w:eastAsia="en-GB" w:bidi="en-GB"/>
        </w:rPr>
        <w:t xml:space="preserve"> with its customers and is working with customers to maintain the integrity of the supply chain and plans for activation once social restriction measures are eased. There is a risk that it may take some time for the Group to recover to pre-crisis levels.</w:t>
      </w:r>
    </w:p>
    <w:p w14:paraId="791A4164" w14:textId="77777777" w:rsidR="0068359D" w:rsidRPr="009C5E92" w:rsidRDefault="0068359D" w:rsidP="0068359D">
      <w:pPr>
        <w:spacing w:after="0"/>
        <w:jc w:val="both"/>
        <w:rPr>
          <w:rFonts w:cs="Arial"/>
          <w:sz w:val="18"/>
          <w:szCs w:val="18"/>
        </w:rPr>
      </w:pPr>
    </w:p>
    <w:p w14:paraId="7F4B9A93" w14:textId="77777777" w:rsidR="00773F7B" w:rsidRPr="00DE2BFE" w:rsidRDefault="00773F7B" w:rsidP="00773F7B">
      <w:pPr>
        <w:spacing w:after="0"/>
        <w:jc w:val="both"/>
        <w:rPr>
          <w:rFonts w:cs="Arial"/>
          <w:b/>
          <w:sz w:val="18"/>
          <w:szCs w:val="18"/>
        </w:rPr>
      </w:pPr>
      <w:r w:rsidRPr="00DE2BFE">
        <w:rPr>
          <w:rFonts w:cs="Arial"/>
          <w:b/>
          <w:sz w:val="18"/>
          <w:szCs w:val="18"/>
        </w:rPr>
        <w:t xml:space="preserve">Operational </w:t>
      </w:r>
    </w:p>
    <w:p w14:paraId="12760658" w14:textId="77777777" w:rsidR="00773F7B" w:rsidRPr="009C5E92" w:rsidRDefault="00773F7B" w:rsidP="00773F7B">
      <w:pPr>
        <w:spacing w:after="0"/>
        <w:jc w:val="both"/>
        <w:rPr>
          <w:rFonts w:cs="Arial"/>
          <w:sz w:val="18"/>
          <w:szCs w:val="18"/>
        </w:rPr>
      </w:pPr>
      <w:r w:rsidRPr="00DE2BFE">
        <w:rPr>
          <w:rFonts w:cs="Arial"/>
          <w:i/>
          <w:sz w:val="18"/>
          <w:szCs w:val="18"/>
        </w:rPr>
        <w:t>Food indust</w:t>
      </w:r>
      <w:r>
        <w:rPr>
          <w:rFonts w:cs="Arial"/>
          <w:i/>
          <w:sz w:val="18"/>
          <w:szCs w:val="18"/>
        </w:rPr>
        <w:t xml:space="preserve">ry and environmental regulations: </w:t>
      </w:r>
      <w:r w:rsidRPr="009C5E92">
        <w:rPr>
          <w:rFonts w:cs="Arial"/>
          <w:sz w:val="18"/>
          <w:szCs w:val="18"/>
        </w:rPr>
        <w:t>As a producer of convenience food and ingredients, Greencore is subject to rigorous and constantly evolving laws and regulations, particularly in the areas of food safety and environmental protection. Failure to comply with such regulations may lead to serious financial, reputational and/or legal risk.</w:t>
      </w:r>
    </w:p>
    <w:p w14:paraId="54DE2B12" w14:textId="77777777" w:rsidR="00773F7B" w:rsidRDefault="00773F7B" w:rsidP="00773F7B">
      <w:pPr>
        <w:spacing w:after="0"/>
        <w:jc w:val="both"/>
        <w:rPr>
          <w:rFonts w:cs="Arial"/>
          <w:i/>
          <w:sz w:val="18"/>
          <w:szCs w:val="18"/>
        </w:rPr>
      </w:pPr>
    </w:p>
    <w:p w14:paraId="6A2727DB" w14:textId="77777777" w:rsidR="00173CA5" w:rsidRDefault="00773F7B" w:rsidP="00773F7B">
      <w:pPr>
        <w:spacing w:after="0"/>
        <w:jc w:val="both"/>
        <w:rPr>
          <w:rFonts w:cs="Arial"/>
          <w:sz w:val="18"/>
          <w:szCs w:val="18"/>
        </w:rPr>
      </w:pPr>
      <w:r w:rsidRPr="00DE2BFE">
        <w:rPr>
          <w:rFonts w:cs="Arial"/>
          <w:i/>
          <w:sz w:val="18"/>
          <w:szCs w:val="18"/>
        </w:rPr>
        <w:t>Product contamination:</w:t>
      </w:r>
      <w:r>
        <w:rPr>
          <w:rFonts w:cs="Arial"/>
          <w:sz w:val="18"/>
          <w:szCs w:val="18"/>
        </w:rPr>
        <w:t xml:space="preserve"> </w:t>
      </w:r>
      <w:r w:rsidRPr="009C5E92">
        <w:rPr>
          <w:rFonts w:cs="Arial"/>
          <w:sz w:val="18"/>
          <w:szCs w:val="18"/>
        </w:rPr>
        <w:t>The Group produces a large volume of food annually and there are risks of product contamination through either accidental or deliberate means. This may lead to products being withdrawn or recalled, or causing harm to customers. As well as being a significant draw on resources, product contamination could result in a financial, reputational and/or legal impact on the Group.</w:t>
      </w:r>
      <w:r w:rsidR="00173CA5">
        <w:rPr>
          <w:rFonts w:cs="Arial"/>
          <w:sz w:val="18"/>
          <w:szCs w:val="18"/>
        </w:rPr>
        <w:t xml:space="preserve">  </w:t>
      </w:r>
    </w:p>
    <w:p w14:paraId="7B30DFFC" w14:textId="77777777" w:rsidR="002E0E9E" w:rsidRDefault="002E0E9E" w:rsidP="00773F7B">
      <w:pPr>
        <w:spacing w:after="0"/>
        <w:jc w:val="both"/>
        <w:rPr>
          <w:rFonts w:cs="Arial"/>
          <w:i/>
          <w:sz w:val="18"/>
          <w:szCs w:val="18"/>
        </w:rPr>
      </w:pPr>
    </w:p>
    <w:p w14:paraId="1D0DC82D" w14:textId="77777777" w:rsidR="00773F7B" w:rsidRDefault="00773F7B" w:rsidP="00773F7B">
      <w:pPr>
        <w:spacing w:after="0"/>
        <w:jc w:val="both"/>
        <w:rPr>
          <w:rFonts w:cs="Arial"/>
          <w:sz w:val="18"/>
          <w:szCs w:val="18"/>
        </w:rPr>
      </w:pPr>
      <w:r w:rsidRPr="00DE2BFE">
        <w:rPr>
          <w:rFonts w:cs="Arial"/>
          <w:i/>
          <w:sz w:val="18"/>
          <w:szCs w:val="18"/>
        </w:rPr>
        <w:t>Disruption to day</w:t>
      </w:r>
      <w:r>
        <w:rPr>
          <w:rFonts w:cs="Arial"/>
          <w:i/>
          <w:sz w:val="18"/>
          <w:szCs w:val="18"/>
        </w:rPr>
        <w:t>–</w:t>
      </w:r>
      <w:r w:rsidRPr="00DE2BFE">
        <w:rPr>
          <w:rFonts w:cs="Arial"/>
          <w:i/>
          <w:sz w:val="18"/>
          <w:szCs w:val="18"/>
        </w:rPr>
        <w:t>to</w:t>
      </w:r>
      <w:r>
        <w:rPr>
          <w:rFonts w:cs="Arial"/>
          <w:i/>
          <w:sz w:val="18"/>
          <w:szCs w:val="18"/>
        </w:rPr>
        <w:t>–</w:t>
      </w:r>
      <w:r w:rsidRPr="00DE2BFE">
        <w:rPr>
          <w:rFonts w:cs="Arial"/>
          <w:i/>
          <w:sz w:val="18"/>
          <w:szCs w:val="18"/>
        </w:rPr>
        <w:t>day group operations:</w:t>
      </w:r>
      <w:r>
        <w:rPr>
          <w:rFonts w:cs="Arial"/>
          <w:sz w:val="18"/>
          <w:szCs w:val="18"/>
        </w:rPr>
        <w:t xml:space="preserve"> </w:t>
      </w:r>
      <w:r w:rsidRPr="009C5E92">
        <w:rPr>
          <w:rFonts w:cs="Arial"/>
          <w:sz w:val="18"/>
          <w:szCs w:val="18"/>
        </w:rPr>
        <w:t>The Group is at risk of disruption to its day-to-day operations from the breakdown of key manufacturing equipment or the loss of part or all of a significant facility.</w:t>
      </w:r>
    </w:p>
    <w:p w14:paraId="34C5231E" w14:textId="77777777" w:rsidR="00773F7B" w:rsidRDefault="00773F7B" w:rsidP="00773F7B">
      <w:pPr>
        <w:spacing w:after="0"/>
        <w:jc w:val="both"/>
        <w:rPr>
          <w:rFonts w:cs="Arial"/>
          <w:sz w:val="18"/>
          <w:szCs w:val="18"/>
        </w:rPr>
      </w:pPr>
    </w:p>
    <w:p w14:paraId="09E0F54B" w14:textId="77777777" w:rsidR="00773F7B" w:rsidRDefault="00773F7B" w:rsidP="00773F7B">
      <w:pPr>
        <w:spacing w:after="0"/>
        <w:jc w:val="both"/>
        <w:rPr>
          <w:rFonts w:cs="Arial"/>
          <w:sz w:val="18"/>
          <w:szCs w:val="18"/>
        </w:rPr>
      </w:pPr>
      <w:r w:rsidRPr="00DE2BFE">
        <w:rPr>
          <w:rFonts w:cs="Arial"/>
          <w:i/>
          <w:sz w:val="18"/>
          <w:szCs w:val="18"/>
        </w:rPr>
        <w:t>IT systems and cyber risk:</w:t>
      </w:r>
      <w:r>
        <w:rPr>
          <w:rFonts w:cs="Arial"/>
          <w:sz w:val="18"/>
          <w:szCs w:val="18"/>
        </w:rPr>
        <w:t xml:space="preserve"> </w:t>
      </w:r>
      <w:r w:rsidRPr="009C5E92">
        <w:rPr>
          <w:rFonts w:cs="Arial"/>
          <w:sz w:val="18"/>
          <w:szCs w:val="18"/>
        </w:rPr>
        <w:t>The Group relies heavily on information technology and requires continuous investment in systems to support our business. In common with most large companies, the Group is susceptible to cyber security attacks with the threat to the confidentiality, integrity and availability of such systems. Losses caused by accidental or malicious actions, including those resulting from a cyber security attack, could have a significant impact on the Group.</w:t>
      </w:r>
    </w:p>
    <w:p w14:paraId="162EE4FD" w14:textId="77777777" w:rsidR="00173CA5" w:rsidRDefault="00173CA5" w:rsidP="00773F7B">
      <w:pPr>
        <w:spacing w:after="0"/>
        <w:jc w:val="both"/>
        <w:rPr>
          <w:rFonts w:cs="Arial"/>
          <w:sz w:val="18"/>
          <w:szCs w:val="18"/>
        </w:rPr>
      </w:pPr>
    </w:p>
    <w:p w14:paraId="20136DDE" w14:textId="77777777" w:rsidR="00B12541" w:rsidRDefault="00B12541" w:rsidP="00B12541">
      <w:pPr>
        <w:widowControl w:val="0"/>
        <w:autoSpaceDE w:val="0"/>
        <w:autoSpaceDN w:val="0"/>
        <w:spacing w:after="0" w:line="240" w:lineRule="auto"/>
        <w:jc w:val="both"/>
        <w:rPr>
          <w:rFonts w:ascii="Calibri" w:eastAsia="Calibri" w:hAnsi="Calibri" w:cs="Arial"/>
          <w:sz w:val="18"/>
          <w:szCs w:val="18"/>
          <w:lang w:eastAsia="en-GB" w:bidi="en-GB"/>
        </w:rPr>
      </w:pPr>
      <w:r w:rsidRPr="00D63F20">
        <w:rPr>
          <w:rFonts w:cs="Arial"/>
          <w:i/>
          <w:iCs/>
          <w:sz w:val="18"/>
          <w:szCs w:val="18"/>
        </w:rPr>
        <w:t>COVID-19 impact:</w:t>
      </w:r>
      <w:r>
        <w:rPr>
          <w:rFonts w:cs="Arial"/>
          <w:sz w:val="18"/>
          <w:szCs w:val="18"/>
        </w:rPr>
        <w:t xml:space="preserve"> The crisis has had a profound effect on the Group’s operations. To respond to the changing demand patterns, the Group has had to make significant changes to</w:t>
      </w:r>
      <w:r w:rsidRPr="003C7BC3">
        <w:rPr>
          <w:rFonts w:ascii="Calibri" w:eastAsia="Calibri" w:hAnsi="Calibri" w:cs="Arial"/>
          <w:sz w:val="18"/>
          <w:szCs w:val="18"/>
          <w:lang w:eastAsia="en-GB" w:bidi="en-GB"/>
        </w:rPr>
        <w:t xml:space="preserve"> its production network</w:t>
      </w:r>
      <w:r>
        <w:rPr>
          <w:rFonts w:ascii="Calibri" w:eastAsia="Calibri" w:hAnsi="Calibri" w:cs="Arial"/>
          <w:sz w:val="18"/>
          <w:szCs w:val="18"/>
          <w:lang w:eastAsia="en-GB" w:bidi="en-GB"/>
        </w:rPr>
        <w:t>. The Group has also had to develop plans for extended social distancing which will impact the efficiency and effectiveness of its operations. The Group’s system and cyber risk has also increased, given intensifying global cyber activity during the crisis as well as the increased pressure on the Group’s systems to support the changed working environment.</w:t>
      </w:r>
    </w:p>
    <w:p w14:paraId="246A9AB8" w14:textId="77777777" w:rsidR="00173CA5" w:rsidRDefault="00173CA5" w:rsidP="00173CA5">
      <w:pPr>
        <w:spacing w:after="0"/>
        <w:jc w:val="both"/>
        <w:rPr>
          <w:rFonts w:cs="Arial"/>
          <w:b/>
          <w:sz w:val="18"/>
          <w:szCs w:val="18"/>
        </w:rPr>
      </w:pPr>
    </w:p>
    <w:p w14:paraId="28BE39BF" w14:textId="77777777" w:rsidR="00773F7B" w:rsidRPr="009C5E92" w:rsidRDefault="00773F7B" w:rsidP="00773F7B">
      <w:pPr>
        <w:spacing w:after="0"/>
        <w:jc w:val="both"/>
        <w:rPr>
          <w:rFonts w:cs="Arial"/>
          <w:b/>
          <w:sz w:val="18"/>
          <w:szCs w:val="18"/>
        </w:rPr>
      </w:pPr>
      <w:r w:rsidRPr="009C5E92">
        <w:rPr>
          <w:rFonts w:cs="Arial"/>
          <w:b/>
          <w:sz w:val="18"/>
          <w:szCs w:val="18"/>
        </w:rPr>
        <w:t>People</w:t>
      </w:r>
    </w:p>
    <w:p w14:paraId="24BA1101" w14:textId="77777777" w:rsidR="00773F7B" w:rsidRDefault="00773F7B" w:rsidP="00773F7B">
      <w:pPr>
        <w:spacing w:after="0"/>
        <w:jc w:val="both"/>
        <w:rPr>
          <w:rFonts w:cs="Arial"/>
          <w:sz w:val="18"/>
          <w:szCs w:val="18"/>
        </w:rPr>
      </w:pPr>
      <w:r w:rsidRPr="00DE2BFE">
        <w:rPr>
          <w:rFonts w:cs="Arial"/>
          <w:i/>
          <w:sz w:val="18"/>
          <w:szCs w:val="18"/>
        </w:rPr>
        <w:t>Health and safety:</w:t>
      </w:r>
      <w:r>
        <w:rPr>
          <w:rFonts w:cs="Arial"/>
          <w:sz w:val="18"/>
          <w:szCs w:val="18"/>
        </w:rPr>
        <w:t xml:space="preserve"> </w:t>
      </w:r>
      <w:r w:rsidRPr="009C5E92">
        <w:rPr>
          <w:rFonts w:cs="Arial"/>
          <w:sz w:val="18"/>
          <w:szCs w:val="18"/>
        </w:rPr>
        <w:t>In addition to the obvious human cost, a serious workplace injury or fatality could inevitably carry serious financial, reputational and/or legal risk.</w:t>
      </w:r>
    </w:p>
    <w:p w14:paraId="112B2B2F" w14:textId="77777777" w:rsidR="00773F7B" w:rsidRPr="00E512C6" w:rsidRDefault="00773F7B" w:rsidP="00773F7B">
      <w:pPr>
        <w:spacing w:after="0"/>
        <w:jc w:val="both"/>
        <w:rPr>
          <w:rFonts w:cs="Arial"/>
          <w:sz w:val="18"/>
          <w:szCs w:val="18"/>
        </w:rPr>
      </w:pPr>
    </w:p>
    <w:p w14:paraId="4024590E" w14:textId="77777777" w:rsidR="00773F7B" w:rsidRPr="009C5E92" w:rsidRDefault="00773F7B" w:rsidP="00773F7B">
      <w:pPr>
        <w:spacing w:after="0"/>
        <w:jc w:val="both"/>
        <w:rPr>
          <w:rFonts w:cs="Arial"/>
          <w:sz w:val="18"/>
          <w:szCs w:val="18"/>
        </w:rPr>
      </w:pPr>
      <w:r w:rsidRPr="00DE2BFE">
        <w:rPr>
          <w:rFonts w:cs="Arial"/>
          <w:i/>
          <w:sz w:val="18"/>
          <w:szCs w:val="18"/>
        </w:rPr>
        <w:t>Labour availability and cost:</w:t>
      </w:r>
      <w:r w:rsidRPr="001E1407">
        <w:rPr>
          <w:rFonts w:cs="Arial"/>
          <w:i/>
          <w:sz w:val="18"/>
          <w:szCs w:val="18"/>
        </w:rPr>
        <w:t xml:space="preserve"> </w:t>
      </w:r>
      <w:r w:rsidRPr="009C5E92">
        <w:rPr>
          <w:rFonts w:cs="Arial"/>
          <w:sz w:val="18"/>
          <w:szCs w:val="18"/>
        </w:rPr>
        <w:t xml:space="preserve">Due to political and economic uncertainty and change, there is a risk that labour cost and availability may be affected and this could have a detrimental impact on the Group. </w:t>
      </w:r>
    </w:p>
    <w:p w14:paraId="4D7943A7" w14:textId="77777777" w:rsidR="00773F7B" w:rsidRDefault="00773F7B" w:rsidP="00773F7B">
      <w:pPr>
        <w:spacing w:after="0"/>
        <w:jc w:val="both"/>
        <w:rPr>
          <w:rFonts w:cs="Arial"/>
          <w:i/>
          <w:sz w:val="18"/>
          <w:szCs w:val="18"/>
        </w:rPr>
      </w:pPr>
    </w:p>
    <w:p w14:paraId="40254824" w14:textId="77777777" w:rsidR="00773F7B" w:rsidRPr="009C5E92" w:rsidRDefault="00773F7B" w:rsidP="00773F7B">
      <w:pPr>
        <w:spacing w:after="0"/>
        <w:jc w:val="both"/>
        <w:rPr>
          <w:rFonts w:cs="Arial"/>
          <w:sz w:val="18"/>
          <w:szCs w:val="18"/>
        </w:rPr>
      </w:pPr>
      <w:r w:rsidRPr="009C5E92">
        <w:rPr>
          <w:rFonts w:cs="Arial"/>
          <w:i/>
          <w:sz w:val="18"/>
          <w:szCs w:val="18"/>
        </w:rPr>
        <w:t>Ethical Compliance:</w:t>
      </w:r>
      <w:r>
        <w:rPr>
          <w:rFonts w:cs="Arial"/>
          <w:i/>
          <w:sz w:val="18"/>
          <w:szCs w:val="18"/>
        </w:rPr>
        <w:t xml:space="preserve"> </w:t>
      </w:r>
      <w:r w:rsidRPr="009C5E92">
        <w:rPr>
          <w:rFonts w:cs="Arial"/>
          <w:sz w:val="18"/>
          <w:szCs w:val="18"/>
        </w:rPr>
        <w:t>The Group has identified ethical compliance as a standalone principal risk. Greencore is a large employer and also sources ingredients from supply chains which in certain cases can be complex. Any failure to comply with ethical standards for our workforce may have a financial, reputational and/or legal impact for the Group. Failure to ensure that products are sourced responsibly and sustainably across supply chains may result in breaches of laws or regulations and may have a financial, reputational and/or legal impact for the Group.</w:t>
      </w:r>
    </w:p>
    <w:p w14:paraId="714D6B2F" w14:textId="77777777" w:rsidR="00773F7B" w:rsidRDefault="00773F7B" w:rsidP="00773F7B">
      <w:pPr>
        <w:spacing w:after="0"/>
        <w:jc w:val="both"/>
        <w:rPr>
          <w:rFonts w:cs="Arial"/>
          <w:i/>
          <w:sz w:val="18"/>
          <w:szCs w:val="18"/>
        </w:rPr>
      </w:pPr>
    </w:p>
    <w:p w14:paraId="4215EFAC" w14:textId="77777777" w:rsidR="00173CA5" w:rsidRDefault="00773F7B" w:rsidP="00773F7B">
      <w:pPr>
        <w:spacing w:after="0"/>
        <w:jc w:val="both"/>
        <w:rPr>
          <w:rFonts w:cs="Arial"/>
          <w:sz w:val="18"/>
          <w:szCs w:val="18"/>
        </w:rPr>
      </w:pPr>
      <w:r w:rsidRPr="00DE2BFE">
        <w:rPr>
          <w:rFonts w:cs="Arial"/>
          <w:i/>
          <w:sz w:val="18"/>
          <w:szCs w:val="18"/>
        </w:rPr>
        <w:t>Recruitment and retention of key personnel:</w:t>
      </w:r>
      <w:r>
        <w:rPr>
          <w:rFonts w:cs="Arial"/>
          <w:sz w:val="18"/>
          <w:szCs w:val="18"/>
        </w:rPr>
        <w:t xml:space="preserve"> The ongoing success of the Group is dependent on attracting and retaining high quality senior management who can effectively implement the Group’s strategy. </w:t>
      </w:r>
    </w:p>
    <w:p w14:paraId="5E986E3A" w14:textId="77777777" w:rsidR="00773F7B" w:rsidRDefault="00773F7B" w:rsidP="00773F7B">
      <w:pPr>
        <w:spacing w:after="0"/>
        <w:jc w:val="both"/>
        <w:rPr>
          <w:rFonts w:cs="Arial"/>
          <w:sz w:val="18"/>
          <w:szCs w:val="18"/>
        </w:rPr>
      </w:pPr>
    </w:p>
    <w:p w14:paraId="18C9919F" w14:textId="77777777" w:rsidR="00B12541" w:rsidRDefault="00B12541" w:rsidP="00B12541">
      <w:pPr>
        <w:widowControl w:val="0"/>
        <w:autoSpaceDE w:val="0"/>
        <w:autoSpaceDN w:val="0"/>
        <w:spacing w:after="0" w:line="240" w:lineRule="auto"/>
        <w:jc w:val="both"/>
        <w:rPr>
          <w:rFonts w:ascii="Calibri" w:eastAsia="Calibri" w:hAnsi="Calibri" w:cs="Arial"/>
          <w:sz w:val="18"/>
          <w:szCs w:val="18"/>
          <w:lang w:eastAsia="en-GB" w:bidi="en-GB"/>
        </w:rPr>
      </w:pPr>
      <w:r w:rsidRPr="00D63F20">
        <w:rPr>
          <w:rFonts w:cs="Arial"/>
          <w:i/>
          <w:iCs/>
          <w:sz w:val="18"/>
          <w:szCs w:val="18"/>
        </w:rPr>
        <w:t>COVID-19 impact</w:t>
      </w:r>
      <w:r>
        <w:rPr>
          <w:rFonts w:cs="Arial"/>
          <w:sz w:val="18"/>
          <w:szCs w:val="18"/>
        </w:rPr>
        <w:t xml:space="preserve">: The crisis has impacted people first and foremost. Firstly, it has put more pressure on the Group’s overall Health and Safety agenda and the Group has had to implement numerous measures to keep its people safe. The Group has accessed the UK </w:t>
      </w:r>
      <w:r w:rsidRPr="003C7BC3">
        <w:rPr>
          <w:rFonts w:ascii="Calibri" w:eastAsia="Calibri" w:hAnsi="Calibri" w:cs="Arial"/>
          <w:sz w:val="18"/>
          <w:szCs w:val="18"/>
          <w:lang w:eastAsia="en-GB" w:bidi="en-GB"/>
        </w:rPr>
        <w:t>Government’s Coronavirus Job Retention Scheme</w:t>
      </w:r>
      <w:r>
        <w:rPr>
          <w:rFonts w:ascii="Calibri" w:eastAsia="Calibri" w:hAnsi="Calibri" w:cs="Arial"/>
          <w:sz w:val="18"/>
          <w:szCs w:val="18"/>
          <w:lang w:eastAsia="en-GB" w:bidi="en-GB"/>
        </w:rPr>
        <w:t xml:space="preserve"> to enable labour flexibility during this uncertain period. There is a risk this scheme is not extended. </w:t>
      </w:r>
    </w:p>
    <w:p w14:paraId="07E43F7B" w14:textId="77777777" w:rsidR="00173CA5" w:rsidRPr="00E512C6" w:rsidRDefault="00173CA5" w:rsidP="00773F7B">
      <w:pPr>
        <w:spacing w:after="0"/>
        <w:jc w:val="both"/>
        <w:rPr>
          <w:rFonts w:cs="Arial"/>
          <w:sz w:val="18"/>
          <w:szCs w:val="18"/>
        </w:rPr>
      </w:pPr>
    </w:p>
    <w:p w14:paraId="5A64066F" w14:textId="77777777" w:rsidR="00773F7B" w:rsidRPr="00DE2BFE" w:rsidRDefault="00773F7B" w:rsidP="00773F7B">
      <w:pPr>
        <w:spacing w:after="0"/>
        <w:jc w:val="both"/>
        <w:rPr>
          <w:rFonts w:cs="Arial"/>
          <w:b/>
          <w:sz w:val="18"/>
          <w:szCs w:val="18"/>
        </w:rPr>
      </w:pPr>
      <w:r w:rsidRPr="00DE2BFE">
        <w:rPr>
          <w:rFonts w:cs="Arial"/>
          <w:b/>
          <w:sz w:val="18"/>
          <w:szCs w:val="18"/>
        </w:rPr>
        <w:t xml:space="preserve">Financial </w:t>
      </w:r>
    </w:p>
    <w:p w14:paraId="4A57A55E" w14:textId="77777777" w:rsidR="00773F7B" w:rsidRDefault="00773F7B" w:rsidP="00773F7B">
      <w:pPr>
        <w:tabs>
          <w:tab w:val="left" w:pos="5352"/>
        </w:tabs>
        <w:spacing w:after="0"/>
        <w:jc w:val="both"/>
        <w:rPr>
          <w:rFonts w:cs="Arial"/>
          <w:sz w:val="18"/>
          <w:szCs w:val="18"/>
        </w:rPr>
      </w:pPr>
      <w:r w:rsidRPr="00DE2BFE">
        <w:rPr>
          <w:rFonts w:cs="Arial"/>
          <w:i/>
          <w:sz w:val="18"/>
          <w:szCs w:val="18"/>
        </w:rPr>
        <w:lastRenderedPageBreak/>
        <w:t>Interest rates, foreign exchange rates, liquidity and credit:</w:t>
      </w:r>
      <w:r>
        <w:rPr>
          <w:rFonts w:cs="Arial"/>
          <w:sz w:val="18"/>
          <w:szCs w:val="18"/>
        </w:rPr>
        <w:t xml:space="preserve"> </w:t>
      </w:r>
      <w:r w:rsidRPr="009C5E92">
        <w:rPr>
          <w:rFonts w:cs="Arial"/>
          <w:sz w:val="18"/>
          <w:szCs w:val="18"/>
        </w:rPr>
        <w:t>There are inherent risks associated with fluctuations in both foreign exchange rates and interest rates. In addition, the Group’s credit rating and overall credit profile impacts its ability to obtain funding for future development and expansion.</w:t>
      </w:r>
    </w:p>
    <w:p w14:paraId="1F6FE735" w14:textId="77777777" w:rsidR="00773F7B" w:rsidRPr="00E512C6" w:rsidRDefault="00773F7B" w:rsidP="00773F7B">
      <w:pPr>
        <w:tabs>
          <w:tab w:val="left" w:pos="5352"/>
        </w:tabs>
        <w:spacing w:after="0"/>
        <w:jc w:val="both"/>
        <w:rPr>
          <w:rFonts w:cs="Arial"/>
          <w:sz w:val="18"/>
          <w:szCs w:val="18"/>
        </w:rPr>
      </w:pPr>
      <w:r>
        <w:rPr>
          <w:rFonts w:cs="Arial"/>
          <w:sz w:val="18"/>
          <w:szCs w:val="18"/>
        </w:rPr>
        <w:tab/>
      </w:r>
    </w:p>
    <w:p w14:paraId="2305B0DA" w14:textId="77777777" w:rsidR="00773F7B" w:rsidRDefault="00773F7B" w:rsidP="00773F7B">
      <w:pPr>
        <w:spacing w:after="0"/>
        <w:jc w:val="both"/>
        <w:rPr>
          <w:rFonts w:cs="Arial"/>
          <w:sz w:val="18"/>
          <w:szCs w:val="18"/>
        </w:rPr>
      </w:pPr>
      <w:r w:rsidRPr="00DE2BFE">
        <w:rPr>
          <w:rFonts w:cs="Arial"/>
          <w:i/>
          <w:sz w:val="18"/>
          <w:szCs w:val="18"/>
        </w:rPr>
        <w:t>Employee retirement obligations:</w:t>
      </w:r>
      <w:r>
        <w:rPr>
          <w:rFonts w:cs="Arial"/>
          <w:sz w:val="18"/>
          <w:szCs w:val="18"/>
        </w:rPr>
        <w:t xml:space="preserve"> </w:t>
      </w:r>
      <w:r w:rsidRPr="009C5E92">
        <w:rPr>
          <w:rFonts w:cs="Arial"/>
          <w:sz w:val="18"/>
          <w:szCs w:val="18"/>
        </w:rPr>
        <w:t>The Group’s defined benefit pension schemes are exposed to the risk of changes in interest rates and the market values of investments, as well as inflation and the increasing longevity of scheme members. Volatility in worldwide equity and bond markets can impact the risk of employee retirement obligations.</w:t>
      </w:r>
    </w:p>
    <w:p w14:paraId="2C5E5172" w14:textId="77777777" w:rsidR="00173CA5" w:rsidRDefault="00173CA5" w:rsidP="00173CA5">
      <w:pPr>
        <w:spacing w:after="0"/>
        <w:jc w:val="both"/>
        <w:rPr>
          <w:rFonts w:cs="Arial"/>
          <w:sz w:val="18"/>
          <w:szCs w:val="18"/>
        </w:rPr>
      </w:pPr>
    </w:p>
    <w:p w14:paraId="3967495F" w14:textId="77777777" w:rsidR="00B12541" w:rsidRDefault="00B12541" w:rsidP="00B12541">
      <w:pPr>
        <w:widowControl w:val="0"/>
        <w:autoSpaceDE w:val="0"/>
        <w:autoSpaceDN w:val="0"/>
        <w:spacing w:after="0" w:line="240" w:lineRule="auto"/>
        <w:jc w:val="both"/>
        <w:rPr>
          <w:rFonts w:cs="Arial"/>
          <w:sz w:val="18"/>
          <w:szCs w:val="18"/>
        </w:rPr>
      </w:pPr>
      <w:r w:rsidRPr="00D63F20">
        <w:rPr>
          <w:rFonts w:cs="Arial"/>
          <w:i/>
          <w:iCs/>
          <w:sz w:val="18"/>
          <w:szCs w:val="18"/>
        </w:rPr>
        <w:t>COVID-19 impact</w:t>
      </w:r>
      <w:r>
        <w:rPr>
          <w:rFonts w:cs="Arial"/>
          <w:sz w:val="18"/>
          <w:szCs w:val="18"/>
        </w:rPr>
        <w:t>: The crisis is affecting the capital markets overall which may impact various elements of our financial instruments and legacy defined benefit pension schemes.</w:t>
      </w:r>
    </w:p>
    <w:p w14:paraId="4A769BE0" w14:textId="77777777" w:rsidR="00773F7B" w:rsidRPr="00F459D3" w:rsidRDefault="00773F7B" w:rsidP="00773F7B">
      <w:pPr>
        <w:pStyle w:val="Paragraph"/>
        <w:jc w:val="both"/>
      </w:pPr>
    </w:p>
    <w:sectPr w:rsidR="00773F7B" w:rsidRPr="00F459D3" w:rsidSect="00DD4291">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3427E" w14:textId="77777777" w:rsidR="003F0D86" w:rsidRDefault="003F0D86" w:rsidP="00E34FD1">
      <w:pPr>
        <w:spacing w:after="0" w:line="240" w:lineRule="auto"/>
      </w:pPr>
      <w:r>
        <w:separator/>
      </w:r>
    </w:p>
  </w:endnote>
  <w:endnote w:type="continuationSeparator" w:id="0">
    <w:p w14:paraId="5369C6D3" w14:textId="77777777" w:rsidR="003F0D86" w:rsidRDefault="003F0D86" w:rsidP="00E34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889D9" w14:textId="77777777" w:rsidR="003F0D86" w:rsidRDefault="003F0D86" w:rsidP="00E34FD1">
      <w:pPr>
        <w:spacing w:after="0" w:line="240" w:lineRule="auto"/>
      </w:pPr>
      <w:r>
        <w:separator/>
      </w:r>
    </w:p>
  </w:footnote>
  <w:footnote w:type="continuationSeparator" w:id="0">
    <w:p w14:paraId="21AAD3B3" w14:textId="77777777" w:rsidR="003F0D86" w:rsidRDefault="003F0D86" w:rsidP="00E34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C7C69" w14:textId="64BB7502" w:rsidR="003F0D86" w:rsidRPr="00773F7B" w:rsidRDefault="003F0D86" w:rsidP="005B3BEE">
    <w:pPr>
      <w:pStyle w:val="Heading2"/>
      <w:ind w:left="-567" w:hanging="142"/>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756D0" w14:textId="27AF0443" w:rsidR="003F0D86" w:rsidRPr="00875751" w:rsidRDefault="003F0D86" w:rsidP="005B3BEE">
    <w:pPr>
      <w:pStyle w:val="Heading2"/>
      <w:ind w:left="-567"/>
    </w:pP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8AB1C" w14:textId="35D9069C" w:rsidR="003F0D86" w:rsidRPr="001B258F" w:rsidRDefault="003F0D86" w:rsidP="005B3BEE">
    <w:pPr>
      <w:pStyle w:val="Heading2"/>
      <w:ind w:left="-567"/>
    </w:pP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BF326" w14:textId="3666C272" w:rsidR="003F0D86" w:rsidRPr="001B258F" w:rsidRDefault="003F0D86" w:rsidP="001B258F">
    <w:pPr>
      <w:pStyle w:val="Head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17A0A" w14:textId="264BEB76" w:rsidR="003F0D86" w:rsidRPr="001B258F" w:rsidRDefault="003F0D86" w:rsidP="002D4204">
    <w:pPr>
      <w:pStyle w:val="Heading2"/>
      <w:ind w:left="-284"/>
    </w:pP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09FBD" w14:textId="79D76E3E" w:rsidR="003F0D86" w:rsidRPr="001B258F" w:rsidRDefault="003F0D86" w:rsidP="005B3BEE">
    <w:pPr>
      <w:pStyle w:val="Heading2"/>
      <w:ind w:left="-284"/>
    </w:pP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CF92C" w14:textId="0AE93324" w:rsidR="003F0D86" w:rsidRPr="001B258F" w:rsidRDefault="003F0D86" w:rsidP="005C6717">
    <w:pPr>
      <w:pStyle w:val="Heading2"/>
    </w:pPr>
    <w:r>
      <w:b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C5989" w14:textId="4F48EB20" w:rsidR="003F0D86" w:rsidRPr="001B258F" w:rsidRDefault="003F0D86" w:rsidP="005C6717">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4198"/>
    <w:multiLevelType w:val="hybridMultilevel"/>
    <w:tmpl w:val="67E41A70"/>
    <w:lvl w:ilvl="0" w:tplc="0012211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105B0"/>
    <w:multiLevelType w:val="hybridMultilevel"/>
    <w:tmpl w:val="CA60675E"/>
    <w:lvl w:ilvl="0" w:tplc="744051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3C149C"/>
    <w:multiLevelType w:val="hybridMultilevel"/>
    <w:tmpl w:val="97681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A4045"/>
    <w:multiLevelType w:val="multilevel"/>
    <w:tmpl w:val="884C66F2"/>
    <w:lvl w:ilvl="0">
      <w:start w:val="1"/>
      <w:numFmt w:val="lowerLetter"/>
      <w:pStyle w:val="Style1"/>
      <w:lvlText w:val="(%1)"/>
      <w:lvlJc w:val="left"/>
      <w:pPr>
        <w:ind w:left="927" w:hanging="360"/>
      </w:pPr>
      <w:rPr>
        <w:rFonts w:ascii="Calibri" w:hAnsi="Calibri" w:hint="default"/>
        <w:b/>
        <w:i w:val="0"/>
        <w:sz w:val="18"/>
      </w:rPr>
    </w:lvl>
    <w:lvl w:ilvl="1">
      <w:start w:val="1"/>
      <w:numFmt w:val="lowerLetter"/>
      <w:lvlText w:val="%2)"/>
      <w:lvlJc w:val="left"/>
      <w:pPr>
        <w:ind w:left="-3250" w:hanging="360"/>
      </w:pPr>
      <w:rPr>
        <w:rFonts w:hint="default"/>
      </w:rPr>
    </w:lvl>
    <w:lvl w:ilvl="2">
      <w:start w:val="1"/>
      <w:numFmt w:val="lowerRoman"/>
      <w:lvlText w:val="%3)"/>
      <w:lvlJc w:val="left"/>
      <w:pPr>
        <w:ind w:left="-2890" w:hanging="360"/>
      </w:pPr>
      <w:rPr>
        <w:rFonts w:hint="default"/>
      </w:rPr>
    </w:lvl>
    <w:lvl w:ilvl="3">
      <w:start w:val="1"/>
      <w:numFmt w:val="decimal"/>
      <w:lvlText w:val="(%4)"/>
      <w:lvlJc w:val="left"/>
      <w:pPr>
        <w:ind w:left="-2530" w:hanging="360"/>
      </w:pPr>
      <w:rPr>
        <w:rFonts w:hint="default"/>
      </w:rPr>
    </w:lvl>
    <w:lvl w:ilvl="4">
      <w:start w:val="1"/>
      <w:numFmt w:val="lowerLetter"/>
      <w:lvlText w:val="(%5)"/>
      <w:lvlJc w:val="left"/>
      <w:pPr>
        <w:ind w:left="-2170" w:hanging="360"/>
      </w:pPr>
      <w:rPr>
        <w:rFonts w:hint="default"/>
      </w:rPr>
    </w:lvl>
    <w:lvl w:ilvl="5">
      <w:start w:val="1"/>
      <w:numFmt w:val="lowerRoman"/>
      <w:lvlText w:val="(%6)"/>
      <w:lvlJc w:val="left"/>
      <w:pPr>
        <w:ind w:left="-1810" w:hanging="360"/>
      </w:pPr>
      <w:rPr>
        <w:rFonts w:hint="default"/>
      </w:rPr>
    </w:lvl>
    <w:lvl w:ilvl="6">
      <w:start w:val="1"/>
      <w:numFmt w:val="decimal"/>
      <w:lvlText w:val="%7."/>
      <w:lvlJc w:val="left"/>
      <w:pPr>
        <w:ind w:left="-1450" w:hanging="360"/>
      </w:pPr>
      <w:rPr>
        <w:rFonts w:hint="default"/>
      </w:rPr>
    </w:lvl>
    <w:lvl w:ilvl="7">
      <w:start w:val="1"/>
      <w:numFmt w:val="lowerLetter"/>
      <w:lvlText w:val="%8."/>
      <w:lvlJc w:val="left"/>
      <w:pPr>
        <w:ind w:left="-1090" w:hanging="360"/>
      </w:pPr>
      <w:rPr>
        <w:rFonts w:hint="default"/>
      </w:rPr>
    </w:lvl>
    <w:lvl w:ilvl="8">
      <w:start w:val="1"/>
      <w:numFmt w:val="lowerRoman"/>
      <w:lvlText w:val="%9."/>
      <w:lvlJc w:val="left"/>
      <w:pPr>
        <w:ind w:left="-730" w:hanging="360"/>
      </w:pPr>
      <w:rPr>
        <w:rFonts w:hint="default"/>
      </w:rPr>
    </w:lvl>
  </w:abstractNum>
  <w:abstractNum w:abstractNumId="4" w15:restartNumberingAfterBreak="0">
    <w:nsid w:val="129502BF"/>
    <w:multiLevelType w:val="hybridMultilevel"/>
    <w:tmpl w:val="2362ACBE"/>
    <w:lvl w:ilvl="0" w:tplc="744051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4C44712"/>
    <w:multiLevelType w:val="hybridMultilevel"/>
    <w:tmpl w:val="A06A9B80"/>
    <w:lvl w:ilvl="0" w:tplc="0012211A">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6F853B8"/>
    <w:multiLevelType w:val="hybridMultilevel"/>
    <w:tmpl w:val="2E70D966"/>
    <w:lvl w:ilvl="0" w:tplc="0012211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237F4"/>
    <w:multiLevelType w:val="hybridMultilevel"/>
    <w:tmpl w:val="A98850B4"/>
    <w:lvl w:ilvl="0" w:tplc="08090001">
      <w:start w:val="1"/>
      <w:numFmt w:val="bullet"/>
      <w:lvlText w:val=""/>
      <w:lvlJc w:val="left"/>
      <w:pPr>
        <w:ind w:left="720" w:hanging="360"/>
      </w:pPr>
      <w:rPr>
        <w:rFonts w:ascii="Symbol" w:hAnsi="Symbol" w:hint="default"/>
      </w:rPr>
    </w:lvl>
    <w:lvl w:ilvl="1" w:tplc="7440513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C159A"/>
    <w:multiLevelType w:val="multilevel"/>
    <w:tmpl w:val="BE7C2B34"/>
    <w:lvl w:ilvl="0">
      <w:start w:val="3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9C81A11"/>
    <w:multiLevelType w:val="hybridMultilevel"/>
    <w:tmpl w:val="251647CE"/>
    <w:lvl w:ilvl="0" w:tplc="C7D847BA">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E95499B"/>
    <w:multiLevelType w:val="hybridMultilevel"/>
    <w:tmpl w:val="184C9528"/>
    <w:lvl w:ilvl="0" w:tplc="15E4547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20253"/>
    <w:multiLevelType w:val="hybridMultilevel"/>
    <w:tmpl w:val="98F0D094"/>
    <w:lvl w:ilvl="0" w:tplc="0012211A">
      <w:start w:val="2"/>
      <w:numFmt w:val="bullet"/>
      <w:lvlText w:val="-"/>
      <w:lvlJc w:val="left"/>
      <w:pPr>
        <w:tabs>
          <w:tab w:val="num" w:pos="720"/>
        </w:tabs>
        <w:ind w:left="720" w:hanging="360"/>
      </w:pPr>
      <w:rPr>
        <w:rFonts w:ascii="Calibri" w:eastAsiaTheme="minorHAnsi" w:hAnsi="Calibri" w:cs="Calibri"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F03962"/>
    <w:multiLevelType w:val="hybridMultilevel"/>
    <w:tmpl w:val="BE403434"/>
    <w:lvl w:ilvl="0" w:tplc="9E5EFA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636061"/>
    <w:multiLevelType w:val="hybridMultilevel"/>
    <w:tmpl w:val="5900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F8356D"/>
    <w:multiLevelType w:val="hybridMultilevel"/>
    <w:tmpl w:val="953221E4"/>
    <w:lvl w:ilvl="0" w:tplc="0012211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8D204FB"/>
    <w:multiLevelType w:val="hybridMultilevel"/>
    <w:tmpl w:val="B49EA8B0"/>
    <w:lvl w:ilvl="0" w:tplc="EECA712E">
      <w:start w:val="1"/>
      <w:numFmt w:val="bullet"/>
      <w:pStyle w:val="Para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296FC2"/>
    <w:multiLevelType w:val="hybridMultilevel"/>
    <w:tmpl w:val="4AF033EE"/>
    <w:lvl w:ilvl="0" w:tplc="08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B86911"/>
    <w:multiLevelType w:val="hybridMultilevel"/>
    <w:tmpl w:val="0C6AB4CC"/>
    <w:lvl w:ilvl="0" w:tplc="5C4097EA">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0F6581C"/>
    <w:multiLevelType w:val="hybridMultilevel"/>
    <w:tmpl w:val="9202D1F2"/>
    <w:lvl w:ilvl="0" w:tplc="ABD6D7A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AC5259"/>
    <w:multiLevelType w:val="multilevel"/>
    <w:tmpl w:val="C1240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A75326F"/>
    <w:multiLevelType w:val="hybridMultilevel"/>
    <w:tmpl w:val="2370D7FA"/>
    <w:lvl w:ilvl="0" w:tplc="0012211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EB5894"/>
    <w:multiLevelType w:val="hybridMultilevel"/>
    <w:tmpl w:val="E80EE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5"/>
  </w:num>
  <w:num w:numId="2">
    <w:abstractNumId w:val="3"/>
  </w:num>
  <w:num w:numId="3">
    <w:abstractNumId w:val="16"/>
  </w:num>
  <w:num w:numId="4">
    <w:abstractNumId w:val="7"/>
  </w:num>
  <w:num w:numId="5">
    <w:abstractNumId w:val="6"/>
  </w:num>
  <w:num w:numId="6">
    <w:abstractNumId w:val="10"/>
  </w:num>
  <w:num w:numId="7">
    <w:abstractNumId w:val="12"/>
  </w:num>
  <w:num w:numId="8">
    <w:abstractNumId w:val="18"/>
  </w:num>
  <w:num w:numId="9">
    <w:abstractNumId w:val="2"/>
  </w:num>
  <w:num w:numId="10">
    <w:abstractNumId w:val="13"/>
  </w:num>
  <w:num w:numId="11">
    <w:abstractNumId w:val="8"/>
  </w:num>
  <w:num w:numId="12">
    <w:abstractNumId w:val="21"/>
  </w:num>
  <w:num w:numId="13">
    <w:abstractNumId w:val="17"/>
  </w:num>
  <w:num w:numId="14">
    <w:abstractNumId w:val="9"/>
  </w:num>
  <w:num w:numId="15">
    <w:abstractNumId w:val="14"/>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1"/>
  </w:num>
  <w:num w:numId="30">
    <w:abstractNumId w:val="20"/>
  </w:num>
  <w:num w:numId="31">
    <w:abstractNumId w:val="5"/>
  </w:num>
  <w:num w:numId="32">
    <w:abstractNumId w:val="4"/>
  </w:num>
  <w:num w:numId="3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6F2"/>
    <w:rsid w:val="00000B37"/>
    <w:rsid w:val="00003CBC"/>
    <w:rsid w:val="00003DEC"/>
    <w:rsid w:val="00004C2C"/>
    <w:rsid w:val="00004FE3"/>
    <w:rsid w:val="00006931"/>
    <w:rsid w:val="00011014"/>
    <w:rsid w:val="00011ED0"/>
    <w:rsid w:val="00012B1C"/>
    <w:rsid w:val="00014401"/>
    <w:rsid w:val="0001541B"/>
    <w:rsid w:val="00016206"/>
    <w:rsid w:val="00020208"/>
    <w:rsid w:val="00023BDE"/>
    <w:rsid w:val="000263C2"/>
    <w:rsid w:val="00026B26"/>
    <w:rsid w:val="00031EAC"/>
    <w:rsid w:val="0003219E"/>
    <w:rsid w:val="000334D5"/>
    <w:rsid w:val="000339C9"/>
    <w:rsid w:val="00034F1E"/>
    <w:rsid w:val="000358A3"/>
    <w:rsid w:val="000366EA"/>
    <w:rsid w:val="00037D62"/>
    <w:rsid w:val="00040078"/>
    <w:rsid w:val="000403FE"/>
    <w:rsid w:val="0004196B"/>
    <w:rsid w:val="00043793"/>
    <w:rsid w:val="0004743B"/>
    <w:rsid w:val="00047FF1"/>
    <w:rsid w:val="00052704"/>
    <w:rsid w:val="0005435B"/>
    <w:rsid w:val="0005630C"/>
    <w:rsid w:val="000606CD"/>
    <w:rsid w:val="000620FA"/>
    <w:rsid w:val="0006455C"/>
    <w:rsid w:val="00067050"/>
    <w:rsid w:val="000711D9"/>
    <w:rsid w:val="000716D2"/>
    <w:rsid w:val="0007190E"/>
    <w:rsid w:val="000727B8"/>
    <w:rsid w:val="00076118"/>
    <w:rsid w:val="0007680A"/>
    <w:rsid w:val="00083EA3"/>
    <w:rsid w:val="00084483"/>
    <w:rsid w:val="000926C0"/>
    <w:rsid w:val="00093623"/>
    <w:rsid w:val="00096BA2"/>
    <w:rsid w:val="00097298"/>
    <w:rsid w:val="000976C9"/>
    <w:rsid w:val="000A0ED9"/>
    <w:rsid w:val="000A12B5"/>
    <w:rsid w:val="000A27F7"/>
    <w:rsid w:val="000A2A6A"/>
    <w:rsid w:val="000A65EC"/>
    <w:rsid w:val="000B0176"/>
    <w:rsid w:val="000B01CB"/>
    <w:rsid w:val="000B274B"/>
    <w:rsid w:val="000B5E87"/>
    <w:rsid w:val="000B739F"/>
    <w:rsid w:val="000C1EBD"/>
    <w:rsid w:val="000C2205"/>
    <w:rsid w:val="000C600F"/>
    <w:rsid w:val="000C60C3"/>
    <w:rsid w:val="000C67A4"/>
    <w:rsid w:val="000C71DE"/>
    <w:rsid w:val="000D0640"/>
    <w:rsid w:val="000D19DE"/>
    <w:rsid w:val="000D1D55"/>
    <w:rsid w:val="000D1D6C"/>
    <w:rsid w:val="000D1F0F"/>
    <w:rsid w:val="000D31E8"/>
    <w:rsid w:val="000D41D5"/>
    <w:rsid w:val="000D47BB"/>
    <w:rsid w:val="000D620D"/>
    <w:rsid w:val="000D6878"/>
    <w:rsid w:val="000E414C"/>
    <w:rsid w:val="000E6105"/>
    <w:rsid w:val="000E6B86"/>
    <w:rsid w:val="000E6CC2"/>
    <w:rsid w:val="000E7C5C"/>
    <w:rsid w:val="000F36C7"/>
    <w:rsid w:val="000F7449"/>
    <w:rsid w:val="0010152A"/>
    <w:rsid w:val="00102D3E"/>
    <w:rsid w:val="00102F12"/>
    <w:rsid w:val="00107F4D"/>
    <w:rsid w:val="001122CB"/>
    <w:rsid w:val="00112C15"/>
    <w:rsid w:val="00113CA3"/>
    <w:rsid w:val="0011628B"/>
    <w:rsid w:val="00116A2E"/>
    <w:rsid w:val="00120DCA"/>
    <w:rsid w:val="00121CDE"/>
    <w:rsid w:val="00121E5F"/>
    <w:rsid w:val="001227ED"/>
    <w:rsid w:val="00124466"/>
    <w:rsid w:val="00126221"/>
    <w:rsid w:val="00126249"/>
    <w:rsid w:val="00130402"/>
    <w:rsid w:val="00132415"/>
    <w:rsid w:val="00132AA0"/>
    <w:rsid w:val="0013449C"/>
    <w:rsid w:val="00135CB2"/>
    <w:rsid w:val="00136746"/>
    <w:rsid w:val="00140609"/>
    <w:rsid w:val="00140F36"/>
    <w:rsid w:val="00141317"/>
    <w:rsid w:val="001413EA"/>
    <w:rsid w:val="00142004"/>
    <w:rsid w:val="00142E7C"/>
    <w:rsid w:val="00143344"/>
    <w:rsid w:val="001438E9"/>
    <w:rsid w:val="001459D9"/>
    <w:rsid w:val="001503CD"/>
    <w:rsid w:val="0015209C"/>
    <w:rsid w:val="001523A9"/>
    <w:rsid w:val="00155042"/>
    <w:rsid w:val="00160155"/>
    <w:rsid w:val="0016316D"/>
    <w:rsid w:val="001671A0"/>
    <w:rsid w:val="00170825"/>
    <w:rsid w:val="00171B5C"/>
    <w:rsid w:val="00172CA9"/>
    <w:rsid w:val="00172EC0"/>
    <w:rsid w:val="001737BC"/>
    <w:rsid w:val="00173CA5"/>
    <w:rsid w:val="00174542"/>
    <w:rsid w:val="00180340"/>
    <w:rsid w:val="00182C92"/>
    <w:rsid w:val="00183EA2"/>
    <w:rsid w:val="00183FE9"/>
    <w:rsid w:val="00184907"/>
    <w:rsid w:val="001852E5"/>
    <w:rsid w:val="001861C4"/>
    <w:rsid w:val="0019026B"/>
    <w:rsid w:val="00191402"/>
    <w:rsid w:val="001917D0"/>
    <w:rsid w:val="00194C92"/>
    <w:rsid w:val="00194D33"/>
    <w:rsid w:val="00196436"/>
    <w:rsid w:val="001965F0"/>
    <w:rsid w:val="0019701F"/>
    <w:rsid w:val="00197130"/>
    <w:rsid w:val="00197570"/>
    <w:rsid w:val="001A0E8A"/>
    <w:rsid w:val="001A2230"/>
    <w:rsid w:val="001A2577"/>
    <w:rsid w:val="001A36D9"/>
    <w:rsid w:val="001A3EDA"/>
    <w:rsid w:val="001A5BEB"/>
    <w:rsid w:val="001A6B0E"/>
    <w:rsid w:val="001B258F"/>
    <w:rsid w:val="001B331F"/>
    <w:rsid w:val="001B391B"/>
    <w:rsid w:val="001B6DB4"/>
    <w:rsid w:val="001B7302"/>
    <w:rsid w:val="001C03C2"/>
    <w:rsid w:val="001C2084"/>
    <w:rsid w:val="001C296C"/>
    <w:rsid w:val="001C2FF9"/>
    <w:rsid w:val="001C3739"/>
    <w:rsid w:val="001C4EF0"/>
    <w:rsid w:val="001C684B"/>
    <w:rsid w:val="001D0D80"/>
    <w:rsid w:val="001D0FD3"/>
    <w:rsid w:val="001D0FF8"/>
    <w:rsid w:val="001D401B"/>
    <w:rsid w:val="001D4796"/>
    <w:rsid w:val="001D4A8E"/>
    <w:rsid w:val="001D5630"/>
    <w:rsid w:val="001D58B5"/>
    <w:rsid w:val="001D5B07"/>
    <w:rsid w:val="001D697C"/>
    <w:rsid w:val="001E1407"/>
    <w:rsid w:val="001E4F4B"/>
    <w:rsid w:val="001E6EF0"/>
    <w:rsid w:val="001F0C29"/>
    <w:rsid w:val="001F0C2A"/>
    <w:rsid w:val="001F14D1"/>
    <w:rsid w:val="001F1661"/>
    <w:rsid w:val="001F3417"/>
    <w:rsid w:val="001F5FE4"/>
    <w:rsid w:val="00200BD1"/>
    <w:rsid w:val="00202019"/>
    <w:rsid w:val="002042D5"/>
    <w:rsid w:val="00205633"/>
    <w:rsid w:val="002079A1"/>
    <w:rsid w:val="00211AA6"/>
    <w:rsid w:val="00215E7D"/>
    <w:rsid w:val="00217089"/>
    <w:rsid w:val="00217625"/>
    <w:rsid w:val="002179C4"/>
    <w:rsid w:val="002208BF"/>
    <w:rsid w:val="002222D6"/>
    <w:rsid w:val="00223619"/>
    <w:rsid w:val="0022364B"/>
    <w:rsid w:val="002240E2"/>
    <w:rsid w:val="00226649"/>
    <w:rsid w:val="00227064"/>
    <w:rsid w:val="002273FE"/>
    <w:rsid w:val="0023255B"/>
    <w:rsid w:val="00235623"/>
    <w:rsid w:val="0024068E"/>
    <w:rsid w:val="00246A66"/>
    <w:rsid w:val="00246BF5"/>
    <w:rsid w:val="00247544"/>
    <w:rsid w:val="0025418E"/>
    <w:rsid w:val="0025448A"/>
    <w:rsid w:val="00254DCD"/>
    <w:rsid w:val="0026155F"/>
    <w:rsid w:val="00261DE0"/>
    <w:rsid w:val="0026319A"/>
    <w:rsid w:val="00263969"/>
    <w:rsid w:val="002663ED"/>
    <w:rsid w:val="00270329"/>
    <w:rsid w:val="002727B0"/>
    <w:rsid w:val="00272EFC"/>
    <w:rsid w:val="00274A8D"/>
    <w:rsid w:val="002768C8"/>
    <w:rsid w:val="002771C2"/>
    <w:rsid w:val="00280B8E"/>
    <w:rsid w:val="00281C4A"/>
    <w:rsid w:val="002868F4"/>
    <w:rsid w:val="00292B26"/>
    <w:rsid w:val="002A01F9"/>
    <w:rsid w:val="002A2866"/>
    <w:rsid w:val="002A412D"/>
    <w:rsid w:val="002A4D88"/>
    <w:rsid w:val="002B2113"/>
    <w:rsid w:val="002B479B"/>
    <w:rsid w:val="002B604F"/>
    <w:rsid w:val="002B60E2"/>
    <w:rsid w:val="002B6628"/>
    <w:rsid w:val="002C0802"/>
    <w:rsid w:val="002C1197"/>
    <w:rsid w:val="002C12FA"/>
    <w:rsid w:val="002C271B"/>
    <w:rsid w:val="002C3815"/>
    <w:rsid w:val="002C40EB"/>
    <w:rsid w:val="002C4242"/>
    <w:rsid w:val="002C4688"/>
    <w:rsid w:val="002C46B4"/>
    <w:rsid w:val="002C4D5C"/>
    <w:rsid w:val="002C52DF"/>
    <w:rsid w:val="002D4204"/>
    <w:rsid w:val="002D4F36"/>
    <w:rsid w:val="002D61FD"/>
    <w:rsid w:val="002D6B38"/>
    <w:rsid w:val="002E05C0"/>
    <w:rsid w:val="002E0E9E"/>
    <w:rsid w:val="002E222C"/>
    <w:rsid w:val="002E6110"/>
    <w:rsid w:val="002E6AF4"/>
    <w:rsid w:val="002E6C29"/>
    <w:rsid w:val="002E6E4F"/>
    <w:rsid w:val="002F04E0"/>
    <w:rsid w:val="002F1988"/>
    <w:rsid w:val="002F26F2"/>
    <w:rsid w:val="002F4459"/>
    <w:rsid w:val="002F685C"/>
    <w:rsid w:val="002F7BDB"/>
    <w:rsid w:val="003005EC"/>
    <w:rsid w:val="0030694B"/>
    <w:rsid w:val="00310676"/>
    <w:rsid w:val="0031140A"/>
    <w:rsid w:val="00312BC1"/>
    <w:rsid w:val="00313181"/>
    <w:rsid w:val="00313FBC"/>
    <w:rsid w:val="0031624C"/>
    <w:rsid w:val="00320DDF"/>
    <w:rsid w:val="00321845"/>
    <w:rsid w:val="003232EE"/>
    <w:rsid w:val="00323388"/>
    <w:rsid w:val="00323878"/>
    <w:rsid w:val="00324763"/>
    <w:rsid w:val="003264D2"/>
    <w:rsid w:val="003313E6"/>
    <w:rsid w:val="00332EEE"/>
    <w:rsid w:val="003344DF"/>
    <w:rsid w:val="00336204"/>
    <w:rsid w:val="00337EED"/>
    <w:rsid w:val="0034411F"/>
    <w:rsid w:val="003479B7"/>
    <w:rsid w:val="00351342"/>
    <w:rsid w:val="00353430"/>
    <w:rsid w:val="00354B16"/>
    <w:rsid w:val="003551FB"/>
    <w:rsid w:val="00355224"/>
    <w:rsid w:val="00357053"/>
    <w:rsid w:val="0035711D"/>
    <w:rsid w:val="00357431"/>
    <w:rsid w:val="00360EF5"/>
    <w:rsid w:val="003646A4"/>
    <w:rsid w:val="003669E7"/>
    <w:rsid w:val="00366B8B"/>
    <w:rsid w:val="00371831"/>
    <w:rsid w:val="003746D3"/>
    <w:rsid w:val="00374CF3"/>
    <w:rsid w:val="00377178"/>
    <w:rsid w:val="00380E4E"/>
    <w:rsid w:val="00381039"/>
    <w:rsid w:val="00381F66"/>
    <w:rsid w:val="00382A45"/>
    <w:rsid w:val="003834EC"/>
    <w:rsid w:val="00383ACB"/>
    <w:rsid w:val="00383BB0"/>
    <w:rsid w:val="003841B4"/>
    <w:rsid w:val="003843AE"/>
    <w:rsid w:val="003863A7"/>
    <w:rsid w:val="00386903"/>
    <w:rsid w:val="00390570"/>
    <w:rsid w:val="00392EDE"/>
    <w:rsid w:val="0039342D"/>
    <w:rsid w:val="00396761"/>
    <w:rsid w:val="0039774B"/>
    <w:rsid w:val="00397D1B"/>
    <w:rsid w:val="003A16C0"/>
    <w:rsid w:val="003A20B5"/>
    <w:rsid w:val="003A2236"/>
    <w:rsid w:val="003A2522"/>
    <w:rsid w:val="003A27DB"/>
    <w:rsid w:val="003A326D"/>
    <w:rsid w:val="003A5223"/>
    <w:rsid w:val="003A6352"/>
    <w:rsid w:val="003A6410"/>
    <w:rsid w:val="003B4680"/>
    <w:rsid w:val="003B4949"/>
    <w:rsid w:val="003B53C5"/>
    <w:rsid w:val="003B5811"/>
    <w:rsid w:val="003B6495"/>
    <w:rsid w:val="003B6F17"/>
    <w:rsid w:val="003C07DB"/>
    <w:rsid w:val="003C0CEB"/>
    <w:rsid w:val="003C1FAA"/>
    <w:rsid w:val="003C2A38"/>
    <w:rsid w:val="003C3BC8"/>
    <w:rsid w:val="003C468A"/>
    <w:rsid w:val="003C4F29"/>
    <w:rsid w:val="003C53C7"/>
    <w:rsid w:val="003C541D"/>
    <w:rsid w:val="003C6EB5"/>
    <w:rsid w:val="003C7BC3"/>
    <w:rsid w:val="003D02FB"/>
    <w:rsid w:val="003D0B78"/>
    <w:rsid w:val="003D1243"/>
    <w:rsid w:val="003D1D14"/>
    <w:rsid w:val="003D1D46"/>
    <w:rsid w:val="003D2ED0"/>
    <w:rsid w:val="003D355E"/>
    <w:rsid w:val="003D475A"/>
    <w:rsid w:val="003D7381"/>
    <w:rsid w:val="003E1652"/>
    <w:rsid w:val="003E234E"/>
    <w:rsid w:val="003E2B15"/>
    <w:rsid w:val="003E307B"/>
    <w:rsid w:val="003F0615"/>
    <w:rsid w:val="003F0654"/>
    <w:rsid w:val="003F0D86"/>
    <w:rsid w:val="003F1160"/>
    <w:rsid w:val="003F23F5"/>
    <w:rsid w:val="003F691F"/>
    <w:rsid w:val="003F6995"/>
    <w:rsid w:val="003F6C2F"/>
    <w:rsid w:val="003F6F0C"/>
    <w:rsid w:val="004029CF"/>
    <w:rsid w:val="004034F0"/>
    <w:rsid w:val="00405D63"/>
    <w:rsid w:val="00411060"/>
    <w:rsid w:val="00412887"/>
    <w:rsid w:val="00413B31"/>
    <w:rsid w:val="00414F4A"/>
    <w:rsid w:val="00415CDB"/>
    <w:rsid w:val="00416D97"/>
    <w:rsid w:val="00417D12"/>
    <w:rsid w:val="0042000E"/>
    <w:rsid w:val="004216F0"/>
    <w:rsid w:val="00422360"/>
    <w:rsid w:val="004239C1"/>
    <w:rsid w:val="00424769"/>
    <w:rsid w:val="00426937"/>
    <w:rsid w:val="0042740D"/>
    <w:rsid w:val="00430A58"/>
    <w:rsid w:val="00430FC6"/>
    <w:rsid w:val="00434216"/>
    <w:rsid w:val="004359E1"/>
    <w:rsid w:val="004379BF"/>
    <w:rsid w:val="00440278"/>
    <w:rsid w:val="00441362"/>
    <w:rsid w:val="00442E82"/>
    <w:rsid w:val="00447118"/>
    <w:rsid w:val="00447D4E"/>
    <w:rsid w:val="00451D3D"/>
    <w:rsid w:val="00451EA0"/>
    <w:rsid w:val="00453A62"/>
    <w:rsid w:val="0045665D"/>
    <w:rsid w:val="00456735"/>
    <w:rsid w:val="00456E32"/>
    <w:rsid w:val="00457332"/>
    <w:rsid w:val="00462E18"/>
    <w:rsid w:val="004639F3"/>
    <w:rsid w:val="004640F2"/>
    <w:rsid w:val="004660E4"/>
    <w:rsid w:val="00467B49"/>
    <w:rsid w:val="00471990"/>
    <w:rsid w:val="00472A6F"/>
    <w:rsid w:val="00472DDE"/>
    <w:rsid w:val="00474A0A"/>
    <w:rsid w:val="00475594"/>
    <w:rsid w:val="00480A32"/>
    <w:rsid w:val="00481687"/>
    <w:rsid w:val="00484E13"/>
    <w:rsid w:val="004874E1"/>
    <w:rsid w:val="004905D4"/>
    <w:rsid w:val="00491FB0"/>
    <w:rsid w:val="004921F9"/>
    <w:rsid w:val="00493523"/>
    <w:rsid w:val="00493A56"/>
    <w:rsid w:val="0049557A"/>
    <w:rsid w:val="00496A2A"/>
    <w:rsid w:val="00496F5D"/>
    <w:rsid w:val="004971A9"/>
    <w:rsid w:val="004A2028"/>
    <w:rsid w:val="004A2ED9"/>
    <w:rsid w:val="004A39EE"/>
    <w:rsid w:val="004A3A1C"/>
    <w:rsid w:val="004B09D1"/>
    <w:rsid w:val="004B2900"/>
    <w:rsid w:val="004B588D"/>
    <w:rsid w:val="004B7A34"/>
    <w:rsid w:val="004C1124"/>
    <w:rsid w:val="004C1A3A"/>
    <w:rsid w:val="004C3417"/>
    <w:rsid w:val="004C5504"/>
    <w:rsid w:val="004C7E64"/>
    <w:rsid w:val="004D00DA"/>
    <w:rsid w:val="004D1F3B"/>
    <w:rsid w:val="004D4A64"/>
    <w:rsid w:val="004D5E7E"/>
    <w:rsid w:val="004D68D9"/>
    <w:rsid w:val="004E116F"/>
    <w:rsid w:val="004E4D81"/>
    <w:rsid w:val="004E6AD6"/>
    <w:rsid w:val="004E715C"/>
    <w:rsid w:val="004E7C3C"/>
    <w:rsid w:val="004E7F2F"/>
    <w:rsid w:val="004F0429"/>
    <w:rsid w:val="004F4EB9"/>
    <w:rsid w:val="004F5052"/>
    <w:rsid w:val="004F5F1D"/>
    <w:rsid w:val="00500ACC"/>
    <w:rsid w:val="005026D8"/>
    <w:rsid w:val="00503244"/>
    <w:rsid w:val="005050DF"/>
    <w:rsid w:val="005060FF"/>
    <w:rsid w:val="0051156F"/>
    <w:rsid w:val="005120E9"/>
    <w:rsid w:val="00516CA1"/>
    <w:rsid w:val="00520B3F"/>
    <w:rsid w:val="005226E7"/>
    <w:rsid w:val="00522DEC"/>
    <w:rsid w:val="00524B75"/>
    <w:rsid w:val="00526428"/>
    <w:rsid w:val="00526B42"/>
    <w:rsid w:val="0052700C"/>
    <w:rsid w:val="005362D7"/>
    <w:rsid w:val="00536D6B"/>
    <w:rsid w:val="0054010B"/>
    <w:rsid w:val="005403D1"/>
    <w:rsid w:val="00540E2C"/>
    <w:rsid w:val="0054121B"/>
    <w:rsid w:val="00543F57"/>
    <w:rsid w:val="005447C2"/>
    <w:rsid w:val="00545A9A"/>
    <w:rsid w:val="00545F37"/>
    <w:rsid w:val="0054783D"/>
    <w:rsid w:val="00547950"/>
    <w:rsid w:val="00550A78"/>
    <w:rsid w:val="00551860"/>
    <w:rsid w:val="005518E2"/>
    <w:rsid w:val="00551A08"/>
    <w:rsid w:val="00553061"/>
    <w:rsid w:val="005533D1"/>
    <w:rsid w:val="00554D6E"/>
    <w:rsid w:val="00555434"/>
    <w:rsid w:val="005564AB"/>
    <w:rsid w:val="00557273"/>
    <w:rsid w:val="00560300"/>
    <w:rsid w:val="00561BDD"/>
    <w:rsid w:val="005638C0"/>
    <w:rsid w:val="0057030B"/>
    <w:rsid w:val="00571C47"/>
    <w:rsid w:val="00572E66"/>
    <w:rsid w:val="00574C27"/>
    <w:rsid w:val="005808FC"/>
    <w:rsid w:val="00580FBD"/>
    <w:rsid w:val="0058304D"/>
    <w:rsid w:val="00583F7B"/>
    <w:rsid w:val="0058465D"/>
    <w:rsid w:val="00585126"/>
    <w:rsid w:val="005855E0"/>
    <w:rsid w:val="005872A7"/>
    <w:rsid w:val="00590A67"/>
    <w:rsid w:val="005921F6"/>
    <w:rsid w:val="00592DDA"/>
    <w:rsid w:val="00592FAE"/>
    <w:rsid w:val="005A14F0"/>
    <w:rsid w:val="005A1EF4"/>
    <w:rsid w:val="005A323C"/>
    <w:rsid w:val="005A4E08"/>
    <w:rsid w:val="005A65AD"/>
    <w:rsid w:val="005B1607"/>
    <w:rsid w:val="005B21F8"/>
    <w:rsid w:val="005B2593"/>
    <w:rsid w:val="005B2C24"/>
    <w:rsid w:val="005B3245"/>
    <w:rsid w:val="005B3BEE"/>
    <w:rsid w:val="005B70AD"/>
    <w:rsid w:val="005C0A0F"/>
    <w:rsid w:val="005C23BE"/>
    <w:rsid w:val="005C4A6C"/>
    <w:rsid w:val="005C4EDC"/>
    <w:rsid w:val="005C6269"/>
    <w:rsid w:val="005C6717"/>
    <w:rsid w:val="005C6AD3"/>
    <w:rsid w:val="005C7687"/>
    <w:rsid w:val="005C7C70"/>
    <w:rsid w:val="005D0EFF"/>
    <w:rsid w:val="005D17DB"/>
    <w:rsid w:val="005D2FA1"/>
    <w:rsid w:val="005D3643"/>
    <w:rsid w:val="005D5756"/>
    <w:rsid w:val="005D5C34"/>
    <w:rsid w:val="005D7596"/>
    <w:rsid w:val="005E01E6"/>
    <w:rsid w:val="005E0535"/>
    <w:rsid w:val="005E160D"/>
    <w:rsid w:val="005E1FD3"/>
    <w:rsid w:val="005E352B"/>
    <w:rsid w:val="005E4C87"/>
    <w:rsid w:val="005E545D"/>
    <w:rsid w:val="005E5BD2"/>
    <w:rsid w:val="005E778C"/>
    <w:rsid w:val="005E7E8D"/>
    <w:rsid w:val="005F0358"/>
    <w:rsid w:val="005F112A"/>
    <w:rsid w:val="005F6EE0"/>
    <w:rsid w:val="005F6EFD"/>
    <w:rsid w:val="005F7A61"/>
    <w:rsid w:val="006000E0"/>
    <w:rsid w:val="00600A55"/>
    <w:rsid w:val="00600F23"/>
    <w:rsid w:val="00603760"/>
    <w:rsid w:val="006054A5"/>
    <w:rsid w:val="00605D91"/>
    <w:rsid w:val="00606496"/>
    <w:rsid w:val="0061047E"/>
    <w:rsid w:val="00613B45"/>
    <w:rsid w:val="0061581F"/>
    <w:rsid w:val="00615F0F"/>
    <w:rsid w:val="006167C8"/>
    <w:rsid w:val="00617F4E"/>
    <w:rsid w:val="0062389F"/>
    <w:rsid w:val="00625910"/>
    <w:rsid w:val="00627FA6"/>
    <w:rsid w:val="006300B9"/>
    <w:rsid w:val="0063510D"/>
    <w:rsid w:val="00636BD4"/>
    <w:rsid w:val="0064110A"/>
    <w:rsid w:val="00644CFF"/>
    <w:rsid w:val="006462A3"/>
    <w:rsid w:val="00647A05"/>
    <w:rsid w:val="00650398"/>
    <w:rsid w:val="00650CA0"/>
    <w:rsid w:val="0065347A"/>
    <w:rsid w:val="006552A6"/>
    <w:rsid w:val="006552D6"/>
    <w:rsid w:val="00656003"/>
    <w:rsid w:val="006573A1"/>
    <w:rsid w:val="0065740C"/>
    <w:rsid w:val="00661CCE"/>
    <w:rsid w:val="00662216"/>
    <w:rsid w:val="00664FA2"/>
    <w:rsid w:val="00665CB5"/>
    <w:rsid w:val="00665E74"/>
    <w:rsid w:val="00670F95"/>
    <w:rsid w:val="006740AB"/>
    <w:rsid w:val="00674A3B"/>
    <w:rsid w:val="00680103"/>
    <w:rsid w:val="00681334"/>
    <w:rsid w:val="006826FB"/>
    <w:rsid w:val="0068359D"/>
    <w:rsid w:val="0068425A"/>
    <w:rsid w:val="006849AF"/>
    <w:rsid w:val="00686119"/>
    <w:rsid w:val="006903EE"/>
    <w:rsid w:val="006910FB"/>
    <w:rsid w:val="00691875"/>
    <w:rsid w:val="006971AF"/>
    <w:rsid w:val="006A01AF"/>
    <w:rsid w:val="006A1958"/>
    <w:rsid w:val="006A268A"/>
    <w:rsid w:val="006A3418"/>
    <w:rsid w:val="006A52FD"/>
    <w:rsid w:val="006A5E81"/>
    <w:rsid w:val="006B0D0D"/>
    <w:rsid w:val="006B732F"/>
    <w:rsid w:val="006C0216"/>
    <w:rsid w:val="006C13E3"/>
    <w:rsid w:val="006C4E8E"/>
    <w:rsid w:val="006C58F6"/>
    <w:rsid w:val="006D0409"/>
    <w:rsid w:val="006D0785"/>
    <w:rsid w:val="006D0A46"/>
    <w:rsid w:val="006D1798"/>
    <w:rsid w:val="006D4D7E"/>
    <w:rsid w:val="006D601F"/>
    <w:rsid w:val="006D6D8A"/>
    <w:rsid w:val="006E1591"/>
    <w:rsid w:val="006E194B"/>
    <w:rsid w:val="006E1E13"/>
    <w:rsid w:val="006E36B3"/>
    <w:rsid w:val="006E465C"/>
    <w:rsid w:val="006E6212"/>
    <w:rsid w:val="006E6E11"/>
    <w:rsid w:val="006E7430"/>
    <w:rsid w:val="006F1982"/>
    <w:rsid w:val="006F2C7C"/>
    <w:rsid w:val="006F36BE"/>
    <w:rsid w:val="006F55A8"/>
    <w:rsid w:val="006F59F6"/>
    <w:rsid w:val="006F5FF6"/>
    <w:rsid w:val="006F6187"/>
    <w:rsid w:val="006F64DE"/>
    <w:rsid w:val="006F6A23"/>
    <w:rsid w:val="00700C7E"/>
    <w:rsid w:val="00700F28"/>
    <w:rsid w:val="00702A31"/>
    <w:rsid w:val="00704CCC"/>
    <w:rsid w:val="00704DFB"/>
    <w:rsid w:val="00710227"/>
    <w:rsid w:val="007109F4"/>
    <w:rsid w:val="00710EBC"/>
    <w:rsid w:val="0071357A"/>
    <w:rsid w:val="00715E64"/>
    <w:rsid w:val="007208D5"/>
    <w:rsid w:val="00721F58"/>
    <w:rsid w:val="00722F12"/>
    <w:rsid w:val="00725432"/>
    <w:rsid w:val="00726E0A"/>
    <w:rsid w:val="007320C9"/>
    <w:rsid w:val="0073456D"/>
    <w:rsid w:val="00737A18"/>
    <w:rsid w:val="00741460"/>
    <w:rsid w:val="0074604F"/>
    <w:rsid w:val="00751298"/>
    <w:rsid w:val="0075224F"/>
    <w:rsid w:val="00753890"/>
    <w:rsid w:val="00754D6E"/>
    <w:rsid w:val="0075609B"/>
    <w:rsid w:val="007573FA"/>
    <w:rsid w:val="00757CFD"/>
    <w:rsid w:val="00761080"/>
    <w:rsid w:val="007621AA"/>
    <w:rsid w:val="00762663"/>
    <w:rsid w:val="00763D45"/>
    <w:rsid w:val="007645C9"/>
    <w:rsid w:val="00765028"/>
    <w:rsid w:val="00765393"/>
    <w:rsid w:val="00765C2C"/>
    <w:rsid w:val="0076715A"/>
    <w:rsid w:val="00770A58"/>
    <w:rsid w:val="007712C8"/>
    <w:rsid w:val="0077391E"/>
    <w:rsid w:val="00773F7B"/>
    <w:rsid w:val="00775EEC"/>
    <w:rsid w:val="00775F03"/>
    <w:rsid w:val="00782F7E"/>
    <w:rsid w:val="00785EE7"/>
    <w:rsid w:val="00785F01"/>
    <w:rsid w:val="007870A7"/>
    <w:rsid w:val="00792C73"/>
    <w:rsid w:val="007950FB"/>
    <w:rsid w:val="007A051A"/>
    <w:rsid w:val="007A1051"/>
    <w:rsid w:val="007A3E27"/>
    <w:rsid w:val="007A40CC"/>
    <w:rsid w:val="007A71E7"/>
    <w:rsid w:val="007B035B"/>
    <w:rsid w:val="007B28D4"/>
    <w:rsid w:val="007B4310"/>
    <w:rsid w:val="007B6516"/>
    <w:rsid w:val="007B6538"/>
    <w:rsid w:val="007B67C9"/>
    <w:rsid w:val="007C02DF"/>
    <w:rsid w:val="007C4A83"/>
    <w:rsid w:val="007C5FF0"/>
    <w:rsid w:val="007C618C"/>
    <w:rsid w:val="007C6A59"/>
    <w:rsid w:val="007D10CC"/>
    <w:rsid w:val="007D1486"/>
    <w:rsid w:val="007D1AC1"/>
    <w:rsid w:val="007D2418"/>
    <w:rsid w:val="007D4345"/>
    <w:rsid w:val="007D6639"/>
    <w:rsid w:val="007D7F1D"/>
    <w:rsid w:val="007E0907"/>
    <w:rsid w:val="007E0FD1"/>
    <w:rsid w:val="007E1069"/>
    <w:rsid w:val="007E2DD2"/>
    <w:rsid w:val="007E37D5"/>
    <w:rsid w:val="007E3BBB"/>
    <w:rsid w:val="007E4410"/>
    <w:rsid w:val="007E56B6"/>
    <w:rsid w:val="007E5D44"/>
    <w:rsid w:val="007E6155"/>
    <w:rsid w:val="007F1A7A"/>
    <w:rsid w:val="007F2987"/>
    <w:rsid w:val="007F7718"/>
    <w:rsid w:val="007F7736"/>
    <w:rsid w:val="0080174F"/>
    <w:rsid w:val="00802005"/>
    <w:rsid w:val="00805360"/>
    <w:rsid w:val="0080556E"/>
    <w:rsid w:val="00805C36"/>
    <w:rsid w:val="00806CF4"/>
    <w:rsid w:val="00814253"/>
    <w:rsid w:val="008145A4"/>
    <w:rsid w:val="008147E3"/>
    <w:rsid w:val="00815BCC"/>
    <w:rsid w:val="00815E85"/>
    <w:rsid w:val="0081613A"/>
    <w:rsid w:val="0081788B"/>
    <w:rsid w:val="00821A3B"/>
    <w:rsid w:val="00822F95"/>
    <w:rsid w:val="0082570C"/>
    <w:rsid w:val="00826518"/>
    <w:rsid w:val="00826558"/>
    <w:rsid w:val="00827864"/>
    <w:rsid w:val="00827AB2"/>
    <w:rsid w:val="00830C39"/>
    <w:rsid w:val="00834013"/>
    <w:rsid w:val="00834CDF"/>
    <w:rsid w:val="00835BDF"/>
    <w:rsid w:val="00836AD1"/>
    <w:rsid w:val="008454DE"/>
    <w:rsid w:val="008463D2"/>
    <w:rsid w:val="00850427"/>
    <w:rsid w:val="00851568"/>
    <w:rsid w:val="0085513C"/>
    <w:rsid w:val="00855540"/>
    <w:rsid w:val="00857C39"/>
    <w:rsid w:val="00862DB4"/>
    <w:rsid w:val="00863BBC"/>
    <w:rsid w:val="00865A31"/>
    <w:rsid w:val="00870DEC"/>
    <w:rsid w:val="00873731"/>
    <w:rsid w:val="0087434D"/>
    <w:rsid w:val="008748A8"/>
    <w:rsid w:val="008748CE"/>
    <w:rsid w:val="00875390"/>
    <w:rsid w:val="00875751"/>
    <w:rsid w:val="00881472"/>
    <w:rsid w:val="00881A4E"/>
    <w:rsid w:val="00883A23"/>
    <w:rsid w:val="00887F92"/>
    <w:rsid w:val="00890355"/>
    <w:rsid w:val="0089056F"/>
    <w:rsid w:val="00892F5E"/>
    <w:rsid w:val="008944C5"/>
    <w:rsid w:val="008A2066"/>
    <w:rsid w:val="008A28B6"/>
    <w:rsid w:val="008A2EFB"/>
    <w:rsid w:val="008A3AD3"/>
    <w:rsid w:val="008A5DF7"/>
    <w:rsid w:val="008A6736"/>
    <w:rsid w:val="008A6C9F"/>
    <w:rsid w:val="008B1956"/>
    <w:rsid w:val="008B2538"/>
    <w:rsid w:val="008B3970"/>
    <w:rsid w:val="008B4F3E"/>
    <w:rsid w:val="008B6A05"/>
    <w:rsid w:val="008B756D"/>
    <w:rsid w:val="008C2585"/>
    <w:rsid w:val="008C32A2"/>
    <w:rsid w:val="008C5004"/>
    <w:rsid w:val="008C605D"/>
    <w:rsid w:val="008C6E73"/>
    <w:rsid w:val="008D1E8D"/>
    <w:rsid w:val="008D2004"/>
    <w:rsid w:val="008D2B54"/>
    <w:rsid w:val="008D4D2D"/>
    <w:rsid w:val="008D5307"/>
    <w:rsid w:val="008D5599"/>
    <w:rsid w:val="008D6420"/>
    <w:rsid w:val="008D6975"/>
    <w:rsid w:val="008D69E9"/>
    <w:rsid w:val="008D6A78"/>
    <w:rsid w:val="008D6BE3"/>
    <w:rsid w:val="008D6D0B"/>
    <w:rsid w:val="008D7892"/>
    <w:rsid w:val="008D7A81"/>
    <w:rsid w:val="008D7F43"/>
    <w:rsid w:val="008E34AA"/>
    <w:rsid w:val="008E3F49"/>
    <w:rsid w:val="008E4C76"/>
    <w:rsid w:val="008E7E23"/>
    <w:rsid w:val="008F0202"/>
    <w:rsid w:val="008F05AC"/>
    <w:rsid w:val="008F29DE"/>
    <w:rsid w:val="008F3332"/>
    <w:rsid w:val="008F3C89"/>
    <w:rsid w:val="008F4B40"/>
    <w:rsid w:val="008F635F"/>
    <w:rsid w:val="008F64CD"/>
    <w:rsid w:val="008F6B7E"/>
    <w:rsid w:val="008F7775"/>
    <w:rsid w:val="00901819"/>
    <w:rsid w:val="00902FE2"/>
    <w:rsid w:val="00903FE8"/>
    <w:rsid w:val="00904EB5"/>
    <w:rsid w:val="00905E5E"/>
    <w:rsid w:val="00905E80"/>
    <w:rsid w:val="00905F01"/>
    <w:rsid w:val="00911F6F"/>
    <w:rsid w:val="009126D7"/>
    <w:rsid w:val="0091275F"/>
    <w:rsid w:val="009174CD"/>
    <w:rsid w:val="00921843"/>
    <w:rsid w:val="00921B14"/>
    <w:rsid w:val="00921B7F"/>
    <w:rsid w:val="00921D9C"/>
    <w:rsid w:val="00923DB3"/>
    <w:rsid w:val="00923EFC"/>
    <w:rsid w:val="009250B0"/>
    <w:rsid w:val="00925B15"/>
    <w:rsid w:val="00931330"/>
    <w:rsid w:val="00934BCA"/>
    <w:rsid w:val="00934FB3"/>
    <w:rsid w:val="00936AC4"/>
    <w:rsid w:val="009376CA"/>
    <w:rsid w:val="00937BE9"/>
    <w:rsid w:val="009404B7"/>
    <w:rsid w:val="00942BB6"/>
    <w:rsid w:val="00944337"/>
    <w:rsid w:val="009479C7"/>
    <w:rsid w:val="00950011"/>
    <w:rsid w:val="00953E6F"/>
    <w:rsid w:val="009646D9"/>
    <w:rsid w:val="00964D2F"/>
    <w:rsid w:val="00965272"/>
    <w:rsid w:val="00970138"/>
    <w:rsid w:val="0097089E"/>
    <w:rsid w:val="00972DB0"/>
    <w:rsid w:val="009820A6"/>
    <w:rsid w:val="0098248B"/>
    <w:rsid w:val="00992F1A"/>
    <w:rsid w:val="00993098"/>
    <w:rsid w:val="009939E8"/>
    <w:rsid w:val="00993FF7"/>
    <w:rsid w:val="00995948"/>
    <w:rsid w:val="0099645B"/>
    <w:rsid w:val="00996E05"/>
    <w:rsid w:val="009A0AEB"/>
    <w:rsid w:val="009A0CE8"/>
    <w:rsid w:val="009A138A"/>
    <w:rsid w:val="009A2F48"/>
    <w:rsid w:val="009A3382"/>
    <w:rsid w:val="009B13AE"/>
    <w:rsid w:val="009B19F4"/>
    <w:rsid w:val="009B616E"/>
    <w:rsid w:val="009B6F5C"/>
    <w:rsid w:val="009B763E"/>
    <w:rsid w:val="009B7CBA"/>
    <w:rsid w:val="009C23C0"/>
    <w:rsid w:val="009C27E0"/>
    <w:rsid w:val="009C289B"/>
    <w:rsid w:val="009C2B52"/>
    <w:rsid w:val="009C2DDC"/>
    <w:rsid w:val="009C47D8"/>
    <w:rsid w:val="009C5631"/>
    <w:rsid w:val="009C5E92"/>
    <w:rsid w:val="009C68D4"/>
    <w:rsid w:val="009C6F05"/>
    <w:rsid w:val="009C72B4"/>
    <w:rsid w:val="009D3098"/>
    <w:rsid w:val="009D6A1E"/>
    <w:rsid w:val="009D7BB0"/>
    <w:rsid w:val="009D7EB5"/>
    <w:rsid w:val="009E0E44"/>
    <w:rsid w:val="009E12A2"/>
    <w:rsid w:val="009E3791"/>
    <w:rsid w:val="009E3FD9"/>
    <w:rsid w:val="009E517D"/>
    <w:rsid w:val="009E7257"/>
    <w:rsid w:val="009F0144"/>
    <w:rsid w:val="009F0349"/>
    <w:rsid w:val="009F31CB"/>
    <w:rsid w:val="009F3EBC"/>
    <w:rsid w:val="009F574C"/>
    <w:rsid w:val="00A00268"/>
    <w:rsid w:val="00A07367"/>
    <w:rsid w:val="00A07718"/>
    <w:rsid w:val="00A078D8"/>
    <w:rsid w:val="00A10885"/>
    <w:rsid w:val="00A1235E"/>
    <w:rsid w:val="00A14E0D"/>
    <w:rsid w:val="00A14F58"/>
    <w:rsid w:val="00A15E6C"/>
    <w:rsid w:val="00A17292"/>
    <w:rsid w:val="00A17BE2"/>
    <w:rsid w:val="00A20B19"/>
    <w:rsid w:val="00A20E2F"/>
    <w:rsid w:val="00A21AF7"/>
    <w:rsid w:val="00A220F3"/>
    <w:rsid w:val="00A22A27"/>
    <w:rsid w:val="00A24DF0"/>
    <w:rsid w:val="00A25D2F"/>
    <w:rsid w:val="00A267ED"/>
    <w:rsid w:val="00A30CBB"/>
    <w:rsid w:val="00A31437"/>
    <w:rsid w:val="00A31621"/>
    <w:rsid w:val="00A32E0C"/>
    <w:rsid w:val="00A33AAD"/>
    <w:rsid w:val="00A3403B"/>
    <w:rsid w:val="00A3520A"/>
    <w:rsid w:val="00A40A44"/>
    <w:rsid w:val="00A40E08"/>
    <w:rsid w:val="00A41502"/>
    <w:rsid w:val="00A45922"/>
    <w:rsid w:val="00A46B47"/>
    <w:rsid w:val="00A472C7"/>
    <w:rsid w:val="00A5138A"/>
    <w:rsid w:val="00A528EC"/>
    <w:rsid w:val="00A54FA0"/>
    <w:rsid w:val="00A550F7"/>
    <w:rsid w:val="00A563F9"/>
    <w:rsid w:val="00A56414"/>
    <w:rsid w:val="00A60249"/>
    <w:rsid w:val="00A608A2"/>
    <w:rsid w:val="00A61D18"/>
    <w:rsid w:val="00A642FA"/>
    <w:rsid w:val="00A66057"/>
    <w:rsid w:val="00A66CBC"/>
    <w:rsid w:val="00A67229"/>
    <w:rsid w:val="00A70784"/>
    <w:rsid w:val="00A70E4B"/>
    <w:rsid w:val="00A71427"/>
    <w:rsid w:val="00A714D3"/>
    <w:rsid w:val="00A72050"/>
    <w:rsid w:val="00A72827"/>
    <w:rsid w:val="00A72917"/>
    <w:rsid w:val="00A72F8A"/>
    <w:rsid w:val="00A772BE"/>
    <w:rsid w:val="00A83720"/>
    <w:rsid w:val="00A84440"/>
    <w:rsid w:val="00A87BFA"/>
    <w:rsid w:val="00A9092B"/>
    <w:rsid w:val="00A91951"/>
    <w:rsid w:val="00A91D16"/>
    <w:rsid w:val="00A91DFC"/>
    <w:rsid w:val="00A934DC"/>
    <w:rsid w:val="00A95B00"/>
    <w:rsid w:val="00A96D81"/>
    <w:rsid w:val="00AA0DC6"/>
    <w:rsid w:val="00AA23F6"/>
    <w:rsid w:val="00AA249A"/>
    <w:rsid w:val="00AA34C5"/>
    <w:rsid w:val="00AA3589"/>
    <w:rsid w:val="00AA3E3E"/>
    <w:rsid w:val="00AA4ACC"/>
    <w:rsid w:val="00AB2673"/>
    <w:rsid w:val="00AB35EB"/>
    <w:rsid w:val="00AB4B47"/>
    <w:rsid w:val="00AB4D04"/>
    <w:rsid w:val="00AB59A1"/>
    <w:rsid w:val="00AB653E"/>
    <w:rsid w:val="00AC14D8"/>
    <w:rsid w:val="00AC3EF6"/>
    <w:rsid w:val="00AC4B0B"/>
    <w:rsid w:val="00AC7675"/>
    <w:rsid w:val="00AC7E80"/>
    <w:rsid w:val="00AD1BBA"/>
    <w:rsid w:val="00AD3533"/>
    <w:rsid w:val="00AD375B"/>
    <w:rsid w:val="00AD6AB8"/>
    <w:rsid w:val="00AE2C8D"/>
    <w:rsid w:val="00AE69B4"/>
    <w:rsid w:val="00AE76AF"/>
    <w:rsid w:val="00AF017E"/>
    <w:rsid w:val="00AF16EC"/>
    <w:rsid w:val="00AF2280"/>
    <w:rsid w:val="00AF30AE"/>
    <w:rsid w:val="00AF32EB"/>
    <w:rsid w:val="00AF7D7D"/>
    <w:rsid w:val="00B0528C"/>
    <w:rsid w:val="00B074E8"/>
    <w:rsid w:val="00B07700"/>
    <w:rsid w:val="00B10F27"/>
    <w:rsid w:val="00B12541"/>
    <w:rsid w:val="00B1293C"/>
    <w:rsid w:val="00B13523"/>
    <w:rsid w:val="00B13C35"/>
    <w:rsid w:val="00B13DAE"/>
    <w:rsid w:val="00B145B4"/>
    <w:rsid w:val="00B16B46"/>
    <w:rsid w:val="00B246A1"/>
    <w:rsid w:val="00B247C9"/>
    <w:rsid w:val="00B2695F"/>
    <w:rsid w:val="00B32656"/>
    <w:rsid w:val="00B34A2B"/>
    <w:rsid w:val="00B34E7D"/>
    <w:rsid w:val="00B37DA6"/>
    <w:rsid w:val="00B37E20"/>
    <w:rsid w:val="00B41E40"/>
    <w:rsid w:val="00B422D1"/>
    <w:rsid w:val="00B42BCB"/>
    <w:rsid w:val="00B43D2A"/>
    <w:rsid w:val="00B45DC9"/>
    <w:rsid w:val="00B510E8"/>
    <w:rsid w:val="00B512CD"/>
    <w:rsid w:val="00B52070"/>
    <w:rsid w:val="00B5282A"/>
    <w:rsid w:val="00B535FA"/>
    <w:rsid w:val="00B620F9"/>
    <w:rsid w:val="00B6635F"/>
    <w:rsid w:val="00B66A87"/>
    <w:rsid w:val="00B66AF3"/>
    <w:rsid w:val="00B7013C"/>
    <w:rsid w:val="00B71062"/>
    <w:rsid w:val="00B714C1"/>
    <w:rsid w:val="00B71AB8"/>
    <w:rsid w:val="00B7240B"/>
    <w:rsid w:val="00B8053F"/>
    <w:rsid w:val="00B8097B"/>
    <w:rsid w:val="00B809E2"/>
    <w:rsid w:val="00B81079"/>
    <w:rsid w:val="00B8124C"/>
    <w:rsid w:val="00B8126A"/>
    <w:rsid w:val="00B81CC9"/>
    <w:rsid w:val="00B8208C"/>
    <w:rsid w:val="00B82756"/>
    <w:rsid w:val="00B82F11"/>
    <w:rsid w:val="00B84283"/>
    <w:rsid w:val="00B859D4"/>
    <w:rsid w:val="00B86586"/>
    <w:rsid w:val="00B907E7"/>
    <w:rsid w:val="00B90931"/>
    <w:rsid w:val="00B914B4"/>
    <w:rsid w:val="00B941CA"/>
    <w:rsid w:val="00B948EA"/>
    <w:rsid w:val="00BA0B0C"/>
    <w:rsid w:val="00BA114B"/>
    <w:rsid w:val="00BA7CBF"/>
    <w:rsid w:val="00BB0996"/>
    <w:rsid w:val="00BB0F09"/>
    <w:rsid w:val="00BB14B7"/>
    <w:rsid w:val="00BB1BE6"/>
    <w:rsid w:val="00BB318F"/>
    <w:rsid w:val="00BB3CFB"/>
    <w:rsid w:val="00BB5C94"/>
    <w:rsid w:val="00BC331F"/>
    <w:rsid w:val="00BC3D8D"/>
    <w:rsid w:val="00BC4531"/>
    <w:rsid w:val="00BC5445"/>
    <w:rsid w:val="00BC7832"/>
    <w:rsid w:val="00BC7C75"/>
    <w:rsid w:val="00BD39BA"/>
    <w:rsid w:val="00BD4041"/>
    <w:rsid w:val="00BD4619"/>
    <w:rsid w:val="00BD5017"/>
    <w:rsid w:val="00BD5B9E"/>
    <w:rsid w:val="00BE1908"/>
    <w:rsid w:val="00BE3FBD"/>
    <w:rsid w:val="00BE63B3"/>
    <w:rsid w:val="00BE68F8"/>
    <w:rsid w:val="00BE7391"/>
    <w:rsid w:val="00BE7FB0"/>
    <w:rsid w:val="00BE7FD5"/>
    <w:rsid w:val="00BF04E6"/>
    <w:rsid w:val="00BF09DE"/>
    <w:rsid w:val="00BF0E40"/>
    <w:rsid w:val="00BF4ABE"/>
    <w:rsid w:val="00BF5710"/>
    <w:rsid w:val="00BF6B57"/>
    <w:rsid w:val="00C006CB"/>
    <w:rsid w:val="00C025A7"/>
    <w:rsid w:val="00C0338D"/>
    <w:rsid w:val="00C034CB"/>
    <w:rsid w:val="00C04AAF"/>
    <w:rsid w:val="00C062B6"/>
    <w:rsid w:val="00C06307"/>
    <w:rsid w:val="00C06B52"/>
    <w:rsid w:val="00C06F12"/>
    <w:rsid w:val="00C1471D"/>
    <w:rsid w:val="00C17FC8"/>
    <w:rsid w:val="00C211F7"/>
    <w:rsid w:val="00C21BC1"/>
    <w:rsid w:val="00C21C2B"/>
    <w:rsid w:val="00C233E1"/>
    <w:rsid w:val="00C26A62"/>
    <w:rsid w:val="00C26CE0"/>
    <w:rsid w:val="00C26E54"/>
    <w:rsid w:val="00C274BE"/>
    <w:rsid w:val="00C327AC"/>
    <w:rsid w:val="00C36ABA"/>
    <w:rsid w:val="00C37D56"/>
    <w:rsid w:val="00C45DBB"/>
    <w:rsid w:val="00C461E2"/>
    <w:rsid w:val="00C46A0A"/>
    <w:rsid w:val="00C50E20"/>
    <w:rsid w:val="00C51E76"/>
    <w:rsid w:val="00C5639A"/>
    <w:rsid w:val="00C578EF"/>
    <w:rsid w:val="00C57EC1"/>
    <w:rsid w:val="00C603AD"/>
    <w:rsid w:val="00C627C6"/>
    <w:rsid w:val="00C62FFD"/>
    <w:rsid w:val="00C70683"/>
    <w:rsid w:val="00C712C2"/>
    <w:rsid w:val="00C721A4"/>
    <w:rsid w:val="00C73905"/>
    <w:rsid w:val="00C75824"/>
    <w:rsid w:val="00C7656F"/>
    <w:rsid w:val="00C76A7D"/>
    <w:rsid w:val="00C7775A"/>
    <w:rsid w:val="00C808C7"/>
    <w:rsid w:val="00C80FA6"/>
    <w:rsid w:val="00C82C5E"/>
    <w:rsid w:val="00C83F8C"/>
    <w:rsid w:val="00C84074"/>
    <w:rsid w:val="00C84897"/>
    <w:rsid w:val="00C85635"/>
    <w:rsid w:val="00C85CF2"/>
    <w:rsid w:val="00C868A6"/>
    <w:rsid w:val="00C93535"/>
    <w:rsid w:val="00C949A8"/>
    <w:rsid w:val="00C979F8"/>
    <w:rsid w:val="00CA3416"/>
    <w:rsid w:val="00CB16F8"/>
    <w:rsid w:val="00CB223B"/>
    <w:rsid w:val="00CB2AF1"/>
    <w:rsid w:val="00CB4521"/>
    <w:rsid w:val="00CC003F"/>
    <w:rsid w:val="00CC1D57"/>
    <w:rsid w:val="00CC26C2"/>
    <w:rsid w:val="00CC283F"/>
    <w:rsid w:val="00CC7515"/>
    <w:rsid w:val="00CC7661"/>
    <w:rsid w:val="00CC7B0B"/>
    <w:rsid w:val="00CC7F8E"/>
    <w:rsid w:val="00CD0A2E"/>
    <w:rsid w:val="00CD2D6D"/>
    <w:rsid w:val="00CD4C0F"/>
    <w:rsid w:val="00CE04B6"/>
    <w:rsid w:val="00CE163E"/>
    <w:rsid w:val="00CE5687"/>
    <w:rsid w:val="00CE5E0C"/>
    <w:rsid w:val="00CE684F"/>
    <w:rsid w:val="00CE6DCD"/>
    <w:rsid w:val="00CF1817"/>
    <w:rsid w:val="00CF29E3"/>
    <w:rsid w:val="00CF2A00"/>
    <w:rsid w:val="00CF2F11"/>
    <w:rsid w:val="00CF4666"/>
    <w:rsid w:val="00CF4894"/>
    <w:rsid w:val="00CF76F2"/>
    <w:rsid w:val="00D02749"/>
    <w:rsid w:val="00D04199"/>
    <w:rsid w:val="00D051A5"/>
    <w:rsid w:val="00D0643F"/>
    <w:rsid w:val="00D07F3E"/>
    <w:rsid w:val="00D11093"/>
    <w:rsid w:val="00D13193"/>
    <w:rsid w:val="00D13EF1"/>
    <w:rsid w:val="00D14DF7"/>
    <w:rsid w:val="00D15351"/>
    <w:rsid w:val="00D1572A"/>
    <w:rsid w:val="00D24AE7"/>
    <w:rsid w:val="00D25AE4"/>
    <w:rsid w:val="00D271A2"/>
    <w:rsid w:val="00D30737"/>
    <w:rsid w:val="00D327FF"/>
    <w:rsid w:val="00D33BF2"/>
    <w:rsid w:val="00D34092"/>
    <w:rsid w:val="00D377BE"/>
    <w:rsid w:val="00D378A6"/>
    <w:rsid w:val="00D44C1D"/>
    <w:rsid w:val="00D47519"/>
    <w:rsid w:val="00D515EB"/>
    <w:rsid w:val="00D52F0A"/>
    <w:rsid w:val="00D566AD"/>
    <w:rsid w:val="00D56E25"/>
    <w:rsid w:val="00D56E63"/>
    <w:rsid w:val="00D571CD"/>
    <w:rsid w:val="00D57B53"/>
    <w:rsid w:val="00D57F25"/>
    <w:rsid w:val="00D61704"/>
    <w:rsid w:val="00D61AE9"/>
    <w:rsid w:val="00D62949"/>
    <w:rsid w:val="00D63496"/>
    <w:rsid w:val="00D63898"/>
    <w:rsid w:val="00D646C1"/>
    <w:rsid w:val="00D671F0"/>
    <w:rsid w:val="00D673F5"/>
    <w:rsid w:val="00D712E0"/>
    <w:rsid w:val="00D714BD"/>
    <w:rsid w:val="00D71A58"/>
    <w:rsid w:val="00D76574"/>
    <w:rsid w:val="00D76F20"/>
    <w:rsid w:val="00D81771"/>
    <w:rsid w:val="00D82188"/>
    <w:rsid w:val="00D84E1C"/>
    <w:rsid w:val="00D84E40"/>
    <w:rsid w:val="00D9430C"/>
    <w:rsid w:val="00D94413"/>
    <w:rsid w:val="00DA0837"/>
    <w:rsid w:val="00DA19D4"/>
    <w:rsid w:val="00DA4412"/>
    <w:rsid w:val="00DA7F98"/>
    <w:rsid w:val="00DB17E5"/>
    <w:rsid w:val="00DB4DD8"/>
    <w:rsid w:val="00DB5369"/>
    <w:rsid w:val="00DB5965"/>
    <w:rsid w:val="00DB5C52"/>
    <w:rsid w:val="00DC0ED7"/>
    <w:rsid w:val="00DC260A"/>
    <w:rsid w:val="00DC3416"/>
    <w:rsid w:val="00DC4311"/>
    <w:rsid w:val="00DC5327"/>
    <w:rsid w:val="00DC60AE"/>
    <w:rsid w:val="00DC7BC3"/>
    <w:rsid w:val="00DD0223"/>
    <w:rsid w:val="00DD0A01"/>
    <w:rsid w:val="00DD1018"/>
    <w:rsid w:val="00DD37B0"/>
    <w:rsid w:val="00DD4291"/>
    <w:rsid w:val="00DD6493"/>
    <w:rsid w:val="00DD70A0"/>
    <w:rsid w:val="00DE2BFE"/>
    <w:rsid w:val="00DE460B"/>
    <w:rsid w:val="00DF0DAF"/>
    <w:rsid w:val="00DF121E"/>
    <w:rsid w:val="00DF339C"/>
    <w:rsid w:val="00DF3D88"/>
    <w:rsid w:val="00DF3EC7"/>
    <w:rsid w:val="00DF4054"/>
    <w:rsid w:val="00DF52F3"/>
    <w:rsid w:val="00DF6351"/>
    <w:rsid w:val="00DF6E36"/>
    <w:rsid w:val="00E015B1"/>
    <w:rsid w:val="00E02FFC"/>
    <w:rsid w:val="00E03636"/>
    <w:rsid w:val="00E044B5"/>
    <w:rsid w:val="00E05961"/>
    <w:rsid w:val="00E06DE7"/>
    <w:rsid w:val="00E07F4C"/>
    <w:rsid w:val="00E11BA7"/>
    <w:rsid w:val="00E124DF"/>
    <w:rsid w:val="00E12AF4"/>
    <w:rsid w:val="00E147D7"/>
    <w:rsid w:val="00E168F7"/>
    <w:rsid w:val="00E22BB3"/>
    <w:rsid w:val="00E22CE7"/>
    <w:rsid w:val="00E2675F"/>
    <w:rsid w:val="00E26EE5"/>
    <w:rsid w:val="00E26FEA"/>
    <w:rsid w:val="00E276ED"/>
    <w:rsid w:val="00E3043C"/>
    <w:rsid w:val="00E30E97"/>
    <w:rsid w:val="00E31429"/>
    <w:rsid w:val="00E3165A"/>
    <w:rsid w:val="00E32549"/>
    <w:rsid w:val="00E34FD1"/>
    <w:rsid w:val="00E36638"/>
    <w:rsid w:val="00E37A91"/>
    <w:rsid w:val="00E4782F"/>
    <w:rsid w:val="00E50E0A"/>
    <w:rsid w:val="00E5128C"/>
    <w:rsid w:val="00E53A09"/>
    <w:rsid w:val="00E5449E"/>
    <w:rsid w:val="00E5521C"/>
    <w:rsid w:val="00E55F4A"/>
    <w:rsid w:val="00E566FE"/>
    <w:rsid w:val="00E56AE6"/>
    <w:rsid w:val="00E56F40"/>
    <w:rsid w:val="00E57B5E"/>
    <w:rsid w:val="00E57F3E"/>
    <w:rsid w:val="00E61418"/>
    <w:rsid w:val="00E63B9B"/>
    <w:rsid w:val="00E675B3"/>
    <w:rsid w:val="00E7163A"/>
    <w:rsid w:val="00E739F2"/>
    <w:rsid w:val="00E74120"/>
    <w:rsid w:val="00E743B0"/>
    <w:rsid w:val="00E748E7"/>
    <w:rsid w:val="00E751E3"/>
    <w:rsid w:val="00E77B63"/>
    <w:rsid w:val="00E81D2F"/>
    <w:rsid w:val="00E849AB"/>
    <w:rsid w:val="00E858D5"/>
    <w:rsid w:val="00E85E14"/>
    <w:rsid w:val="00E86C8F"/>
    <w:rsid w:val="00E87146"/>
    <w:rsid w:val="00E8718C"/>
    <w:rsid w:val="00E902CF"/>
    <w:rsid w:val="00E927A1"/>
    <w:rsid w:val="00E9396A"/>
    <w:rsid w:val="00EA1A7A"/>
    <w:rsid w:val="00EA1C5B"/>
    <w:rsid w:val="00EA32FA"/>
    <w:rsid w:val="00EA414F"/>
    <w:rsid w:val="00EA5ABD"/>
    <w:rsid w:val="00EA6F1A"/>
    <w:rsid w:val="00EA7731"/>
    <w:rsid w:val="00EB2D90"/>
    <w:rsid w:val="00EB3E8B"/>
    <w:rsid w:val="00EB4E90"/>
    <w:rsid w:val="00EB4F09"/>
    <w:rsid w:val="00EC0196"/>
    <w:rsid w:val="00EC17D7"/>
    <w:rsid w:val="00EC1FCF"/>
    <w:rsid w:val="00EC27A9"/>
    <w:rsid w:val="00EC4BC4"/>
    <w:rsid w:val="00ED1323"/>
    <w:rsid w:val="00ED19D9"/>
    <w:rsid w:val="00ED2234"/>
    <w:rsid w:val="00ED6611"/>
    <w:rsid w:val="00EE1A59"/>
    <w:rsid w:val="00EE4372"/>
    <w:rsid w:val="00EE6D04"/>
    <w:rsid w:val="00EE7CDD"/>
    <w:rsid w:val="00EF1175"/>
    <w:rsid w:val="00EF1A4B"/>
    <w:rsid w:val="00EF37E9"/>
    <w:rsid w:val="00EF4CEB"/>
    <w:rsid w:val="00EF6004"/>
    <w:rsid w:val="00EF647C"/>
    <w:rsid w:val="00F0235A"/>
    <w:rsid w:val="00F02EE6"/>
    <w:rsid w:val="00F035CB"/>
    <w:rsid w:val="00F11797"/>
    <w:rsid w:val="00F214F2"/>
    <w:rsid w:val="00F2158F"/>
    <w:rsid w:val="00F31BEE"/>
    <w:rsid w:val="00F321B3"/>
    <w:rsid w:val="00F344E0"/>
    <w:rsid w:val="00F3691C"/>
    <w:rsid w:val="00F36B0E"/>
    <w:rsid w:val="00F3751E"/>
    <w:rsid w:val="00F4146E"/>
    <w:rsid w:val="00F435D2"/>
    <w:rsid w:val="00F44F4B"/>
    <w:rsid w:val="00F459D3"/>
    <w:rsid w:val="00F45BEE"/>
    <w:rsid w:val="00F45F29"/>
    <w:rsid w:val="00F54F67"/>
    <w:rsid w:val="00F55F07"/>
    <w:rsid w:val="00F56EB1"/>
    <w:rsid w:val="00F601FE"/>
    <w:rsid w:val="00F6253F"/>
    <w:rsid w:val="00F62C41"/>
    <w:rsid w:val="00F636D0"/>
    <w:rsid w:val="00F66722"/>
    <w:rsid w:val="00F7030E"/>
    <w:rsid w:val="00F71304"/>
    <w:rsid w:val="00F71D54"/>
    <w:rsid w:val="00F72ACE"/>
    <w:rsid w:val="00F73714"/>
    <w:rsid w:val="00F75453"/>
    <w:rsid w:val="00F75DA5"/>
    <w:rsid w:val="00F76F16"/>
    <w:rsid w:val="00F823EE"/>
    <w:rsid w:val="00F828CA"/>
    <w:rsid w:val="00F82BB8"/>
    <w:rsid w:val="00F85342"/>
    <w:rsid w:val="00F91BA7"/>
    <w:rsid w:val="00F93F9F"/>
    <w:rsid w:val="00F950DF"/>
    <w:rsid w:val="00F96738"/>
    <w:rsid w:val="00F97E8A"/>
    <w:rsid w:val="00FA0EA2"/>
    <w:rsid w:val="00FA2805"/>
    <w:rsid w:val="00FA519E"/>
    <w:rsid w:val="00FA51E8"/>
    <w:rsid w:val="00FA6AC1"/>
    <w:rsid w:val="00FB1D28"/>
    <w:rsid w:val="00FB1D54"/>
    <w:rsid w:val="00FB2383"/>
    <w:rsid w:val="00FB2D94"/>
    <w:rsid w:val="00FC077A"/>
    <w:rsid w:val="00FC1398"/>
    <w:rsid w:val="00FC3998"/>
    <w:rsid w:val="00FC3E5B"/>
    <w:rsid w:val="00FC3F4D"/>
    <w:rsid w:val="00FC53D5"/>
    <w:rsid w:val="00FC568F"/>
    <w:rsid w:val="00FC5EF9"/>
    <w:rsid w:val="00FC62B6"/>
    <w:rsid w:val="00FC7CB8"/>
    <w:rsid w:val="00FD0A9D"/>
    <w:rsid w:val="00FD2A1E"/>
    <w:rsid w:val="00FD3DDF"/>
    <w:rsid w:val="00FD486F"/>
    <w:rsid w:val="00FD5A2D"/>
    <w:rsid w:val="00FE0579"/>
    <w:rsid w:val="00FE0584"/>
    <w:rsid w:val="00FE22BA"/>
    <w:rsid w:val="00FE3B9D"/>
    <w:rsid w:val="00FE64FF"/>
    <w:rsid w:val="00FE6D44"/>
    <w:rsid w:val="00FE7EED"/>
    <w:rsid w:val="00FF0ACF"/>
    <w:rsid w:val="00FF1DAB"/>
    <w:rsid w:val="00FF2538"/>
    <w:rsid w:val="00FF5E74"/>
    <w:rsid w:val="00FF7134"/>
    <w:rsid w:val="00FF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067365"/>
  <w15:chartTrackingRefBased/>
  <w15:docId w15:val="{05439847-A6EE-4A66-A720-CCEFE884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291"/>
  </w:style>
  <w:style w:type="paragraph" w:styleId="Heading1">
    <w:name w:val="heading 1"/>
    <w:basedOn w:val="Normal"/>
    <w:next w:val="Normal"/>
    <w:link w:val="Heading1Char"/>
    <w:uiPriority w:val="9"/>
    <w:qFormat/>
    <w:rsid w:val="00CE5E0C"/>
    <w:pPr>
      <w:spacing w:after="0"/>
      <w:outlineLvl w:val="0"/>
    </w:pPr>
    <w:rPr>
      <w:b/>
      <w:color w:val="002060"/>
      <w:sz w:val="28"/>
      <w:szCs w:val="28"/>
    </w:rPr>
  </w:style>
  <w:style w:type="paragraph" w:styleId="Heading2">
    <w:name w:val="heading 2"/>
    <w:basedOn w:val="Normal"/>
    <w:next w:val="Normal"/>
    <w:link w:val="Heading2Char"/>
    <w:uiPriority w:val="9"/>
    <w:unhideWhenUsed/>
    <w:qFormat/>
    <w:rsid w:val="002222D6"/>
    <w:pPr>
      <w:spacing w:after="0"/>
      <w:outlineLvl w:val="1"/>
    </w:pPr>
    <w:rPr>
      <w:b/>
      <w:color w:val="002060"/>
      <w:sz w:val="20"/>
      <w:szCs w:val="20"/>
    </w:rPr>
  </w:style>
  <w:style w:type="paragraph" w:styleId="Heading3">
    <w:name w:val="heading 3"/>
    <w:basedOn w:val="Normal"/>
    <w:link w:val="Heading3Char"/>
    <w:uiPriority w:val="9"/>
    <w:unhideWhenUsed/>
    <w:qFormat/>
    <w:rsid w:val="003C7BC3"/>
    <w:pPr>
      <w:widowControl w:val="0"/>
      <w:autoSpaceDE w:val="0"/>
      <w:autoSpaceDN w:val="0"/>
      <w:spacing w:before="18" w:after="0" w:line="240" w:lineRule="auto"/>
      <w:ind w:left="560"/>
      <w:outlineLvl w:val="2"/>
    </w:pPr>
    <w:rPr>
      <w:rFonts w:ascii="Calibri" w:eastAsia="Calibri" w:hAnsi="Calibri" w:cs="Calibri"/>
      <w:b/>
      <w:bCs/>
      <w:i/>
      <w:sz w:val="18"/>
      <w:szCs w:val="1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E0C"/>
    <w:rPr>
      <w:b/>
      <w:color w:val="002060"/>
      <w:sz w:val="28"/>
      <w:szCs w:val="28"/>
    </w:rPr>
  </w:style>
  <w:style w:type="character" w:customStyle="1" w:styleId="Heading2Char">
    <w:name w:val="Heading 2 Char"/>
    <w:basedOn w:val="DefaultParagraphFont"/>
    <w:link w:val="Heading2"/>
    <w:uiPriority w:val="9"/>
    <w:rsid w:val="002222D6"/>
    <w:rPr>
      <w:b/>
      <w:color w:val="002060"/>
      <w:sz w:val="20"/>
      <w:szCs w:val="20"/>
    </w:rPr>
  </w:style>
  <w:style w:type="table" w:styleId="TableGrid">
    <w:name w:val="Table Grid"/>
    <w:basedOn w:val="TableNormal"/>
    <w:uiPriority w:val="99"/>
    <w:rsid w:val="00646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T1,Table Col Head"/>
    <w:basedOn w:val="Normal"/>
    <w:next w:val="Normal"/>
    <w:link w:val="SubtitleChar"/>
    <w:uiPriority w:val="11"/>
    <w:qFormat/>
    <w:rsid w:val="006462A3"/>
    <w:pPr>
      <w:spacing w:after="0" w:line="240" w:lineRule="auto"/>
      <w:jc w:val="center"/>
    </w:pPr>
    <w:rPr>
      <w:b/>
      <w:sz w:val="18"/>
      <w:szCs w:val="18"/>
    </w:rPr>
  </w:style>
  <w:style w:type="character" w:customStyle="1" w:styleId="SubtitleChar">
    <w:name w:val="Subtitle Char"/>
    <w:aliases w:val="T1 Char,Table Col Head Char"/>
    <w:basedOn w:val="DefaultParagraphFont"/>
    <w:link w:val="Subtitle"/>
    <w:uiPriority w:val="11"/>
    <w:rsid w:val="006462A3"/>
    <w:rPr>
      <w:b/>
      <w:sz w:val="18"/>
      <w:szCs w:val="18"/>
    </w:rPr>
  </w:style>
  <w:style w:type="character" w:styleId="SubtleEmphasis">
    <w:name w:val="Subtle Emphasis"/>
    <w:aliases w:val="Table 2"/>
    <w:uiPriority w:val="19"/>
    <w:rsid w:val="006462A3"/>
  </w:style>
  <w:style w:type="paragraph" w:customStyle="1" w:styleId="T2">
    <w:name w:val="T2"/>
    <w:basedOn w:val="Subtitle"/>
    <w:link w:val="T2Char"/>
    <w:qFormat/>
    <w:rsid w:val="006462A3"/>
    <w:rPr>
      <w:b w:val="0"/>
    </w:rPr>
  </w:style>
  <w:style w:type="paragraph" w:styleId="ListParagraph">
    <w:name w:val="List Paragraph"/>
    <w:basedOn w:val="Normal"/>
    <w:link w:val="ListParagraphChar"/>
    <w:uiPriority w:val="34"/>
    <w:qFormat/>
    <w:rsid w:val="00DA4412"/>
    <w:pPr>
      <w:ind w:left="720"/>
      <w:contextualSpacing/>
    </w:pPr>
  </w:style>
  <w:style w:type="character" w:customStyle="1" w:styleId="T2Char">
    <w:name w:val="T2 Char"/>
    <w:basedOn w:val="SubtitleChar"/>
    <w:link w:val="T2"/>
    <w:rsid w:val="006462A3"/>
    <w:rPr>
      <w:b w:val="0"/>
      <w:sz w:val="18"/>
      <w:szCs w:val="18"/>
    </w:rPr>
  </w:style>
  <w:style w:type="paragraph" w:customStyle="1" w:styleId="Paragraph">
    <w:name w:val="Paragraph"/>
    <w:basedOn w:val="Normal"/>
    <w:link w:val="ParagraphChar"/>
    <w:qFormat/>
    <w:rsid w:val="00DA4412"/>
    <w:pPr>
      <w:spacing w:before="160" w:after="0" w:line="240" w:lineRule="auto"/>
    </w:pPr>
    <w:rPr>
      <w:sz w:val="18"/>
      <w:szCs w:val="18"/>
    </w:rPr>
  </w:style>
  <w:style w:type="character" w:customStyle="1" w:styleId="ParagraphChar">
    <w:name w:val="Paragraph Char"/>
    <w:basedOn w:val="DefaultParagraphFont"/>
    <w:link w:val="Paragraph"/>
    <w:rsid w:val="00DA4412"/>
    <w:rPr>
      <w:sz w:val="18"/>
      <w:szCs w:val="18"/>
    </w:rPr>
  </w:style>
  <w:style w:type="paragraph" w:customStyle="1" w:styleId="ParaBulletStyle">
    <w:name w:val="Para Bullet Style"/>
    <w:basedOn w:val="Paragraph"/>
    <w:link w:val="ParaBulletStyleChar"/>
    <w:qFormat/>
    <w:rsid w:val="00921843"/>
    <w:pPr>
      <w:numPr>
        <w:numId w:val="1"/>
      </w:numPr>
      <w:spacing w:before="80"/>
      <w:ind w:left="714" w:hanging="357"/>
    </w:pPr>
  </w:style>
  <w:style w:type="character" w:customStyle="1" w:styleId="ParaBulletStyleChar">
    <w:name w:val="Para Bullet Style Char"/>
    <w:basedOn w:val="ParagraphChar"/>
    <w:link w:val="ParaBulletStyle"/>
    <w:rsid w:val="00921843"/>
    <w:rPr>
      <w:sz w:val="18"/>
      <w:szCs w:val="18"/>
    </w:rPr>
  </w:style>
  <w:style w:type="paragraph" w:styleId="Header">
    <w:name w:val="header"/>
    <w:basedOn w:val="Normal"/>
    <w:link w:val="HeaderChar"/>
    <w:unhideWhenUsed/>
    <w:rsid w:val="00E34FD1"/>
    <w:pPr>
      <w:tabs>
        <w:tab w:val="center" w:pos="4513"/>
        <w:tab w:val="right" w:pos="9026"/>
      </w:tabs>
      <w:spacing w:after="0" w:line="240" w:lineRule="auto"/>
    </w:pPr>
  </w:style>
  <w:style w:type="character" w:customStyle="1" w:styleId="HeaderChar">
    <w:name w:val="Header Char"/>
    <w:basedOn w:val="DefaultParagraphFont"/>
    <w:link w:val="Header"/>
    <w:rsid w:val="00E34FD1"/>
  </w:style>
  <w:style w:type="paragraph" w:styleId="Footer">
    <w:name w:val="footer"/>
    <w:basedOn w:val="Normal"/>
    <w:link w:val="FooterChar"/>
    <w:uiPriority w:val="99"/>
    <w:unhideWhenUsed/>
    <w:rsid w:val="00E34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FD1"/>
  </w:style>
  <w:style w:type="paragraph" w:customStyle="1" w:styleId="Style1">
    <w:name w:val="Style1"/>
    <w:basedOn w:val="ListParagraph"/>
    <w:link w:val="Style1Char"/>
    <w:qFormat/>
    <w:rsid w:val="00205633"/>
    <w:pPr>
      <w:numPr>
        <w:numId w:val="2"/>
      </w:numPr>
    </w:pPr>
    <w:rPr>
      <w:b/>
      <w:sz w:val="18"/>
      <w:szCs w:val="18"/>
    </w:rPr>
  </w:style>
  <w:style w:type="character" w:customStyle="1" w:styleId="ListParagraphChar">
    <w:name w:val="List Paragraph Char"/>
    <w:basedOn w:val="DefaultParagraphFont"/>
    <w:link w:val="ListParagraph"/>
    <w:uiPriority w:val="34"/>
    <w:rsid w:val="00205633"/>
  </w:style>
  <w:style w:type="character" w:customStyle="1" w:styleId="Style1Char">
    <w:name w:val="Style1 Char"/>
    <w:basedOn w:val="ListParagraphChar"/>
    <w:link w:val="Style1"/>
    <w:rsid w:val="00205633"/>
    <w:rPr>
      <w:b/>
      <w:sz w:val="18"/>
      <w:szCs w:val="18"/>
    </w:rPr>
  </w:style>
  <w:style w:type="paragraph" w:styleId="BalloonText">
    <w:name w:val="Balloon Text"/>
    <w:basedOn w:val="Normal"/>
    <w:link w:val="BalloonTextChar"/>
    <w:uiPriority w:val="99"/>
    <w:semiHidden/>
    <w:unhideWhenUsed/>
    <w:rsid w:val="003F6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995"/>
    <w:rPr>
      <w:rFonts w:ascii="Segoe UI" w:hAnsi="Segoe UI" w:cs="Segoe UI"/>
      <w:sz w:val="18"/>
      <w:szCs w:val="18"/>
    </w:rPr>
  </w:style>
  <w:style w:type="character" w:styleId="CommentReference">
    <w:name w:val="annotation reference"/>
    <w:basedOn w:val="DefaultParagraphFont"/>
    <w:uiPriority w:val="99"/>
    <w:semiHidden/>
    <w:unhideWhenUsed/>
    <w:rsid w:val="00215E7D"/>
    <w:rPr>
      <w:sz w:val="16"/>
      <w:szCs w:val="16"/>
    </w:rPr>
  </w:style>
  <w:style w:type="paragraph" w:styleId="CommentText">
    <w:name w:val="annotation text"/>
    <w:basedOn w:val="Normal"/>
    <w:link w:val="CommentTextChar"/>
    <w:uiPriority w:val="99"/>
    <w:semiHidden/>
    <w:unhideWhenUsed/>
    <w:rsid w:val="00215E7D"/>
    <w:pPr>
      <w:spacing w:line="240" w:lineRule="auto"/>
    </w:pPr>
    <w:rPr>
      <w:sz w:val="20"/>
      <w:szCs w:val="20"/>
    </w:rPr>
  </w:style>
  <w:style w:type="character" w:customStyle="1" w:styleId="CommentTextChar">
    <w:name w:val="Comment Text Char"/>
    <w:basedOn w:val="DefaultParagraphFont"/>
    <w:link w:val="CommentText"/>
    <w:uiPriority w:val="99"/>
    <w:semiHidden/>
    <w:rsid w:val="00215E7D"/>
    <w:rPr>
      <w:sz w:val="20"/>
      <w:szCs w:val="20"/>
    </w:rPr>
  </w:style>
  <w:style w:type="paragraph" w:styleId="CommentSubject">
    <w:name w:val="annotation subject"/>
    <w:basedOn w:val="CommentText"/>
    <w:next w:val="CommentText"/>
    <w:link w:val="CommentSubjectChar"/>
    <w:uiPriority w:val="99"/>
    <w:semiHidden/>
    <w:unhideWhenUsed/>
    <w:rsid w:val="00215E7D"/>
    <w:rPr>
      <w:b/>
      <w:bCs/>
    </w:rPr>
  </w:style>
  <w:style w:type="character" w:customStyle="1" w:styleId="CommentSubjectChar">
    <w:name w:val="Comment Subject Char"/>
    <w:basedOn w:val="CommentTextChar"/>
    <w:link w:val="CommentSubject"/>
    <w:uiPriority w:val="99"/>
    <w:semiHidden/>
    <w:rsid w:val="00215E7D"/>
    <w:rPr>
      <w:b/>
      <w:bCs/>
      <w:sz w:val="20"/>
      <w:szCs w:val="20"/>
    </w:rPr>
  </w:style>
  <w:style w:type="paragraph" w:styleId="Revision">
    <w:name w:val="Revision"/>
    <w:hidden/>
    <w:uiPriority w:val="99"/>
    <w:semiHidden/>
    <w:rsid w:val="006E1E13"/>
    <w:pPr>
      <w:spacing w:after="0" w:line="240" w:lineRule="auto"/>
    </w:pPr>
  </w:style>
  <w:style w:type="paragraph" w:customStyle="1" w:styleId="Default">
    <w:name w:val="Default"/>
    <w:rsid w:val="006910FB"/>
    <w:pPr>
      <w:autoSpaceDE w:val="0"/>
      <w:autoSpaceDN w:val="0"/>
      <w:adjustRightInd w:val="0"/>
      <w:spacing w:after="0" w:line="240" w:lineRule="auto"/>
    </w:pPr>
    <w:rPr>
      <w:rFonts w:ascii="Verdana" w:eastAsia="Times New Roman" w:hAnsi="Verdana" w:cs="Times New Roman"/>
      <w:sz w:val="20"/>
      <w:szCs w:val="20"/>
      <w:lang w:val="en-US"/>
    </w:rPr>
  </w:style>
  <w:style w:type="character" w:styleId="Hyperlink">
    <w:name w:val="Hyperlink"/>
    <w:basedOn w:val="DefaultParagraphFont"/>
    <w:rsid w:val="006910FB"/>
    <w:rPr>
      <w:rFonts w:cs="Times New Roman"/>
      <w:color w:val="0000FF"/>
      <w:u w:val="single"/>
    </w:rPr>
  </w:style>
  <w:style w:type="character" w:customStyle="1" w:styleId="Heading3Char">
    <w:name w:val="Heading 3 Char"/>
    <w:basedOn w:val="DefaultParagraphFont"/>
    <w:link w:val="Heading3"/>
    <w:uiPriority w:val="9"/>
    <w:rsid w:val="003C7BC3"/>
    <w:rPr>
      <w:rFonts w:ascii="Calibri" w:eastAsia="Calibri" w:hAnsi="Calibri" w:cs="Calibri"/>
      <w:b/>
      <w:bCs/>
      <w:i/>
      <w:sz w:val="18"/>
      <w:szCs w:val="18"/>
      <w:lang w:eastAsia="en-GB" w:bidi="en-GB"/>
    </w:rPr>
  </w:style>
  <w:style w:type="paragraph" w:styleId="BodyText">
    <w:name w:val="Body Text"/>
    <w:basedOn w:val="Normal"/>
    <w:link w:val="BodyTextChar"/>
    <w:uiPriority w:val="1"/>
    <w:qFormat/>
    <w:rsid w:val="003C7BC3"/>
    <w:pPr>
      <w:widowControl w:val="0"/>
      <w:autoSpaceDE w:val="0"/>
      <w:autoSpaceDN w:val="0"/>
      <w:spacing w:before="4" w:after="0" w:line="240" w:lineRule="auto"/>
    </w:pPr>
    <w:rPr>
      <w:rFonts w:eastAsia="Calibri" w:cstheme="minorHAnsi"/>
      <w:sz w:val="18"/>
      <w:szCs w:val="18"/>
      <w:lang w:eastAsia="en-GB" w:bidi="en-GB"/>
    </w:rPr>
  </w:style>
  <w:style w:type="character" w:customStyle="1" w:styleId="BodyTextChar">
    <w:name w:val="Body Text Char"/>
    <w:basedOn w:val="DefaultParagraphFont"/>
    <w:link w:val="BodyText"/>
    <w:uiPriority w:val="1"/>
    <w:rsid w:val="003C7BC3"/>
    <w:rPr>
      <w:rFonts w:eastAsia="Calibri" w:cstheme="minorHAnsi"/>
      <w:sz w:val="18"/>
      <w:szCs w:val="18"/>
      <w:lang w:eastAsia="en-GB" w:bidi="en-GB"/>
    </w:rPr>
  </w:style>
  <w:style w:type="paragraph" w:customStyle="1" w:styleId="TableParagraph">
    <w:name w:val="Table Paragraph"/>
    <w:basedOn w:val="Normal"/>
    <w:uiPriority w:val="1"/>
    <w:qFormat/>
    <w:rsid w:val="003C7BC3"/>
    <w:pPr>
      <w:widowControl w:val="0"/>
      <w:autoSpaceDE w:val="0"/>
      <w:autoSpaceDN w:val="0"/>
      <w:spacing w:after="0" w:line="240" w:lineRule="auto"/>
    </w:pPr>
    <w:rPr>
      <w:rFonts w:ascii="Calibri" w:eastAsia="Calibri" w:hAnsi="Calibri" w:cs="Calibri"/>
      <w:lang w:eastAsia="en-GB" w:bidi="en-GB"/>
    </w:rPr>
  </w:style>
  <w:style w:type="table" w:customStyle="1" w:styleId="TableGrid1">
    <w:name w:val="Table Grid1"/>
    <w:basedOn w:val="TableNormal"/>
    <w:next w:val="TableGrid"/>
    <w:uiPriority w:val="39"/>
    <w:rsid w:val="003C7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Head">
    <w:name w:val="Table Row Head"/>
    <w:basedOn w:val="T2"/>
    <w:link w:val="TableRowHeadChar"/>
    <w:qFormat/>
    <w:rsid w:val="003C7BC3"/>
    <w:pPr>
      <w:jc w:val="left"/>
    </w:pPr>
  </w:style>
  <w:style w:type="character" w:customStyle="1" w:styleId="TableRowHeadChar">
    <w:name w:val="Table Row Head Char"/>
    <w:basedOn w:val="T2Char"/>
    <w:link w:val="TableRowHead"/>
    <w:rsid w:val="003C7BC3"/>
    <w:rPr>
      <w:b w:val="0"/>
      <w:sz w:val="18"/>
      <w:szCs w:val="18"/>
    </w:rPr>
  </w:style>
  <w:style w:type="paragraph" w:customStyle="1" w:styleId="TableComments">
    <w:name w:val="Table Comments"/>
    <w:basedOn w:val="Normal"/>
    <w:link w:val="TableCommentsChar"/>
    <w:qFormat/>
    <w:rsid w:val="003C7BC3"/>
    <w:pPr>
      <w:widowControl w:val="0"/>
      <w:autoSpaceDE w:val="0"/>
      <w:autoSpaceDN w:val="0"/>
      <w:spacing w:after="0" w:line="240" w:lineRule="auto"/>
      <w:ind w:left="307" w:right="738"/>
    </w:pPr>
    <w:rPr>
      <w:rFonts w:ascii="Calibri" w:eastAsia="Calibri" w:hAnsi="Calibri" w:cs="Calibri"/>
      <w:sz w:val="16"/>
      <w:szCs w:val="18"/>
      <w:lang w:eastAsia="en-GB" w:bidi="en-GB"/>
    </w:rPr>
  </w:style>
  <w:style w:type="character" w:customStyle="1" w:styleId="TableCommentsChar">
    <w:name w:val="Table Comments Char"/>
    <w:basedOn w:val="T2Char"/>
    <w:link w:val="TableComments"/>
    <w:rsid w:val="003C7BC3"/>
    <w:rPr>
      <w:rFonts w:ascii="Calibri" w:eastAsia="Calibri" w:hAnsi="Calibri" w:cs="Calibri"/>
      <w:b w:val="0"/>
      <w:sz w:val="16"/>
      <w:szCs w:val="18"/>
      <w:lang w:eastAsia="en-GB" w:bidi="en-GB"/>
    </w:rPr>
  </w:style>
  <w:style w:type="character" w:styleId="Strong">
    <w:name w:val="Strong"/>
    <w:basedOn w:val="DefaultParagraphFont"/>
    <w:uiPriority w:val="22"/>
    <w:qFormat/>
    <w:rsid w:val="003C7BC3"/>
    <w:rPr>
      <w:b/>
      <w:bCs/>
    </w:rPr>
  </w:style>
  <w:style w:type="character" w:styleId="FollowedHyperlink">
    <w:name w:val="FollowedHyperlink"/>
    <w:basedOn w:val="DefaultParagraphFont"/>
    <w:uiPriority w:val="99"/>
    <w:semiHidden/>
    <w:unhideWhenUsed/>
    <w:rsid w:val="003C7BC3"/>
    <w:rPr>
      <w:color w:val="954F72" w:themeColor="followedHyperlink"/>
      <w:u w:val="single"/>
    </w:rPr>
  </w:style>
  <w:style w:type="numbering" w:customStyle="1" w:styleId="NoList1">
    <w:name w:val="No List1"/>
    <w:next w:val="NoList"/>
    <w:uiPriority w:val="99"/>
    <w:semiHidden/>
    <w:unhideWhenUsed/>
    <w:rsid w:val="003C7BC3"/>
  </w:style>
  <w:style w:type="character" w:customStyle="1" w:styleId="be">
    <w:name w:val="be"/>
    <w:basedOn w:val="DefaultParagraphFont"/>
    <w:rsid w:val="00A72827"/>
  </w:style>
  <w:style w:type="paragraph" w:customStyle="1" w:styleId="SectionH2">
    <w:name w:val="Section H2"/>
    <w:basedOn w:val="Normal"/>
    <w:link w:val="SectionH2Char"/>
    <w:qFormat/>
    <w:rsid w:val="002663ED"/>
    <w:pPr>
      <w:spacing w:line="240" w:lineRule="auto"/>
    </w:pPr>
    <w:rPr>
      <w:rFonts w:ascii="Calibri" w:eastAsia="Calibri" w:hAnsi="Calibri" w:cs="Arial"/>
      <w:b/>
      <w:sz w:val="20"/>
      <w:szCs w:val="18"/>
      <w:lang w:eastAsia="en-GB" w:bidi="en-GB"/>
    </w:rPr>
  </w:style>
  <w:style w:type="paragraph" w:customStyle="1" w:styleId="SectionH3">
    <w:name w:val="Section H3"/>
    <w:basedOn w:val="Normal"/>
    <w:link w:val="SectionH3Char"/>
    <w:qFormat/>
    <w:rsid w:val="008B4F3E"/>
    <w:pPr>
      <w:widowControl w:val="0"/>
      <w:autoSpaceDE w:val="0"/>
      <w:autoSpaceDN w:val="0"/>
      <w:spacing w:after="120" w:line="240" w:lineRule="auto"/>
      <w:jc w:val="both"/>
    </w:pPr>
    <w:rPr>
      <w:rFonts w:ascii="Calibri" w:eastAsia="Calibri" w:hAnsi="Calibri" w:cs="Arial"/>
      <w:b/>
      <w:bCs/>
      <w:sz w:val="18"/>
      <w:szCs w:val="18"/>
      <w:lang w:val="en-US" w:eastAsia="en-GB" w:bidi="en-GB"/>
    </w:rPr>
  </w:style>
  <w:style w:type="character" w:customStyle="1" w:styleId="SectionH2Char">
    <w:name w:val="Section H2 Char"/>
    <w:basedOn w:val="DefaultParagraphFont"/>
    <w:link w:val="SectionH2"/>
    <w:rsid w:val="002663ED"/>
    <w:rPr>
      <w:rFonts w:ascii="Calibri" w:eastAsia="Calibri" w:hAnsi="Calibri" w:cs="Arial"/>
      <w:b/>
      <w:sz w:val="20"/>
      <w:szCs w:val="18"/>
      <w:lang w:eastAsia="en-GB" w:bidi="en-GB"/>
    </w:rPr>
  </w:style>
  <w:style w:type="character" w:customStyle="1" w:styleId="SectionH3Char">
    <w:name w:val="Section H3 Char"/>
    <w:basedOn w:val="DefaultParagraphFont"/>
    <w:link w:val="SectionH3"/>
    <w:rsid w:val="008B4F3E"/>
    <w:rPr>
      <w:rFonts w:ascii="Calibri" w:eastAsia="Calibri" w:hAnsi="Calibri" w:cs="Arial"/>
      <w:b/>
      <w:bCs/>
      <w:sz w:val="18"/>
      <w:szCs w:val="18"/>
      <w:lang w:val="en-US"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50707">
      <w:bodyDiv w:val="1"/>
      <w:marLeft w:val="0"/>
      <w:marRight w:val="0"/>
      <w:marTop w:val="0"/>
      <w:marBottom w:val="0"/>
      <w:divBdr>
        <w:top w:val="none" w:sz="0" w:space="0" w:color="auto"/>
        <w:left w:val="none" w:sz="0" w:space="0" w:color="auto"/>
        <w:bottom w:val="none" w:sz="0" w:space="0" w:color="auto"/>
        <w:right w:val="none" w:sz="0" w:space="0" w:color="auto"/>
      </w:divBdr>
    </w:div>
    <w:div w:id="87123890">
      <w:bodyDiv w:val="1"/>
      <w:marLeft w:val="0"/>
      <w:marRight w:val="0"/>
      <w:marTop w:val="0"/>
      <w:marBottom w:val="0"/>
      <w:divBdr>
        <w:top w:val="none" w:sz="0" w:space="0" w:color="auto"/>
        <w:left w:val="none" w:sz="0" w:space="0" w:color="auto"/>
        <w:bottom w:val="none" w:sz="0" w:space="0" w:color="auto"/>
        <w:right w:val="none" w:sz="0" w:space="0" w:color="auto"/>
      </w:divBdr>
    </w:div>
    <w:div w:id="119031325">
      <w:bodyDiv w:val="1"/>
      <w:marLeft w:val="0"/>
      <w:marRight w:val="0"/>
      <w:marTop w:val="0"/>
      <w:marBottom w:val="0"/>
      <w:divBdr>
        <w:top w:val="none" w:sz="0" w:space="0" w:color="auto"/>
        <w:left w:val="none" w:sz="0" w:space="0" w:color="auto"/>
        <w:bottom w:val="none" w:sz="0" w:space="0" w:color="auto"/>
        <w:right w:val="none" w:sz="0" w:space="0" w:color="auto"/>
      </w:divBdr>
    </w:div>
    <w:div w:id="193201844">
      <w:bodyDiv w:val="1"/>
      <w:marLeft w:val="0"/>
      <w:marRight w:val="0"/>
      <w:marTop w:val="0"/>
      <w:marBottom w:val="0"/>
      <w:divBdr>
        <w:top w:val="none" w:sz="0" w:space="0" w:color="auto"/>
        <w:left w:val="none" w:sz="0" w:space="0" w:color="auto"/>
        <w:bottom w:val="none" w:sz="0" w:space="0" w:color="auto"/>
        <w:right w:val="none" w:sz="0" w:space="0" w:color="auto"/>
      </w:divBdr>
      <w:divsChild>
        <w:div w:id="1388457085">
          <w:marLeft w:val="446"/>
          <w:marRight w:val="0"/>
          <w:marTop w:val="0"/>
          <w:marBottom w:val="0"/>
          <w:divBdr>
            <w:top w:val="none" w:sz="0" w:space="0" w:color="auto"/>
            <w:left w:val="none" w:sz="0" w:space="0" w:color="auto"/>
            <w:bottom w:val="none" w:sz="0" w:space="0" w:color="auto"/>
            <w:right w:val="none" w:sz="0" w:space="0" w:color="auto"/>
          </w:divBdr>
        </w:div>
        <w:div w:id="469176785">
          <w:marLeft w:val="446"/>
          <w:marRight w:val="0"/>
          <w:marTop w:val="0"/>
          <w:marBottom w:val="0"/>
          <w:divBdr>
            <w:top w:val="none" w:sz="0" w:space="0" w:color="auto"/>
            <w:left w:val="none" w:sz="0" w:space="0" w:color="auto"/>
            <w:bottom w:val="none" w:sz="0" w:space="0" w:color="auto"/>
            <w:right w:val="none" w:sz="0" w:space="0" w:color="auto"/>
          </w:divBdr>
        </w:div>
      </w:divsChild>
    </w:div>
    <w:div w:id="255793188">
      <w:bodyDiv w:val="1"/>
      <w:marLeft w:val="0"/>
      <w:marRight w:val="0"/>
      <w:marTop w:val="0"/>
      <w:marBottom w:val="0"/>
      <w:divBdr>
        <w:top w:val="none" w:sz="0" w:space="0" w:color="auto"/>
        <w:left w:val="none" w:sz="0" w:space="0" w:color="auto"/>
        <w:bottom w:val="none" w:sz="0" w:space="0" w:color="auto"/>
        <w:right w:val="none" w:sz="0" w:space="0" w:color="auto"/>
      </w:divBdr>
    </w:div>
    <w:div w:id="276375888">
      <w:bodyDiv w:val="1"/>
      <w:marLeft w:val="0"/>
      <w:marRight w:val="0"/>
      <w:marTop w:val="0"/>
      <w:marBottom w:val="0"/>
      <w:divBdr>
        <w:top w:val="none" w:sz="0" w:space="0" w:color="auto"/>
        <w:left w:val="none" w:sz="0" w:space="0" w:color="auto"/>
        <w:bottom w:val="none" w:sz="0" w:space="0" w:color="auto"/>
        <w:right w:val="none" w:sz="0" w:space="0" w:color="auto"/>
      </w:divBdr>
    </w:div>
    <w:div w:id="288821639">
      <w:bodyDiv w:val="1"/>
      <w:marLeft w:val="0"/>
      <w:marRight w:val="0"/>
      <w:marTop w:val="0"/>
      <w:marBottom w:val="0"/>
      <w:divBdr>
        <w:top w:val="none" w:sz="0" w:space="0" w:color="auto"/>
        <w:left w:val="none" w:sz="0" w:space="0" w:color="auto"/>
        <w:bottom w:val="none" w:sz="0" w:space="0" w:color="auto"/>
        <w:right w:val="none" w:sz="0" w:space="0" w:color="auto"/>
      </w:divBdr>
    </w:div>
    <w:div w:id="443691085">
      <w:bodyDiv w:val="1"/>
      <w:marLeft w:val="0"/>
      <w:marRight w:val="0"/>
      <w:marTop w:val="0"/>
      <w:marBottom w:val="0"/>
      <w:divBdr>
        <w:top w:val="none" w:sz="0" w:space="0" w:color="auto"/>
        <w:left w:val="none" w:sz="0" w:space="0" w:color="auto"/>
        <w:bottom w:val="none" w:sz="0" w:space="0" w:color="auto"/>
        <w:right w:val="none" w:sz="0" w:space="0" w:color="auto"/>
      </w:divBdr>
    </w:div>
    <w:div w:id="454563374">
      <w:bodyDiv w:val="1"/>
      <w:marLeft w:val="0"/>
      <w:marRight w:val="0"/>
      <w:marTop w:val="0"/>
      <w:marBottom w:val="0"/>
      <w:divBdr>
        <w:top w:val="none" w:sz="0" w:space="0" w:color="auto"/>
        <w:left w:val="none" w:sz="0" w:space="0" w:color="auto"/>
        <w:bottom w:val="none" w:sz="0" w:space="0" w:color="auto"/>
        <w:right w:val="none" w:sz="0" w:space="0" w:color="auto"/>
      </w:divBdr>
    </w:div>
    <w:div w:id="509294408">
      <w:bodyDiv w:val="1"/>
      <w:marLeft w:val="0"/>
      <w:marRight w:val="0"/>
      <w:marTop w:val="0"/>
      <w:marBottom w:val="0"/>
      <w:divBdr>
        <w:top w:val="none" w:sz="0" w:space="0" w:color="auto"/>
        <w:left w:val="none" w:sz="0" w:space="0" w:color="auto"/>
        <w:bottom w:val="none" w:sz="0" w:space="0" w:color="auto"/>
        <w:right w:val="none" w:sz="0" w:space="0" w:color="auto"/>
      </w:divBdr>
    </w:div>
    <w:div w:id="528186020">
      <w:bodyDiv w:val="1"/>
      <w:marLeft w:val="0"/>
      <w:marRight w:val="0"/>
      <w:marTop w:val="0"/>
      <w:marBottom w:val="0"/>
      <w:divBdr>
        <w:top w:val="none" w:sz="0" w:space="0" w:color="auto"/>
        <w:left w:val="none" w:sz="0" w:space="0" w:color="auto"/>
        <w:bottom w:val="none" w:sz="0" w:space="0" w:color="auto"/>
        <w:right w:val="none" w:sz="0" w:space="0" w:color="auto"/>
      </w:divBdr>
    </w:div>
    <w:div w:id="544373479">
      <w:bodyDiv w:val="1"/>
      <w:marLeft w:val="0"/>
      <w:marRight w:val="0"/>
      <w:marTop w:val="0"/>
      <w:marBottom w:val="0"/>
      <w:divBdr>
        <w:top w:val="none" w:sz="0" w:space="0" w:color="auto"/>
        <w:left w:val="none" w:sz="0" w:space="0" w:color="auto"/>
        <w:bottom w:val="none" w:sz="0" w:space="0" w:color="auto"/>
        <w:right w:val="none" w:sz="0" w:space="0" w:color="auto"/>
      </w:divBdr>
    </w:div>
    <w:div w:id="610010470">
      <w:bodyDiv w:val="1"/>
      <w:marLeft w:val="0"/>
      <w:marRight w:val="0"/>
      <w:marTop w:val="0"/>
      <w:marBottom w:val="0"/>
      <w:divBdr>
        <w:top w:val="none" w:sz="0" w:space="0" w:color="auto"/>
        <w:left w:val="none" w:sz="0" w:space="0" w:color="auto"/>
        <w:bottom w:val="none" w:sz="0" w:space="0" w:color="auto"/>
        <w:right w:val="none" w:sz="0" w:space="0" w:color="auto"/>
      </w:divBdr>
    </w:div>
    <w:div w:id="687558508">
      <w:bodyDiv w:val="1"/>
      <w:marLeft w:val="0"/>
      <w:marRight w:val="0"/>
      <w:marTop w:val="0"/>
      <w:marBottom w:val="0"/>
      <w:divBdr>
        <w:top w:val="none" w:sz="0" w:space="0" w:color="auto"/>
        <w:left w:val="none" w:sz="0" w:space="0" w:color="auto"/>
        <w:bottom w:val="none" w:sz="0" w:space="0" w:color="auto"/>
        <w:right w:val="none" w:sz="0" w:space="0" w:color="auto"/>
      </w:divBdr>
    </w:div>
    <w:div w:id="784037404">
      <w:bodyDiv w:val="1"/>
      <w:marLeft w:val="0"/>
      <w:marRight w:val="0"/>
      <w:marTop w:val="0"/>
      <w:marBottom w:val="0"/>
      <w:divBdr>
        <w:top w:val="none" w:sz="0" w:space="0" w:color="auto"/>
        <w:left w:val="none" w:sz="0" w:space="0" w:color="auto"/>
        <w:bottom w:val="none" w:sz="0" w:space="0" w:color="auto"/>
        <w:right w:val="none" w:sz="0" w:space="0" w:color="auto"/>
      </w:divBdr>
    </w:div>
    <w:div w:id="786195956">
      <w:bodyDiv w:val="1"/>
      <w:marLeft w:val="0"/>
      <w:marRight w:val="0"/>
      <w:marTop w:val="0"/>
      <w:marBottom w:val="0"/>
      <w:divBdr>
        <w:top w:val="none" w:sz="0" w:space="0" w:color="auto"/>
        <w:left w:val="none" w:sz="0" w:space="0" w:color="auto"/>
        <w:bottom w:val="none" w:sz="0" w:space="0" w:color="auto"/>
        <w:right w:val="none" w:sz="0" w:space="0" w:color="auto"/>
      </w:divBdr>
    </w:div>
    <w:div w:id="803549419">
      <w:bodyDiv w:val="1"/>
      <w:marLeft w:val="0"/>
      <w:marRight w:val="0"/>
      <w:marTop w:val="0"/>
      <w:marBottom w:val="0"/>
      <w:divBdr>
        <w:top w:val="none" w:sz="0" w:space="0" w:color="auto"/>
        <w:left w:val="none" w:sz="0" w:space="0" w:color="auto"/>
        <w:bottom w:val="none" w:sz="0" w:space="0" w:color="auto"/>
        <w:right w:val="none" w:sz="0" w:space="0" w:color="auto"/>
      </w:divBdr>
    </w:div>
    <w:div w:id="1009213555">
      <w:bodyDiv w:val="1"/>
      <w:marLeft w:val="0"/>
      <w:marRight w:val="0"/>
      <w:marTop w:val="0"/>
      <w:marBottom w:val="0"/>
      <w:divBdr>
        <w:top w:val="none" w:sz="0" w:space="0" w:color="auto"/>
        <w:left w:val="none" w:sz="0" w:space="0" w:color="auto"/>
        <w:bottom w:val="none" w:sz="0" w:space="0" w:color="auto"/>
        <w:right w:val="none" w:sz="0" w:space="0" w:color="auto"/>
      </w:divBdr>
    </w:div>
    <w:div w:id="1055542892">
      <w:bodyDiv w:val="1"/>
      <w:marLeft w:val="0"/>
      <w:marRight w:val="0"/>
      <w:marTop w:val="0"/>
      <w:marBottom w:val="0"/>
      <w:divBdr>
        <w:top w:val="none" w:sz="0" w:space="0" w:color="auto"/>
        <w:left w:val="none" w:sz="0" w:space="0" w:color="auto"/>
        <w:bottom w:val="none" w:sz="0" w:space="0" w:color="auto"/>
        <w:right w:val="none" w:sz="0" w:space="0" w:color="auto"/>
      </w:divBdr>
    </w:div>
    <w:div w:id="1213619221">
      <w:bodyDiv w:val="1"/>
      <w:marLeft w:val="0"/>
      <w:marRight w:val="0"/>
      <w:marTop w:val="0"/>
      <w:marBottom w:val="0"/>
      <w:divBdr>
        <w:top w:val="none" w:sz="0" w:space="0" w:color="auto"/>
        <w:left w:val="none" w:sz="0" w:space="0" w:color="auto"/>
        <w:bottom w:val="none" w:sz="0" w:space="0" w:color="auto"/>
        <w:right w:val="none" w:sz="0" w:space="0" w:color="auto"/>
      </w:divBdr>
    </w:div>
    <w:div w:id="1221752081">
      <w:bodyDiv w:val="1"/>
      <w:marLeft w:val="0"/>
      <w:marRight w:val="0"/>
      <w:marTop w:val="0"/>
      <w:marBottom w:val="0"/>
      <w:divBdr>
        <w:top w:val="none" w:sz="0" w:space="0" w:color="auto"/>
        <w:left w:val="none" w:sz="0" w:space="0" w:color="auto"/>
        <w:bottom w:val="none" w:sz="0" w:space="0" w:color="auto"/>
        <w:right w:val="none" w:sz="0" w:space="0" w:color="auto"/>
      </w:divBdr>
    </w:div>
    <w:div w:id="1303773205">
      <w:bodyDiv w:val="1"/>
      <w:marLeft w:val="0"/>
      <w:marRight w:val="0"/>
      <w:marTop w:val="0"/>
      <w:marBottom w:val="0"/>
      <w:divBdr>
        <w:top w:val="none" w:sz="0" w:space="0" w:color="auto"/>
        <w:left w:val="none" w:sz="0" w:space="0" w:color="auto"/>
        <w:bottom w:val="none" w:sz="0" w:space="0" w:color="auto"/>
        <w:right w:val="none" w:sz="0" w:space="0" w:color="auto"/>
      </w:divBdr>
    </w:div>
    <w:div w:id="1305309344">
      <w:bodyDiv w:val="1"/>
      <w:marLeft w:val="0"/>
      <w:marRight w:val="0"/>
      <w:marTop w:val="0"/>
      <w:marBottom w:val="0"/>
      <w:divBdr>
        <w:top w:val="none" w:sz="0" w:space="0" w:color="auto"/>
        <w:left w:val="none" w:sz="0" w:space="0" w:color="auto"/>
        <w:bottom w:val="none" w:sz="0" w:space="0" w:color="auto"/>
        <w:right w:val="none" w:sz="0" w:space="0" w:color="auto"/>
      </w:divBdr>
    </w:div>
    <w:div w:id="1441141661">
      <w:bodyDiv w:val="1"/>
      <w:marLeft w:val="0"/>
      <w:marRight w:val="0"/>
      <w:marTop w:val="0"/>
      <w:marBottom w:val="0"/>
      <w:divBdr>
        <w:top w:val="none" w:sz="0" w:space="0" w:color="auto"/>
        <w:left w:val="none" w:sz="0" w:space="0" w:color="auto"/>
        <w:bottom w:val="none" w:sz="0" w:space="0" w:color="auto"/>
        <w:right w:val="none" w:sz="0" w:space="0" w:color="auto"/>
      </w:divBdr>
    </w:div>
    <w:div w:id="1482653019">
      <w:bodyDiv w:val="1"/>
      <w:marLeft w:val="0"/>
      <w:marRight w:val="0"/>
      <w:marTop w:val="0"/>
      <w:marBottom w:val="0"/>
      <w:divBdr>
        <w:top w:val="none" w:sz="0" w:space="0" w:color="auto"/>
        <w:left w:val="none" w:sz="0" w:space="0" w:color="auto"/>
        <w:bottom w:val="none" w:sz="0" w:space="0" w:color="auto"/>
        <w:right w:val="none" w:sz="0" w:space="0" w:color="auto"/>
      </w:divBdr>
    </w:div>
    <w:div w:id="1494684966">
      <w:bodyDiv w:val="1"/>
      <w:marLeft w:val="0"/>
      <w:marRight w:val="0"/>
      <w:marTop w:val="0"/>
      <w:marBottom w:val="0"/>
      <w:divBdr>
        <w:top w:val="none" w:sz="0" w:space="0" w:color="auto"/>
        <w:left w:val="none" w:sz="0" w:space="0" w:color="auto"/>
        <w:bottom w:val="none" w:sz="0" w:space="0" w:color="auto"/>
        <w:right w:val="none" w:sz="0" w:space="0" w:color="auto"/>
      </w:divBdr>
    </w:div>
    <w:div w:id="1579559411">
      <w:bodyDiv w:val="1"/>
      <w:marLeft w:val="0"/>
      <w:marRight w:val="0"/>
      <w:marTop w:val="0"/>
      <w:marBottom w:val="0"/>
      <w:divBdr>
        <w:top w:val="none" w:sz="0" w:space="0" w:color="auto"/>
        <w:left w:val="none" w:sz="0" w:space="0" w:color="auto"/>
        <w:bottom w:val="none" w:sz="0" w:space="0" w:color="auto"/>
        <w:right w:val="none" w:sz="0" w:space="0" w:color="auto"/>
      </w:divBdr>
    </w:div>
    <w:div w:id="1761870087">
      <w:bodyDiv w:val="1"/>
      <w:marLeft w:val="0"/>
      <w:marRight w:val="0"/>
      <w:marTop w:val="0"/>
      <w:marBottom w:val="0"/>
      <w:divBdr>
        <w:top w:val="none" w:sz="0" w:space="0" w:color="auto"/>
        <w:left w:val="none" w:sz="0" w:space="0" w:color="auto"/>
        <w:bottom w:val="none" w:sz="0" w:space="0" w:color="auto"/>
        <w:right w:val="none" w:sz="0" w:space="0" w:color="auto"/>
      </w:divBdr>
    </w:div>
    <w:div w:id="1817331357">
      <w:bodyDiv w:val="1"/>
      <w:marLeft w:val="0"/>
      <w:marRight w:val="0"/>
      <w:marTop w:val="0"/>
      <w:marBottom w:val="0"/>
      <w:divBdr>
        <w:top w:val="none" w:sz="0" w:space="0" w:color="auto"/>
        <w:left w:val="none" w:sz="0" w:space="0" w:color="auto"/>
        <w:bottom w:val="none" w:sz="0" w:space="0" w:color="auto"/>
        <w:right w:val="none" w:sz="0" w:space="0" w:color="auto"/>
      </w:divBdr>
    </w:div>
    <w:div w:id="1826509498">
      <w:bodyDiv w:val="1"/>
      <w:marLeft w:val="0"/>
      <w:marRight w:val="0"/>
      <w:marTop w:val="0"/>
      <w:marBottom w:val="0"/>
      <w:divBdr>
        <w:top w:val="none" w:sz="0" w:space="0" w:color="auto"/>
        <w:left w:val="none" w:sz="0" w:space="0" w:color="auto"/>
        <w:bottom w:val="none" w:sz="0" w:space="0" w:color="auto"/>
        <w:right w:val="none" w:sz="0" w:space="0" w:color="auto"/>
      </w:divBdr>
    </w:div>
    <w:div w:id="1841191538">
      <w:bodyDiv w:val="1"/>
      <w:marLeft w:val="0"/>
      <w:marRight w:val="0"/>
      <w:marTop w:val="0"/>
      <w:marBottom w:val="0"/>
      <w:divBdr>
        <w:top w:val="none" w:sz="0" w:space="0" w:color="auto"/>
        <w:left w:val="none" w:sz="0" w:space="0" w:color="auto"/>
        <w:bottom w:val="none" w:sz="0" w:space="0" w:color="auto"/>
        <w:right w:val="none" w:sz="0" w:space="0" w:color="auto"/>
      </w:divBdr>
    </w:div>
    <w:div w:id="1855144700">
      <w:bodyDiv w:val="1"/>
      <w:marLeft w:val="0"/>
      <w:marRight w:val="0"/>
      <w:marTop w:val="0"/>
      <w:marBottom w:val="0"/>
      <w:divBdr>
        <w:top w:val="none" w:sz="0" w:space="0" w:color="auto"/>
        <w:left w:val="none" w:sz="0" w:space="0" w:color="auto"/>
        <w:bottom w:val="none" w:sz="0" w:space="0" w:color="auto"/>
        <w:right w:val="none" w:sz="0" w:space="0" w:color="auto"/>
      </w:divBdr>
    </w:div>
    <w:div w:id="1864054835">
      <w:bodyDiv w:val="1"/>
      <w:marLeft w:val="0"/>
      <w:marRight w:val="0"/>
      <w:marTop w:val="0"/>
      <w:marBottom w:val="0"/>
      <w:divBdr>
        <w:top w:val="none" w:sz="0" w:space="0" w:color="auto"/>
        <w:left w:val="none" w:sz="0" w:space="0" w:color="auto"/>
        <w:bottom w:val="none" w:sz="0" w:space="0" w:color="auto"/>
        <w:right w:val="none" w:sz="0" w:space="0" w:color="auto"/>
      </w:divBdr>
    </w:div>
    <w:div w:id="1882746969">
      <w:bodyDiv w:val="1"/>
      <w:marLeft w:val="0"/>
      <w:marRight w:val="0"/>
      <w:marTop w:val="0"/>
      <w:marBottom w:val="0"/>
      <w:divBdr>
        <w:top w:val="none" w:sz="0" w:space="0" w:color="auto"/>
        <w:left w:val="none" w:sz="0" w:space="0" w:color="auto"/>
        <w:bottom w:val="none" w:sz="0" w:space="0" w:color="auto"/>
        <w:right w:val="none" w:sz="0" w:space="0" w:color="auto"/>
      </w:divBdr>
    </w:div>
    <w:div w:id="1994721188">
      <w:bodyDiv w:val="1"/>
      <w:marLeft w:val="0"/>
      <w:marRight w:val="0"/>
      <w:marTop w:val="0"/>
      <w:marBottom w:val="0"/>
      <w:divBdr>
        <w:top w:val="none" w:sz="0" w:space="0" w:color="auto"/>
        <w:left w:val="none" w:sz="0" w:space="0" w:color="auto"/>
        <w:bottom w:val="none" w:sz="0" w:space="0" w:color="auto"/>
        <w:right w:val="none" w:sz="0" w:space="0" w:color="auto"/>
      </w:divBdr>
    </w:div>
    <w:div w:id="2022471585">
      <w:bodyDiv w:val="1"/>
      <w:marLeft w:val="0"/>
      <w:marRight w:val="0"/>
      <w:marTop w:val="0"/>
      <w:marBottom w:val="0"/>
      <w:divBdr>
        <w:top w:val="none" w:sz="0" w:space="0" w:color="auto"/>
        <w:left w:val="none" w:sz="0" w:space="0" w:color="auto"/>
        <w:bottom w:val="none" w:sz="0" w:space="0" w:color="auto"/>
        <w:right w:val="none" w:sz="0" w:space="0" w:color="auto"/>
      </w:divBdr>
    </w:div>
    <w:div w:id="2036735272">
      <w:bodyDiv w:val="1"/>
      <w:marLeft w:val="0"/>
      <w:marRight w:val="0"/>
      <w:marTop w:val="0"/>
      <w:marBottom w:val="0"/>
      <w:divBdr>
        <w:top w:val="none" w:sz="0" w:space="0" w:color="auto"/>
        <w:left w:val="none" w:sz="0" w:space="0" w:color="auto"/>
        <w:bottom w:val="none" w:sz="0" w:space="0" w:color="auto"/>
        <w:right w:val="none" w:sz="0" w:space="0" w:color="auto"/>
      </w:divBdr>
    </w:div>
    <w:div w:id="2051416156">
      <w:bodyDiv w:val="1"/>
      <w:marLeft w:val="0"/>
      <w:marRight w:val="0"/>
      <w:marTop w:val="0"/>
      <w:marBottom w:val="0"/>
      <w:divBdr>
        <w:top w:val="none" w:sz="0" w:space="0" w:color="auto"/>
        <w:left w:val="none" w:sz="0" w:space="0" w:color="auto"/>
        <w:bottom w:val="none" w:sz="0" w:space="0" w:color="auto"/>
        <w:right w:val="none" w:sz="0" w:space="0" w:color="auto"/>
      </w:divBdr>
    </w:div>
    <w:div w:id="2056004140">
      <w:bodyDiv w:val="1"/>
      <w:marLeft w:val="0"/>
      <w:marRight w:val="0"/>
      <w:marTop w:val="0"/>
      <w:marBottom w:val="0"/>
      <w:divBdr>
        <w:top w:val="none" w:sz="0" w:space="0" w:color="auto"/>
        <w:left w:val="none" w:sz="0" w:space="0" w:color="auto"/>
        <w:bottom w:val="none" w:sz="0" w:space="0" w:color="auto"/>
        <w:right w:val="none" w:sz="0" w:space="0" w:color="auto"/>
      </w:divBdr>
    </w:div>
    <w:div w:id="2113475233">
      <w:bodyDiv w:val="1"/>
      <w:marLeft w:val="0"/>
      <w:marRight w:val="0"/>
      <w:marTop w:val="0"/>
      <w:marBottom w:val="0"/>
      <w:divBdr>
        <w:top w:val="none" w:sz="0" w:space="0" w:color="auto"/>
        <w:left w:val="none" w:sz="0" w:space="0" w:color="auto"/>
        <w:bottom w:val="none" w:sz="0" w:space="0" w:color="auto"/>
        <w:right w:val="none" w:sz="0" w:space="0" w:color="auto"/>
      </w:divBdr>
    </w:div>
    <w:div w:id="2114663232">
      <w:bodyDiv w:val="1"/>
      <w:marLeft w:val="0"/>
      <w:marRight w:val="0"/>
      <w:marTop w:val="0"/>
      <w:marBottom w:val="0"/>
      <w:divBdr>
        <w:top w:val="none" w:sz="0" w:space="0" w:color="auto"/>
        <w:left w:val="none" w:sz="0" w:space="0" w:color="auto"/>
        <w:bottom w:val="none" w:sz="0" w:space="0" w:color="auto"/>
        <w:right w:val="none" w:sz="0" w:space="0" w:color="auto"/>
      </w:divBdr>
    </w:div>
    <w:div w:id="2117212305">
      <w:bodyDiv w:val="1"/>
      <w:marLeft w:val="0"/>
      <w:marRight w:val="0"/>
      <w:marTop w:val="0"/>
      <w:marBottom w:val="0"/>
      <w:divBdr>
        <w:top w:val="none" w:sz="0" w:space="0" w:color="auto"/>
        <w:left w:val="none" w:sz="0" w:space="0" w:color="auto"/>
        <w:bottom w:val="none" w:sz="0" w:space="0" w:color="auto"/>
        <w:right w:val="none" w:sz="0" w:space="0" w:color="auto"/>
      </w:divBdr>
    </w:div>
    <w:div w:id="212750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703B7-B20C-4673-B653-547B4AE1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33</Pages>
  <Words>15733</Words>
  <Characters>89684</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Bhangoo</dc:creator>
  <cp:keywords/>
  <dc:description/>
  <cp:lastModifiedBy>Natasha Short</cp:lastModifiedBy>
  <cp:revision>8</cp:revision>
  <cp:lastPrinted>2020-05-16T11:27:00Z</cp:lastPrinted>
  <dcterms:created xsi:type="dcterms:W3CDTF">2020-05-18T21:26:00Z</dcterms:created>
  <dcterms:modified xsi:type="dcterms:W3CDTF">2020-05-18T23:06:00Z</dcterms:modified>
</cp:coreProperties>
</file>