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ACE6D" w14:textId="77777777" w:rsidR="009B1C1E" w:rsidRDefault="009B1C1E" w:rsidP="00BE0F00">
      <w:pPr>
        <w:jc w:val="center"/>
        <w:rPr>
          <w:rFonts w:cs="Arial"/>
          <w:b/>
          <w:sz w:val="18"/>
          <w:szCs w:val="18"/>
        </w:rPr>
      </w:pPr>
    </w:p>
    <w:p w14:paraId="5DF33B99" w14:textId="77777777" w:rsidR="009B1C1E" w:rsidRDefault="009B1C1E" w:rsidP="009B1C1E">
      <w:pPr>
        <w:spacing w:line="306" w:lineRule="exact"/>
        <w:ind w:left="20"/>
        <w:rPr>
          <w:b/>
          <w:sz w:val="28"/>
        </w:rPr>
      </w:pPr>
      <w:r>
        <w:rPr>
          <w:b/>
          <w:color w:val="001F5F"/>
          <w:sz w:val="28"/>
        </w:rPr>
        <w:t>FULL YEAR RESULTS STATEMENT</w:t>
      </w:r>
    </w:p>
    <w:p w14:paraId="57423898" w14:textId="77777777" w:rsidR="009B1C1E" w:rsidRDefault="009B1C1E" w:rsidP="009B1C1E">
      <w:pPr>
        <w:spacing w:before="27"/>
        <w:ind w:left="20"/>
        <w:rPr>
          <w:b/>
          <w:color w:val="001F5F"/>
          <w:sz w:val="28"/>
        </w:rPr>
      </w:pPr>
      <w:r>
        <w:rPr>
          <w:b/>
          <w:color w:val="001F5F"/>
          <w:sz w:val="28"/>
        </w:rPr>
        <w:t>For the year ended 24 September 2021</w:t>
      </w:r>
    </w:p>
    <w:p w14:paraId="2EFDE97D" w14:textId="77777777" w:rsidR="009B1C1E" w:rsidRDefault="009B1C1E" w:rsidP="00473DCA">
      <w:pPr>
        <w:jc w:val="both"/>
        <w:rPr>
          <w:rFonts w:cs="Arial"/>
          <w:b/>
          <w:sz w:val="18"/>
          <w:szCs w:val="18"/>
        </w:rPr>
      </w:pPr>
    </w:p>
    <w:p w14:paraId="57F23579" w14:textId="77777777" w:rsidR="00473DCA" w:rsidRDefault="00473DCA" w:rsidP="00473DCA">
      <w:pPr>
        <w:jc w:val="both"/>
        <w:rPr>
          <w:rFonts w:cs="Arial"/>
          <w:b/>
          <w:sz w:val="18"/>
          <w:szCs w:val="18"/>
        </w:rPr>
      </w:pPr>
      <w:r>
        <w:rPr>
          <w:rFonts w:cs="Arial"/>
          <w:b/>
          <w:sz w:val="18"/>
          <w:szCs w:val="18"/>
        </w:rPr>
        <w:t>30 November 2021</w:t>
      </w:r>
    </w:p>
    <w:p w14:paraId="01FA51C8" w14:textId="77777777" w:rsidR="00473DCA" w:rsidRDefault="00473DCA" w:rsidP="00473DCA">
      <w:pPr>
        <w:jc w:val="center"/>
        <w:rPr>
          <w:rFonts w:cs="Arial"/>
          <w:b/>
          <w:sz w:val="20"/>
          <w:szCs w:val="18"/>
        </w:rPr>
      </w:pPr>
    </w:p>
    <w:p w14:paraId="7B200B91" w14:textId="77777777" w:rsidR="00473DCA" w:rsidRDefault="00473DCA" w:rsidP="00473DCA">
      <w:pPr>
        <w:jc w:val="center"/>
        <w:rPr>
          <w:rFonts w:cs="Arial"/>
          <w:b/>
          <w:sz w:val="20"/>
          <w:szCs w:val="18"/>
        </w:rPr>
      </w:pPr>
      <w:r>
        <w:rPr>
          <w:rFonts w:cs="Arial"/>
          <w:b/>
          <w:sz w:val="20"/>
          <w:szCs w:val="18"/>
        </w:rPr>
        <w:t>Return to revenue and profit growth – emerging strongly from a challenging period</w:t>
      </w:r>
    </w:p>
    <w:p w14:paraId="1768B670" w14:textId="77777777" w:rsidR="00473DCA" w:rsidRDefault="00473DCA" w:rsidP="00473DCA">
      <w:pPr>
        <w:jc w:val="center"/>
        <w:rPr>
          <w:rFonts w:cs="Arial"/>
          <w:b/>
          <w:sz w:val="20"/>
          <w:szCs w:val="18"/>
        </w:rPr>
      </w:pPr>
    </w:p>
    <w:p w14:paraId="272B9B5D" w14:textId="77777777" w:rsidR="00473DCA" w:rsidRPr="00A843CB" w:rsidRDefault="00473DCA" w:rsidP="00473DCA">
      <w:pPr>
        <w:jc w:val="both"/>
        <w:rPr>
          <w:rFonts w:cs="Arial"/>
          <w:sz w:val="18"/>
          <w:szCs w:val="18"/>
        </w:rPr>
      </w:pPr>
      <w:r w:rsidRPr="00A843CB">
        <w:rPr>
          <w:rFonts w:cs="Arial"/>
          <w:sz w:val="18"/>
          <w:szCs w:val="18"/>
        </w:rPr>
        <w:t>Greencore</w:t>
      </w:r>
      <w:r>
        <w:rPr>
          <w:rFonts w:cs="Arial"/>
          <w:sz w:val="18"/>
          <w:szCs w:val="18"/>
        </w:rPr>
        <w:t xml:space="preserve"> Group plc (‘Greencore’ or the ‘Group’), a leading manufacturer of convenience food in the UK, today issues its results for the year ended 24 September 2021.</w:t>
      </w:r>
    </w:p>
    <w:p w14:paraId="039E381B" w14:textId="77777777" w:rsidR="00473DCA" w:rsidRDefault="00473DCA" w:rsidP="00473DCA">
      <w:pPr>
        <w:jc w:val="both"/>
        <w:rPr>
          <w:rFonts w:cs="Arial"/>
          <w:b/>
          <w:sz w:val="20"/>
          <w:szCs w:val="18"/>
        </w:rPr>
      </w:pPr>
    </w:p>
    <w:p w14:paraId="67DB11AA" w14:textId="77777777" w:rsidR="00473DCA" w:rsidRPr="00AF416F" w:rsidRDefault="00473DCA" w:rsidP="00473DCA">
      <w:pPr>
        <w:spacing w:after="120"/>
        <w:jc w:val="both"/>
        <w:rPr>
          <w:rFonts w:cs="Arial"/>
          <w:b/>
          <w:sz w:val="20"/>
          <w:szCs w:val="18"/>
        </w:rPr>
      </w:pPr>
      <w:r>
        <w:rPr>
          <w:rFonts w:cs="Arial"/>
          <w:b/>
          <w:sz w:val="20"/>
          <w:szCs w:val="18"/>
        </w:rPr>
        <w:t>PERFORMANCE</w:t>
      </w:r>
      <w:r>
        <w:rPr>
          <w:rFonts w:cs="Arial"/>
          <w:b/>
          <w:sz w:val="20"/>
          <w:szCs w:val="18"/>
          <w:vertAlign w:val="superscript"/>
        </w:rPr>
        <w:t xml:space="preserve"> 1</w:t>
      </w:r>
    </w:p>
    <w:p w14:paraId="5A4186E4" w14:textId="77777777" w:rsidR="00473DCA" w:rsidRDefault="00473DCA" w:rsidP="00473DCA">
      <w:pPr>
        <w:widowControl/>
        <w:numPr>
          <w:ilvl w:val="0"/>
          <w:numId w:val="4"/>
        </w:numPr>
        <w:tabs>
          <w:tab w:val="num" w:pos="426"/>
        </w:tabs>
        <w:autoSpaceDE/>
        <w:ind w:left="426" w:hanging="284"/>
        <w:jc w:val="both"/>
        <w:rPr>
          <w:rFonts w:cs="Arial"/>
          <w:sz w:val="18"/>
          <w:szCs w:val="18"/>
        </w:rPr>
      </w:pPr>
      <w:r>
        <w:rPr>
          <w:rFonts w:cs="Arial"/>
          <w:sz w:val="18"/>
          <w:szCs w:val="18"/>
        </w:rPr>
        <w:t>Group Revenue up 4.8% to £1,324.8m, driven by a return to growth in food to go categories and solid growth in other convenience categories</w:t>
      </w:r>
    </w:p>
    <w:p w14:paraId="1EE0B465" w14:textId="77777777" w:rsidR="00473DCA" w:rsidRDefault="00473DCA" w:rsidP="00473DCA">
      <w:pPr>
        <w:widowControl/>
        <w:numPr>
          <w:ilvl w:val="0"/>
          <w:numId w:val="4"/>
        </w:numPr>
        <w:tabs>
          <w:tab w:val="num" w:pos="426"/>
        </w:tabs>
        <w:autoSpaceDE/>
        <w:ind w:left="426" w:hanging="284"/>
        <w:jc w:val="both"/>
        <w:rPr>
          <w:rFonts w:cs="Arial"/>
          <w:sz w:val="18"/>
          <w:szCs w:val="18"/>
        </w:rPr>
      </w:pPr>
      <w:r>
        <w:rPr>
          <w:rFonts w:cs="Arial"/>
          <w:sz w:val="18"/>
          <w:szCs w:val="18"/>
        </w:rPr>
        <w:t>Adjusted Operating Profit up 20</w:t>
      </w:r>
      <w:r w:rsidR="00A836D4">
        <w:rPr>
          <w:rFonts w:cs="Arial"/>
          <w:sz w:val="18"/>
          <w:szCs w:val="18"/>
        </w:rPr>
        <w:t>.0</w:t>
      </w:r>
      <w:r>
        <w:rPr>
          <w:rFonts w:cs="Arial"/>
          <w:sz w:val="18"/>
          <w:szCs w:val="18"/>
        </w:rPr>
        <w:t>% to £39.0m, with Adjusted Operating Margin of 5.</w:t>
      </w:r>
      <w:r w:rsidR="00550A95">
        <w:rPr>
          <w:rFonts w:cs="Arial"/>
          <w:sz w:val="18"/>
          <w:szCs w:val="18"/>
        </w:rPr>
        <w:t>2</w:t>
      </w:r>
      <w:r>
        <w:rPr>
          <w:rFonts w:cs="Arial"/>
          <w:sz w:val="18"/>
          <w:szCs w:val="18"/>
        </w:rPr>
        <w:t>% in the second half of the year</w:t>
      </w:r>
    </w:p>
    <w:p w14:paraId="2D7538D2" w14:textId="77777777" w:rsidR="00473DCA" w:rsidRDefault="00473DCA" w:rsidP="00473DCA">
      <w:pPr>
        <w:widowControl/>
        <w:numPr>
          <w:ilvl w:val="0"/>
          <w:numId w:val="4"/>
        </w:numPr>
        <w:tabs>
          <w:tab w:val="num" w:pos="426"/>
        </w:tabs>
        <w:autoSpaceDE/>
        <w:ind w:left="426" w:hanging="284"/>
        <w:jc w:val="both"/>
        <w:rPr>
          <w:rFonts w:cs="Arial"/>
          <w:sz w:val="18"/>
          <w:szCs w:val="18"/>
        </w:rPr>
      </w:pPr>
      <w:r>
        <w:rPr>
          <w:rFonts w:cs="Arial"/>
          <w:sz w:val="18"/>
          <w:szCs w:val="18"/>
        </w:rPr>
        <w:t>Adjusted EPS of 3.7p</w:t>
      </w:r>
    </w:p>
    <w:p w14:paraId="051197A0" w14:textId="77777777" w:rsidR="00473DCA" w:rsidRDefault="00473DCA" w:rsidP="00473DCA">
      <w:pPr>
        <w:widowControl/>
        <w:numPr>
          <w:ilvl w:val="0"/>
          <w:numId w:val="4"/>
        </w:numPr>
        <w:tabs>
          <w:tab w:val="num" w:pos="426"/>
        </w:tabs>
        <w:autoSpaceDE/>
        <w:ind w:left="426" w:hanging="284"/>
        <w:jc w:val="both"/>
        <w:rPr>
          <w:rFonts w:cs="Arial"/>
          <w:sz w:val="18"/>
          <w:szCs w:val="18"/>
        </w:rPr>
      </w:pPr>
      <w:r>
        <w:rPr>
          <w:rFonts w:cs="Arial"/>
          <w:sz w:val="18"/>
          <w:szCs w:val="18"/>
        </w:rPr>
        <w:t>Strong free cash flow of £72.2m, driven by improved profitability and working capital inflows as volumes rebounded</w:t>
      </w:r>
    </w:p>
    <w:p w14:paraId="0EF2859B" w14:textId="77777777" w:rsidR="00473DCA" w:rsidRDefault="00473DCA" w:rsidP="00473DCA">
      <w:pPr>
        <w:widowControl/>
        <w:numPr>
          <w:ilvl w:val="0"/>
          <w:numId w:val="4"/>
        </w:numPr>
        <w:tabs>
          <w:tab w:val="num" w:pos="426"/>
        </w:tabs>
        <w:autoSpaceDE/>
        <w:ind w:left="426" w:hanging="284"/>
        <w:jc w:val="both"/>
        <w:rPr>
          <w:rFonts w:cs="Arial"/>
          <w:sz w:val="18"/>
          <w:szCs w:val="18"/>
        </w:rPr>
      </w:pPr>
      <w:r>
        <w:rPr>
          <w:rFonts w:cs="Arial"/>
          <w:sz w:val="18"/>
          <w:szCs w:val="18"/>
        </w:rPr>
        <w:t>Significant reduction in net Debt (excluding lease liabilities) to £183.1m, with Net Debt: EBITDA of 2.</w:t>
      </w:r>
      <w:r w:rsidR="00933A1D">
        <w:rPr>
          <w:rFonts w:cs="Arial"/>
          <w:sz w:val="18"/>
          <w:szCs w:val="18"/>
        </w:rPr>
        <w:t>0</w:t>
      </w:r>
      <w:r>
        <w:rPr>
          <w:rFonts w:cs="Arial"/>
          <w:sz w:val="18"/>
          <w:szCs w:val="18"/>
        </w:rPr>
        <w:t>x as measured under financing agreements</w:t>
      </w:r>
    </w:p>
    <w:p w14:paraId="08FC52CB" w14:textId="77777777" w:rsidR="00473DCA" w:rsidRDefault="00473DCA" w:rsidP="00473DCA">
      <w:pPr>
        <w:widowControl/>
        <w:numPr>
          <w:ilvl w:val="0"/>
          <w:numId w:val="4"/>
        </w:numPr>
        <w:tabs>
          <w:tab w:val="num" w:pos="426"/>
        </w:tabs>
        <w:autoSpaceDE/>
        <w:ind w:left="426" w:hanging="284"/>
        <w:jc w:val="both"/>
        <w:rPr>
          <w:rFonts w:cs="Arial"/>
          <w:sz w:val="18"/>
          <w:szCs w:val="18"/>
        </w:rPr>
      </w:pPr>
      <w:r>
        <w:rPr>
          <w:rFonts w:cs="Arial"/>
          <w:sz w:val="18"/>
          <w:szCs w:val="18"/>
        </w:rPr>
        <w:t>Cash and undrawn committed bank facilities of £433.6m at year end, and now exited from temporary covenant waiver period as planned</w:t>
      </w:r>
    </w:p>
    <w:p w14:paraId="5300F429" w14:textId="77777777" w:rsidR="00473DCA" w:rsidRPr="007744D1" w:rsidRDefault="00473DCA" w:rsidP="00473DCA">
      <w:pPr>
        <w:widowControl/>
        <w:autoSpaceDE/>
        <w:autoSpaceDN/>
        <w:jc w:val="both"/>
        <w:rPr>
          <w:rFonts w:cs="Arial"/>
          <w:sz w:val="18"/>
          <w:szCs w:val="18"/>
        </w:rPr>
      </w:pPr>
    </w:p>
    <w:p w14:paraId="72E70F51" w14:textId="77777777" w:rsidR="00473DCA" w:rsidRPr="00AF416F" w:rsidRDefault="00473DCA" w:rsidP="00473DCA">
      <w:pPr>
        <w:spacing w:after="120"/>
        <w:jc w:val="both"/>
        <w:rPr>
          <w:rFonts w:cs="Arial"/>
          <w:b/>
          <w:sz w:val="20"/>
          <w:szCs w:val="18"/>
        </w:rPr>
      </w:pPr>
      <w:r>
        <w:rPr>
          <w:rFonts w:cs="Arial"/>
          <w:b/>
          <w:sz w:val="20"/>
          <w:szCs w:val="18"/>
        </w:rPr>
        <w:t>STRATEGIC DEVELOPMENTS</w:t>
      </w:r>
      <w:r>
        <w:rPr>
          <w:rFonts w:cs="Arial"/>
          <w:b/>
          <w:sz w:val="20"/>
          <w:szCs w:val="18"/>
          <w:vertAlign w:val="superscript"/>
        </w:rPr>
        <w:t xml:space="preserve"> 1</w:t>
      </w:r>
    </w:p>
    <w:p w14:paraId="2543791C" w14:textId="77777777" w:rsidR="00473DCA" w:rsidRDefault="00473DCA" w:rsidP="00473DCA">
      <w:pPr>
        <w:widowControl/>
        <w:numPr>
          <w:ilvl w:val="0"/>
          <w:numId w:val="4"/>
        </w:numPr>
        <w:tabs>
          <w:tab w:val="num" w:pos="426"/>
        </w:tabs>
        <w:autoSpaceDE/>
        <w:autoSpaceDN/>
        <w:ind w:left="426" w:hanging="284"/>
        <w:jc w:val="both"/>
        <w:rPr>
          <w:rFonts w:cs="Arial"/>
          <w:sz w:val="18"/>
          <w:szCs w:val="18"/>
        </w:rPr>
      </w:pPr>
      <w:r>
        <w:rPr>
          <w:rFonts w:cs="Arial"/>
          <w:sz w:val="18"/>
          <w:szCs w:val="18"/>
        </w:rPr>
        <w:t xml:space="preserve">Executed strongly against new business wins, </w:t>
      </w:r>
      <w:r w:rsidRPr="009867EC">
        <w:rPr>
          <w:rFonts w:cs="Arial"/>
          <w:sz w:val="18"/>
          <w:szCs w:val="18"/>
        </w:rPr>
        <w:t>contributing over a third of the 38% pro forma revenue growth in</w:t>
      </w:r>
      <w:r>
        <w:rPr>
          <w:rFonts w:cs="Arial"/>
          <w:sz w:val="18"/>
          <w:szCs w:val="18"/>
        </w:rPr>
        <w:t xml:space="preserve"> food to go categories in Q4 21 </w:t>
      </w:r>
      <w:r w:rsidRPr="0054776E">
        <w:rPr>
          <w:rFonts w:cs="Arial"/>
          <w:sz w:val="18"/>
          <w:szCs w:val="18"/>
        </w:rPr>
        <w:t>and supporting continued diversification of the Group’s product and channel footprint</w:t>
      </w:r>
    </w:p>
    <w:p w14:paraId="2889E331" w14:textId="77777777" w:rsidR="00473DCA" w:rsidRPr="007E5C49" w:rsidRDefault="00473DCA" w:rsidP="00473DCA">
      <w:pPr>
        <w:widowControl/>
        <w:numPr>
          <w:ilvl w:val="0"/>
          <w:numId w:val="4"/>
        </w:numPr>
        <w:tabs>
          <w:tab w:val="num" w:pos="426"/>
        </w:tabs>
        <w:autoSpaceDE/>
        <w:autoSpaceDN/>
        <w:ind w:left="426" w:hanging="284"/>
        <w:jc w:val="both"/>
        <w:rPr>
          <w:rFonts w:cs="Arial"/>
          <w:sz w:val="18"/>
          <w:szCs w:val="18"/>
        </w:rPr>
      </w:pPr>
      <w:r w:rsidRPr="007E5C49">
        <w:rPr>
          <w:rFonts w:cs="Arial"/>
          <w:sz w:val="18"/>
          <w:szCs w:val="18"/>
        </w:rPr>
        <w:t>Renewed and extended several commercial relationships, in line with the long term strategic partnership approach with customers to support their food to go offerings and to secure growth for the Group in key categories and open up new growth opportunities in new categories and formats</w:t>
      </w:r>
    </w:p>
    <w:p w14:paraId="4CDD953C" w14:textId="77777777" w:rsidR="00473DCA" w:rsidRDefault="00473DCA" w:rsidP="00473DCA">
      <w:pPr>
        <w:widowControl/>
        <w:numPr>
          <w:ilvl w:val="0"/>
          <w:numId w:val="4"/>
        </w:numPr>
        <w:tabs>
          <w:tab w:val="num" w:pos="426"/>
        </w:tabs>
        <w:autoSpaceDE/>
        <w:autoSpaceDN/>
        <w:ind w:left="426" w:hanging="284"/>
        <w:jc w:val="both"/>
        <w:rPr>
          <w:rFonts w:cs="Arial"/>
          <w:sz w:val="18"/>
          <w:szCs w:val="18"/>
        </w:rPr>
      </w:pPr>
      <w:r w:rsidRPr="0054776E">
        <w:rPr>
          <w:rFonts w:cs="Arial"/>
          <w:sz w:val="18"/>
          <w:szCs w:val="18"/>
        </w:rPr>
        <w:t xml:space="preserve">Progressing well with </w:t>
      </w:r>
      <w:r>
        <w:rPr>
          <w:rFonts w:cs="Arial"/>
          <w:sz w:val="18"/>
          <w:szCs w:val="18"/>
        </w:rPr>
        <w:t xml:space="preserve">the </w:t>
      </w:r>
      <w:r w:rsidRPr="0054776E">
        <w:rPr>
          <w:rFonts w:cs="Arial"/>
          <w:sz w:val="18"/>
          <w:szCs w:val="18"/>
        </w:rPr>
        <w:t>previously</w:t>
      </w:r>
      <w:r>
        <w:rPr>
          <w:rFonts w:cs="Arial"/>
          <w:sz w:val="18"/>
          <w:szCs w:val="18"/>
        </w:rPr>
        <w:t xml:space="preserve"> </w:t>
      </w:r>
      <w:r w:rsidRPr="0054776E">
        <w:rPr>
          <w:rFonts w:cs="Arial"/>
          <w:sz w:val="18"/>
          <w:szCs w:val="18"/>
        </w:rPr>
        <w:t>announced two year capital investment of approximately £30m, supporting delivery of new business wins across three manufacturing sites</w:t>
      </w:r>
    </w:p>
    <w:p w14:paraId="6BB2EEBE" w14:textId="77777777" w:rsidR="00473DCA" w:rsidRDefault="00473DCA" w:rsidP="00473DCA">
      <w:pPr>
        <w:widowControl/>
        <w:numPr>
          <w:ilvl w:val="0"/>
          <w:numId w:val="4"/>
        </w:numPr>
        <w:tabs>
          <w:tab w:val="num" w:pos="426"/>
        </w:tabs>
        <w:autoSpaceDE/>
        <w:autoSpaceDN/>
        <w:ind w:left="426" w:hanging="284"/>
        <w:jc w:val="both"/>
        <w:rPr>
          <w:rFonts w:cs="Arial"/>
          <w:sz w:val="18"/>
          <w:szCs w:val="18"/>
        </w:rPr>
      </w:pPr>
      <w:r w:rsidRPr="0054776E">
        <w:rPr>
          <w:rFonts w:cs="Arial"/>
          <w:sz w:val="18"/>
          <w:szCs w:val="18"/>
        </w:rPr>
        <w:t>Advanced on multiple sustainability goals including the launch of fully recyclable, plastic free sandwich skillet trials for customers in September 2021, and the establishment of emission reduction targets, verified by the Science Based Targets Initiative</w:t>
      </w:r>
    </w:p>
    <w:p w14:paraId="4A7DE7F5" w14:textId="77777777" w:rsidR="00473DCA" w:rsidRPr="0054776E" w:rsidRDefault="00F2066D" w:rsidP="00473DCA">
      <w:pPr>
        <w:widowControl/>
        <w:numPr>
          <w:ilvl w:val="0"/>
          <w:numId w:val="4"/>
        </w:numPr>
        <w:tabs>
          <w:tab w:val="num" w:pos="426"/>
        </w:tabs>
        <w:autoSpaceDE/>
        <w:autoSpaceDN/>
        <w:ind w:left="426" w:hanging="284"/>
        <w:jc w:val="both"/>
        <w:rPr>
          <w:rFonts w:cs="Arial"/>
          <w:sz w:val="18"/>
          <w:szCs w:val="18"/>
        </w:rPr>
      </w:pPr>
      <w:bookmarkStart w:id="0" w:name="_Hlk88823346"/>
      <w:r>
        <w:rPr>
          <w:rFonts w:cs="Arial"/>
          <w:sz w:val="18"/>
          <w:szCs w:val="18"/>
        </w:rPr>
        <w:t xml:space="preserve">Outlined new </w:t>
      </w:r>
      <w:r w:rsidR="002F775F">
        <w:rPr>
          <w:rFonts w:cs="Arial"/>
          <w:sz w:val="18"/>
          <w:szCs w:val="18"/>
        </w:rPr>
        <w:t xml:space="preserve">sustainability </w:t>
      </w:r>
      <w:r>
        <w:rPr>
          <w:rFonts w:cs="Arial"/>
          <w:sz w:val="18"/>
          <w:szCs w:val="18"/>
        </w:rPr>
        <w:t xml:space="preserve">commitments </w:t>
      </w:r>
      <w:r w:rsidR="005B7F83">
        <w:rPr>
          <w:rFonts w:cs="Arial"/>
          <w:sz w:val="18"/>
          <w:szCs w:val="18"/>
        </w:rPr>
        <w:t xml:space="preserve">for FY22 </w:t>
      </w:r>
      <w:r>
        <w:rPr>
          <w:rFonts w:cs="Arial"/>
          <w:sz w:val="18"/>
          <w:szCs w:val="18"/>
        </w:rPr>
        <w:t xml:space="preserve">to transparently </w:t>
      </w:r>
      <w:r w:rsidRPr="00202891">
        <w:rPr>
          <w:rFonts w:cs="Arial"/>
          <w:sz w:val="18"/>
          <w:szCs w:val="18"/>
        </w:rPr>
        <w:t xml:space="preserve">share data </w:t>
      </w:r>
      <w:r w:rsidR="002F775F" w:rsidRPr="005B7F83">
        <w:rPr>
          <w:rFonts w:cs="Arial"/>
          <w:sz w:val="18"/>
          <w:szCs w:val="18"/>
        </w:rPr>
        <w:t xml:space="preserve">on </w:t>
      </w:r>
      <w:r w:rsidR="00C6400B" w:rsidRPr="005B7F83">
        <w:rPr>
          <w:rFonts w:cs="Arial"/>
          <w:sz w:val="18"/>
          <w:szCs w:val="18"/>
        </w:rPr>
        <w:t xml:space="preserve">the </w:t>
      </w:r>
      <w:r w:rsidR="002F775F" w:rsidRPr="005B7F83">
        <w:rPr>
          <w:rFonts w:cs="Arial"/>
          <w:sz w:val="18"/>
          <w:szCs w:val="18"/>
        </w:rPr>
        <w:t xml:space="preserve">health and </w:t>
      </w:r>
      <w:r w:rsidR="00C6400B" w:rsidRPr="005B7F83">
        <w:rPr>
          <w:rFonts w:cs="Arial"/>
          <w:sz w:val="18"/>
          <w:szCs w:val="18"/>
        </w:rPr>
        <w:t xml:space="preserve">sustainability profile </w:t>
      </w:r>
      <w:r w:rsidR="002F775F" w:rsidRPr="005B7F83">
        <w:rPr>
          <w:rFonts w:cs="Arial"/>
          <w:sz w:val="18"/>
          <w:szCs w:val="18"/>
        </w:rPr>
        <w:t>o</w:t>
      </w:r>
      <w:r w:rsidR="00C6400B" w:rsidRPr="005B7F83">
        <w:rPr>
          <w:rFonts w:cs="Arial"/>
          <w:sz w:val="18"/>
          <w:szCs w:val="18"/>
        </w:rPr>
        <w:t>f</w:t>
      </w:r>
      <w:r w:rsidR="002F775F" w:rsidRPr="005B7F83">
        <w:rPr>
          <w:rFonts w:cs="Arial"/>
          <w:sz w:val="18"/>
          <w:szCs w:val="18"/>
        </w:rPr>
        <w:t xml:space="preserve"> our products </w:t>
      </w:r>
      <w:r w:rsidR="00C6400B">
        <w:rPr>
          <w:rFonts w:cs="Arial"/>
          <w:sz w:val="18"/>
          <w:szCs w:val="18"/>
        </w:rPr>
        <w:t>with stakeholders</w:t>
      </w:r>
      <w:r>
        <w:rPr>
          <w:rFonts w:cs="Arial"/>
          <w:sz w:val="18"/>
          <w:szCs w:val="18"/>
        </w:rPr>
        <w:t xml:space="preserve">, </w:t>
      </w:r>
      <w:r w:rsidR="005B7F83">
        <w:rPr>
          <w:rFonts w:cs="Arial"/>
          <w:sz w:val="18"/>
          <w:szCs w:val="18"/>
        </w:rPr>
        <w:t xml:space="preserve">and </w:t>
      </w:r>
      <w:r>
        <w:rPr>
          <w:rFonts w:cs="Arial"/>
          <w:sz w:val="18"/>
          <w:szCs w:val="18"/>
        </w:rPr>
        <w:t xml:space="preserve">to ensure all the Group’s food surplus goes to feed those in need, and </w:t>
      </w:r>
      <w:r w:rsidR="005B7F83">
        <w:rPr>
          <w:rFonts w:cs="Arial"/>
          <w:sz w:val="18"/>
          <w:szCs w:val="18"/>
        </w:rPr>
        <w:t xml:space="preserve">also </w:t>
      </w:r>
      <w:r>
        <w:rPr>
          <w:rFonts w:cs="Arial"/>
          <w:sz w:val="18"/>
          <w:szCs w:val="18"/>
        </w:rPr>
        <w:t xml:space="preserve">to reduce </w:t>
      </w:r>
      <w:r w:rsidR="005B7F83">
        <w:rPr>
          <w:rFonts w:cs="Arial"/>
          <w:sz w:val="18"/>
          <w:szCs w:val="18"/>
        </w:rPr>
        <w:t xml:space="preserve">by 2030 </w:t>
      </w:r>
      <w:r>
        <w:rPr>
          <w:rFonts w:cs="Arial"/>
          <w:sz w:val="18"/>
          <w:szCs w:val="18"/>
        </w:rPr>
        <w:t>the average meat content across the Group’s product portfolio by 30%, in line with the recommendations of the National Food Strategy</w:t>
      </w:r>
    </w:p>
    <w:bookmarkEnd w:id="0"/>
    <w:p w14:paraId="21F0D3C3" w14:textId="77777777" w:rsidR="00473DCA" w:rsidRPr="00CB2EAA" w:rsidRDefault="00473DCA" w:rsidP="00473DCA">
      <w:pPr>
        <w:widowControl/>
        <w:autoSpaceDE/>
        <w:autoSpaceDN/>
        <w:jc w:val="both"/>
        <w:rPr>
          <w:rFonts w:cs="Arial"/>
          <w:sz w:val="20"/>
          <w:szCs w:val="20"/>
        </w:rPr>
      </w:pPr>
    </w:p>
    <w:p w14:paraId="2EF8A7D9" w14:textId="77777777" w:rsidR="00473DCA" w:rsidRPr="008807CF" w:rsidRDefault="00473DCA" w:rsidP="00473DCA">
      <w:pPr>
        <w:spacing w:after="120"/>
        <w:jc w:val="both"/>
        <w:rPr>
          <w:rFonts w:cs="Arial"/>
          <w:b/>
          <w:sz w:val="20"/>
          <w:szCs w:val="18"/>
        </w:rPr>
      </w:pPr>
      <w:r w:rsidRPr="008807CF">
        <w:rPr>
          <w:rFonts w:cs="Arial"/>
          <w:b/>
          <w:sz w:val="20"/>
          <w:szCs w:val="18"/>
        </w:rPr>
        <w:t>OUTLOOK</w:t>
      </w:r>
      <w:r>
        <w:rPr>
          <w:rFonts w:cs="Arial"/>
          <w:b/>
          <w:sz w:val="20"/>
          <w:szCs w:val="18"/>
          <w:vertAlign w:val="superscript"/>
        </w:rPr>
        <w:t xml:space="preserve"> 1,2</w:t>
      </w:r>
    </w:p>
    <w:p w14:paraId="144BF8AA" w14:textId="77777777" w:rsidR="00473DCA" w:rsidRDefault="00473DCA" w:rsidP="00473DCA">
      <w:pPr>
        <w:widowControl/>
        <w:numPr>
          <w:ilvl w:val="0"/>
          <w:numId w:val="4"/>
        </w:numPr>
        <w:tabs>
          <w:tab w:val="num" w:pos="426"/>
        </w:tabs>
        <w:autoSpaceDE/>
        <w:ind w:left="426" w:hanging="284"/>
        <w:jc w:val="both"/>
        <w:rPr>
          <w:rFonts w:cs="Arial"/>
          <w:sz w:val="18"/>
          <w:szCs w:val="18"/>
        </w:rPr>
      </w:pPr>
      <w:r>
        <w:rPr>
          <w:rFonts w:cs="Arial"/>
          <w:sz w:val="18"/>
          <w:szCs w:val="18"/>
        </w:rPr>
        <w:t xml:space="preserve">Trading in early FY22 has been encouraging with continued positive </w:t>
      </w:r>
      <w:r w:rsidR="00C17591">
        <w:rPr>
          <w:rFonts w:cs="Arial"/>
          <w:sz w:val="18"/>
          <w:szCs w:val="18"/>
        </w:rPr>
        <w:t xml:space="preserve">revenue </w:t>
      </w:r>
      <w:r>
        <w:rPr>
          <w:rFonts w:cs="Arial"/>
          <w:sz w:val="18"/>
          <w:szCs w:val="18"/>
        </w:rPr>
        <w:t xml:space="preserve">momentum across the business. As mobility increases towards pre-pandemic levels, there is strong demand in food to go and other convenience categories </w:t>
      </w:r>
    </w:p>
    <w:p w14:paraId="418F5A83" w14:textId="3A6CB8E3" w:rsidR="00473DCA" w:rsidRDefault="00473DCA" w:rsidP="00473DCA">
      <w:pPr>
        <w:widowControl/>
        <w:numPr>
          <w:ilvl w:val="0"/>
          <w:numId w:val="4"/>
        </w:numPr>
        <w:tabs>
          <w:tab w:val="num" w:pos="426"/>
        </w:tabs>
        <w:autoSpaceDE/>
        <w:ind w:left="426" w:hanging="284"/>
        <w:jc w:val="both"/>
        <w:rPr>
          <w:rFonts w:cs="Arial"/>
          <w:sz w:val="18"/>
          <w:szCs w:val="18"/>
        </w:rPr>
      </w:pPr>
      <w:r>
        <w:rPr>
          <w:rFonts w:cs="Arial"/>
          <w:sz w:val="18"/>
          <w:szCs w:val="18"/>
        </w:rPr>
        <w:t xml:space="preserve">The Group is </w:t>
      </w:r>
      <w:r w:rsidR="005B7F83">
        <w:rPr>
          <w:rFonts w:cs="Arial"/>
          <w:sz w:val="18"/>
          <w:szCs w:val="18"/>
        </w:rPr>
        <w:t xml:space="preserve">committed to recovering against ongoing input cost and other inflation with customers and is </w:t>
      </w:r>
      <w:r w:rsidR="00CA6373">
        <w:rPr>
          <w:rFonts w:cs="Arial"/>
          <w:sz w:val="18"/>
          <w:szCs w:val="18"/>
        </w:rPr>
        <w:t xml:space="preserve">progressing well </w:t>
      </w:r>
      <w:r w:rsidR="005B7F83">
        <w:rPr>
          <w:rFonts w:cs="Arial"/>
          <w:sz w:val="18"/>
          <w:szCs w:val="18"/>
        </w:rPr>
        <w:t>in this regard</w:t>
      </w:r>
      <w:r w:rsidR="00CA6373">
        <w:rPr>
          <w:rFonts w:cs="Arial"/>
          <w:sz w:val="18"/>
          <w:szCs w:val="18"/>
        </w:rPr>
        <w:t xml:space="preserve">. The </w:t>
      </w:r>
      <w:r>
        <w:rPr>
          <w:rFonts w:cs="Arial"/>
          <w:sz w:val="18"/>
          <w:szCs w:val="18"/>
        </w:rPr>
        <w:t xml:space="preserve">pace of profit conversion </w:t>
      </w:r>
      <w:r w:rsidR="00CA6373">
        <w:rPr>
          <w:rFonts w:cs="Arial"/>
          <w:sz w:val="18"/>
          <w:szCs w:val="18"/>
        </w:rPr>
        <w:t xml:space="preserve">continues to be </w:t>
      </w:r>
      <w:r>
        <w:rPr>
          <w:rFonts w:cs="Arial"/>
          <w:sz w:val="18"/>
          <w:szCs w:val="18"/>
        </w:rPr>
        <w:t xml:space="preserve">impacted by supply chain and labour challenges </w:t>
      </w:r>
      <w:r w:rsidR="00C17591">
        <w:rPr>
          <w:rFonts w:cs="Arial"/>
          <w:sz w:val="18"/>
          <w:szCs w:val="18"/>
        </w:rPr>
        <w:t>that are affecting the industry overall</w:t>
      </w:r>
    </w:p>
    <w:p w14:paraId="33903BBE" w14:textId="77777777" w:rsidR="00473DCA" w:rsidRPr="008807CF" w:rsidRDefault="00D74740" w:rsidP="00473DCA">
      <w:pPr>
        <w:widowControl/>
        <w:numPr>
          <w:ilvl w:val="0"/>
          <w:numId w:val="4"/>
        </w:numPr>
        <w:tabs>
          <w:tab w:val="num" w:pos="426"/>
        </w:tabs>
        <w:autoSpaceDE/>
        <w:autoSpaceDN/>
        <w:ind w:left="426" w:hanging="284"/>
        <w:jc w:val="both"/>
        <w:rPr>
          <w:rFonts w:cs="Arial"/>
          <w:sz w:val="18"/>
          <w:szCs w:val="18"/>
        </w:rPr>
      </w:pPr>
      <w:r>
        <w:rPr>
          <w:rFonts w:cs="Arial"/>
          <w:sz w:val="18"/>
          <w:szCs w:val="18"/>
        </w:rPr>
        <w:t xml:space="preserve">Though </w:t>
      </w:r>
      <w:r w:rsidR="00473DCA">
        <w:rPr>
          <w:rFonts w:cs="Arial"/>
          <w:sz w:val="18"/>
          <w:szCs w:val="18"/>
        </w:rPr>
        <w:t>these challenges</w:t>
      </w:r>
      <w:r>
        <w:rPr>
          <w:rFonts w:cs="Arial"/>
          <w:sz w:val="18"/>
          <w:szCs w:val="18"/>
        </w:rPr>
        <w:t xml:space="preserve"> remain ongoing</w:t>
      </w:r>
      <w:r w:rsidR="00473DCA">
        <w:rPr>
          <w:rFonts w:cs="Arial"/>
          <w:sz w:val="18"/>
          <w:szCs w:val="18"/>
        </w:rPr>
        <w:t>, t</w:t>
      </w:r>
      <w:r w:rsidR="00473DCA" w:rsidRPr="008807CF">
        <w:rPr>
          <w:rFonts w:cs="Arial"/>
          <w:sz w:val="18"/>
          <w:szCs w:val="18"/>
        </w:rPr>
        <w:t xml:space="preserve">he Group expects to generate an FY22 outturn in line with </w:t>
      </w:r>
      <w:r w:rsidR="00473DCA">
        <w:rPr>
          <w:rFonts w:cs="Arial"/>
          <w:sz w:val="18"/>
          <w:szCs w:val="18"/>
        </w:rPr>
        <w:t xml:space="preserve">current market </w:t>
      </w:r>
      <w:r w:rsidR="00473DCA" w:rsidRPr="008807CF">
        <w:rPr>
          <w:rFonts w:cs="Arial"/>
          <w:sz w:val="18"/>
          <w:szCs w:val="18"/>
        </w:rPr>
        <w:t>expectation</w:t>
      </w:r>
      <w:r w:rsidR="00473DCA">
        <w:rPr>
          <w:rFonts w:cs="Arial"/>
          <w:sz w:val="18"/>
          <w:szCs w:val="18"/>
        </w:rPr>
        <w:t>s</w:t>
      </w:r>
      <w:r w:rsidR="00473DCA" w:rsidRPr="008807CF">
        <w:rPr>
          <w:rFonts w:cs="Arial"/>
          <w:sz w:val="18"/>
          <w:szCs w:val="18"/>
        </w:rPr>
        <w:t xml:space="preserve">. </w:t>
      </w:r>
      <w:r w:rsidR="00407B61" w:rsidRPr="00407B61">
        <w:rPr>
          <w:rFonts w:cs="Arial"/>
          <w:sz w:val="18"/>
          <w:szCs w:val="18"/>
        </w:rPr>
        <w:t>This assumes no material resumption of mobility restrictions or lockdowns arising from increases in COVID-19 infection rates in the UK.</w:t>
      </w:r>
      <w:r w:rsidR="00407B61">
        <w:rPr>
          <w:rFonts w:cs="Arial"/>
          <w:sz w:val="18"/>
          <w:szCs w:val="18"/>
        </w:rPr>
        <w:t xml:space="preserve"> </w:t>
      </w:r>
      <w:r w:rsidR="00473DCA" w:rsidRPr="008807CF">
        <w:rPr>
          <w:rFonts w:cs="Arial"/>
          <w:sz w:val="18"/>
          <w:szCs w:val="18"/>
        </w:rPr>
        <w:t>Profitability will be weighted towards the second half of the year, reflecting the seasonality of the Group’s food to go categories</w:t>
      </w:r>
    </w:p>
    <w:p w14:paraId="3F50ADEF" w14:textId="17A67297" w:rsidR="00206D8A" w:rsidRDefault="00662423" w:rsidP="00206D8A">
      <w:pPr>
        <w:widowControl/>
        <w:numPr>
          <w:ilvl w:val="0"/>
          <w:numId w:val="4"/>
        </w:numPr>
        <w:tabs>
          <w:tab w:val="num" w:pos="426"/>
        </w:tabs>
        <w:autoSpaceDE/>
        <w:autoSpaceDN/>
        <w:ind w:left="426" w:hanging="284"/>
        <w:jc w:val="both"/>
        <w:rPr>
          <w:rFonts w:cs="Arial"/>
          <w:sz w:val="18"/>
          <w:szCs w:val="18"/>
        </w:rPr>
      </w:pPr>
      <w:r>
        <w:rPr>
          <w:rFonts w:cs="Arial"/>
          <w:sz w:val="18"/>
          <w:szCs w:val="18"/>
        </w:rPr>
        <w:t>The B</w:t>
      </w:r>
      <w:r w:rsidR="00473DCA" w:rsidRPr="00C5525D">
        <w:rPr>
          <w:rFonts w:cs="Arial"/>
          <w:sz w:val="18"/>
          <w:szCs w:val="18"/>
        </w:rPr>
        <w:t xml:space="preserve">oard is committed to a dynamic capital management policy. </w:t>
      </w:r>
      <w:r w:rsidR="00357642">
        <w:rPr>
          <w:rFonts w:cs="Arial"/>
          <w:sz w:val="18"/>
          <w:szCs w:val="18"/>
        </w:rPr>
        <w:t>While t</w:t>
      </w:r>
      <w:r>
        <w:rPr>
          <w:rFonts w:cs="Arial"/>
          <w:sz w:val="18"/>
          <w:szCs w:val="18"/>
        </w:rPr>
        <w:t xml:space="preserve">he Group </w:t>
      </w:r>
      <w:r w:rsidR="00357642">
        <w:rPr>
          <w:rFonts w:cs="Arial"/>
          <w:sz w:val="18"/>
          <w:szCs w:val="18"/>
        </w:rPr>
        <w:t xml:space="preserve">remains focused on </w:t>
      </w:r>
      <w:r>
        <w:rPr>
          <w:rFonts w:cs="Arial"/>
          <w:sz w:val="18"/>
          <w:szCs w:val="18"/>
        </w:rPr>
        <w:t>deleverag</w:t>
      </w:r>
      <w:r w:rsidR="00357642">
        <w:rPr>
          <w:rFonts w:cs="Arial"/>
          <w:sz w:val="18"/>
          <w:szCs w:val="18"/>
        </w:rPr>
        <w:t>ing</w:t>
      </w:r>
      <w:r w:rsidRPr="00662423">
        <w:rPr>
          <w:rFonts w:cs="Arial"/>
          <w:sz w:val="18"/>
          <w:szCs w:val="18"/>
        </w:rPr>
        <w:t xml:space="preserve">, </w:t>
      </w:r>
      <w:r>
        <w:rPr>
          <w:rFonts w:cs="Arial"/>
          <w:sz w:val="18"/>
          <w:szCs w:val="18"/>
        </w:rPr>
        <w:t xml:space="preserve">it </w:t>
      </w:r>
      <w:r w:rsidRPr="00662423">
        <w:rPr>
          <w:rFonts w:cs="Arial"/>
          <w:sz w:val="18"/>
          <w:szCs w:val="18"/>
        </w:rPr>
        <w:t xml:space="preserve">will </w:t>
      </w:r>
      <w:r w:rsidR="00357642">
        <w:rPr>
          <w:rFonts w:cs="Arial"/>
          <w:sz w:val="18"/>
          <w:szCs w:val="18"/>
        </w:rPr>
        <w:t xml:space="preserve">also </w:t>
      </w:r>
      <w:r w:rsidRPr="00662423">
        <w:rPr>
          <w:rFonts w:cs="Arial"/>
          <w:sz w:val="18"/>
          <w:szCs w:val="18"/>
        </w:rPr>
        <w:t xml:space="preserve">balance the ongoing strategic and investment needs of the business </w:t>
      </w:r>
      <w:r w:rsidR="00357642">
        <w:rPr>
          <w:rFonts w:cs="Arial"/>
          <w:sz w:val="18"/>
          <w:szCs w:val="18"/>
        </w:rPr>
        <w:t>and</w:t>
      </w:r>
      <w:r w:rsidRPr="00662423">
        <w:rPr>
          <w:rFonts w:cs="Arial"/>
          <w:sz w:val="18"/>
          <w:szCs w:val="18"/>
        </w:rPr>
        <w:t xml:space="preserve"> the capacity to return surplus cash to shareholders</w:t>
      </w:r>
      <w:r>
        <w:rPr>
          <w:rFonts w:cs="Arial"/>
          <w:sz w:val="18"/>
          <w:szCs w:val="18"/>
        </w:rPr>
        <w:t xml:space="preserve">. </w:t>
      </w:r>
      <w:r w:rsidR="00473DCA" w:rsidRPr="00C5525D">
        <w:rPr>
          <w:rFonts w:cs="Arial"/>
          <w:sz w:val="18"/>
          <w:szCs w:val="18"/>
        </w:rPr>
        <w:t xml:space="preserve">The Board is currently assessing the specific capital allocation strategy and </w:t>
      </w:r>
      <w:r w:rsidR="00CA6373">
        <w:rPr>
          <w:rFonts w:cs="Arial"/>
          <w:sz w:val="18"/>
          <w:szCs w:val="18"/>
        </w:rPr>
        <w:t xml:space="preserve">is committed to recommencing value return to shareholders </w:t>
      </w:r>
      <w:r w:rsidR="00357642">
        <w:rPr>
          <w:rFonts w:cs="Arial"/>
          <w:sz w:val="18"/>
          <w:szCs w:val="18"/>
        </w:rPr>
        <w:t>in FY22</w:t>
      </w:r>
      <w:r w:rsidR="00CA6373">
        <w:rPr>
          <w:rFonts w:cs="Arial"/>
          <w:sz w:val="18"/>
          <w:szCs w:val="18"/>
        </w:rPr>
        <w:t xml:space="preserve">. </w:t>
      </w:r>
    </w:p>
    <w:p w14:paraId="0155CD46" w14:textId="77777777" w:rsidR="005B36AA" w:rsidRDefault="005B36AA" w:rsidP="00CB7CCC">
      <w:pPr>
        <w:rPr>
          <w:sz w:val="16"/>
          <w:szCs w:val="16"/>
        </w:rPr>
      </w:pPr>
    </w:p>
    <w:p w14:paraId="53B0B31F" w14:textId="77777777" w:rsidR="005B36AA" w:rsidRDefault="005B36AA" w:rsidP="00CB7CCC">
      <w:pPr>
        <w:rPr>
          <w:sz w:val="16"/>
          <w:szCs w:val="16"/>
        </w:rPr>
      </w:pPr>
    </w:p>
    <w:p w14:paraId="104820C4" w14:textId="77777777" w:rsidR="00473DCA" w:rsidRDefault="00473DCA" w:rsidP="00473DCA">
      <w:pPr>
        <w:jc w:val="both"/>
        <w:rPr>
          <w:rFonts w:cs="Arial"/>
          <w:b/>
          <w:sz w:val="20"/>
          <w:szCs w:val="18"/>
        </w:rPr>
      </w:pPr>
      <w:r>
        <w:rPr>
          <w:rFonts w:cs="Arial"/>
          <w:b/>
          <w:sz w:val="20"/>
          <w:szCs w:val="18"/>
        </w:rPr>
        <w:t>SUMMARY FINANCIAL PERFORMANCE</w:t>
      </w:r>
      <w:r>
        <w:rPr>
          <w:rFonts w:cs="Arial"/>
          <w:b/>
          <w:sz w:val="20"/>
          <w:szCs w:val="18"/>
          <w:vertAlign w:val="superscript"/>
        </w:rPr>
        <w:t xml:space="preserve"> 1</w:t>
      </w:r>
    </w:p>
    <w:p w14:paraId="3A1DB561" w14:textId="77777777" w:rsidR="00473DCA" w:rsidRDefault="00473DCA" w:rsidP="00473DCA">
      <w:pPr>
        <w:jc w:val="both"/>
        <w:rPr>
          <w:rFonts w:cs="Arial"/>
          <w:b/>
          <w:sz w:val="20"/>
          <w:szCs w:val="18"/>
          <w:vertAlign w:val="superscript"/>
        </w:rPr>
      </w:pPr>
    </w:p>
    <w:p w14:paraId="20C40A3B" w14:textId="77777777" w:rsidR="00473DCA" w:rsidRPr="005C7C70" w:rsidRDefault="00473DCA" w:rsidP="00473DCA">
      <w:pPr>
        <w:jc w:val="both"/>
        <w:rPr>
          <w:rFonts w:cs="Arial"/>
          <w:b/>
          <w:sz w:val="20"/>
          <w:szCs w:val="18"/>
          <w:vertAlign w:val="superscript"/>
        </w:rPr>
      </w:pPr>
    </w:p>
    <w:tbl>
      <w:tblPr>
        <w:tblW w:w="7513" w:type="dxa"/>
        <w:jc w:val="center"/>
        <w:tblLayout w:type="fixed"/>
        <w:tblCellMar>
          <w:left w:w="0" w:type="dxa"/>
          <w:right w:w="0" w:type="dxa"/>
        </w:tblCellMar>
        <w:tblLook w:val="04A0" w:firstRow="1" w:lastRow="0" w:firstColumn="1" w:lastColumn="0" w:noHBand="0" w:noVBand="1"/>
      </w:tblPr>
      <w:tblGrid>
        <w:gridCol w:w="4111"/>
        <w:gridCol w:w="1134"/>
        <w:gridCol w:w="1134"/>
        <w:gridCol w:w="1134"/>
      </w:tblGrid>
      <w:tr w:rsidR="00473DCA" w:rsidRPr="0016388F" w14:paraId="4537E0F3" w14:textId="77777777" w:rsidTr="008E46B3">
        <w:trPr>
          <w:jc w:val="center"/>
        </w:trPr>
        <w:tc>
          <w:tcPr>
            <w:tcW w:w="4111" w:type="dxa"/>
            <w:noWrap/>
            <w:tcMar>
              <w:top w:w="15" w:type="dxa"/>
              <w:left w:w="15" w:type="dxa"/>
              <w:bottom w:w="0" w:type="dxa"/>
              <w:right w:w="15" w:type="dxa"/>
            </w:tcMar>
            <w:vAlign w:val="bottom"/>
            <w:hideMark/>
          </w:tcPr>
          <w:p w14:paraId="1BC9318F" w14:textId="77777777" w:rsidR="00473DCA" w:rsidRPr="0016388F" w:rsidRDefault="00473DCA" w:rsidP="008E46B3">
            <w:pPr>
              <w:jc w:val="both"/>
              <w:rPr>
                <w:rFonts w:cs="Arial"/>
                <w:b/>
                <w:bCs/>
                <w:sz w:val="18"/>
                <w:szCs w:val="18"/>
                <w:lang w:val="en-US"/>
              </w:rPr>
            </w:pPr>
            <w:r w:rsidRPr="0016388F">
              <w:rPr>
                <w:rFonts w:cs="Arial"/>
                <w:b/>
                <w:bCs/>
                <w:sz w:val="18"/>
                <w:szCs w:val="18"/>
                <w:lang w:val="en-US"/>
              </w:rPr>
              <w:tab/>
            </w:r>
          </w:p>
        </w:tc>
        <w:tc>
          <w:tcPr>
            <w:tcW w:w="1134" w:type="dxa"/>
            <w:tcMar>
              <w:top w:w="15" w:type="dxa"/>
              <w:left w:w="15" w:type="dxa"/>
              <w:bottom w:w="0" w:type="dxa"/>
              <w:right w:w="15" w:type="dxa"/>
            </w:tcMar>
            <w:vAlign w:val="bottom"/>
            <w:hideMark/>
          </w:tcPr>
          <w:p w14:paraId="107EF04D" w14:textId="77777777" w:rsidR="00473DCA" w:rsidRPr="0016388F" w:rsidRDefault="00473DCA" w:rsidP="008E46B3">
            <w:pPr>
              <w:ind w:right="103"/>
              <w:jc w:val="right"/>
              <w:rPr>
                <w:rFonts w:cs="Arial"/>
                <w:b/>
                <w:bCs/>
                <w:sz w:val="18"/>
                <w:szCs w:val="18"/>
                <w:lang w:val="en-US"/>
              </w:rPr>
            </w:pPr>
            <w:r>
              <w:rPr>
                <w:rFonts w:cs="Arial"/>
                <w:b/>
                <w:bCs/>
                <w:sz w:val="18"/>
                <w:szCs w:val="18"/>
                <w:lang w:val="en-US"/>
              </w:rPr>
              <w:t>FY21</w:t>
            </w:r>
          </w:p>
        </w:tc>
        <w:tc>
          <w:tcPr>
            <w:tcW w:w="1134" w:type="dxa"/>
            <w:hideMark/>
          </w:tcPr>
          <w:p w14:paraId="70D57A09" w14:textId="77777777" w:rsidR="00473DCA" w:rsidRPr="0016388F" w:rsidRDefault="00473DCA" w:rsidP="008E46B3">
            <w:pPr>
              <w:ind w:right="103"/>
              <w:jc w:val="right"/>
              <w:rPr>
                <w:rFonts w:cs="Arial"/>
                <w:b/>
                <w:bCs/>
                <w:sz w:val="18"/>
                <w:szCs w:val="18"/>
                <w:lang w:val="en-US"/>
              </w:rPr>
            </w:pPr>
            <w:r>
              <w:rPr>
                <w:rFonts w:cs="Arial"/>
                <w:b/>
                <w:bCs/>
                <w:sz w:val="18"/>
                <w:szCs w:val="18"/>
                <w:lang w:val="en-US"/>
              </w:rPr>
              <w:t>FY20</w:t>
            </w:r>
          </w:p>
        </w:tc>
        <w:tc>
          <w:tcPr>
            <w:tcW w:w="1134" w:type="dxa"/>
            <w:hideMark/>
          </w:tcPr>
          <w:p w14:paraId="48B790B9" w14:textId="77777777" w:rsidR="00473DCA" w:rsidRPr="0016388F" w:rsidRDefault="00473DCA" w:rsidP="008E46B3">
            <w:pPr>
              <w:ind w:right="103"/>
              <w:jc w:val="right"/>
              <w:rPr>
                <w:rFonts w:cs="Arial"/>
                <w:b/>
                <w:bCs/>
                <w:sz w:val="18"/>
                <w:szCs w:val="18"/>
                <w:lang w:val="en-US"/>
              </w:rPr>
            </w:pPr>
            <w:r w:rsidRPr="0016388F">
              <w:rPr>
                <w:rFonts w:cs="Arial"/>
                <w:b/>
                <w:bCs/>
                <w:sz w:val="18"/>
                <w:szCs w:val="18"/>
                <w:lang w:val="en-US"/>
              </w:rPr>
              <w:t>Change</w:t>
            </w:r>
          </w:p>
        </w:tc>
      </w:tr>
      <w:tr w:rsidR="00473DCA" w:rsidRPr="0016388F" w14:paraId="6FCEA5BB" w14:textId="77777777" w:rsidTr="008E46B3">
        <w:trPr>
          <w:trHeight w:val="191"/>
          <w:jc w:val="center"/>
        </w:trPr>
        <w:tc>
          <w:tcPr>
            <w:tcW w:w="4111" w:type="dxa"/>
            <w:noWrap/>
            <w:tcMar>
              <w:top w:w="15" w:type="dxa"/>
              <w:left w:w="15" w:type="dxa"/>
              <w:bottom w:w="0" w:type="dxa"/>
              <w:right w:w="15" w:type="dxa"/>
            </w:tcMar>
            <w:vAlign w:val="bottom"/>
          </w:tcPr>
          <w:p w14:paraId="0BBD98A8" w14:textId="77777777" w:rsidR="00473DCA" w:rsidRPr="0016388F" w:rsidRDefault="00473DCA" w:rsidP="008E46B3">
            <w:pPr>
              <w:jc w:val="both"/>
              <w:rPr>
                <w:rFonts w:cs="Arial"/>
                <w:b/>
                <w:bCs/>
                <w:sz w:val="18"/>
                <w:szCs w:val="18"/>
                <w:lang w:val="en-US"/>
              </w:rPr>
            </w:pPr>
          </w:p>
        </w:tc>
        <w:tc>
          <w:tcPr>
            <w:tcW w:w="1134" w:type="dxa"/>
            <w:tcMar>
              <w:top w:w="15" w:type="dxa"/>
              <w:left w:w="15" w:type="dxa"/>
              <w:bottom w:w="0" w:type="dxa"/>
              <w:right w:w="15" w:type="dxa"/>
            </w:tcMar>
            <w:hideMark/>
          </w:tcPr>
          <w:p w14:paraId="0396185C" w14:textId="77777777" w:rsidR="00473DCA" w:rsidRPr="0016388F" w:rsidRDefault="00473DCA" w:rsidP="008E46B3">
            <w:pPr>
              <w:ind w:right="103"/>
              <w:jc w:val="right"/>
              <w:rPr>
                <w:rFonts w:cs="Arial"/>
                <w:b/>
                <w:bCs/>
                <w:sz w:val="18"/>
                <w:szCs w:val="18"/>
                <w:lang w:val="en-US"/>
              </w:rPr>
            </w:pPr>
            <w:r w:rsidRPr="0016388F">
              <w:rPr>
                <w:rFonts w:cs="Arial"/>
                <w:b/>
                <w:bCs/>
                <w:sz w:val="18"/>
                <w:szCs w:val="18"/>
                <w:lang w:val="en-US"/>
              </w:rPr>
              <w:t>£m</w:t>
            </w:r>
          </w:p>
        </w:tc>
        <w:tc>
          <w:tcPr>
            <w:tcW w:w="1134" w:type="dxa"/>
            <w:hideMark/>
          </w:tcPr>
          <w:p w14:paraId="30314529" w14:textId="77777777" w:rsidR="00473DCA" w:rsidRPr="0016388F" w:rsidRDefault="00473DCA" w:rsidP="008E46B3">
            <w:pPr>
              <w:ind w:right="103"/>
              <w:jc w:val="right"/>
              <w:rPr>
                <w:rFonts w:cs="Arial"/>
                <w:b/>
                <w:bCs/>
                <w:sz w:val="18"/>
                <w:szCs w:val="18"/>
                <w:lang w:val="en-US"/>
              </w:rPr>
            </w:pPr>
            <w:r w:rsidRPr="0016388F">
              <w:rPr>
                <w:rFonts w:cs="Arial"/>
                <w:b/>
                <w:bCs/>
                <w:sz w:val="18"/>
                <w:szCs w:val="18"/>
                <w:lang w:val="en-US"/>
              </w:rPr>
              <w:t>£m</w:t>
            </w:r>
          </w:p>
        </w:tc>
        <w:tc>
          <w:tcPr>
            <w:tcW w:w="1134" w:type="dxa"/>
            <w:hideMark/>
          </w:tcPr>
          <w:p w14:paraId="6D36F129" w14:textId="77777777" w:rsidR="00473DCA" w:rsidRPr="0016388F" w:rsidRDefault="00473DCA" w:rsidP="008E46B3">
            <w:pPr>
              <w:ind w:right="103"/>
              <w:jc w:val="right"/>
              <w:rPr>
                <w:rFonts w:cs="Arial"/>
                <w:b/>
                <w:bCs/>
                <w:sz w:val="18"/>
                <w:szCs w:val="18"/>
                <w:lang w:val="en-US"/>
              </w:rPr>
            </w:pPr>
          </w:p>
        </w:tc>
      </w:tr>
      <w:tr w:rsidR="00473DCA" w:rsidRPr="0016388F" w14:paraId="77242887" w14:textId="77777777" w:rsidTr="008E46B3">
        <w:trPr>
          <w:trHeight w:val="191"/>
          <w:jc w:val="center"/>
        </w:trPr>
        <w:tc>
          <w:tcPr>
            <w:tcW w:w="4111" w:type="dxa"/>
            <w:noWrap/>
            <w:tcMar>
              <w:top w:w="15" w:type="dxa"/>
              <w:left w:w="15" w:type="dxa"/>
              <w:bottom w:w="0" w:type="dxa"/>
              <w:right w:w="15" w:type="dxa"/>
            </w:tcMar>
            <w:vAlign w:val="bottom"/>
          </w:tcPr>
          <w:p w14:paraId="65B8F03E" w14:textId="77777777" w:rsidR="00473DCA" w:rsidRPr="003E5DE4" w:rsidRDefault="00473DCA" w:rsidP="008E46B3">
            <w:pPr>
              <w:jc w:val="both"/>
              <w:rPr>
                <w:rFonts w:cs="Arial"/>
                <w:b/>
                <w:bCs/>
                <w:sz w:val="18"/>
                <w:szCs w:val="18"/>
                <w:u w:val="single"/>
                <w:lang w:val="en-US"/>
              </w:rPr>
            </w:pPr>
          </w:p>
        </w:tc>
        <w:tc>
          <w:tcPr>
            <w:tcW w:w="1134" w:type="dxa"/>
            <w:tcMar>
              <w:top w:w="15" w:type="dxa"/>
              <w:left w:w="15" w:type="dxa"/>
              <w:bottom w:w="0" w:type="dxa"/>
              <w:right w:w="15" w:type="dxa"/>
            </w:tcMar>
          </w:tcPr>
          <w:p w14:paraId="02E5575D" w14:textId="77777777" w:rsidR="00473DCA" w:rsidRPr="0016388F" w:rsidRDefault="00473DCA" w:rsidP="008E46B3">
            <w:pPr>
              <w:ind w:right="103"/>
              <w:jc w:val="right"/>
              <w:rPr>
                <w:rFonts w:cs="Arial"/>
                <w:b/>
                <w:bCs/>
                <w:sz w:val="18"/>
                <w:szCs w:val="18"/>
                <w:lang w:val="en-US"/>
              </w:rPr>
            </w:pPr>
          </w:p>
        </w:tc>
        <w:tc>
          <w:tcPr>
            <w:tcW w:w="1134" w:type="dxa"/>
          </w:tcPr>
          <w:p w14:paraId="33554049" w14:textId="77777777" w:rsidR="00473DCA" w:rsidRPr="0016388F" w:rsidRDefault="00473DCA" w:rsidP="008E46B3">
            <w:pPr>
              <w:ind w:right="103"/>
              <w:jc w:val="right"/>
              <w:rPr>
                <w:rFonts w:cs="Arial"/>
                <w:b/>
                <w:bCs/>
                <w:sz w:val="18"/>
                <w:szCs w:val="18"/>
                <w:lang w:val="en-US"/>
              </w:rPr>
            </w:pPr>
          </w:p>
        </w:tc>
        <w:tc>
          <w:tcPr>
            <w:tcW w:w="1134" w:type="dxa"/>
          </w:tcPr>
          <w:p w14:paraId="688FFE85" w14:textId="77777777" w:rsidR="00473DCA" w:rsidRPr="0016388F" w:rsidRDefault="00473DCA" w:rsidP="008E46B3">
            <w:pPr>
              <w:ind w:right="103"/>
              <w:jc w:val="right"/>
              <w:rPr>
                <w:rFonts w:cs="Arial"/>
                <w:b/>
                <w:bCs/>
                <w:sz w:val="18"/>
                <w:szCs w:val="18"/>
                <w:lang w:val="en-US"/>
              </w:rPr>
            </w:pPr>
          </w:p>
        </w:tc>
      </w:tr>
      <w:tr w:rsidR="00473DCA" w:rsidRPr="000B4332" w14:paraId="7E8CCF3F" w14:textId="77777777" w:rsidTr="008E46B3">
        <w:trPr>
          <w:jc w:val="center"/>
        </w:trPr>
        <w:tc>
          <w:tcPr>
            <w:tcW w:w="4111" w:type="dxa"/>
            <w:shd w:val="clear" w:color="auto" w:fill="auto"/>
            <w:noWrap/>
            <w:tcMar>
              <w:top w:w="15" w:type="dxa"/>
              <w:left w:w="15" w:type="dxa"/>
              <w:bottom w:w="0" w:type="dxa"/>
              <w:right w:w="15" w:type="dxa"/>
            </w:tcMar>
            <w:vAlign w:val="center"/>
            <w:hideMark/>
          </w:tcPr>
          <w:p w14:paraId="4133B8AE" w14:textId="77777777" w:rsidR="00473DCA" w:rsidRPr="000B4332" w:rsidRDefault="00473DCA" w:rsidP="008E46B3">
            <w:pPr>
              <w:jc w:val="both"/>
              <w:rPr>
                <w:rFonts w:cs="Arial"/>
                <w:sz w:val="18"/>
                <w:szCs w:val="18"/>
                <w:lang w:val="en-US"/>
              </w:rPr>
            </w:pPr>
            <w:r w:rsidRPr="000B4332">
              <w:rPr>
                <w:rFonts w:cs="Arial"/>
                <w:sz w:val="18"/>
                <w:szCs w:val="18"/>
                <w:lang w:val="en-US"/>
              </w:rPr>
              <w:t xml:space="preserve">Group Revenue         </w:t>
            </w:r>
          </w:p>
        </w:tc>
        <w:tc>
          <w:tcPr>
            <w:tcW w:w="1134" w:type="dxa"/>
            <w:shd w:val="clear" w:color="auto" w:fill="auto"/>
            <w:noWrap/>
            <w:tcMar>
              <w:top w:w="15" w:type="dxa"/>
              <w:left w:w="15" w:type="dxa"/>
              <w:bottom w:w="0" w:type="dxa"/>
              <w:right w:w="15" w:type="dxa"/>
            </w:tcMar>
          </w:tcPr>
          <w:p w14:paraId="7840CBF1" w14:textId="77777777" w:rsidR="00473DCA" w:rsidRPr="00630759" w:rsidRDefault="00473DCA" w:rsidP="008E46B3">
            <w:pPr>
              <w:ind w:right="103"/>
              <w:jc w:val="right"/>
              <w:rPr>
                <w:rFonts w:cs="Arial"/>
                <w:bCs/>
                <w:sz w:val="18"/>
                <w:szCs w:val="18"/>
                <w:lang w:val="en-US"/>
              </w:rPr>
            </w:pPr>
            <w:r>
              <w:rPr>
                <w:rFonts w:cs="Arial"/>
                <w:sz w:val="18"/>
                <w:szCs w:val="18"/>
                <w:lang w:val="en-US"/>
              </w:rPr>
              <w:t>1,324.8</w:t>
            </w:r>
          </w:p>
        </w:tc>
        <w:tc>
          <w:tcPr>
            <w:tcW w:w="1134" w:type="dxa"/>
            <w:shd w:val="clear" w:color="auto" w:fill="auto"/>
          </w:tcPr>
          <w:p w14:paraId="68DCC97F" w14:textId="77777777" w:rsidR="00473DCA" w:rsidRPr="00630759" w:rsidRDefault="00473DCA" w:rsidP="008E46B3">
            <w:pPr>
              <w:ind w:right="103"/>
              <w:jc w:val="right"/>
              <w:rPr>
                <w:rFonts w:cs="Arial"/>
                <w:bCs/>
                <w:sz w:val="18"/>
                <w:szCs w:val="18"/>
                <w:lang w:val="en-US"/>
              </w:rPr>
            </w:pPr>
            <w:r>
              <w:rPr>
                <w:rFonts w:cs="Arial"/>
                <w:bCs/>
                <w:sz w:val="18"/>
                <w:szCs w:val="18"/>
                <w:lang w:val="en-US"/>
              </w:rPr>
              <w:t>1,264.7</w:t>
            </w:r>
          </w:p>
        </w:tc>
        <w:tc>
          <w:tcPr>
            <w:tcW w:w="1134" w:type="dxa"/>
            <w:shd w:val="clear" w:color="auto" w:fill="auto"/>
          </w:tcPr>
          <w:p w14:paraId="792AEB2B" w14:textId="77777777" w:rsidR="00473DCA" w:rsidRPr="00630759" w:rsidRDefault="00473DCA" w:rsidP="008E46B3">
            <w:pPr>
              <w:ind w:right="103"/>
              <w:jc w:val="right"/>
              <w:rPr>
                <w:rFonts w:cs="Arial"/>
                <w:bCs/>
                <w:sz w:val="18"/>
                <w:szCs w:val="18"/>
                <w:lang w:val="en-US"/>
              </w:rPr>
            </w:pPr>
            <w:r>
              <w:rPr>
                <w:rFonts w:cs="Arial"/>
                <w:bCs/>
                <w:sz w:val="18"/>
                <w:szCs w:val="18"/>
                <w:lang w:val="en-US"/>
              </w:rPr>
              <w:t>+4.8%</w:t>
            </w:r>
          </w:p>
        </w:tc>
      </w:tr>
      <w:tr w:rsidR="00473DCA" w:rsidRPr="000B4332" w14:paraId="7FEF2849" w14:textId="77777777" w:rsidTr="008E46B3">
        <w:trPr>
          <w:jc w:val="center"/>
        </w:trPr>
        <w:tc>
          <w:tcPr>
            <w:tcW w:w="4111" w:type="dxa"/>
            <w:shd w:val="clear" w:color="auto" w:fill="auto"/>
            <w:noWrap/>
            <w:tcMar>
              <w:top w:w="15" w:type="dxa"/>
              <w:left w:w="15" w:type="dxa"/>
              <w:bottom w:w="0" w:type="dxa"/>
              <w:right w:w="15" w:type="dxa"/>
            </w:tcMar>
            <w:vAlign w:val="center"/>
          </w:tcPr>
          <w:p w14:paraId="7AF7A330" w14:textId="77777777" w:rsidR="00473DCA" w:rsidRPr="000B4332" w:rsidRDefault="00473DCA" w:rsidP="008E46B3">
            <w:pPr>
              <w:jc w:val="both"/>
              <w:rPr>
                <w:rFonts w:cs="Arial"/>
                <w:sz w:val="18"/>
                <w:szCs w:val="18"/>
                <w:lang w:val="en-US"/>
              </w:rPr>
            </w:pPr>
            <w:r>
              <w:rPr>
                <w:rFonts w:cs="Arial"/>
                <w:sz w:val="18"/>
                <w:szCs w:val="18"/>
                <w:lang w:val="en-US"/>
              </w:rPr>
              <w:t>Pro Forma Revenue Growth</w:t>
            </w:r>
          </w:p>
        </w:tc>
        <w:tc>
          <w:tcPr>
            <w:tcW w:w="1134" w:type="dxa"/>
            <w:shd w:val="clear" w:color="auto" w:fill="auto"/>
            <w:noWrap/>
            <w:tcMar>
              <w:top w:w="15" w:type="dxa"/>
              <w:left w:w="15" w:type="dxa"/>
              <w:bottom w:w="0" w:type="dxa"/>
              <w:right w:w="15" w:type="dxa"/>
            </w:tcMar>
          </w:tcPr>
          <w:p w14:paraId="093C59A8" w14:textId="77777777" w:rsidR="00473DCA" w:rsidRPr="00630759" w:rsidRDefault="00473DCA" w:rsidP="008E46B3">
            <w:pPr>
              <w:ind w:right="103"/>
              <w:jc w:val="right"/>
              <w:rPr>
                <w:rFonts w:cs="Arial"/>
                <w:bCs/>
                <w:sz w:val="18"/>
                <w:szCs w:val="18"/>
                <w:lang w:val="en-US"/>
              </w:rPr>
            </w:pPr>
          </w:p>
        </w:tc>
        <w:tc>
          <w:tcPr>
            <w:tcW w:w="1134" w:type="dxa"/>
            <w:shd w:val="clear" w:color="auto" w:fill="auto"/>
          </w:tcPr>
          <w:p w14:paraId="6B484730" w14:textId="77777777" w:rsidR="00473DCA" w:rsidRPr="00630759" w:rsidRDefault="00473DCA" w:rsidP="008E46B3">
            <w:pPr>
              <w:ind w:right="103"/>
              <w:jc w:val="right"/>
              <w:rPr>
                <w:rFonts w:cs="Arial"/>
                <w:bCs/>
                <w:sz w:val="18"/>
                <w:szCs w:val="18"/>
                <w:lang w:val="en-US"/>
              </w:rPr>
            </w:pPr>
          </w:p>
        </w:tc>
        <w:tc>
          <w:tcPr>
            <w:tcW w:w="1134" w:type="dxa"/>
            <w:shd w:val="clear" w:color="auto" w:fill="auto"/>
          </w:tcPr>
          <w:p w14:paraId="4EDFEF60" w14:textId="77777777" w:rsidR="00473DCA" w:rsidRPr="00630759" w:rsidRDefault="00473DCA" w:rsidP="008E46B3">
            <w:pPr>
              <w:ind w:right="103"/>
              <w:jc w:val="right"/>
              <w:rPr>
                <w:rFonts w:cs="Arial"/>
                <w:bCs/>
                <w:sz w:val="18"/>
                <w:szCs w:val="18"/>
                <w:lang w:val="en-US"/>
              </w:rPr>
            </w:pPr>
            <w:r>
              <w:rPr>
                <w:rFonts w:cs="Arial"/>
                <w:bCs/>
                <w:sz w:val="18"/>
                <w:szCs w:val="18"/>
                <w:lang w:val="en-US"/>
              </w:rPr>
              <w:t>+6.2%</w:t>
            </w:r>
          </w:p>
        </w:tc>
      </w:tr>
      <w:tr w:rsidR="00473DCA" w:rsidRPr="000B4332" w14:paraId="4C383F24" w14:textId="77777777" w:rsidTr="008E46B3">
        <w:trPr>
          <w:jc w:val="center"/>
        </w:trPr>
        <w:tc>
          <w:tcPr>
            <w:tcW w:w="4111" w:type="dxa"/>
            <w:shd w:val="clear" w:color="auto" w:fill="auto"/>
            <w:noWrap/>
            <w:tcMar>
              <w:top w:w="15" w:type="dxa"/>
              <w:left w:w="15" w:type="dxa"/>
              <w:bottom w:w="0" w:type="dxa"/>
              <w:right w:w="15" w:type="dxa"/>
            </w:tcMar>
            <w:vAlign w:val="center"/>
          </w:tcPr>
          <w:p w14:paraId="14E986BD" w14:textId="77777777" w:rsidR="00473DCA" w:rsidRPr="000B4332" w:rsidRDefault="00473DCA" w:rsidP="008E46B3">
            <w:pPr>
              <w:jc w:val="both"/>
              <w:rPr>
                <w:rFonts w:cs="Arial"/>
                <w:sz w:val="18"/>
                <w:szCs w:val="18"/>
                <w:lang w:val="en-US"/>
              </w:rPr>
            </w:pPr>
            <w:r w:rsidRPr="000B4332">
              <w:rPr>
                <w:rFonts w:cs="Arial"/>
                <w:sz w:val="18"/>
                <w:szCs w:val="18"/>
                <w:lang w:val="en-US"/>
              </w:rPr>
              <w:t>Adjusted EBITDA</w:t>
            </w:r>
          </w:p>
        </w:tc>
        <w:tc>
          <w:tcPr>
            <w:tcW w:w="1134" w:type="dxa"/>
            <w:shd w:val="clear" w:color="auto" w:fill="auto"/>
            <w:noWrap/>
            <w:tcMar>
              <w:top w:w="15" w:type="dxa"/>
              <w:left w:w="15" w:type="dxa"/>
              <w:bottom w:w="0" w:type="dxa"/>
              <w:right w:w="15" w:type="dxa"/>
            </w:tcMar>
          </w:tcPr>
          <w:p w14:paraId="5DE2AAD8" w14:textId="77777777" w:rsidR="00473DCA" w:rsidRPr="00630759" w:rsidRDefault="00473DCA" w:rsidP="008E46B3">
            <w:pPr>
              <w:ind w:right="103"/>
              <w:jc w:val="right"/>
              <w:rPr>
                <w:rFonts w:cs="Arial"/>
                <w:bCs/>
                <w:sz w:val="18"/>
                <w:szCs w:val="18"/>
                <w:lang w:val="en-US"/>
              </w:rPr>
            </w:pPr>
            <w:r>
              <w:rPr>
                <w:rFonts w:cs="Arial"/>
                <w:sz w:val="18"/>
                <w:szCs w:val="18"/>
                <w:lang w:val="en-US"/>
              </w:rPr>
              <w:t>92.3</w:t>
            </w:r>
          </w:p>
        </w:tc>
        <w:tc>
          <w:tcPr>
            <w:tcW w:w="1134" w:type="dxa"/>
            <w:shd w:val="clear" w:color="auto" w:fill="auto"/>
          </w:tcPr>
          <w:p w14:paraId="5BC1046C" w14:textId="77777777" w:rsidR="00473DCA" w:rsidRPr="00630759" w:rsidRDefault="00473DCA" w:rsidP="008E46B3">
            <w:pPr>
              <w:ind w:right="103"/>
              <w:jc w:val="right"/>
              <w:rPr>
                <w:rFonts w:cs="Arial"/>
                <w:bCs/>
                <w:sz w:val="18"/>
                <w:szCs w:val="18"/>
                <w:lang w:val="en-US"/>
              </w:rPr>
            </w:pPr>
            <w:r>
              <w:rPr>
                <w:rFonts w:cs="Arial"/>
                <w:bCs/>
                <w:sz w:val="18"/>
                <w:szCs w:val="18"/>
                <w:lang w:val="en-US"/>
              </w:rPr>
              <w:t>85.0</w:t>
            </w:r>
          </w:p>
        </w:tc>
        <w:tc>
          <w:tcPr>
            <w:tcW w:w="1134" w:type="dxa"/>
            <w:shd w:val="clear" w:color="auto" w:fill="auto"/>
          </w:tcPr>
          <w:p w14:paraId="16D388EA" w14:textId="77777777" w:rsidR="00473DCA" w:rsidRPr="00630759" w:rsidRDefault="00473DCA" w:rsidP="008E46B3">
            <w:pPr>
              <w:ind w:right="103"/>
              <w:jc w:val="right"/>
              <w:rPr>
                <w:rFonts w:cs="Arial"/>
                <w:bCs/>
                <w:sz w:val="18"/>
                <w:szCs w:val="18"/>
                <w:lang w:val="en-US"/>
              </w:rPr>
            </w:pPr>
            <w:r>
              <w:rPr>
                <w:rFonts w:cs="Arial"/>
                <w:bCs/>
                <w:sz w:val="18"/>
                <w:szCs w:val="18"/>
                <w:lang w:val="en-US"/>
              </w:rPr>
              <w:t>+8.6%</w:t>
            </w:r>
          </w:p>
        </w:tc>
      </w:tr>
      <w:tr w:rsidR="00473DCA" w:rsidRPr="000B4332" w14:paraId="51C74781" w14:textId="77777777" w:rsidTr="008E46B3">
        <w:trPr>
          <w:trHeight w:val="163"/>
          <w:jc w:val="center"/>
        </w:trPr>
        <w:tc>
          <w:tcPr>
            <w:tcW w:w="4111" w:type="dxa"/>
            <w:shd w:val="clear" w:color="auto" w:fill="auto"/>
            <w:noWrap/>
            <w:tcMar>
              <w:top w:w="15" w:type="dxa"/>
              <w:left w:w="15" w:type="dxa"/>
              <w:bottom w:w="0" w:type="dxa"/>
              <w:right w:w="15" w:type="dxa"/>
            </w:tcMar>
            <w:vAlign w:val="center"/>
          </w:tcPr>
          <w:p w14:paraId="24DB2285" w14:textId="77777777" w:rsidR="00473DCA" w:rsidRPr="000B4332" w:rsidRDefault="00473DCA" w:rsidP="008E46B3">
            <w:pPr>
              <w:jc w:val="both"/>
              <w:rPr>
                <w:rFonts w:cs="Arial"/>
                <w:bCs/>
                <w:sz w:val="18"/>
                <w:szCs w:val="18"/>
                <w:lang w:val="en-US"/>
              </w:rPr>
            </w:pPr>
            <w:r w:rsidRPr="000B4332">
              <w:rPr>
                <w:rFonts w:cs="Arial"/>
                <w:bCs/>
                <w:sz w:val="18"/>
                <w:szCs w:val="18"/>
                <w:lang w:val="en-US"/>
              </w:rPr>
              <w:t>Group Operating Profit</w:t>
            </w:r>
          </w:p>
        </w:tc>
        <w:tc>
          <w:tcPr>
            <w:tcW w:w="1134" w:type="dxa"/>
            <w:shd w:val="clear" w:color="auto" w:fill="auto"/>
            <w:noWrap/>
            <w:tcMar>
              <w:top w:w="15" w:type="dxa"/>
              <w:left w:w="15" w:type="dxa"/>
              <w:bottom w:w="0" w:type="dxa"/>
              <w:right w:w="15" w:type="dxa"/>
            </w:tcMar>
          </w:tcPr>
          <w:p w14:paraId="05C80503" w14:textId="77777777" w:rsidR="00473DCA" w:rsidRPr="00630759" w:rsidRDefault="00473DCA" w:rsidP="008E46B3">
            <w:pPr>
              <w:ind w:right="103"/>
              <w:jc w:val="right"/>
              <w:rPr>
                <w:rFonts w:cs="Arial"/>
                <w:sz w:val="18"/>
                <w:szCs w:val="18"/>
                <w:lang w:val="en-US"/>
              </w:rPr>
            </w:pPr>
            <w:r>
              <w:rPr>
                <w:rFonts w:cs="Arial"/>
                <w:sz w:val="18"/>
                <w:szCs w:val="18"/>
                <w:lang w:val="en-US"/>
              </w:rPr>
              <w:t>42.8</w:t>
            </w:r>
          </w:p>
        </w:tc>
        <w:tc>
          <w:tcPr>
            <w:tcW w:w="1134" w:type="dxa"/>
            <w:shd w:val="clear" w:color="auto" w:fill="auto"/>
            <w:vAlign w:val="center"/>
          </w:tcPr>
          <w:p w14:paraId="6574FC82" w14:textId="77777777" w:rsidR="00473DCA" w:rsidRPr="00630759" w:rsidRDefault="00473DCA" w:rsidP="008E46B3">
            <w:pPr>
              <w:ind w:right="103"/>
              <w:jc w:val="right"/>
              <w:rPr>
                <w:rFonts w:cs="Arial"/>
                <w:sz w:val="18"/>
                <w:szCs w:val="18"/>
                <w:lang w:val="en-US"/>
              </w:rPr>
            </w:pPr>
            <w:r>
              <w:rPr>
                <w:rFonts w:cs="Arial"/>
                <w:sz w:val="18"/>
                <w:szCs w:val="18"/>
                <w:lang w:val="en-US"/>
              </w:rPr>
              <w:t>12.9</w:t>
            </w:r>
          </w:p>
        </w:tc>
        <w:tc>
          <w:tcPr>
            <w:tcW w:w="1134" w:type="dxa"/>
            <w:shd w:val="clear" w:color="auto" w:fill="auto"/>
          </w:tcPr>
          <w:p w14:paraId="5407FED0" w14:textId="77777777" w:rsidR="00473DCA" w:rsidRPr="00630759" w:rsidRDefault="00473DCA" w:rsidP="008E46B3">
            <w:pPr>
              <w:ind w:right="103"/>
              <w:jc w:val="right"/>
              <w:rPr>
                <w:rFonts w:cs="Arial"/>
                <w:sz w:val="18"/>
                <w:szCs w:val="18"/>
                <w:lang w:val="en-US"/>
              </w:rPr>
            </w:pPr>
            <w:r>
              <w:rPr>
                <w:rFonts w:cs="Arial"/>
                <w:bCs/>
                <w:sz w:val="18"/>
                <w:szCs w:val="18"/>
                <w:lang w:val="en-US"/>
              </w:rPr>
              <w:t>+231.8%</w:t>
            </w:r>
          </w:p>
        </w:tc>
      </w:tr>
      <w:tr w:rsidR="00473DCA" w:rsidRPr="000B4332" w14:paraId="2078D04D" w14:textId="77777777" w:rsidTr="008E46B3">
        <w:trPr>
          <w:jc w:val="center"/>
        </w:trPr>
        <w:tc>
          <w:tcPr>
            <w:tcW w:w="4111" w:type="dxa"/>
            <w:shd w:val="clear" w:color="auto" w:fill="auto"/>
            <w:noWrap/>
            <w:tcMar>
              <w:top w:w="15" w:type="dxa"/>
              <w:left w:w="15" w:type="dxa"/>
              <w:bottom w:w="0" w:type="dxa"/>
              <w:right w:w="15" w:type="dxa"/>
            </w:tcMar>
            <w:vAlign w:val="center"/>
            <w:hideMark/>
          </w:tcPr>
          <w:p w14:paraId="650F06D0" w14:textId="77777777" w:rsidR="00473DCA" w:rsidRPr="000B4332" w:rsidRDefault="00473DCA" w:rsidP="008E46B3">
            <w:pPr>
              <w:jc w:val="both"/>
              <w:rPr>
                <w:rFonts w:cs="Arial"/>
                <w:bCs/>
                <w:sz w:val="18"/>
                <w:szCs w:val="18"/>
                <w:lang w:val="en-US"/>
              </w:rPr>
            </w:pPr>
            <w:r w:rsidRPr="000B4332">
              <w:rPr>
                <w:rFonts w:cs="Arial"/>
                <w:bCs/>
                <w:sz w:val="18"/>
                <w:szCs w:val="18"/>
                <w:lang w:val="en-US"/>
              </w:rPr>
              <w:t>Adjusted Operating Profit</w:t>
            </w:r>
          </w:p>
        </w:tc>
        <w:tc>
          <w:tcPr>
            <w:tcW w:w="1134" w:type="dxa"/>
            <w:shd w:val="clear" w:color="auto" w:fill="auto"/>
            <w:noWrap/>
            <w:tcMar>
              <w:top w:w="15" w:type="dxa"/>
              <w:left w:w="15" w:type="dxa"/>
              <w:bottom w:w="0" w:type="dxa"/>
              <w:right w:w="15" w:type="dxa"/>
            </w:tcMar>
          </w:tcPr>
          <w:p w14:paraId="0C85496F" w14:textId="77777777" w:rsidR="00473DCA" w:rsidRPr="00630759" w:rsidRDefault="00473DCA" w:rsidP="008E46B3">
            <w:pPr>
              <w:ind w:right="103"/>
              <w:jc w:val="right"/>
              <w:rPr>
                <w:rFonts w:cs="Arial"/>
                <w:bCs/>
                <w:sz w:val="18"/>
                <w:szCs w:val="18"/>
                <w:lang w:val="en-US"/>
              </w:rPr>
            </w:pPr>
            <w:r>
              <w:rPr>
                <w:rFonts w:cs="Arial"/>
                <w:sz w:val="18"/>
                <w:szCs w:val="18"/>
                <w:lang w:val="en-US"/>
              </w:rPr>
              <w:t>39.0</w:t>
            </w:r>
          </w:p>
        </w:tc>
        <w:tc>
          <w:tcPr>
            <w:tcW w:w="1134" w:type="dxa"/>
            <w:shd w:val="clear" w:color="auto" w:fill="auto"/>
            <w:vAlign w:val="bottom"/>
          </w:tcPr>
          <w:p w14:paraId="705EE211" w14:textId="77777777" w:rsidR="00473DCA" w:rsidRPr="00630759" w:rsidRDefault="00473DCA" w:rsidP="008E46B3">
            <w:pPr>
              <w:ind w:right="103"/>
              <w:jc w:val="right"/>
              <w:rPr>
                <w:rFonts w:cs="Arial"/>
                <w:bCs/>
                <w:sz w:val="18"/>
                <w:szCs w:val="18"/>
                <w:lang w:val="en-US"/>
              </w:rPr>
            </w:pPr>
            <w:r>
              <w:rPr>
                <w:rFonts w:cs="Arial"/>
                <w:bCs/>
                <w:sz w:val="18"/>
                <w:szCs w:val="18"/>
                <w:lang w:val="en-US"/>
              </w:rPr>
              <w:t>32.5</w:t>
            </w:r>
          </w:p>
        </w:tc>
        <w:tc>
          <w:tcPr>
            <w:tcW w:w="1134" w:type="dxa"/>
            <w:shd w:val="clear" w:color="auto" w:fill="auto"/>
          </w:tcPr>
          <w:p w14:paraId="03138F9B" w14:textId="77777777" w:rsidR="00473DCA" w:rsidRPr="00630759" w:rsidRDefault="00473DCA" w:rsidP="008E46B3">
            <w:pPr>
              <w:ind w:right="103"/>
              <w:jc w:val="right"/>
              <w:rPr>
                <w:rFonts w:cs="Arial"/>
                <w:bCs/>
                <w:sz w:val="18"/>
                <w:szCs w:val="18"/>
                <w:lang w:val="en-US"/>
              </w:rPr>
            </w:pPr>
            <w:r>
              <w:rPr>
                <w:rFonts w:cs="Arial"/>
                <w:bCs/>
                <w:sz w:val="18"/>
                <w:szCs w:val="18"/>
                <w:lang w:val="en-US"/>
              </w:rPr>
              <w:t>+20.0%</w:t>
            </w:r>
          </w:p>
        </w:tc>
      </w:tr>
      <w:tr w:rsidR="00473DCA" w:rsidRPr="000B4332" w14:paraId="409B39CA" w14:textId="77777777" w:rsidTr="008E46B3">
        <w:trPr>
          <w:jc w:val="center"/>
        </w:trPr>
        <w:tc>
          <w:tcPr>
            <w:tcW w:w="4111" w:type="dxa"/>
            <w:shd w:val="clear" w:color="auto" w:fill="auto"/>
            <w:noWrap/>
            <w:tcMar>
              <w:top w:w="15" w:type="dxa"/>
              <w:left w:w="15" w:type="dxa"/>
              <w:bottom w:w="0" w:type="dxa"/>
              <w:right w:w="15" w:type="dxa"/>
            </w:tcMar>
            <w:vAlign w:val="center"/>
            <w:hideMark/>
          </w:tcPr>
          <w:p w14:paraId="55DBED25" w14:textId="77777777" w:rsidR="00473DCA" w:rsidRPr="000B4332" w:rsidRDefault="00473DCA" w:rsidP="008E46B3">
            <w:pPr>
              <w:jc w:val="both"/>
              <w:rPr>
                <w:rFonts w:cs="Arial"/>
                <w:bCs/>
                <w:sz w:val="18"/>
                <w:szCs w:val="18"/>
                <w:lang w:val="en-US"/>
              </w:rPr>
            </w:pPr>
            <w:r w:rsidRPr="000B4332">
              <w:rPr>
                <w:rFonts w:cs="Arial"/>
                <w:bCs/>
                <w:sz w:val="18"/>
                <w:szCs w:val="18"/>
                <w:lang w:val="en-US"/>
              </w:rPr>
              <w:t>Adjusted Operating Margin</w:t>
            </w:r>
          </w:p>
        </w:tc>
        <w:tc>
          <w:tcPr>
            <w:tcW w:w="1134" w:type="dxa"/>
            <w:shd w:val="clear" w:color="auto" w:fill="auto"/>
            <w:noWrap/>
            <w:tcMar>
              <w:top w:w="15" w:type="dxa"/>
              <w:left w:w="15" w:type="dxa"/>
              <w:bottom w:w="0" w:type="dxa"/>
              <w:right w:w="15" w:type="dxa"/>
            </w:tcMar>
          </w:tcPr>
          <w:p w14:paraId="712586BF" w14:textId="77777777" w:rsidR="00473DCA" w:rsidRPr="00630759" w:rsidRDefault="00473DCA" w:rsidP="008E46B3">
            <w:pPr>
              <w:ind w:right="103"/>
              <w:jc w:val="right"/>
              <w:rPr>
                <w:rFonts w:cs="Arial"/>
                <w:bCs/>
                <w:sz w:val="18"/>
                <w:szCs w:val="18"/>
                <w:lang w:val="en-US"/>
              </w:rPr>
            </w:pPr>
            <w:r>
              <w:rPr>
                <w:rFonts w:cs="Arial"/>
                <w:sz w:val="18"/>
                <w:szCs w:val="18"/>
                <w:lang w:val="en-US"/>
              </w:rPr>
              <w:t>2.9%</w:t>
            </w:r>
          </w:p>
        </w:tc>
        <w:tc>
          <w:tcPr>
            <w:tcW w:w="1134" w:type="dxa"/>
            <w:shd w:val="clear" w:color="auto" w:fill="auto"/>
            <w:vAlign w:val="bottom"/>
          </w:tcPr>
          <w:p w14:paraId="47AF3337" w14:textId="77777777" w:rsidR="00473DCA" w:rsidRPr="00630759" w:rsidRDefault="00473DCA" w:rsidP="008E46B3">
            <w:pPr>
              <w:ind w:right="103"/>
              <w:jc w:val="right"/>
              <w:rPr>
                <w:rFonts w:cs="Arial"/>
                <w:bCs/>
                <w:sz w:val="18"/>
                <w:szCs w:val="18"/>
                <w:lang w:val="en-US"/>
              </w:rPr>
            </w:pPr>
            <w:r>
              <w:rPr>
                <w:rFonts w:cs="Arial"/>
                <w:bCs/>
                <w:sz w:val="18"/>
                <w:szCs w:val="18"/>
                <w:lang w:val="en-US"/>
              </w:rPr>
              <w:t>2.6%</w:t>
            </w:r>
          </w:p>
        </w:tc>
        <w:tc>
          <w:tcPr>
            <w:tcW w:w="1134" w:type="dxa"/>
            <w:shd w:val="clear" w:color="auto" w:fill="auto"/>
          </w:tcPr>
          <w:p w14:paraId="274C9920" w14:textId="77777777" w:rsidR="00473DCA" w:rsidRPr="00630759" w:rsidRDefault="00473DCA" w:rsidP="008E46B3">
            <w:pPr>
              <w:ind w:right="103"/>
              <w:jc w:val="right"/>
              <w:rPr>
                <w:rFonts w:cs="Arial"/>
                <w:bCs/>
                <w:sz w:val="18"/>
                <w:szCs w:val="18"/>
                <w:lang w:val="en-US"/>
              </w:rPr>
            </w:pPr>
            <w:r>
              <w:rPr>
                <w:rFonts w:cs="Arial"/>
                <w:bCs/>
                <w:sz w:val="18"/>
                <w:szCs w:val="18"/>
                <w:lang w:val="en-US"/>
              </w:rPr>
              <w:t>+30bps</w:t>
            </w:r>
          </w:p>
        </w:tc>
      </w:tr>
      <w:tr w:rsidR="00473DCA" w:rsidRPr="000B4332" w14:paraId="144A1F05" w14:textId="77777777" w:rsidTr="008E46B3">
        <w:trPr>
          <w:trHeight w:val="163"/>
          <w:jc w:val="center"/>
        </w:trPr>
        <w:tc>
          <w:tcPr>
            <w:tcW w:w="4111" w:type="dxa"/>
            <w:shd w:val="clear" w:color="auto" w:fill="auto"/>
            <w:noWrap/>
            <w:tcMar>
              <w:top w:w="15" w:type="dxa"/>
              <w:left w:w="15" w:type="dxa"/>
              <w:bottom w:w="0" w:type="dxa"/>
              <w:right w:w="15" w:type="dxa"/>
            </w:tcMar>
            <w:vAlign w:val="center"/>
          </w:tcPr>
          <w:p w14:paraId="1E04DA12" w14:textId="25D13E96" w:rsidR="00473DCA" w:rsidRPr="000B4332" w:rsidRDefault="00473DCA" w:rsidP="008E46B3">
            <w:pPr>
              <w:jc w:val="both"/>
              <w:rPr>
                <w:rFonts w:cs="Arial"/>
                <w:bCs/>
                <w:sz w:val="18"/>
                <w:szCs w:val="18"/>
                <w:lang w:val="en-US"/>
              </w:rPr>
            </w:pPr>
            <w:r w:rsidRPr="000B4332">
              <w:rPr>
                <w:rFonts w:cs="Arial"/>
                <w:bCs/>
                <w:sz w:val="18"/>
                <w:szCs w:val="18"/>
                <w:lang w:val="en-US"/>
              </w:rPr>
              <w:t xml:space="preserve">Group </w:t>
            </w:r>
            <w:r w:rsidR="009E3491">
              <w:rPr>
                <w:rFonts w:cs="Arial"/>
                <w:bCs/>
                <w:sz w:val="18"/>
                <w:szCs w:val="18"/>
                <w:lang w:val="en-US"/>
              </w:rPr>
              <w:t>Profit/(</w:t>
            </w:r>
            <w:r>
              <w:rPr>
                <w:rFonts w:cs="Arial"/>
                <w:bCs/>
                <w:sz w:val="18"/>
                <w:szCs w:val="18"/>
                <w:lang w:val="en-US"/>
              </w:rPr>
              <w:t>Loss)</w:t>
            </w:r>
            <w:r w:rsidRPr="000B4332">
              <w:rPr>
                <w:rFonts w:cs="Arial"/>
                <w:bCs/>
                <w:sz w:val="18"/>
                <w:szCs w:val="18"/>
                <w:lang w:val="en-US"/>
              </w:rPr>
              <w:t xml:space="preserve"> </w:t>
            </w:r>
            <w:r>
              <w:rPr>
                <w:rFonts w:cs="Arial"/>
                <w:bCs/>
                <w:sz w:val="18"/>
                <w:szCs w:val="18"/>
                <w:lang w:val="en-US"/>
              </w:rPr>
              <w:t>B</w:t>
            </w:r>
            <w:r w:rsidRPr="000B4332">
              <w:rPr>
                <w:rFonts w:cs="Arial"/>
                <w:bCs/>
                <w:sz w:val="18"/>
                <w:szCs w:val="18"/>
                <w:lang w:val="en-US"/>
              </w:rPr>
              <w:t xml:space="preserve">efore </w:t>
            </w:r>
            <w:r>
              <w:rPr>
                <w:rFonts w:cs="Arial"/>
                <w:bCs/>
                <w:sz w:val="18"/>
                <w:szCs w:val="18"/>
                <w:lang w:val="en-US"/>
              </w:rPr>
              <w:t>T</w:t>
            </w:r>
            <w:r w:rsidRPr="000B4332">
              <w:rPr>
                <w:rFonts w:cs="Arial"/>
                <w:bCs/>
                <w:sz w:val="18"/>
                <w:szCs w:val="18"/>
                <w:lang w:val="en-US"/>
              </w:rPr>
              <w:t>ax</w:t>
            </w:r>
          </w:p>
        </w:tc>
        <w:tc>
          <w:tcPr>
            <w:tcW w:w="1134" w:type="dxa"/>
            <w:shd w:val="clear" w:color="auto" w:fill="auto"/>
            <w:noWrap/>
            <w:tcMar>
              <w:top w:w="15" w:type="dxa"/>
              <w:left w:w="15" w:type="dxa"/>
              <w:bottom w:w="0" w:type="dxa"/>
              <w:right w:w="15" w:type="dxa"/>
            </w:tcMar>
          </w:tcPr>
          <w:p w14:paraId="3B2E964B" w14:textId="77777777" w:rsidR="00473DCA" w:rsidRPr="00630759" w:rsidRDefault="00473DCA" w:rsidP="008E46B3">
            <w:pPr>
              <w:ind w:right="103"/>
              <w:jc w:val="right"/>
              <w:rPr>
                <w:rFonts w:cs="Arial"/>
                <w:sz w:val="18"/>
                <w:szCs w:val="18"/>
                <w:lang w:val="en-US"/>
              </w:rPr>
            </w:pPr>
            <w:r>
              <w:rPr>
                <w:rFonts w:cs="Arial"/>
                <w:sz w:val="18"/>
                <w:szCs w:val="18"/>
                <w:lang w:val="en-US"/>
              </w:rPr>
              <w:t>27.8</w:t>
            </w:r>
          </w:p>
        </w:tc>
        <w:tc>
          <w:tcPr>
            <w:tcW w:w="1134" w:type="dxa"/>
            <w:shd w:val="clear" w:color="auto" w:fill="auto"/>
            <w:vAlign w:val="center"/>
          </w:tcPr>
          <w:p w14:paraId="0548861A" w14:textId="77777777" w:rsidR="00473DCA" w:rsidRPr="00630759" w:rsidRDefault="00473DCA" w:rsidP="008E46B3">
            <w:pPr>
              <w:ind w:right="103"/>
              <w:jc w:val="right"/>
              <w:rPr>
                <w:rFonts w:cs="Arial"/>
                <w:sz w:val="18"/>
                <w:szCs w:val="18"/>
                <w:lang w:val="en-US"/>
              </w:rPr>
            </w:pPr>
            <w:r>
              <w:rPr>
                <w:rFonts w:cs="Arial"/>
                <w:sz w:val="18"/>
                <w:szCs w:val="18"/>
                <w:lang w:val="en-US"/>
              </w:rPr>
              <w:t>(10.8)</w:t>
            </w:r>
          </w:p>
        </w:tc>
        <w:tc>
          <w:tcPr>
            <w:tcW w:w="1134" w:type="dxa"/>
            <w:shd w:val="clear" w:color="auto" w:fill="auto"/>
          </w:tcPr>
          <w:p w14:paraId="4A4D5887" w14:textId="77777777" w:rsidR="00473DCA" w:rsidRPr="00630759" w:rsidRDefault="00473DCA" w:rsidP="008E46B3">
            <w:pPr>
              <w:ind w:right="103"/>
              <w:jc w:val="right"/>
              <w:rPr>
                <w:rFonts w:cs="Arial"/>
                <w:sz w:val="18"/>
                <w:szCs w:val="18"/>
                <w:lang w:val="en-US"/>
              </w:rPr>
            </w:pPr>
          </w:p>
        </w:tc>
      </w:tr>
      <w:tr w:rsidR="00473DCA" w:rsidRPr="000B4332" w14:paraId="09ED837C" w14:textId="77777777" w:rsidTr="008E46B3">
        <w:trPr>
          <w:jc w:val="center"/>
        </w:trPr>
        <w:tc>
          <w:tcPr>
            <w:tcW w:w="4111" w:type="dxa"/>
            <w:shd w:val="clear" w:color="auto" w:fill="auto"/>
            <w:noWrap/>
            <w:tcMar>
              <w:top w:w="15" w:type="dxa"/>
              <w:left w:w="15" w:type="dxa"/>
              <w:bottom w:w="0" w:type="dxa"/>
              <w:right w:w="15" w:type="dxa"/>
            </w:tcMar>
            <w:vAlign w:val="center"/>
            <w:hideMark/>
          </w:tcPr>
          <w:p w14:paraId="7A94AC79" w14:textId="77777777" w:rsidR="00473DCA" w:rsidRPr="000B4332" w:rsidRDefault="00473DCA" w:rsidP="008E46B3">
            <w:pPr>
              <w:jc w:val="both"/>
              <w:rPr>
                <w:rFonts w:cs="Arial"/>
                <w:bCs/>
                <w:sz w:val="18"/>
                <w:szCs w:val="18"/>
                <w:lang w:val="en-US"/>
              </w:rPr>
            </w:pPr>
            <w:r w:rsidRPr="000B4332">
              <w:rPr>
                <w:rFonts w:cs="Arial"/>
                <w:bCs/>
                <w:sz w:val="18"/>
                <w:szCs w:val="18"/>
                <w:lang w:val="en-US"/>
              </w:rPr>
              <w:t xml:space="preserve">Adjusted Profit </w:t>
            </w:r>
            <w:r>
              <w:rPr>
                <w:rFonts w:cs="Arial"/>
                <w:bCs/>
                <w:sz w:val="18"/>
                <w:szCs w:val="18"/>
                <w:lang w:val="en-US"/>
              </w:rPr>
              <w:t>B</w:t>
            </w:r>
            <w:r w:rsidRPr="000B4332">
              <w:rPr>
                <w:rFonts w:cs="Arial"/>
                <w:bCs/>
                <w:sz w:val="18"/>
                <w:szCs w:val="18"/>
                <w:lang w:val="en-US"/>
              </w:rPr>
              <w:t xml:space="preserve">efore </w:t>
            </w:r>
            <w:r>
              <w:rPr>
                <w:rFonts w:cs="Arial"/>
                <w:bCs/>
                <w:sz w:val="18"/>
                <w:szCs w:val="18"/>
                <w:lang w:val="en-US"/>
              </w:rPr>
              <w:t>T</w:t>
            </w:r>
            <w:r w:rsidRPr="000B4332">
              <w:rPr>
                <w:rFonts w:cs="Arial"/>
                <w:bCs/>
                <w:sz w:val="18"/>
                <w:szCs w:val="18"/>
                <w:lang w:val="en-US"/>
              </w:rPr>
              <w:t>ax</w:t>
            </w:r>
          </w:p>
        </w:tc>
        <w:tc>
          <w:tcPr>
            <w:tcW w:w="1134" w:type="dxa"/>
            <w:shd w:val="clear" w:color="auto" w:fill="auto"/>
            <w:noWrap/>
            <w:tcMar>
              <w:top w:w="15" w:type="dxa"/>
              <w:left w:w="15" w:type="dxa"/>
              <w:bottom w:w="0" w:type="dxa"/>
              <w:right w:w="15" w:type="dxa"/>
            </w:tcMar>
          </w:tcPr>
          <w:p w14:paraId="34A99DDC" w14:textId="77777777" w:rsidR="00473DCA" w:rsidRPr="00630759" w:rsidRDefault="00473DCA" w:rsidP="008E46B3">
            <w:pPr>
              <w:ind w:right="103"/>
              <w:jc w:val="right"/>
              <w:rPr>
                <w:rFonts w:cs="Arial"/>
                <w:bCs/>
                <w:sz w:val="18"/>
                <w:szCs w:val="18"/>
                <w:lang w:val="en-US"/>
              </w:rPr>
            </w:pPr>
            <w:r>
              <w:rPr>
                <w:rFonts w:cs="Arial"/>
                <w:sz w:val="18"/>
                <w:szCs w:val="18"/>
                <w:lang w:val="en-US"/>
              </w:rPr>
              <w:t>22.6</w:t>
            </w:r>
          </w:p>
        </w:tc>
        <w:tc>
          <w:tcPr>
            <w:tcW w:w="1134" w:type="dxa"/>
            <w:shd w:val="clear" w:color="auto" w:fill="auto"/>
            <w:vAlign w:val="bottom"/>
          </w:tcPr>
          <w:p w14:paraId="6A19DD28" w14:textId="77777777" w:rsidR="00473DCA" w:rsidRPr="00630759" w:rsidRDefault="00473DCA" w:rsidP="008E46B3">
            <w:pPr>
              <w:ind w:right="103"/>
              <w:jc w:val="right"/>
              <w:rPr>
                <w:rFonts w:cs="Arial"/>
                <w:bCs/>
                <w:sz w:val="18"/>
                <w:szCs w:val="18"/>
                <w:lang w:val="en-US"/>
              </w:rPr>
            </w:pPr>
            <w:r>
              <w:rPr>
                <w:rFonts w:cs="Arial"/>
                <w:bCs/>
                <w:sz w:val="18"/>
                <w:szCs w:val="18"/>
                <w:lang w:val="en-US"/>
              </w:rPr>
              <w:t>17.3</w:t>
            </w:r>
          </w:p>
        </w:tc>
        <w:tc>
          <w:tcPr>
            <w:tcW w:w="1134" w:type="dxa"/>
            <w:shd w:val="clear" w:color="auto" w:fill="auto"/>
          </w:tcPr>
          <w:p w14:paraId="7D46385F" w14:textId="77777777" w:rsidR="00473DCA" w:rsidRPr="00630759" w:rsidRDefault="00473DCA" w:rsidP="008E46B3">
            <w:pPr>
              <w:ind w:right="103"/>
              <w:jc w:val="right"/>
              <w:rPr>
                <w:rFonts w:cs="Arial"/>
                <w:bCs/>
                <w:sz w:val="18"/>
                <w:szCs w:val="18"/>
                <w:lang w:val="en-US"/>
              </w:rPr>
            </w:pPr>
            <w:r>
              <w:rPr>
                <w:rFonts w:cs="Arial"/>
                <w:bCs/>
                <w:sz w:val="18"/>
                <w:szCs w:val="18"/>
                <w:lang w:val="en-US"/>
              </w:rPr>
              <w:t>+30.6%</w:t>
            </w:r>
          </w:p>
        </w:tc>
      </w:tr>
      <w:tr w:rsidR="00473DCA" w:rsidRPr="000B4332" w14:paraId="0DAAA12F" w14:textId="77777777" w:rsidTr="008E46B3">
        <w:trPr>
          <w:jc w:val="center"/>
        </w:trPr>
        <w:tc>
          <w:tcPr>
            <w:tcW w:w="4111" w:type="dxa"/>
            <w:shd w:val="clear" w:color="auto" w:fill="auto"/>
            <w:noWrap/>
            <w:tcMar>
              <w:top w:w="15" w:type="dxa"/>
              <w:left w:w="15" w:type="dxa"/>
              <w:bottom w:w="0" w:type="dxa"/>
              <w:right w:w="15" w:type="dxa"/>
            </w:tcMar>
            <w:vAlign w:val="center"/>
          </w:tcPr>
          <w:p w14:paraId="77D9DFF8" w14:textId="77777777" w:rsidR="00473DCA" w:rsidRPr="000B4332" w:rsidRDefault="00473DCA" w:rsidP="008E46B3">
            <w:pPr>
              <w:jc w:val="both"/>
              <w:rPr>
                <w:rFonts w:cs="Arial"/>
                <w:bCs/>
                <w:sz w:val="18"/>
                <w:szCs w:val="18"/>
                <w:lang w:val="en-US"/>
              </w:rPr>
            </w:pPr>
          </w:p>
        </w:tc>
        <w:tc>
          <w:tcPr>
            <w:tcW w:w="1134" w:type="dxa"/>
            <w:shd w:val="clear" w:color="auto" w:fill="auto"/>
            <w:noWrap/>
            <w:tcMar>
              <w:top w:w="15" w:type="dxa"/>
              <w:left w:w="15" w:type="dxa"/>
              <w:bottom w:w="0" w:type="dxa"/>
              <w:right w:w="15" w:type="dxa"/>
            </w:tcMar>
          </w:tcPr>
          <w:p w14:paraId="7C722892" w14:textId="77777777" w:rsidR="00473DCA" w:rsidRPr="00630759" w:rsidRDefault="00473DCA" w:rsidP="008E46B3">
            <w:pPr>
              <w:ind w:right="103"/>
              <w:jc w:val="right"/>
              <w:rPr>
                <w:rFonts w:cs="Arial"/>
                <w:bCs/>
                <w:sz w:val="18"/>
                <w:szCs w:val="18"/>
                <w:lang w:val="en-US"/>
              </w:rPr>
            </w:pPr>
          </w:p>
        </w:tc>
        <w:tc>
          <w:tcPr>
            <w:tcW w:w="1134" w:type="dxa"/>
            <w:shd w:val="clear" w:color="auto" w:fill="auto"/>
            <w:vAlign w:val="bottom"/>
          </w:tcPr>
          <w:p w14:paraId="428B766E" w14:textId="77777777" w:rsidR="00473DCA" w:rsidRPr="00630759" w:rsidRDefault="00473DCA" w:rsidP="008E46B3">
            <w:pPr>
              <w:ind w:right="103"/>
              <w:jc w:val="right"/>
              <w:rPr>
                <w:rFonts w:cs="Arial"/>
                <w:bCs/>
                <w:sz w:val="18"/>
                <w:szCs w:val="18"/>
                <w:lang w:val="en-US"/>
              </w:rPr>
            </w:pPr>
          </w:p>
        </w:tc>
        <w:tc>
          <w:tcPr>
            <w:tcW w:w="1134" w:type="dxa"/>
            <w:shd w:val="clear" w:color="auto" w:fill="auto"/>
          </w:tcPr>
          <w:p w14:paraId="7B4B2A81" w14:textId="77777777" w:rsidR="00473DCA" w:rsidRPr="00630759" w:rsidRDefault="00473DCA" w:rsidP="008E46B3">
            <w:pPr>
              <w:ind w:right="103"/>
              <w:jc w:val="right"/>
              <w:rPr>
                <w:rFonts w:cs="Arial"/>
                <w:bCs/>
                <w:sz w:val="18"/>
                <w:szCs w:val="18"/>
                <w:lang w:val="en-US"/>
              </w:rPr>
            </w:pPr>
          </w:p>
        </w:tc>
      </w:tr>
      <w:tr w:rsidR="00473DCA" w:rsidRPr="000B4332" w14:paraId="04F742DB" w14:textId="77777777" w:rsidTr="008E46B3">
        <w:trPr>
          <w:trHeight w:val="163"/>
          <w:jc w:val="center"/>
        </w:trPr>
        <w:tc>
          <w:tcPr>
            <w:tcW w:w="4111" w:type="dxa"/>
            <w:shd w:val="clear" w:color="auto" w:fill="auto"/>
            <w:noWrap/>
            <w:tcMar>
              <w:top w:w="15" w:type="dxa"/>
              <w:left w:w="15" w:type="dxa"/>
              <w:bottom w:w="0" w:type="dxa"/>
              <w:right w:w="15" w:type="dxa"/>
            </w:tcMar>
            <w:vAlign w:val="center"/>
          </w:tcPr>
          <w:p w14:paraId="65F64789" w14:textId="77777777" w:rsidR="00473DCA" w:rsidRPr="000B4332" w:rsidRDefault="00473DCA" w:rsidP="008E46B3">
            <w:pPr>
              <w:jc w:val="both"/>
              <w:rPr>
                <w:rFonts w:cs="Arial"/>
                <w:bCs/>
                <w:sz w:val="18"/>
                <w:szCs w:val="18"/>
                <w:lang w:val="en-US"/>
              </w:rPr>
            </w:pPr>
            <w:r w:rsidRPr="000B4332">
              <w:rPr>
                <w:rFonts w:cs="Arial"/>
                <w:bCs/>
                <w:sz w:val="18"/>
                <w:szCs w:val="18"/>
                <w:lang w:val="en-US"/>
              </w:rPr>
              <w:lastRenderedPageBreak/>
              <w:t>Basic EPS (pence)</w:t>
            </w:r>
          </w:p>
        </w:tc>
        <w:tc>
          <w:tcPr>
            <w:tcW w:w="1134" w:type="dxa"/>
            <w:shd w:val="clear" w:color="auto" w:fill="auto"/>
            <w:noWrap/>
            <w:tcMar>
              <w:top w:w="15" w:type="dxa"/>
              <w:left w:w="15" w:type="dxa"/>
              <w:bottom w:w="0" w:type="dxa"/>
              <w:right w:w="15" w:type="dxa"/>
            </w:tcMar>
          </w:tcPr>
          <w:p w14:paraId="34234D34" w14:textId="77777777" w:rsidR="00473DCA" w:rsidRPr="00630759" w:rsidRDefault="00473DCA" w:rsidP="008E46B3">
            <w:pPr>
              <w:ind w:right="103"/>
              <w:jc w:val="right"/>
              <w:rPr>
                <w:rFonts w:cs="Arial"/>
                <w:sz w:val="18"/>
                <w:szCs w:val="18"/>
                <w:lang w:val="en-US"/>
              </w:rPr>
            </w:pPr>
            <w:r>
              <w:rPr>
                <w:rFonts w:cs="Arial"/>
                <w:sz w:val="18"/>
                <w:szCs w:val="18"/>
                <w:lang w:val="en-US"/>
              </w:rPr>
              <w:t>5.0</w:t>
            </w:r>
          </w:p>
        </w:tc>
        <w:tc>
          <w:tcPr>
            <w:tcW w:w="1134" w:type="dxa"/>
            <w:shd w:val="clear" w:color="auto" w:fill="auto"/>
            <w:vAlign w:val="center"/>
          </w:tcPr>
          <w:p w14:paraId="49559616" w14:textId="77777777" w:rsidR="00473DCA" w:rsidRPr="00630759" w:rsidRDefault="00473DCA" w:rsidP="008E46B3">
            <w:pPr>
              <w:ind w:right="103"/>
              <w:jc w:val="right"/>
              <w:rPr>
                <w:rFonts w:cs="Arial"/>
                <w:sz w:val="18"/>
                <w:szCs w:val="18"/>
                <w:lang w:val="en-US"/>
              </w:rPr>
            </w:pPr>
            <w:r>
              <w:rPr>
                <w:rFonts w:cs="Arial"/>
                <w:sz w:val="18"/>
                <w:szCs w:val="18"/>
                <w:lang w:val="en-US"/>
              </w:rPr>
              <w:t>(2.6)</w:t>
            </w:r>
          </w:p>
        </w:tc>
        <w:tc>
          <w:tcPr>
            <w:tcW w:w="1134" w:type="dxa"/>
            <w:shd w:val="clear" w:color="auto" w:fill="auto"/>
          </w:tcPr>
          <w:p w14:paraId="736BADCB" w14:textId="77777777" w:rsidR="00473DCA" w:rsidRPr="00630759" w:rsidRDefault="00473DCA" w:rsidP="008E46B3">
            <w:pPr>
              <w:ind w:right="103"/>
              <w:jc w:val="right"/>
              <w:rPr>
                <w:rFonts w:cs="Arial"/>
                <w:sz w:val="18"/>
                <w:szCs w:val="18"/>
                <w:lang w:val="en-US"/>
              </w:rPr>
            </w:pPr>
          </w:p>
        </w:tc>
      </w:tr>
      <w:tr w:rsidR="00473DCA" w:rsidRPr="000B4332" w14:paraId="3884C3F5" w14:textId="77777777" w:rsidTr="008E46B3">
        <w:trPr>
          <w:trHeight w:val="163"/>
          <w:jc w:val="center"/>
        </w:trPr>
        <w:tc>
          <w:tcPr>
            <w:tcW w:w="4111" w:type="dxa"/>
            <w:shd w:val="clear" w:color="auto" w:fill="auto"/>
            <w:noWrap/>
            <w:tcMar>
              <w:top w:w="15" w:type="dxa"/>
              <w:left w:w="15" w:type="dxa"/>
              <w:bottom w:w="0" w:type="dxa"/>
              <w:right w:w="15" w:type="dxa"/>
            </w:tcMar>
            <w:vAlign w:val="center"/>
          </w:tcPr>
          <w:p w14:paraId="1CCC73A6" w14:textId="77777777" w:rsidR="00473DCA" w:rsidRPr="000B4332" w:rsidRDefault="00473DCA" w:rsidP="008E46B3">
            <w:pPr>
              <w:jc w:val="both"/>
              <w:rPr>
                <w:rFonts w:cs="Arial"/>
                <w:bCs/>
                <w:sz w:val="18"/>
                <w:szCs w:val="18"/>
                <w:lang w:val="en-US"/>
              </w:rPr>
            </w:pPr>
            <w:r w:rsidRPr="000B4332">
              <w:rPr>
                <w:rFonts w:cs="Arial"/>
                <w:bCs/>
                <w:sz w:val="18"/>
                <w:szCs w:val="18"/>
                <w:lang w:val="en-US"/>
              </w:rPr>
              <w:t>Group Exceptional Items (</w:t>
            </w:r>
            <w:r w:rsidRPr="005860C4">
              <w:rPr>
                <w:rFonts w:cs="Arial"/>
                <w:bCs/>
                <w:sz w:val="18"/>
                <w:szCs w:val="18"/>
                <w:lang w:val="en-US"/>
              </w:rPr>
              <w:t>after</w:t>
            </w:r>
            <w:r w:rsidRPr="000B4332">
              <w:rPr>
                <w:rFonts w:cs="Arial"/>
                <w:bCs/>
                <w:sz w:val="18"/>
                <w:szCs w:val="18"/>
                <w:lang w:val="en-US"/>
              </w:rPr>
              <w:t xml:space="preserve"> tax)</w:t>
            </w:r>
          </w:p>
        </w:tc>
        <w:tc>
          <w:tcPr>
            <w:tcW w:w="1134" w:type="dxa"/>
            <w:shd w:val="clear" w:color="auto" w:fill="auto"/>
            <w:noWrap/>
            <w:tcMar>
              <w:top w:w="15" w:type="dxa"/>
              <w:left w:w="15" w:type="dxa"/>
              <w:bottom w:w="0" w:type="dxa"/>
              <w:right w:w="15" w:type="dxa"/>
            </w:tcMar>
          </w:tcPr>
          <w:p w14:paraId="6A7D6199" w14:textId="77777777" w:rsidR="00473DCA" w:rsidRPr="00630759" w:rsidRDefault="00473DCA" w:rsidP="008E46B3">
            <w:pPr>
              <w:ind w:right="103"/>
              <w:jc w:val="right"/>
              <w:rPr>
                <w:rFonts w:cs="Arial"/>
                <w:sz w:val="18"/>
                <w:szCs w:val="18"/>
                <w:lang w:val="en-US"/>
              </w:rPr>
            </w:pPr>
            <w:r>
              <w:rPr>
                <w:rFonts w:cs="Arial"/>
                <w:sz w:val="18"/>
                <w:szCs w:val="18"/>
                <w:lang w:val="en-US"/>
              </w:rPr>
              <w:t>12.1</w:t>
            </w:r>
          </w:p>
        </w:tc>
        <w:tc>
          <w:tcPr>
            <w:tcW w:w="1134" w:type="dxa"/>
            <w:shd w:val="clear" w:color="auto" w:fill="auto"/>
            <w:vAlign w:val="center"/>
          </w:tcPr>
          <w:p w14:paraId="6716108F" w14:textId="77777777" w:rsidR="00473DCA" w:rsidRPr="00630759" w:rsidRDefault="00473DCA" w:rsidP="008E46B3">
            <w:pPr>
              <w:ind w:right="103"/>
              <w:jc w:val="right"/>
              <w:rPr>
                <w:rFonts w:cs="Arial"/>
                <w:sz w:val="18"/>
                <w:szCs w:val="18"/>
                <w:lang w:val="en-US"/>
              </w:rPr>
            </w:pPr>
            <w:r>
              <w:rPr>
                <w:rFonts w:cs="Arial"/>
                <w:sz w:val="18"/>
                <w:szCs w:val="18"/>
                <w:lang w:val="en-US"/>
              </w:rPr>
              <w:t>(20.5)</w:t>
            </w:r>
          </w:p>
        </w:tc>
        <w:tc>
          <w:tcPr>
            <w:tcW w:w="1134" w:type="dxa"/>
            <w:shd w:val="clear" w:color="auto" w:fill="auto"/>
          </w:tcPr>
          <w:p w14:paraId="54861FF4" w14:textId="77777777" w:rsidR="00473DCA" w:rsidRPr="00630759" w:rsidRDefault="00473DCA" w:rsidP="008E46B3">
            <w:pPr>
              <w:ind w:right="103"/>
              <w:jc w:val="right"/>
              <w:rPr>
                <w:rFonts w:cs="Arial"/>
                <w:sz w:val="18"/>
                <w:szCs w:val="18"/>
                <w:lang w:val="en-US"/>
              </w:rPr>
            </w:pPr>
          </w:p>
        </w:tc>
      </w:tr>
      <w:tr w:rsidR="00473DCA" w:rsidRPr="000B4332" w14:paraId="1C074BCF" w14:textId="77777777" w:rsidTr="008E46B3">
        <w:trPr>
          <w:jc w:val="center"/>
        </w:trPr>
        <w:tc>
          <w:tcPr>
            <w:tcW w:w="4111" w:type="dxa"/>
            <w:shd w:val="clear" w:color="auto" w:fill="auto"/>
            <w:noWrap/>
            <w:tcMar>
              <w:top w:w="15" w:type="dxa"/>
              <w:left w:w="15" w:type="dxa"/>
              <w:bottom w:w="0" w:type="dxa"/>
              <w:right w:w="15" w:type="dxa"/>
            </w:tcMar>
            <w:vAlign w:val="center"/>
          </w:tcPr>
          <w:p w14:paraId="585E728E" w14:textId="77777777" w:rsidR="00473DCA" w:rsidRPr="000B4332" w:rsidRDefault="00473DCA" w:rsidP="008E46B3">
            <w:pPr>
              <w:jc w:val="both"/>
              <w:rPr>
                <w:rFonts w:cs="Arial"/>
                <w:bCs/>
                <w:sz w:val="18"/>
                <w:szCs w:val="18"/>
                <w:lang w:val="en-US"/>
              </w:rPr>
            </w:pPr>
            <w:r w:rsidRPr="000B4332">
              <w:rPr>
                <w:rFonts w:cs="Arial"/>
                <w:bCs/>
                <w:sz w:val="18"/>
                <w:szCs w:val="18"/>
                <w:lang w:val="en-US"/>
              </w:rPr>
              <w:t>Adjusted EPS (pence)</w:t>
            </w:r>
          </w:p>
        </w:tc>
        <w:tc>
          <w:tcPr>
            <w:tcW w:w="1134" w:type="dxa"/>
            <w:shd w:val="clear" w:color="auto" w:fill="auto"/>
            <w:noWrap/>
            <w:tcMar>
              <w:top w:w="15" w:type="dxa"/>
              <w:left w:w="15" w:type="dxa"/>
              <w:bottom w:w="0" w:type="dxa"/>
              <w:right w:w="15" w:type="dxa"/>
            </w:tcMar>
          </w:tcPr>
          <w:p w14:paraId="3A5DA8A6" w14:textId="77777777" w:rsidR="00473DCA" w:rsidRPr="00630759" w:rsidRDefault="00473DCA" w:rsidP="008E46B3">
            <w:pPr>
              <w:ind w:right="103"/>
              <w:jc w:val="right"/>
              <w:rPr>
                <w:rFonts w:cs="Arial"/>
                <w:sz w:val="18"/>
                <w:szCs w:val="18"/>
                <w:lang w:val="en-US"/>
              </w:rPr>
            </w:pPr>
            <w:r>
              <w:rPr>
                <w:rFonts w:cs="Arial"/>
                <w:sz w:val="18"/>
                <w:szCs w:val="18"/>
                <w:lang w:val="en-US"/>
              </w:rPr>
              <w:t>3.7</w:t>
            </w:r>
          </w:p>
        </w:tc>
        <w:tc>
          <w:tcPr>
            <w:tcW w:w="1134" w:type="dxa"/>
            <w:shd w:val="clear" w:color="auto" w:fill="auto"/>
            <w:vAlign w:val="center"/>
          </w:tcPr>
          <w:p w14:paraId="361BB3D5" w14:textId="77777777" w:rsidR="00473DCA" w:rsidRPr="00630759" w:rsidRDefault="00473DCA" w:rsidP="008E46B3">
            <w:pPr>
              <w:ind w:right="103"/>
              <w:jc w:val="right"/>
              <w:rPr>
                <w:rFonts w:cs="Arial"/>
                <w:sz w:val="18"/>
                <w:szCs w:val="18"/>
                <w:lang w:val="en-US"/>
              </w:rPr>
            </w:pPr>
            <w:r>
              <w:rPr>
                <w:rFonts w:cs="Arial"/>
                <w:sz w:val="18"/>
                <w:szCs w:val="18"/>
                <w:lang w:val="en-US"/>
              </w:rPr>
              <w:t>2.9</w:t>
            </w:r>
          </w:p>
        </w:tc>
        <w:tc>
          <w:tcPr>
            <w:tcW w:w="1134" w:type="dxa"/>
            <w:shd w:val="clear" w:color="auto" w:fill="auto"/>
          </w:tcPr>
          <w:p w14:paraId="5FCECFD0" w14:textId="77777777" w:rsidR="00473DCA" w:rsidRPr="00630759" w:rsidRDefault="00473DCA" w:rsidP="008E46B3">
            <w:pPr>
              <w:ind w:right="103"/>
              <w:jc w:val="right"/>
              <w:rPr>
                <w:rFonts w:cs="Arial"/>
                <w:sz w:val="18"/>
                <w:szCs w:val="18"/>
                <w:lang w:val="en-US"/>
              </w:rPr>
            </w:pPr>
            <w:r>
              <w:rPr>
                <w:rFonts w:cs="Arial"/>
                <w:bCs/>
                <w:sz w:val="18"/>
                <w:szCs w:val="18"/>
                <w:lang w:val="en-US"/>
              </w:rPr>
              <w:t>+27.6%</w:t>
            </w:r>
          </w:p>
        </w:tc>
      </w:tr>
      <w:tr w:rsidR="00473DCA" w:rsidRPr="000B4332" w14:paraId="59EE8121" w14:textId="77777777" w:rsidTr="008E46B3">
        <w:trPr>
          <w:jc w:val="center"/>
        </w:trPr>
        <w:tc>
          <w:tcPr>
            <w:tcW w:w="4111" w:type="dxa"/>
            <w:shd w:val="clear" w:color="auto" w:fill="auto"/>
            <w:noWrap/>
            <w:tcMar>
              <w:top w:w="15" w:type="dxa"/>
              <w:left w:w="15" w:type="dxa"/>
              <w:bottom w:w="0" w:type="dxa"/>
              <w:right w:w="15" w:type="dxa"/>
            </w:tcMar>
            <w:vAlign w:val="center"/>
            <w:hideMark/>
          </w:tcPr>
          <w:p w14:paraId="5EF41798" w14:textId="77777777" w:rsidR="00473DCA" w:rsidRPr="000B4332" w:rsidRDefault="00473DCA" w:rsidP="008E46B3">
            <w:pPr>
              <w:jc w:val="both"/>
              <w:rPr>
                <w:rFonts w:cs="Arial"/>
                <w:bCs/>
                <w:sz w:val="18"/>
                <w:szCs w:val="18"/>
                <w:lang w:val="en-US"/>
              </w:rPr>
            </w:pPr>
            <w:r>
              <w:rPr>
                <w:rFonts w:cs="Arial"/>
                <w:bCs/>
                <w:sz w:val="18"/>
                <w:szCs w:val="18"/>
                <w:lang w:val="en-US"/>
              </w:rPr>
              <w:t>Total proposed</w:t>
            </w:r>
            <w:r w:rsidRPr="000B4332">
              <w:rPr>
                <w:rFonts w:cs="Arial"/>
                <w:bCs/>
                <w:sz w:val="18"/>
                <w:szCs w:val="18"/>
                <w:lang w:val="en-US"/>
              </w:rPr>
              <w:t xml:space="preserve"> dividend per share (pence)</w:t>
            </w:r>
          </w:p>
        </w:tc>
        <w:tc>
          <w:tcPr>
            <w:tcW w:w="1134" w:type="dxa"/>
            <w:shd w:val="clear" w:color="auto" w:fill="auto"/>
            <w:noWrap/>
            <w:tcMar>
              <w:top w:w="15" w:type="dxa"/>
              <w:left w:w="15" w:type="dxa"/>
              <w:bottom w:w="0" w:type="dxa"/>
              <w:right w:w="15" w:type="dxa"/>
            </w:tcMar>
          </w:tcPr>
          <w:p w14:paraId="553A026D" w14:textId="77777777" w:rsidR="00473DCA" w:rsidRPr="00630759" w:rsidRDefault="00473DCA" w:rsidP="008E46B3">
            <w:pPr>
              <w:ind w:right="103"/>
              <w:jc w:val="right"/>
              <w:rPr>
                <w:rFonts w:cs="Arial"/>
                <w:sz w:val="18"/>
                <w:szCs w:val="18"/>
                <w:lang w:val="en-US"/>
              </w:rPr>
            </w:pPr>
            <w:r>
              <w:rPr>
                <w:rFonts w:cs="Arial"/>
                <w:sz w:val="18"/>
                <w:szCs w:val="18"/>
                <w:lang w:val="en-US"/>
              </w:rPr>
              <w:t>-</w:t>
            </w:r>
          </w:p>
        </w:tc>
        <w:tc>
          <w:tcPr>
            <w:tcW w:w="1134" w:type="dxa"/>
            <w:shd w:val="clear" w:color="auto" w:fill="auto"/>
            <w:vAlign w:val="bottom"/>
          </w:tcPr>
          <w:p w14:paraId="2D7BF221" w14:textId="77777777" w:rsidR="00473DCA" w:rsidRPr="00630759" w:rsidRDefault="00473DCA" w:rsidP="008E46B3">
            <w:pPr>
              <w:ind w:right="103"/>
              <w:jc w:val="right"/>
              <w:rPr>
                <w:rFonts w:cs="Arial"/>
                <w:sz w:val="18"/>
                <w:szCs w:val="18"/>
                <w:lang w:val="en-US"/>
              </w:rPr>
            </w:pPr>
            <w:r>
              <w:rPr>
                <w:rFonts w:cs="Arial"/>
                <w:sz w:val="18"/>
                <w:szCs w:val="18"/>
                <w:lang w:val="en-US"/>
              </w:rPr>
              <w:t>-</w:t>
            </w:r>
          </w:p>
        </w:tc>
        <w:tc>
          <w:tcPr>
            <w:tcW w:w="1134" w:type="dxa"/>
            <w:shd w:val="clear" w:color="auto" w:fill="auto"/>
            <w:vAlign w:val="bottom"/>
          </w:tcPr>
          <w:p w14:paraId="0704B05D" w14:textId="77777777" w:rsidR="00473DCA" w:rsidRPr="00630759" w:rsidRDefault="00473DCA" w:rsidP="008E46B3">
            <w:pPr>
              <w:ind w:right="103"/>
              <w:jc w:val="right"/>
              <w:rPr>
                <w:rFonts w:cs="Arial"/>
                <w:sz w:val="18"/>
                <w:szCs w:val="18"/>
                <w:lang w:val="en-US"/>
              </w:rPr>
            </w:pPr>
          </w:p>
        </w:tc>
      </w:tr>
      <w:tr w:rsidR="00473DCA" w:rsidRPr="000B4332" w14:paraId="7D3E3EAB" w14:textId="77777777" w:rsidTr="008E46B3">
        <w:trPr>
          <w:trHeight w:val="163"/>
          <w:jc w:val="center"/>
        </w:trPr>
        <w:tc>
          <w:tcPr>
            <w:tcW w:w="4111" w:type="dxa"/>
            <w:shd w:val="clear" w:color="auto" w:fill="auto"/>
            <w:noWrap/>
            <w:tcMar>
              <w:top w:w="15" w:type="dxa"/>
              <w:left w:w="15" w:type="dxa"/>
              <w:bottom w:w="0" w:type="dxa"/>
              <w:right w:w="15" w:type="dxa"/>
            </w:tcMar>
            <w:vAlign w:val="center"/>
          </w:tcPr>
          <w:p w14:paraId="2DDCA24F" w14:textId="77777777" w:rsidR="00473DCA" w:rsidRPr="000B4332" w:rsidRDefault="00473DCA" w:rsidP="008E46B3">
            <w:pPr>
              <w:jc w:val="both"/>
              <w:rPr>
                <w:rFonts w:cs="Arial"/>
                <w:b/>
                <w:bCs/>
                <w:sz w:val="18"/>
                <w:szCs w:val="18"/>
                <w:u w:val="single"/>
                <w:lang w:val="en-US"/>
              </w:rPr>
            </w:pPr>
          </w:p>
        </w:tc>
        <w:tc>
          <w:tcPr>
            <w:tcW w:w="1134" w:type="dxa"/>
            <w:shd w:val="clear" w:color="auto" w:fill="auto"/>
            <w:noWrap/>
            <w:tcMar>
              <w:top w:w="15" w:type="dxa"/>
              <w:left w:w="15" w:type="dxa"/>
              <w:bottom w:w="0" w:type="dxa"/>
              <w:right w:w="15" w:type="dxa"/>
            </w:tcMar>
          </w:tcPr>
          <w:p w14:paraId="044B89F1" w14:textId="77777777" w:rsidR="00473DCA" w:rsidRPr="00630759" w:rsidRDefault="00473DCA" w:rsidP="008E46B3">
            <w:pPr>
              <w:ind w:right="103"/>
              <w:jc w:val="right"/>
              <w:rPr>
                <w:rFonts w:cs="Arial"/>
                <w:sz w:val="18"/>
                <w:szCs w:val="18"/>
                <w:lang w:val="en-US"/>
              </w:rPr>
            </w:pPr>
          </w:p>
        </w:tc>
        <w:tc>
          <w:tcPr>
            <w:tcW w:w="1134" w:type="dxa"/>
            <w:shd w:val="clear" w:color="auto" w:fill="auto"/>
            <w:vAlign w:val="center"/>
          </w:tcPr>
          <w:p w14:paraId="60F7A2D6" w14:textId="77777777" w:rsidR="00473DCA" w:rsidRPr="00630759" w:rsidRDefault="00473DCA" w:rsidP="008E46B3">
            <w:pPr>
              <w:ind w:right="103"/>
              <w:jc w:val="right"/>
              <w:rPr>
                <w:rFonts w:cs="Arial"/>
                <w:sz w:val="18"/>
                <w:szCs w:val="18"/>
                <w:lang w:val="en-US"/>
              </w:rPr>
            </w:pPr>
          </w:p>
        </w:tc>
        <w:tc>
          <w:tcPr>
            <w:tcW w:w="1134" w:type="dxa"/>
            <w:shd w:val="clear" w:color="auto" w:fill="auto"/>
          </w:tcPr>
          <w:p w14:paraId="172EE61A" w14:textId="77777777" w:rsidR="00473DCA" w:rsidRPr="00630759" w:rsidRDefault="00473DCA" w:rsidP="008E46B3">
            <w:pPr>
              <w:ind w:right="103"/>
              <w:jc w:val="right"/>
              <w:rPr>
                <w:rFonts w:cs="Arial"/>
                <w:sz w:val="18"/>
                <w:szCs w:val="18"/>
                <w:lang w:val="en-US"/>
              </w:rPr>
            </w:pPr>
          </w:p>
        </w:tc>
      </w:tr>
      <w:tr w:rsidR="00473DCA" w:rsidRPr="000B4332" w14:paraId="7ED07708" w14:textId="77777777" w:rsidTr="008E46B3">
        <w:trPr>
          <w:trHeight w:val="163"/>
          <w:jc w:val="center"/>
        </w:trPr>
        <w:tc>
          <w:tcPr>
            <w:tcW w:w="4111" w:type="dxa"/>
            <w:shd w:val="clear" w:color="auto" w:fill="auto"/>
            <w:noWrap/>
            <w:tcMar>
              <w:top w:w="15" w:type="dxa"/>
              <w:left w:w="15" w:type="dxa"/>
              <w:bottom w:w="0" w:type="dxa"/>
              <w:right w:w="15" w:type="dxa"/>
            </w:tcMar>
            <w:vAlign w:val="center"/>
          </w:tcPr>
          <w:p w14:paraId="57F73469" w14:textId="77777777" w:rsidR="00473DCA" w:rsidRPr="000B4332" w:rsidRDefault="00473DCA" w:rsidP="008E46B3">
            <w:pPr>
              <w:jc w:val="both"/>
              <w:rPr>
                <w:rFonts w:cs="Arial"/>
                <w:bCs/>
                <w:sz w:val="18"/>
                <w:szCs w:val="18"/>
                <w:lang w:val="en-US"/>
              </w:rPr>
            </w:pPr>
            <w:r w:rsidRPr="000B4332">
              <w:rPr>
                <w:rFonts w:cs="Arial"/>
                <w:bCs/>
                <w:sz w:val="18"/>
                <w:szCs w:val="18"/>
                <w:lang w:val="en-US"/>
              </w:rPr>
              <w:t>Free Cash Flow</w:t>
            </w:r>
          </w:p>
        </w:tc>
        <w:tc>
          <w:tcPr>
            <w:tcW w:w="1134" w:type="dxa"/>
            <w:shd w:val="clear" w:color="auto" w:fill="auto"/>
            <w:noWrap/>
            <w:tcMar>
              <w:top w:w="15" w:type="dxa"/>
              <w:left w:w="15" w:type="dxa"/>
              <w:bottom w:w="0" w:type="dxa"/>
              <w:right w:w="15" w:type="dxa"/>
            </w:tcMar>
          </w:tcPr>
          <w:p w14:paraId="41A27796" w14:textId="77777777" w:rsidR="00473DCA" w:rsidRPr="00630759" w:rsidRDefault="00473DCA" w:rsidP="008E46B3">
            <w:pPr>
              <w:ind w:right="103"/>
              <w:jc w:val="right"/>
              <w:rPr>
                <w:rFonts w:cs="Arial"/>
                <w:sz w:val="18"/>
                <w:szCs w:val="18"/>
                <w:lang w:val="en-US"/>
              </w:rPr>
            </w:pPr>
            <w:r>
              <w:rPr>
                <w:rFonts w:cs="Arial"/>
                <w:sz w:val="18"/>
                <w:szCs w:val="18"/>
                <w:lang w:val="en-US"/>
              </w:rPr>
              <w:t>72.2</w:t>
            </w:r>
          </w:p>
        </w:tc>
        <w:tc>
          <w:tcPr>
            <w:tcW w:w="1134" w:type="dxa"/>
            <w:shd w:val="clear" w:color="auto" w:fill="auto"/>
            <w:vAlign w:val="center"/>
          </w:tcPr>
          <w:p w14:paraId="10D28E5C" w14:textId="77777777" w:rsidR="00473DCA" w:rsidRPr="00630759" w:rsidRDefault="00473DCA" w:rsidP="008E46B3">
            <w:pPr>
              <w:ind w:right="103"/>
              <w:jc w:val="right"/>
              <w:rPr>
                <w:rFonts w:cs="Arial"/>
                <w:sz w:val="18"/>
                <w:szCs w:val="18"/>
                <w:lang w:val="en-US"/>
              </w:rPr>
            </w:pPr>
            <w:r>
              <w:rPr>
                <w:rFonts w:cs="Arial"/>
                <w:sz w:val="18"/>
                <w:szCs w:val="18"/>
                <w:lang w:val="en-US"/>
              </w:rPr>
              <w:t>(29.7)</w:t>
            </w:r>
          </w:p>
        </w:tc>
        <w:tc>
          <w:tcPr>
            <w:tcW w:w="1134" w:type="dxa"/>
            <w:shd w:val="clear" w:color="auto" w:fill="auto"/>
          </w:tcPr>
          <w:p w14:paraId="78AC233B" w14:textId="77777777" w:rsidR="00473DCA" w:rsidRPr="00630759" w:rsidRDefault="00473DCA" w:rsidP="008E46B3">
            <w:pPr>
              <w:ind w:right="103"/>
              <w:jc w:val="right"/>
              <w:rPr>
                <w:rFonts w:cs="Arial"/>
                <w:sz w:val="18"/>
                <w:szCs w:val="18"/>
                <w:lang w:val="en-US"/>
              </w:rPr>
            </w:pPr>
            <w:r>
              <w:rPr>
                <w:rFonts w:cs="Arial"/>
                <w:sz w:val="18"/>
                <w:szCs w:val="18"/>
                <w:lang w:val="en-US"/>
              </w:rPr>
              <w:t>+£101.9m</w:t>
            </w:r>
          </w:p>
        </w:tc>
      </w:tr>
      <w:tr w:rsidR="00473DCA" w:rsidRPr="000B4332" w14:paraId="3071B295" w14:textId="77777777" w:rsidTr="008E46B3">
        <w:trPr>
          <w:trHeight w:val="163"/>
          <w:jc w:val="center"/>
        </w:trPr>
        <w:tc>
          <w:tcPr>
            <w:tcW w:w="4111" w:type="dxa"/>
            <w:shd w:val="clear" w:color="auto" w:fill="auto"/>
            <w:noWrap/>
            <w:tcMar>
              <w:top w:w="15" w:type="dxa"/>
              <w:left w:w="15" w:type="dxa"/>
              <w:bottom w:w="0" w:type="dxa"/>
              <w:right w:w="15" w:type="dxa"/>
            </w:tcMar>
            <w:vAlign w:val="center"/>
          </w:tcPr>
          <w:p w14:paraId="1E735DA0" w14:textId="77777777" w:rsidR="00473DCA" w:rsidRPr="000B4332" w:rsidRDefault="00473DCA" w:rsidP="008E46B3">
            <w:pPr>
              <w:jc w:val="both"/>
              <w:rPr>
                <w:rFonts w:cs="Arial"/>
                <w:bCs/>
                <w:sz w:val="18"/>
                <w:szCs w:val="18"/>
                <w:lang w:val="en-US"/>
              </w:rPr>
            </w:pPr>
            <w:r>
              <w:rPr>
                <w:rFonts w:cs="Arial"/>
                <w:bCs/>
                <w:sz w:val="18"/>
                <w:szCs w:val="18"/>
                <w:lang w:val="en-US"/>
              </w:rPr>
              <w:t>Net Debt</w:t>
            </w:r>
          </w:p>
        </w:tc>
        <w:tc>
          <w:tcPr>
            <w:tcW w:w="1134" w:type="dxa"/>
            <w:shd w:val="clear" w:color="auto" w:fill="auto"/>
            <w:noWrap/>
            <w:tcMar>
              <w:top w:w="15" w:type="dxa"/>
              <w:left w:w="15" w:type="dxa"/>
              <w:bottom w:w="0" w:type="dxa"/>
              <w:right w:w="15" w:type="dxa"/>
            </w:tcMar>
          </w:tcPr>
          <w:p w14:paraId="4ADB965F" w14:textId="77777777" w:rsidR="00473DCA" w:rsidRDefault="00473DCA" w:rsidP="008E46B3">
            <w:pPr>
              <w:ind w:right="103"/>
              <w:jc w:val="right"/>
              <w:rPr>
                <w:rFonts w:cs="Arial"/>
                <w:sz w:val="18"/>
                <w:szCs w:val="18"/>
                <w:lang w:val="en-US"/>
              </w:rPr>
            </w:pPr>
            <w:r>
              <w:rPr>
                <w:rFonts w:cs="Arial"/>
                <w:sz w:val="18"/>
                <w:szCs w:val="18"/>
                <w:lang w:val="en-US"/>
              </w:rPr>
              <w:t>242.7</w:t>
            </w:r>
          </w:p>
        </w:tc>
        <w:tc>
          <w:tcPr>
            <w:tcW w:w="1134" w:type="dxa"/>
            <w:shd w:val="clear" w:color="auto" w:fill="auto"/>
            <w:vAlign w:val="center"/>
          </w:tcPr>
          <w:p w14:paraId="65248CC8" w14:textId="77777777" w:rsidR="00473DCA" w:rsidRDefault="00473DCA" w:rsidP="008E46B3">
            <w:pPr>
              <w:ind w:right="103"/>
              <w:jc w:val="right"/>
              <w:rPr>
                <w:rFonts w:cs="Arial"/>
                <w:sz w:val="18"/>
                <w:szCs w:val="18"/>
                <w:lang w:val="en-US"/>
              </w:rPr>
            </w:pPr>
            <w:r>
              <w:rPr>
                <w:rFonts w:cs="Arial"/>
                <w:sz w:val="18"/>
                <w:szCs w:val="18"/>
                <w:lang w:val="en-US"/>
              </w:rPr>
              <w:t>411.2</w:t>
            </w:r>
          </w:p>
        </w:tc>
        <w:tc>
          <w:tcPr>
            <w:tcW w:w="1134" w:type="dxa"/>
            <w:shd w:val="clear" w:color="auto" w:fill="auto"/>
          </w:tcPr>
          <w:p w14:paraId="4639BF6E" w14:textId="77777777" w:rsidR="00473DCA" w:rsidRDefault="00473DCA" w:rsidP="008E46B3">
            <w:pPr>
              <w:ind w:right="103"/>
              <w:jc w:val="right"/>
              <w:rPr>
                <w:rFonts w:cs="Arial"/>
                <w:sz w:val="18"/>
                <w:szCs w:val="18"/>
                <w:lang w:val="en-US"/>
              </w:rPr>
            </w:pPr>
          </w:p>
        </w:tc>
      </w:tr>
      <w:tr w:rsidR="00473DCA" w:rsidRPr="000B4332" w14:paraId="698BC580" w14:textId="77777777" w:rsidTr="008E46B3">
        <w:trPr>
          <w:jc w:val="center"/>
        </w:trPr>
        <w:tc>
          <w:tcPr>
            <w:tcW w:w="4111" w:type="dxa"/>
            <w:shd w:val="clear" w:color="auto" w:fill="auto"/>
            <w:noWrap/>
            <w:tcMar>
              <w:top w:w="15" w:type="dxa"/>
              <w:left w:w="15" w:type="dxa"/>
              <w:bottom w:w="0" w:type="dxa"/>
              <w:right w:w="15" w:type="dxa"/>
            </w:tcMar>
            <w:vAlign w:val="center"/>
            <w:hideMark/>
          </w:tcPr>
          <w:p w14:paraId="14DCCCE2" w14:textId="77777777" w:rsidR="00473DCA" w:rsidRPr="000B4332" w:rsidRDefault="00473DCA" w:rsidP="008E46B3">
            <w:pPr>
              <w:jc w:val="both"/>
              <w:rPr>
                <w:rFonts w:cs="Arial"/>
                <w:bCs/>
                <w:sz w:val="18"/>
                <w:szCs w:val="18"/>
                <w:lang w:val="en-US"/>
              </w:rPr>
            </w:pPr>
            <w:r w:rsidRPr="000B4332">
              <w:rPr>
                <w:rFonts w:cs="Arial"/>
                <w:bCs/>
                <w:sz w:val="18"/>
                <w:szCs w:val="18"/>
                <w:lang w:val="en-US"/>
              </w:rPr>
              <w:t xml:space="preserve">Net Debt </w:t>
            </w:r>
            <w:r>
              <w:rPr>
                <w:rFonts w:cs="Arial"/>
                <w:bCs/>
                <w:sz w:val="18"/>
                <w:szCs w:val="18"/>
                <w:lang w:val="en-US"/>
              </w:rPr>
              <w:t>(excluding lease liabilities)</w:t>
            </w:r>
          </w:p>
        </w:tc>
        <w:tc>
          <w:tcPr>
            <w:tcW w:w="1134" w:type="dxa"/>
            <w:shd w:val="clear" w:color="auto" w:fill="auto"/>
            <w:noWrap/>
            <w:tcMar>
              <w:top w:w="15" w:type="dxa"/>
              <w:left w:w="15" w:type="dxa"/>
              <w:bottom w:w="0" w:type="dxa"/>
              <w:right w:w="15" w:type="dxa"/>
            </w:tcMar>
          </w:tcPr>
          <w:p w14:paraId="75ACA9E7" w14:textId="77777777" w:rsidR="00473DCA" w:rsidRPr="00630759" w:rsidRDefault="00473DCA" w:rsidP="008E46B3">
            <w:pPr>
              <w:ind w:right="103"/>
              <w:jc w:val="right"/>
              <w:rPr>
                <w:rFonts w:cs="Arial"/>
                <w:sz w:val="18"/>
                <w:szCs w:val="18"/>
                <w:lang w:val="en-US"/>
              </w:rPr>
            </w:pPr>
            <w:r>
              <w:rPr>
                <w:rFonts w:cs="Arial"/>
                <w:sz w:val="18"/>
                <w:szCs w:val="18"/>
                <w:lang w:val="en-US"/>
              </w:rPr>
              <w:t>183.1</w:t>
            </w:r>
          </w:p>
        </w:tc>
        <w:tc>
          <w:tcPr>
            <w:tcW w:w="1134" w:type="dxa"/>
            <w:shd w:val="clear" w:color="auto" w:fill="auto"/>
            <w:vAlign w:val="center"/>
          </w:tcPr>
          <w:p w14:paraId="7BFEFEC5" w14:textId="77777777" w:rsidR="00473DCA" w:rsidRPr="00630759" w:rsidRDefault="00473DCA" w:rsidP="008E46B3">
            <w:pPr>
              <w:ind w:right="103"/>
              <w:jc w:val="right"/>
              <w:rPr>
                <w:rFonts w:cs="Arial"/>
                <w:sz w:val="18"/>
                <w:szCs w:val="18"/>
                <w:lang w:val="en-US"/>
              </w:rPr>
            </w:pPr>
            <w:r>
              <w:rPr>
                <w:rFonts w:cs="Arial"/>
                <w:sz w:val="18"/>
                <w:szCs w:val="18"/>
                <w:lang w:val="en-US"/>
              </w:rPr>
              <w:t>350.5</w:t>
            </w:r>
          </w:p>
        </w:tc>
        <w:tc>
          <w:tcPr>
            <w:tcW w:w="1134" w:type="dxa"/>
            <w:shd w:val="clear" w:color="auto" w:fill="auto"/>
          </w:tcPr>
          <w:p w14:paraId="0080D583" w14:textId="77777777" w:rsidR="00473DCA" w:rsidRPr="00630759" w:rsidRDefault="00473DCA" w:rsidP="008E46B3">
            <w:pPr>
              <w:ind w:right="103"/>
              <w:jc w:val="right"/>
              <w:rPr>
                <w:rFonts w:cs="Arial"/>
                <w:sz w:val="18"/>
                <w:szCs w:val="18"/>
                <w:lang w:val="en-US"/>
              </w:rPr>
            </w:pPr>
          </w:p>
        </w:tc>
      </w:tr>
      <w:tr w:rsidR="00473DCA" w:rsidRPr="000B4332" w14:paraId="78DBC47D" w14:textId="77777777" w:rsidTr="008E46B3">
        <w:trPr>
          <w:jc w:val="center"/>
        </w:trPr>
        <w:tc>
          <w:tcPr>
            <w:tcW w:w="4111" w:type="dxa"/>
            <w:shd w:val="clear" w:color="auto" w:fill="auto"/>
            <w:noWrap/>
            <w:tcMar>
              <w:top w:w="15" w:type="dxa"/>
              <w:left w:w="15" w:type="dxa"/>
              <w:bottom w:w="0" w:type="dxa"/>
              <w:right w:w="15" w:type="dxa"/>
            </w:tcMar>
            <w:vAlign w:val="center"/>
          </w:tcPr>
          <w:p w14:paraId="3224A135" w14:textId="77777777" w:rsidR="00473DCA" w:rsidRPr="000B4332" w:rsidRDefault="00473DCA" w:rsidP="008E46B3">
            <w:pPr>
              <w:jc w:val="both"/>
              <w:rPr>
                <w:rFonts w:cs="Arial"/>
                <w:bCs/>
                <w:sz w:val="18"/>
                <w:szCs w:val="18"/>
                <w:lang w:val="en-US"/>
              </w:rPr>
            </w:pPr>
            <w:r w:rsidRPr="000B4332">
              <w:rPr>
                <w:rFonts w:cs="Arial"/>
                <w:bCs/>
                <w:sz w:val="18"/>
                <w:szCs w:val="18"/>
                <w:lang w:val="en-US"/>
              </w:rPr>
              <w:t>Net Debt:EBITDA as per financing agreements</w:t>
            </w:r>
          </w:p>
        </w:tc>
        <w:tc>
          <w:tcPr>
            <w:tcW w:w="1134" w:type="dxa"/>
            <w:shd w:val="clear" w:color="auto" w:fill="auto"/>
            <w:noWrap/>
            <w:tcMar>
              <w:top w:w="15" w:type="dxa"/>
              <w:left w:w="15" w:type="dxa"/>
              <w:bottom w:w="0" w:type="dxa"/>
              <w:right w:w="15" w:type="dxa"/>
            </w:tcMar>
          </w:tcPr>
          <w:p w14:paraId="42494E2A" w14:textId="77777777" w:rsidR="00473DCA" w:rsidRPr="00630759" w:rsidRDefault="00473DCA" w:rsidP="008E46B3">
            <w:pPr>
              <w:ind w:right="103"/>
              <w:jc w:val="right"/>
              <w:rPr>
                <w:rFonts w:cs="Arial"/>
                <w:sz w:val="18"/>
                <w:szCs w:val="18"/>
                <w:lang w:val="en-US"/>
              </w:rPr>
            </w:pPr>
            <w:r>
              <w:rPr>
                <w:rFonts w:cs="Arial"/>
                <w:sz w:val="18"/>
                <w:szCs w:val="18"/>
                <w:lang w:val="en-US"/>
              </w:rPr>
              <w:t>2.</w:t>
            </w:r>
            <w:r w:rsidR="00933A1D">
              <w:rPr>
                <w:rFonts w:cs="Arial"/>
                <w:sz w:val="18"/>
                <w:szCs w:val="18"/>
                <w:lang w:val="en-US"/>
              </w:rPr>
              <w:t>0</w:t>
            </w:r>
            <w:r>
              <w:rPr>
                <w:rFonts w:cs="Arial"/>
                <w:sz w:val="18"/>
                <w:szCs w:val="18"/>
                <w:lang w:val="en-US"/>
              </w:rPr>
              <w:t>x</w:t>
            </w:r>
          </w:p>
        </w:tc>
        <w:tc>
          <w:tcPr>
            <w:tcW w:w="1134" w:type="dxa"/>
            <w:shd w:val="clear" w:color="auto" w:fill="auto"/>
            <w:vAlign w:val="center"/>
          </w:tcPr>
          <w:p w14:paraId="114867EB" w14:textId="77777777" w:rsidR="00473DCA" w:rsidRPr="00630759" w:rsidRDefault="00473DCA" w:rsidP="008E46B3">
            <w:pPr>
              <w:ind w:right="103"/>
              <w:jc w:val="right"/>
              <w:rPr>
                <w:rFonts w:cs="Arial"/>
                <w:sz w:val="18"/>
                <w:szCs w:val="18"/>
                <w:lang w:val="en-US"/>
              </w:rPr>
            </w:pPr>
            <w:r>
              <w:rPr>
                <w:rFonts w:cs="Arial"/>
                <w:sz w:val="18"/>
                <w:szCs w:val="18"/>
                <w:lang w:val="en-US"/>
              </w:rPr>
              <w:t>4.4x</w:t>
            </w:r>
          </w:p>
        </w:tc>
        <w:tc>
          <w:tcPr>
            <w:tcW w:w="1134" w:type="dxa"/>
            <w:shd w:val="clear" w:color="auto" w:fill="auto"/>
          </w:tcPr>
          <w:p w14:paraId="21C760DD" w14:textId="77777777" w:rsidR="00473DCA" w:rsidRPr="00630759" w:rsidRDefault="00473DCA" w:rsidP="008E46B3">
            <w:pPr>
              <w:ind w:right="103"/>
              <w:jc w:val="right"/>
              <w:rPr>
                <w:rFonts w:cs="Arial"/>
                <w:sz w:val="18"/>
                <w:szCs w:val="18"/>
                <w:lang w:val="en-US"/>
              </w:rPr>
            </w:pPr>
          </w:p>
        </w:tc>
      </w:tr>
      <w:tr w:rsidR="00473DCA" w:rsidRPr="00962729" w14:paraId="20B21125" w14:textId="77777777" w:rsidTr="008E46B3">
        <w:trPr>
          <w:trHeight w:val="163"/>
          <w:jc w:val="center"/>
        </w:trPr>
        <w:tc>
          <w:tcPr>
            <w:tcW w:w="4111" w:type="dxa"/>
            <w:shd w:val="clear" w:color="auto" w:fill="auto"/>
            <w:noWrap/>
            <w:tcMar>
              <w:top w:w="15" w:type="dxa"/>
              <w:left w:w="15" w:type="dxa"/>
              <w:bottom w:w="0" w:type="dxa"/>
              <w:right w:w="15" w:type="dxa"/>
            </w:tcMar>
            <w:vAlign w:val="center"/>
          </w:tcPr>
          <w:p w14:paraId="220DF72F" w14:textId="77777777" w:rsidR="00473DCA" w:rsidRPr="000B4332" w:rsidRDefault="00473DCA" w:rsidP="008E46B3">
            <w:pPr>
              <w:jc w:val="both"/>
              <w:rPr>
                <w:rFonts w:cs="Arial"/>
                <w:bCs/>
                <w:sz w:val="18"/>
                <w:szCs w:val="18"/>
                <w:lang w:val="en-US"/>
              </w:rPr>
            </w:pPr>
            <w:r w:rsidRPr="000B4332">
              <w:rPr>
                <w:rFonts w:cs="Arial"/>
                <w:bCs/>
                <w:sz w:val="18"/>
                <w:szCs w:val="18"/>
                <w:lang w:val="en-US"/>
              </w:rPr>
              <w:t>Return on Invested Capital (“ROIC”)</w:t>
            </w:r>
          </w:p>
        </w:tc>
        <w:tc>
          <w:tcPr>
            <w:tcW w:w="1134" w:type="dxa"/>
            <w:shd w:val="clear" w:color="auto" w:fill="auto"/>
            <w:noWrap/>
            <w:tcMar>
              <w:top w:w="15" w:type="dxa"/>
              <w:left w:w="15" w:type="dxa"/>
              <w:bottom w:w="0" w:type="dxa"/>
              <w:right w:w="15" w:type="dxa"/>
            </w:tcMar>
          </w:tcPr>
          <w:p w14:paraId="0CD07EA6" w14:textId="77777777" w:rsidR="00473DCA" w:rsidRPr="00630759" w:rsidRDefault="00473DCA" w:rsidP="008E46B3">
            <w:pPr>
              <w:ind w:right="103"/>
              <w:jc w:val="right"/>
              <w:rPr>
                <w:rFonts w:cs="Arial"/>
                <w:sz w:val="18"/>
                <w:szCs w:val="18"/>
                <w:lang w:val="en-US"/>
              </w:rPr>
            </w:pPr>
            <w:r>
              <w:rPr>
                <w:rFonts w:cs="Arial"/>
                <w:sz w:val="18"/>
                <w:szCs w:val="18"/>
                <w:lang w:val="en-US"/>
              </w:rPr>
              <w:t>4.5%</w:t>
            </w:r>
          </w:p>
        </w:tc>
        <w:tc>
          <w:tcPr>
            <w:tcW w:w="1134" w:type="dxa"/>
            <w:shd w:val="clear" w:color="auto" w:fill="auto"/>
            <w:vAlign w:val="center"/>
          </w:tcPr>
          <w:p w14:paraId="35975F1A" w14:textId="77777777" w:rsidR="00473DCA" w:rsidRPr="00630759" w:rsidRDefault="00473DCA" w:rsidP="008E46B3">
            <w:pPr>
              <w:ind w:right="103"/>
              <w:jc w:val="right"/>
              <w:rPr>
                <w:rFonts w:cs="Arial"/>
                <w:sz w:val="18"/>
                <w:szCs w:val="18"/>
                <w:lang w:val="en-US"/>
              </w:rPr>
            </w:pPr>
            <w:r>
              <w:rPr>
                <w:rFonts w:cs="Arial"/>
                <w:sz w:val="18"/>
                <w:szCs w:val="18"/>
                <w:lang w:val="en-US"/>
              </w:rPr>
              <w:t>4.1%</w:t>
            </w:r>
          </w:p>
        </w:tc>
        <w:tc>
          <w:tcPr>
            <w:tcW w:w="1134" w:type="dxa"/>
            <w:shd w:val="clear" w:color="auto" w:fill="auto"/>
          </w:tcPr>
          <w:p w14:paraId="0B283626" w14:textId="77777777" w:rsidR="00473DCA" w:rsidRPr="00630759" w:rsidRDefault="00473DCA" w:rsidP="008E46B3">
            <w:pPr>
              <w:ind w:right="103"/>
              <w:jc w:val="right"/>
              <w:rPr>
                <w:rFonts w:cs="Arial"/>
                <w:sz w:val="18"/>
                <w:szCs w:val="18"/>
                <w:lang w:val="en-US"/>
              </w:rPr>
            </w:pPr>
          </w:p>
        </w:tc>
      </w:tr>
      <w:tr w:rsidR="00473DCA" w:rsidRPr="00962729" w14:paraId="316B183A" w14:textId="77777777" w:rsidTr="008E46B3">
        <w:trPr>
          <w:trHeight w:val="58"/>
          <w:jc w:val="center"/>
        </w:trPr>
        <w:tc>
          <w:tcPr>
            <w:tcW w:w="4111" w:type="dxa"/>
            <w:shd w:val="clear" w:color="auto" w:fill="auto"/>
            <w:noWrap/>
            <w:tcMar>
              <w:top w:w="15" w:type="dxa"/>
              <w:left w:w="15" w:type="dxa"/>
              <w:bottom w:w="0" w:type="dxa"/>
              <w:right w:w="15" w:type="dxa"/>
            </w:tcMar>
            <w:vAlign w:val="center"/>
          </w:tcPr>
          <w:p w14:paraId="6A487AE7" w14:textId="77777777" w:rsidR="00473DCA" w:rsidRPr="00962729" w:rsidRDefault="00473DCA" w:rsidP="008E46B3">
            <w:pPr>
              <w:jc w:val="both"/>
              <w:rPr>
                <w:rFonts w:cs="Arial"/>
                <w:bCs/>
                <w:sz w:val="18"/>
                <w:szCs w:val="18"/>
                <w:lang w:val="en-US"/>
              </w:rPr>
            </w:pPr>
          </w:p>
        </w:tc>
        <w:tc>
          <w:tcPr>
            <w:tcW w:w="1134" w:type="dxa"/>
            <w:shd w:val="clear" w:color="auto" w:fill="auto"/>
            <w:noWrap/>
            <w:tcMar>
              <w:top w:w="15" w:type="dxa"/>
              <w:left w:w="15" w:type="dxa"/>
              <w:bottom w:w="0" w:type="dxa"/>
              <w:right w:w="15" w:type="dxa"/>
            </w:tcMar>
            <w:vAlign w:val="center"/>
          </w:tcPr>
          <w:p w14:paraId="799FCE2D" w14:textId="77777777" w:rsidR="00473DCA" w:rsidRDefault="00473DCA" w:rsidP="008E46B3">
            <w:pPr>
              <w:ind w:right="103"/>
              <w:jc w:val="right"/>
              <w:rPr>
                <w:rFonts w:cs="Arial"/>
                <w:sz w:val="18"/>
                <w:szCs w:val="18"/>
                <w:lang w:val="en-US"/>
              </w:rPr>
            </w:pPr>
          </w:p>
        </w:tc>
        <w:tc>
          <w:tcPr>
            <w:tcW w:w="1134" w:type="dxa"/>
            <w:shd w:val="clear" w:color="auto" w:fill="auto"/>
            <w:vAlign w:val="center"/>
          </w:tcPr>
          <w:p w14:paraId="02B58186" w14:textId="77777777" w:rsidR="00473DCA" w:rsidRDefault="00473DCA" w:rsidP="008E46B3">
            <w:pPr>
              <w:ind w:right="103"/>
              <w:jc w:val="right"/>
              <w:rPr>
                <w:rFonts w:cs="Arial"/>
                <w:sz w:val="18"/>
                <w:szCs w:val="18"/>
                <w:lang w:val="en-US"/>
              </w:rPr>
            </w:pPr>
          </w:p>
        </w:tc>
        <w:tc>
          <w:tcPr>
            <w:tcW w:w="1134" w:type="dxa"/>
            <w:shd w:val="clear" w:color="auto" w:fill="auto"/>
          </w:tcPr>
          <w:p w14:paraId="083697D2" w14:textId="77777777" w:rsidR="00473DCA" w:rsidRPr="00962729" w:rsidRDefault="00473DCA" w:rsidP="008E46B3">
            <w:pPr>
              <w:ind w:right="103"/>
              <w:jc w:val="right"/>
              <w:rPr>
                <w:rFonts w:cs="Arial"/>
                <w:sz w:val="18"/>
                <w:szCs w:val="18"/>
                <w:lang w:val="en-US"/>
              </w:rPr>
            </w:pPr>
          </w:p>
        </w:tc>
      </w:tr>
    </w:tbl>
    <w:p w14:paraId="748D37BC" w14:textId="77777777" w:rsidR="00473DCA" w:rsidRDefault="00473DCA" w:rsidP="00473DCA"/>
    <w:p w14:paraId="5D369715" w14:textId="77777777" w:rsidR="00473DCA" w:rsidRPr="00E512C6" w:rsidRDefault="00473DCA" w:rsidP="00473DCA">
      <w:pPr>
        <w:jc w:val="both"/>
        <w:rPr>
          <w:rFonts w:cs="Arial"/>
          <w:b/>
          <w:sz w:val="20"/>
          <w:szCs w:val="18"/>
        </w:rPr>
      </w:pPr>
      <w:r w:rsidRPr="00E512C6">
        <w:rPr>
          <w:rFonts w:cs="Arial"/>
          <w:b/>
          <w:sz w:val="20"/>
          <w:szCs w:val="18"/>
        </w:rPr>
        <w:t>Commenting on the results, Patrick Coveney, Chief Executive Officer, said:</w:t>
      </w:r>
      <w:r w:rsidRPr="00670490">
        <w:rPr>
          <w:rFonts w:cs="Arial"/>
          <w:noProof/>
          <w:sz w:val="18"/>
          <w:szCs w:val="18"/>
        </w:rPr>
        <w:t xml:space="preserve"> </w:t>
      </w:r>
    </w:p>
    <w:p w14:paraId="124EF7FE" w14:textId="77777777" w:rsidR="00473DCA" w:rsidRDefault="00473DCA" w:rsidP="00473DCA">
      <w:pPr>
        <w:jc w:val="both"/>
        <w:rPr>
          <w:rFonts w:cs="Arial"/>
          <w:sz w:val="18"/>
          <w:szCs w:val="18"/>
        </w:rPr>
      </w:pPr>
    </w:p>
    <w:p w14:paraId="7A8C8C4F" w14:textId="77777777" w:rsidR="00473DCA" w:rsidRPr="0054776E" w:rsidRDefault="00473DCA" w:rsidP="00473DCA">
      <w:pPr>
        <w:jc w:val="both"/>
        <w:rPr>
          <w:rFonts w:cs="Arial"/>
          <w:i/>
          <w:sz w:val="18"/>
          <w:szCs w:val="18"/>
        </w:rPr>
      </w:pPr>
      <w:r w:rsidRPr="00010E54">
        <w:rPr>
          <w:rFonts w:cs="Arial"/>
          <w:i/>
          <w:sz w:val="18"/>
          <w:szCs w:val="18"/>
        </w:rPr>
        <w:t>“</w:t>
      </w:r>
      <w:r w:rsidRPr="0054776E">
        <w:rPr>
          <w:rFonts w:cs="Arial"/>
          <w:i/>
          <w:sz w:val="18"/>
          <w:szCs w:val="18"/>
        </w:rPr>
        <w:t xml:space="preserve">Greencore has weathered the storm and emerged strongly from a difficult period. Following a challenging first half in FY21, we made good progress in rebuilding revenues, cashflows and profitability in H2 and are confident of maintaining this positive trajectory in the year ahead, particularly in the seasonally important second half. </w:t>
      </w:r>
    </w:p>
    <w:p w14:paraId="7CEFA603" w14:textId="77777777" w:rsidR="00473DCA" w:rsidRPr="0054776E" w:rsidRDefault="00473DCA" w:rsidP="00473DCA">
      <w:pPr>
        <w:jc w:val="both"/>
        <w:rPr>
          <w:rFonts w:cs="Arial"/>
          <w:i/>
          <w:sz w:val="18"/>
          <w:szCs w:val="18"/>
        </w:rPr>
      </w:pPr>
    </w:p>
    <w:p w14:paraId="10C0AFE9" w14:textId="77777777" w:rsidR="00473DCA" w:rsidRPr="0054776E" w:rsidRDefault="00473DCA" w:rsidP="00473DCA">
      <w:pPr>
        <w:jc w:val="both"/>
        <w:rPr>
          <w:rFonts w:cs="Arial"/>
          <w:i/>
          <w:sz w:val="18"/>
          <w:szCs w:val="18"/>
        </w:rPr>
      </w:pPr>
      <w:r w:rsidRPr="0054776E">
        <w:rPr>
          <w:rFonts w:cs="Arial"/>
          <w:i/>
          <w:sz w:val="18"/>
          <w:szCs w:val="18"/>
        </w:rPr>
        <w:t xml:space="preserve">The strong recovery of the UK food to go market, as well as solid </w:t>
      </w:r>
      <w:r>
        <w:rPr>
          <w:rFonts w:cs="Arial"/>
          <w:i/>
          <w:sz w:val="18"/>
          <w:szCs w:val="18"/>
        </w:rPr>
        <w:t>performance</w:t>
      </w:r>
      <w:r w:rsidRPr="0054776E">
        <w:rPr>
          <w:rFonts w:cs="Arial"/>
          <w:i/>
          <w:sz w:val="18"/>
          <w:szCs w:val="18"/>
        </w:rPr>
        <w:t xml:space="preserve"> in other convenience food categories, underpins this confidence. New business wins achieved last year are contributing to our momentum, and we anticipate delivery of profits for the year ahead in line with current market expectations.</w:t>
      </w:r>
    </w:p>
    <w:p w14:paraId="4B2949FF" w14:textId="77777777" w:rsidR="00473DCA" w:rsidRPr="0054776E" w:rsidRDefault="00473DCA" w:rsidP="00473DCA">
      <w:pPr>
        <w:jc w:val="both"/>
        <w:rPr>
          <w:rFonts w:cs="Arial"/>
          <w:i/>
          <w:sz w:val="18"/>
          <w:szCs w:val="18"/>
        </w:rPr>
      </w:pPr>
    </w:p>
    <w:p w14:paraId="0A089900" w14:textId="675AD190" w:rsidR="00473DCA" w:rsidRPr="0054776E" w:rsidRDefault="00473DCA" w:rsidP="00473DCA">
      <w:pPr>
        <w:jc w:val="both"/>
        <w:rPr>
          <w:rFonts w:cs="Arial"/>
          <w:i/>
          <w:sz w:val="18"/>
          <w:szCs w:val="18"/>
        </w:rPr>
      </w:pPr>
      <w:r w:rsidRPr="0054776E">
        <w:rPr>
          <w:rFonts w:cs="Arial"/>
          <w:i/>
          <w:sz w:val="18"/>
          <w:szCs w:val="18"/>
        </w:rPr>
        <w:t xml:space="preserve">With strong free cashflow and a significant reduction in leverage achieved in FY21, the Group enters the new financial year on a robust financial footing. Greencore has a strong position in the dynamic UK convenience food market and, with demand remaining strong in the early stages of FY22, </w:t>
      </w:r>
      <w:r w:rsidR="009E3491" w:rsidRPr="008D296E">
        <w:rPr>
          <w:rFonts w:cs="Arial"/>
          <w:i/>
          <w:sz w:val="18"/>
          <w:szCs w:val="18"/>
        </w:rPr>
        <w:t xml:space="preserve">has confidence in its </w:t>
      </w:r>
      <w:r w:rsidRPr="009E3491">
        <w:rPr>
          <w:rFonts w:cs="Arial"/>
          <w:i/>
          <w:sz w:val="18"/>
          <w:szCs w:val="18"/>
        </w:rPr>
        <w:t>medium-term prospects</w:t>
      </w:r>
      <w:r w:rsidRPr="0054776E">
        <w:rPr>
          <w:rFonts w:cs="Arial"/>
          <w:i/>
          <w:sz w:val="18"/>
          <w:szCs w:val="18"/>
        </w:rPr>
        <w:t>.”</w:t>
      </w:r>
    </w:p>
    <w:p w14:paraId="06E254EB" w14:textId="77777777" w:rsidR="00473DCA" w:rsidRDefault="00473DCA" w:rsidP="00473DCA">
      <w:pPr>
        <w:jc w:val="both"/>
        <w:rPr>
          <w:rFonts w:cs="Arial"/>
          <w:sz w:val="18"/>
          <w:szCs w:val="18"/>
        </w:rPr>
      </w:pPr>
    </w:p>
    <w:p w14:paraId="33E06C86" w14:textId="77777777" w:rsidR="00473DCA" w:rsidRPr="0059656F" w:rsidRDefault="00473DCA" w:rsidP="00473DCA">
      <w:pPr>
        <w:rPr>
          <w:rFonts w:cs="Arial"/>
          <w:b/>
          <w:sz w:val="18"/>
          <w:szCs w:val="18"/>
        </w:rPr>
      </w:pPr>
      <w:r w:rsidRPr="001028A0">
        <w:rPr>
          <w:rFonts w:cs="Arial"/>
          <w:b/>
          <w:sz w:val="18"/>
          <w:szCs w:val="18"/>
        </w:rPr>
        <w:t>__________________________________________________________________________________</w:t>
      </w:r>
      <w:r>
        <w:rPr>
          <w:rFonts w:cs="Arial"/>
          <w:b/>
          <w:sz w:val="18"/>
          <w:szCs w:val="18"/>
        </w:rPr>
        <w:t>_________________________________</w:t>
      </w:r>
    </w:p>
    <w:p w14:paraId="43B03083" w14:textId="77777777" w:rsidR="00473DCA" w:rsidRDefault="00473DCA" w:rsidP="00473DCA">
      <w:pPr>
        <w:adjustRightInd w:val="0"/>
        <w:jc w:val="both"/>
        <w:rPr>
          <w:sz w:val="16"/>
          <w:szCs w:val="16"/>
        </w:rPr>
      </w:pPr>
      <w:r w:rsidRPr="006048FA">
        <w:rPr>
          <w:sz w:val="16"/>
          <w:szCs w:val="16"/>
          <w:vertAlign w:val="superscript"/>
        </w:rPr>
        <w:t xml:space="preserve">1 </w:t>
      </w:r>
      <w:r w:rsidRPr="006048FA">
        <w:rPr>
          <w:sz w:val="16"/>
          <w:szCs w:val="16"/>
        </w:rPr>
        <w:t xml:space="preserve">The Group uses Alternative Performance Measures ('APMs') which are non-IFRS measures to monitor the performance of its operations and of the Group as a whole. These APMs along with their definitions are provided </w:t>
      </w:r>
      <w:r>
        <w:rPr>
          <w:sz w:val="16"/>
          <w:szCs w:val="16"/>
        </w:rPr>
        <w:t>in the Appendix to the Full Year Results Statement.</w:t>
      </w:r>
    </w:p>
    <w:p w14:paraId="5941F7A4" w14:textId="77777777" w:rsidR="00473DCA" w:rsidRDefault="00473DCA" w:rsidP="00473DCA">
      <w:pPr>
        <w:adjustRightInd w:val="0"/>
        <w:jc w:val="both"/>
        <w:rPr>
          <w:sz w:val="16"/>
          <w:szCs w:val="16"/>
        </w:rPr>
      </w:pPr>
      <w:r>
        <w:rPr>
          <w:sz w:val="16"/>
          <w:szCs w:val="16"/>
          <w:vertAlign w:val="superscript"/>
        </w:rPr>
        <w:t>2</w:t>
      </w:r>
      <w:r w:rsidRPr="006048FA">
        <w:rPr>
          <w:sz w:val="16"/>
          <w:szCs w:val="16"/>
          <w:vertAlign w:val="superscript"/>
        </w:rPr>
        <w:t xml:space="preserve"> </w:t>
      </w:r>
      <w:r w:rsidR="00CA6373">
        <w:rPr>
          <w:sz w:val="16"/>
          <w:szCs w:val="16"/>
        </w:rPr>
        <w:t xml:space="preserve">Consensus market expectations </w:t>
      </w:r>
      <w:r>
        <w:rPr>
          <w:sz w:val="16"/>
          <w:szCs w:val="16"/>
        </w:rPr>
        <w:t xml:space="preserve">as compiled by Greencore from available analyst estimates on </w:t>
      </w:r>
      <w:r w:rsidR="00D74740">
        <w:rPr>
          <w:sz w:val="16"/>
          <w:szCs w:val="16"/>
        </w:rPr>
        <w:t>19</w:t>
      </w:r>
      <w:r>
        <w:rPr>
          <w:sz w:val="16"/>
          <w:szCs w:val="16"/>
        </w:rPr>
        <w:t xml:space="preserve"> November 2021 and as reported </w:t>
      </w:r>
      <w:r w:rsidR="00A63404">
        <w:rPr>
          <w:sz w:val="16"/>
          <w:szCs w:val="16"/>
        </w:rPr>
        <w:t>i</w:t>
      </w:r>
      <w:r>
        <w:rPr>
          <w:sz w:val="16"/>
          <w:szCs w:val="16"/>
        </w:rPr>
        <w:t xml:space="preserve">n </w:t>
      </w:r>
      <w:r w:rsidR="00A63404">
        <w:rPr>
          <w:sz w:val="16"/>
          <w:szCs w:val="16"/>
        </w:rPr>
        <w:t xml:space="preserve">the Investor Relations section of </w:t>
      </w:r>
      <w:r>
        <w:rPr>
          <w:sz w:val="16"/>
          <w:szCs w:val="16"/>
        </w:rPr>
        <w:t>the Group website</w:t>
      </w:r>
      <w:r w:rsidR="00A63404">
        <w:rPr>
          <w:sz w:val="16"/>
          <w:szCs w:val="16"/>
        </w:rPr>
        <w:t>.</w:t>
      </w:r>
      <w:r>
        <w:rPr>
          <w:sz w:val="16"/>
          <w:szCs w:val="16"/>
        </w:rPr>
        <w:t xml:space="preserve"> </w:t>
      </w:r>
    </w:p>
    <w:p w14:paraId="52C6378D" w14:textId="77777777" w:rsidR="005B36AA" w:rsidRDefault="005B36AA" w:rsidP="00CB7CCC">
      <w:pPr>
        <w:rPr>
          <w:sz w:val="16"/>
          <w:szCs w:val="16"/>
        </w:rPr>
      </w:pPr>
    </w:p>
    <w:p w14:paraId="194E086C" w14:textId="77777777" w:rsidR="00473DCA" w:rsidRDefault="00473DCA" w:rsidP="00CB7CCC">
      <w:pPr>
        <w:rPr>
          <w:sz w:val="16"/>
          <w:szCs w:val="16"/>
        </w:rPr>
      </w:pPr>
    </w:p>
    <w:p w14:paraId="74284B96" w14:textId="77777777" w:rsidR="00473DCA" w:rsidRPr="00E512C6" w:rsidRDefault="00473DCA" w:rsidP="00473DCA">
      <w:pPr>
        <w:spacing w:after="120"/>
        <w:jc w:val="both"/>
        <w:rPr>
          <w:rFonts w:cs="Arial"/>
          <w:sz w:val="20"/>
          <w:szCs w:val="18"/>
          <w:highlight w:val="yellow"/>
        </w:rPr>
      </w:pPr>
      <w:r>
        <w:rPr>
          <w:rFonts w:cs="Arial"/>
          <w:b/>
          <w:bCs/>
          <w:sz w:val="20"/>
          <w:szCs w:val="18"/>
        </w:rPr>
        <w:t xml:space="preserve">Basis of preparation </w:t>
      </w:r>
    </w:p>
    <w:p w14:paraId="48E8BF2A" w14:textId="77777777" w:rsidR="00473DCA" w:rsidRDefault="00473DCA" w:rsidP="00473DCA">
      <w:pPr>
        <w:spacing w:after="120"/>
        <w:jc w:val="both"/>
        <w:rPr>
          <w:rFonts w:cs="Arial"/>
          <w:bCs/>
          <w:sz w:val="18"/>
          <w:szCs w:val="18"/>
        </w:rPr>
      </w:pPr>
      <w:r>
        <w:rPr>
          <w:rFonts w:cs="Arial"/>
          <w:bCs/>
          <w:sz w:val="18"/>
          <w:szCs w:val="18"/>
        </w:rPr>
        <w:t xml:space="preserve">The financial information included within this Results Statement is based on the audited consolidated financial statements of Greencore Group plc. Details of the basis of preparation can be found in Note 1 to the attached financial information. </w:t>
      </w:r>
    </w:p>
    <w:p w14:paraId="23FA89E6" w14:textId="77777777" w:rsidR="002E2086" w:rsidRDefault="002E2086" w:rsidP="00473DCA">
      <w:pPr>
        <w:spacing w:after="120"/>
        <w:jc w:val="both"/>
        <w:rPr>
          <w:rFonts w:cs="Arial"/>
          <w:b/>
          <w:bCs/>
          <w:sz w:val="20"/>
          <w:szCs w:val="18"/>
        </w:rPr>
      </w:pPr>
      <w:bookmarkStart w:id="1" w:name="_Hlk86313629"/>
    </w:p>
    <w:p w14:paraId="5D88F5A6" w14:textId="77777777" w:rsidR="00473DCA" w:rsidRPr="00E512C6" w:rsidRDefault="00473DCA" w:rsidP="00473DCA">
      <w:pPr>
        <w:spacing w:after="120"/>
        <w:jc w:val="both"/>
        <w:rPr>
          <w:rFonts w:cs="Arial"/>
          <w:sz w:val="20"/>
          <w:szCs w:val="18"/>
          <w:highlight w:val="yellow"/>
        </w:rPr>
      </w:pPr>
      <w:r w:rsidRPr="00E512C6">
        <w:rPr>
          <w:rFonts w:cs="Arial"/>
          <w:b/>
          <w:bCs/>
          <w:sz w:val="20"/>
          <w:szCs w:val="18"/>
        </w:rPr>
        <w:t>Forward‐looking statements</w:t>
      </w:r>
    </w:p>
    <w:p w14:paraId="6A44CAE0" w14:textId="77777777" w:rsidR="00473DCA" w:rsidRPr="00015035" w:rsidRDefault="00473DCA" w:rsidP="00473DCA">
      <w:pPr>
        <w:spacing w:after="120"/>
        <w:jc w:val="both"/>
        <w:rPr>
          <w:rFonts w:cs="Arial"/>
          <w:bCs/>
          <w:sz w:val="18"/>
          <w:szCs w:val="18"/>
          <w:lang w:val="en-IE"/>
        </w:rPr>
      </w:pPr>
      <w:r w:rsidRPr="00484EEE">
        <w:rPr>
          <w:rFonts w:cs="Arial"/>
          <w:bCs/>
          <w:sz w:val="18"/>
          <w:szCs w:val="18"/>
        </w:rPr>
        <w:t xml:space="preserve">Certain statements made in this document are forward‐looking.  These represent expectations for the Group’s business, and involve known and unknown risks and uncertainties, many of which are beyond the Group’s control.  The Group has based these forward‐looking statements on current expectations and projections about future events based on information currently available to the Group.  These forward-looking statements include all statements that are not historical facts and may generally, but not always, be identified by the use of words such as ‘will’, ‘aims’, achieves’, ‘anticipates’, ‘continue’, ‘could’, ‘develop’, ‘should’, ‘expects’, ‘is expected to’, ‘may’, maintain’, ‘grow’, ‘estimates’, ‘ensure’, ‘believes’, ‘intends’, ‘projects’, ‘sustain’, ‘targets’, or the negative thereof, or similar future or conditional expressions.  </w:t>
      </w:r>
    </w:p>
    <w:p w14:paraId="6C27F0F4" w14:textId="77777777" w:rsidR="00473DCA" w:rsidRPr="00CB42AB" w:rsidRDefault="00473DCA" w:rsidP="00473DCA">
      <w:pPr>
        <w:spacing w:after="120"/>
        <w:jc w:val="both"/>
        <w:rPr>
          <w:rFonts w:cs="Arial"/>
          <w:bCs/>
          <w:sz w:val="18"/>
          <w:szCs w:val="18"/>
        </w:rPr>
      </w:pPr>
      <w:r w:rsidRPr="00484EEE">
        <w:rPr>
          <w:rFonts w:cs="Arial"/>
          <w:bCs/>
          <w:sz w:val="18"/>
          <w:szCs w:val="18"/>
        </w:rPr>
        <w:t>By their nature, forward-looking statements involve risk and uncertainty because they relate to events and depend on circumstances that may or may not occur in the future and reflect the Group's current expectations and assumptions as to such future events and circumstances that may not prove accurate. A number of material factors could cause actual results and developments to differ materially from those expressed or implied by forward-looking statements. There may be risks and uncertainties that the Group is unable to predict at this time or that the Group currently does not expect to have a material adverse effect on its business. You should not place undue reliance on any forward-looking statements. These forward-looking statements are made as of the date of this announcement. The Group expressly disclaims any obligation to publicly update or review these forward-looking statements other than as required by law.</w:t>
      </w:r>
    </w:p>
    <w:bookmarkEnd w:id="1"/>
    <w:p w14:paraId="5353AAF7" w14:textId="77777777" w:rsidR="00473DCA" w:rsidRDefault="00473DCA" w:rsidP="00473DCA">
      <w:pPr>
        <w:jc w:val="both"/>
        <w:rPr>
          <w:rFonts w:cs="Arial"/>
          <w:b/>
          <w:sz w:val="20"/>
          <w:szCs w:val="18"/>
        </w:rPr>
      </w:pPr>
    </w:p>
    <w:p w14:paraId="4BD295FA" w14:textId="77777777" w:rsidR="00473DCA" w:rsidRPr="00E512C6" w:rsidRDefault="00473DCA" w:rsidP="00473DCA">
      <w:pPr>
        <w:jc w:val="both"/>
        <w:rPr>
          <w:rFonts w:cs="Arial"/>
          <w:b/>
          <w:sz w:val="20"/>
          <w:szCs w:val="18"/>
        </w:rPr>
      </w:pPr>
      <w:r>
        <w:rPr>
          <w:rFonts w:cs="Arial"/>
          <w:b/>
          <w:sz w:val="20"/>
          <w:szCs w:val="18"/>
        </w:rPr>
        <w:t>CONFERENCE CALL</w:t>
      </w:r>
    </w:p>
    <w:p w14:paraId="68D08643" w14:textId="77777777" w:rsidR="00473DCA" w:rsidRDefault="00473DCA" w:rsidP="00473DCA">
      <w:pPr>
        <w:jc w:val="both"/>
        <w:rPr>
          <w:rFonts w:cs="Arial"/>
          <w:sz w:val="18"/>
          <w:szCs w:val="18"/>
        </w:rPr>
      </w:pPr>
    </w:p>
    <w:p w14:paraId="22BBAE81" w14:textId="77777777" w:rsidR="00473DCA" w:rsidRPr="00966594" w:rsidRDefault="00473DCA" w:rsidP="00473DCA">
      <w:pPr>
        <w:jc w:val="both"/>
        <w:rPr>
          <w:rFonts w:cs="Arial"/>
          <w:sz w:val="18"/>
          <w:szCs w:val="18"/>
        </w:rPr>
      </w:pPr>
      <w:r w:rsidRPr="00966594">
        <w:rPr>
          <w:rFonts w:cs="Arial"/>
          <w:sz w:val="18"/>
          <w:szCs w:val="18"/>
        </w:rPr>
        <w:t>A presentation of the results for analysts and institutional investors will take place at 8.30am on 30 November 2021 at etc</w:t>
      </w:r>
      <w:r>
        <w:rPr>
          <w:rFonts w:cs="Arial"/>
          <w:sz w:val="18"/>
          <w:szCs w:val="18"/>
        </w:rPr>
        <w:t xml:space="preserve">. </w:t>
      </w:r>
      <w:r w:rsidRPr="00966594">
        <w:rPr>
          <w:rFonts w:cs="Arial"/>
          <w:sz w:val="18"/>
          <w:szCs w:val="18"/>
        </w:rPr>
        <w:t xml:space="preserve">venues, </w:t>
      </w:r>
      <w:r w:rsidRPr="00C930CD">
        <w:rPr>
          <w:rFonts w:cs="Arial"/>
          <w:sz w:val="18"/>
          <w:szCs w:val="18"/>
        </w:rPr>
        <w:t>8 Fenchurch Place</w:t>
      </w:r>
      <w:r>
        <w:rPr>
          <w:rFonts w:cs="Arial"/>
          <w:sz w:val="18"/>
          <w:szCs w:val="18"/>
        </w:rPr>
        <w:t xml:space="preserve">, </w:t>
      </w:r>
      <w:r w:rsidRPr="00C930CD">
        <w:rPr>
          <w:rFonts w:cs="Arial"/>
          <w:sz w:val="18"/>
          <w:szCs w:val="18"/>
        </w:rPr>
        <w:t>London EC3M 4PB</w:t>
      </w:r>
      <w:r w:rsidRPr="00966594">
        <w:rPr>
          <w:rFonts w:cs="Arial"/>
          <w:sz w:val="18"/>
          <w:szCs w:val="18"/>
        </w:rPr>
        <w:t xml:space="preserve">. </w:t>
      </w:r>
      <w:r>
        <w:rPr>
          <w:rFonts w:cs="Arial"/>
          <w:sz w:val="18"/>
          <w:szCs w:val="18"/>
        </w:rPr>
        <w:t xml:space="preserve">The presentation slides will be available on the Investor Relations section on </w:t>
      </w:r>
      <w:r w:rsidRPr="00D30136">
        <w:rPr>
          <w:rFonts w:cs="Arial"/>
          <w:sz w:val="18"/>
          <w:szCs w:val="18"/>
        </w:rPr>
        <w:t>www.greencore.com</w:t>
      </w:r>
      <w:r>
        <w:rPr>
          <w:rFonts w:cs="Arial"/>
          <w:sz w:val="18"/>
          <w:szCs w:val="18"/>
        </w:rPr>
        <w:t xml:space="preserve"> from 7.00am on 30 November 2021.</w:t>
      </w:r>
    </w:p>
    <w:p w14:paraId="15224F80" w14:textId="77777777" w:rsidR="00473DCA" w:rsidRPr="00966594" w:rsidRDefault="00473DCA" w:rsidP="00473DCA">
      <w:pPr>
        <w:jc w:val="both"/>
        <w:rPr>
          <w:rFonts w:cs="Arial"/>
          <w:sz w:val="18"/>
          <w:szCs w:val="18"/>
        </w:rPr>
      </w:pPr>
    </w:p>
    <w:p w14:paraId="6050A3A9" w14:textId="77777777" w:rsidR="00473DCA" w:rsidRPr="00966594" w:rsidRDefault="00473DCA" w:rsidP="00473DCA">
      <w:pPr>
        <w:jc w:val="both"/>
        <w:rPr>
          <w:rFonts w:cs="Arial"/>
          <w:sz w:val="18"/>
          <w:szCs w:val="18"/>
        </w:rPr>
      </w:pPr>
      <w:r w:rsidRPr="00966594">
        <w:rPr>
          <w:rFonts w:cs="Arial"/>
          <w:sz w:val="18"/>
          <w:szCs w:val="18"/>
        </w:rPr>
        <w:t>This presentation can also be accessed live from the Investor Relations section on www.greencore.com or alternatively via conference call. Registration and dial in details are available at www. greencore.com/investor-relations/</w:t>
      </w:r>
    </w:p>
    <w:p w14:paraId="10A37326" w14:textId="77777777" w:rsidR="00473DCA" w:rsidRDefault="00473DCA" w:rsidP="00473DCA">
      <w:pPr>
        <w:jc w:val="both"/>
        <w:rPr>
          <w:rFonts w:cs="Arial"/>
          <w:sz w:val="18"/>
          <w:szCs w:val="18"/>
        </w:rPr>
      </w:pPr>
    </w:p>
    <w:p w14:paraId="4D73691F" w14:textId="77777777" w:rsidR="00473DCA" w:rsidRDefault="00473DCA" w:rsidP="00473DCA">
      <w:pPr>
        <w:jc w:val="both"/>
        <w:rPr>
          <w:rFonts w:cs="Arial"/>
          <w:b/>
          <w:sz w:val="20"/>
          <w:szCs w:val="18"/>
        </w:rPr>
      </w:pPr>
      <w:r w:rsidRPr="00E512C6">
        <w:rPr>
          <w:rFonts w:cs="Arial"/>
          <w:b/>
          <w:sz w:val="20"/>
          <w:szCs w:val="18"/>
        </w:rPr>
        <w:t>For further information, please contact:</w:t>
      </w:r>
    </w:p>
    <w:p w14:paraId="5F94B21C" w14:textId="77777777" w:rsidR="00473DCA" w:rsidRDefault="00473DCA" w:rsidP="00473DCA">
      <w:pPr>
        <w:jc w:val="both"/>
        <w:rPr>
          <w:rFonts w:cs="Arial"/>
          <w:b/>
          <w:sz w:val="20"/>
          <w:szCs w:val="18"/>
        </w:rPr>
      </w:pPr>
    </w:p>
    <w:tbl>
      <w:tblPr>
        <w:tblW w:w="8820" w:type="dxa"/>
        <w:jc w:val="center"/>
        <w:tblLayout w:type="fixed"/>
        <w:tblCellMar>
          <w:left w:w="0" w:type="dxa"/>
        </w:tblCellMar>
        <w:tblLook w:val="04A0" w:firstRow="1" w:lastRow="0" w:firstColumn="1" w:lastColumn="0" w:noHBand="0" w:noVBand="1"/>
      </w:tblPr>
      <w:tblGrid>
        <w:gridCol w:w="3402"/>
        <w:gridCol w:w="3119"/>
        <w:gridCol w:w="2299"/>
      </w:tblGrid>
      <w:tr w:rsidR="00473DCA" w14:paraId="4E720FED" w14:textId="77777777" w:rsidTr="008E46B3">
        <w:trPr>
          <w:jc w:val="center"/>
        </w:trPr>
        <w:tc>
          <w:tcPr>
            <w:tcW w:w="3402" w:type="dxa"/>
            <w:shd w:val="clear" w:color="auto" w:fill="auto"/>
            <w:hideMark/>
          </w:tcPr>
          <w:p w14:paraId="6681D2EE" w14:textId="77777777" w:rsidR="00473DCA" w:rsidRPr="00E509A4" w:rsidRDefault="00473DCA" w:rsidP="008E46B3">
            <w:pPr>
              <w:jc w:val="both"/>
              <w:rPr>
                <w:rFonts w:cs="Arial"/>
                <w:bCs/>
                <w:sz w:val="18"/>
                <w:szCs w:val="18"/>
                <w:lang w:val="en-US"/>
              </w:rPr>
            </w:pPr>
            <w:r w:rsidRPr="00E509A4">
              <w:rPr>
                <w:rFonts w:cs="Arial"/>
                <w:bCs/>
                <w:sz w:val="18"/>
                <w:szCs w:val="18"/>
                <w:lang w:val="en-US"/>
              </w:rPr>
              <w:t>Patrick Coveney</w:t>
            </w:r>
          </w:p>
        </w:tc>
        <w:tc>
          <w:tcPr>
            <w:tcW w:w="3119" w:type="dxa"/>
            <w:shd w:val="clear" w:color="auto" w:fill="auto"/>
            <w:hideMark/>
          </w:tcPr>
          <w:p w14:paraId="1D85F0D8" w14:textId="77777777" w:rsidR="00473DCA" w:rsidRPr="00E509A4" w:rsidRDefault="00473DCA" w:rsidP="008E46B3">
            <w:pPr>
              <w:jc w:val="both"/>
              <w:rPr>
                <w:rFonts w:cs="Arial"/>
                <w:bCs/>
                <w:sz w:val="18"/>
                <w:szCs w:val="18"/>
                <w:lang w:val="en-US"/>
              </w:rPr>
            </w:pPr>
            <w:r w:rsidRPr="00E509A4">
              <w:rPr>
                <w:rFonts w:cs="Arial"/>
                <w:bCs/>
                <w:sz w:val="18"/>
                <w:szCs w:val="18"/>
                <w:lang w:val="en-US"/>
              </w:rPr>
              <w:t>Chief Executive Officer</w:t>
            </w:r>
          </w:p>
        </w:tc>
        <w:tc>
          <w:tcPr>
            <w:tcW w:w="2299" w:type="dxa"/>
            <w:shd w:val="clear" w:color="auto" w:fill="auto"/>
            <w:hideMark/>
          </w:tcPr>
          <w:p w14:paraId="36755607" w14:textId="77777777" w:rsidR="00473DCA" w:rsidRPr="00E509A4" w:rsidRDefault="00473DCA" w:rsidP="008E46B3">
            <w:pPr>
              <w:jc w:val="both"/>
              <w:rPr>
                <w:rFonts w:cs="Arial"/>
                <w:bCs/>
                <w:sz w:val="18"/>
                <w:szCs w:val="18"/>
                <w:lang w:val="en-US"/>
              </w:rPr>
            </w:pPr>
            <w:r w:rsidRPr="00E509A4">
              <w:rPr>
                <w:rFonts w:cs="Arial"/>
                <w:bCs/>
                <w:sz w:val="18"/>
                <w:szCs w:val="18"/>
                <w:lang w:val="en-US"/>
              </w:rPr>
              <w:t>Tel: +353 (0) 1 486 3313</w:t>
            </w:r>
          </w:p>
        </w:tc>
      </w:tr>
      <w:tr w:rsidR="00473DCA" w14:paraId="73E1C4F8" w14:textId="77777777" w:rsidTr="008E46B3">
        <w:trPr>
          <w:jc w:val="center"/>
        </w:trPr>
        <w:tc>
          <w:tcPr>
            <w:tcW w:w="3402" w:type="dxa"/>
            <w:shd w:val="clear" w:color="auto" w:fill="auto"/>
            <w:hideMark/>
          </w:tcPr>
          <w:p w14:paraId="08D9D895" w14:textId="77777777" w:rsidR="00473DCA" w:rsidRPr="00E509A4" w:rsidRDefault="00473DCA" w:rsidP="008E46B3">
            <w:pPr>
              <w:jc w:val="both"/>
              <w:rPr>
                <w:rFonts w:cs="Arial"/>
                <w:bCs/>
                <w:sz w:val="18"/>
                <w:szCs w:val="18"/>
                <w:lang w:val="en-US"/>
              </w:rPr>
            </w:pPr>
            <w:r w:rsidRPr="00E509A4">
              <w:rPr>
                <w:rFonts w:cs="Arial"/>
                <w:bCs/>
                <w:sz w:val="18"/>
                <w:szCs w:val="18"/>
                <w:lang w:val="en-US"/>
              </w:rPr>
              <w:lastRenderedPageBreak/>
              <w:t>Emma Hynes</w:t>
            </w:r>
          </w:p>
        </w:tc>
        <w:tc>
          <w:tcPr>
            <w:tcW w:w="3119" w:type="dxa"/>
            <w:shd w:val="clear" w:color="auto" w:fill="auto"/>
            <w:hideMark/>
          </w:tcPr>
          <w:p w14:paraId="28568BAB" w14:textId="77777777" w:rsidR="00473DCA" w:rsidRPr="00E509A4" w:rsidRDefault="00473DCA" w:rsidP="008E46B3">
            <w:pPr>
              <w:jc w:val="both"/>
              <w:rPr>
                <w:rFonts w:cs="Arial"/>
                <w:bCs/>
                <w:sz w:val="18"/>
                <w:szCs w:val="18"/>
                <w:lang w:val="en-US"/>
              </w:rPr>
            </w:pPr>
            <w:r w:rsidRPr="00E509A4">
              <w:rPr>
                <w:rFonts w:cs="Arial"/>
                <w:bCs/>
                <w:sz w:val="18"/>
                <w:szCs w:val="18"/>
                <w:lang w:val="en-US"/>
              </w:rPr>
              <w:t>Chief Financial Officer</w:t>
            </w:r>
          </w:p>
        </w:tc>
        <w:tc>
          <w:tcPr>
            <w:tcW w:w="2299" w:type="dxa"/>
            <w:shd w:val="clear" w:color="auto" w:fill="auto"/>
            <w:hideMark/>
          </w:tcPr>
          <w:p w14:paraId="1B38FA29" w14:textId="77777777" w:rsidR="00473DCA" w:rsidRPr="00E509A4" w:rsidRDefault="00473DCA" w:rsidP="008E46B3">
            <w:pPr>
              <w:jc w:val="both"/>
              <w:rPr>
                <w:rFonts w:cs="Arial"/>
                <w:bCs/>
                <w:sz w:val="18"/>
                <w:szCs w:val="18"/>
                <w:lang w:val="en-US"/>
              </w:rPr>
            </w:pPr>
            <w:r w:rsidRPr="00E509A4">
              <w:rPr>
                <w:rFonts w:cs="Arial"/>
                <w:bCs/>
                <w:sz w:val="18"/>
                <w:szCs w:val="18"/>
                <w:lang w:val="en-US"/>
              </w:rPr>
              <w:t>Tel: +353 (0) 1 486 3307</w:t>
            </w:r>
          </w:p>
        </w:tc>
      </w:tr>
      <w:tr w:rsidR="00473DCA" w14:paraId="09CDB125" w14:textId="77777777" w:rsidTr="008E46B3">
        <w:trPr>
          <w:jc w:val="center"/>
        </w:trPr>
        <w:tc>
          <w:tcPr>
            <w:tcW w:w="3402" w:type="dxa"/>
            <w:shd w:val="clear" w:color="auto" w:fill="auto"/>
            <w:hideMark/>
          </w:tcPr>
          <w:p w14:paraId="374E4246" w14:textId="77777777" w:rsidR="00473DCA" w:rsidRPr="00E509A4" w:rsidRDefault="00473DCA" w:rsidP="008E46B3">
            <w:pPr>
              <w:jc w:val="both"/>
              <w:rPr>
                <w:rFonts w:cs="Arial"/>
                <w:bCs/>
                <w:sz w:val="18"/>
                <w:szCs w:val="18"/>
                <w:lang w:val="en-US"/>
              </w:rPr>
            </w:pPr>
            <w:r w:rsidRPr="00E509A4">
              <w:rPr>
                <w:rFonts w:cs="Arial"/>
                <w:bCs/>
                <w:sz w:val="18"/>
                <w:szCs w:val="18"/>
                <w:lang w:val="en-US"/>
              </w:rPr>
              <w:t>Jack Gorman</w:t>
            </w:r>
          </w:p>
        </w:tc>
        <w:tc>
          <w:tcPr>
            <w:tcW w:w="3119" w:type="dxa"/>
            <w:shd w:val="clear" w:color="auto" w:fill="auto"/>
            <w:hideMark/>
          </w:tcPr>
          <w:p w14:paraId="50514BB9" w14:textId="77777777" w:rsidR="00473DCA" w:rsidRPr="00E509A4" w:rsidRDefault="00473DCA" w:rsidP="008E46B3">
            <w:pPr>
              <w:jc w:val="both"/>
              <w:rPr>
                <w:rFonts w:cs="Arial"/>
                <w:bCs/>
                <w:sz w:val="18"/>
                <w:szCs w:val="18"/>
                <w:lang w:val="en-US"/>
              </w:rPr>
            </w:pPr>
            <w:r w:rsidRPr="00E509A4">
              <w:rPr>
                <w:rFonts w:cs="Arial"/>
                <w:bCs/>
                <w:sz w:val="18"/>
                <w:szCs w:val="18"/>
                <w:lang w:val="en-US"/>
              </w:rPr>
              <w:t xml:space="preserve">Head of </w:t>
            </w:r>
            <w:r>
              <w:rPr>
                <w:rFonts w:cs="Arial"/>
                <w:bCs/>
                <w:sz w:val="18"/>
                <w:szCs w:val="18"/>
                <w:lang w:val="en-US"/>
              </w:rPr>
              <w:t>Investor Relations</w:t>
            </w:r>
          </w:p>
        </w:tc>
        <w:tc>
          <w:tcPr>
            <w:tcW w:w="2299" w:type="dxa"/>
            <w:shd w:val="clear" w:color="auto" w:fill="auto"/>
            <w:hideMark/>
          </w:tcPr>
          <w:p w14:paraId="59D2DF4F" w14:textId="77777777" w:rsidR="00473DCA" w:rsidRPr="00E509A4" w:rsidRDefault="00473DCA" w:rsidP="008E46B3">
            <w:pPr>
              <w:jc w:val="both"/>
              <w:rPr>
                <w:rFonts w:cs="Arial"/>
                <w:bCs/>
                <w:sz w:val="18"/>
                <w:szCs w:val="18"/>
                <w:lang w:val="en-US"/>
              </w:rPr>
            </w:pPr>
            <w:r w:rsidRPr="00E509A4">
              <w:rPr>
                <w:rFonts w:cs="Arial"/>
                <w:bCs/>
                <w:sz w:val="18"/>
                <w:szCs w:val="18"/>
                <w:lang w:val="en-US"/>
              </w:rPr>
              <w:t>Tel: +353 (0) 1 486 3308</w:t>
            </w:r>
          </w:p>
        </w:tc>
      </w:tr>
      <w:tr w:rsidR="00473DCA" w14:paraId="36A57C8E" w14:textId="77777777" w:rsidTr="008E46B3">
        <w:trPr>
          <w:jc w:val="center"/>
        </w:trPr>
        <w:tc>
          <w:tcPr>
            <w:tcW w:w="3402" w:type="dxa"/>
            <w:shd w:val="clear" w:color="auto" w:fill="auto"/>
          </w:tcPr>
          <w:p w14:paraId="33118AF2" w14:textId="77777777" w:rsidR="00473DCA" w:rsidRPr="00E509A4" w:rsidRDefault="00473DCA" w:rsidP="008E46B3">
            <w:pPr>
              <w:jc w:val="both"/>
              <w:rPr>
                <w:rFonts w:cs="Arial"/>
                <w:bCs/>
                <w:sz w:val="18"/>
                <w:szCs w:val="18"/>
                <w:lang w:val="en-US"/>
              </w:rPr>
            </w:pPr>
          </w:p>
        </w:tc>
        <w:tc>
          <w:tcPr>
            <w:tcW w:w="3119" w:type="dxa"/>
            <w:shd w:val="clear" w:color="auto" w:fill="auto"/>
          </w:tcPr>
          <w:p w14:paraId="430C29B9" w14:textId="77777777" w:rsidR="00473DCA" w:rsidRPr="00E509A4" w:rsidRDefault="00473DCA" w:rsidP="008E46B3">
            <w:pPr>
              <w:jc w:val="both"/>
              <w:rPr>
                <w:rFonts w:cs="Arial"/>
                <w:bCs/>
                <w:sz w:val="18"/>
                <w:szCs w:val="18"/>
                <w:lang w:val="en-US"/>
              </w:rPr>
            </w:pPr>
          </w:p>
        </w:tc>
        <w:tc>
          <w:tcPr>
            <w:tcW w:w="2299" w:type="dxa"/>
            <w:shd w:val="clear" w:color="auto" w:fill="auto"/>
          </w:tcPr>
          <w:p w14:paraId="44A986CF" w14:textId="77777777" w:rsidR="00473DCA" w:rsidRPr="00E509A4" w:rsidRDefault="00473DCA" w:rsidP="008E46B3">
            <w:pPr>
              <w:jc w:val="both"/>
              <w:rPr>
                <w:rFonts w:cs="Arial"/>
                <w:bCs/>
                <w:sz w:val="18"/>
                <w:szCs w:val="18"/>
                <w:lang w:val="en-US"/>
              </w:rPr>
            </w:pPr>
          </w:p>
        </w:tc>
      </w:tr>
      <w:tr w:rsidR="00473DCA" w14:paraId="3D4264AF" w14:textId="77777777" w:rsidTr="008E46B3">
        <w:trPr>
          <w:jc w:val="center"/>
        </w:trPr>
        <w:tc>
          <w:tcPr>
            <w:tcW w:w="3402" w:type="dxa"/>
            <w:shd w:val="clear" w:color="auto" w:fill="auto"/>
            <w:hideMark/>
          </w:tcPr>
          <w:p w14:paraId="05A826C3" w14:textId="77777777" w:rsidR="00473DCA" w:rsidRPr="00E509A4" w:rsidRDefault="00473DCA" w:rsidP="008E46B3">
            <w:pPr>
              <w:jc w:val="both"/>
              <w:rPr>
                <w:rFonts w:cs="Arial"/>
                <w:bCs/>
                <w:sz w:val="18"/>
                <w:szCs w:val="18"/>
                <w:lang w:val="en-US"/>
              </w:rPr>
            </w:pPr>
          </w:p>
        </w:tc>
        <w:tc>
          <w:tcPr>
            <w:tcW w:w="3119" w:type="dxa"/>
            <w:shd w:val="clear" w:color="auto" w:fill="auto"/>
            <w:hideMark/>
          </w:tcPr>
          <w:p w14:paraId="1EE3ABC8" w14:textId="77777777" w:rsidR="00473DCA" w:rsidRPr="00E509A4" w:rsidRDefault="00473DCA" w:rsidP="008E46B3">
            <w:pPr>
              <w:jc w:val="both"/>
              <w:rPr>
                <w:rFonts w:cs="Arial"/>
                <w:bCs/>
                <w:sz w:val="18"/>
                <w:szCs w:val="18"/>
                <w:lang w:val="en-US"/>
              </w:rPr>
            </w:pPr>
          </w:p>
        </w:tc>
        <w:tc>
          <w:tcPr>
            <w:tcW w:w="2299" w:type="dxa"/>
            <w:shd w:val="clear" w:color="auto" w:fill="auto"/>
            <w:hideMark/>
          </w:tcPr>
          <w:p w14:paraId="1F41E030" w14:textId="77777777" w:rsidR="00473DCA" w:rsidRPr="00E509A4" w:rsidRDefault="00473DCA" w:rsidP="008E46B3">
            <w:pPr>
              <w:jc w:val="both"/>
              <w:rPr>
                <w:rFonts w:cs="Arial"/>
                <w:bCs/>
                <w:sz w:val="18"/>
                <w:szCs w:val="18"/>
                <w:lang w:val="en-US"/>
              </w:rPr>
            </w:pPr>
          </w:p>
        </w:tc>
      </w:tr>
      <w:tr w:rsidR="00473DCA" w14:paraId="49CD6C31" w14:textId="77777777" w:rsidTr="008E46B3">
        <w:trPr>
          <w:jc w:val="center"/>
        </w:trPr>
        <w:tc>
          <w:tcPr>
            <w:tcW w:w="3402" w:type="dxa"/>
            <w:shd w:val="clear" w:color="auto" w:fill="auto"/>
            <w:hideMark/>
          </w:tcPr>
          <w:p w14:paraId="371D5FD9" w14:textId="77777777" w:rsidR="00473DCA" w:rsidRPr="00E509A4" w:rsidRDefault="00473DCA" w:rsidP="008E46B3">
            <w:pPr>
              <w:jc w:val="both"/>
              <w:rPr>
                <w:rFonts w:cs="Arial"/>
                <w:bCs/>
                <w:sz w:val="18"/>
                <w:szCs w:val="18"/>
                <w:lang w:val="en-US"/>
              </w:rPr>
            </w:pPr>
            <w:r w:rsidRPr="00E509A4">
              <w:rPr>
                <w:rFonts w:cs="Arial"/>
                <w:bCs/>
                <w:sz w:val="18"/>
                <w:szCs w:val="18"/>
                <w:lang w:val="en-US"/>
              </w:rPr>
              <w:t>Rob Greening</w:t>
            </w:r>
            <w:r>
              <w:rPr>
                <w:rFonts w:cs="Arial"/>
                <w:bCs/>
                <w:sz w:val="18"/>
                <w:szCs w:val="18"/>
                <w:lang w:val="en-US"/>
              </w:rPr>
              <w:t>/ Nick Hayns/</w:t>
            </w:r>
            <w:r w:rsidRPr="00E509A4">
              <w:rPr>
                <w:rFonts w:cs="Arial"/>
                <w:bCs/>
                <w:sz w:val="18"/>
                <w:szCs w:val="18"/>
                <w:lang w:val="en-US"/>
              </w:rPr>
              <w:t xml:space="preserve"> Sam Austrums</w:t>
            </w:r>
          </w:p>
        </w:tc>
        <w:tc>
          <w:tcPr>
            <w:tcW w:w="3119" w:type="dxa"/>
            <w:shd w:val="clear" w:color="auto" w:fill="auto"/>
            <w:hideMark/>
          </w:tcPr>
          <w:p w14:paraId="7CF2CC3D" w14:textId="77777777" w:rsidR="00473DCA" w:rsidRPr="00E509A4" w:rsidRDefault="00473DCA" w:rsidP="008E46B3">
            <w:pPr>
              <w:jc w:val="both"/>
              <w:rPr>
                <w:rFonts w:cs="Arial"/>
                <w:bCs/>
                <w:sz w:val="18"/>
                <w:szCs w:val="18"/>
                <w:lang w:val="en-US"/>
              </w:rPr>
            </w:pPr>
            <w:r w:rsidRPr="00E509A4">
              <w:rPr>
                <w:rFonts w:cs="Arial"/>
                <w:bCs/>
                <w:sz w:val="18"/>
                <w:szCs w:val="18"/>
                <w:lang w:val="en-US"/>
              </w:rPr>
              <w:t>Powerscourt</w:t>
            </w:r>
          </w:p>
        </w:tc>
        <w:tc>
          <w:tcPr>
            <w:tcW w:w="2299" w:type="dxa"/>
            <w:shd w:val="clear" w:color="auto" w:fill="auto"/>
            <w:hideMark/>
          </w:tcPr>
          <w:p w14:paraId="09923A26" w14:textId="77777777" w:rsidR="00473DCA" w:rsidRPr="00E509A4" w:rsidRDefault="00473DCA" w:rsidP="008E46B3">
            <w:pPr>
              <w:jc w:val="both"/>
              <w:rPr>
                <w:rFonts w:cs="Arial"/>
                <w:bCs/>
                <w:sz w:val="18"/>
                <w:szCs w:val="18"/>
                <w:lang w:val="en-US"/>
              </w:rPr>
            </w:pPr>
            <w:r w:rsidRPr="00E509A4">
              <w:rPr>
                <w:rFonts w:cs="Arial"/>
                <w:bCs/>
                <w:sz w:val="18"/>
                <w:szCs w:val="18"/>
                <w:lang w:val="en-US"/>
              </w:rPr>
              <w:t>Tel: +44 (0) 20 7250 1446</w:t>
            </w:r>
          </w:p>
        </w:tc>
      </w:tr>
      <w:tr w:rsidR="00473DCA" w14:paraId="041425DF" w14:textId="77777777" w:rsidTr="008E46B3">
        <w:trPr>
          <w:jc w:val="center"/>
        </w:trPr>
        <w:tc>
          <w:tcPr>
            <w:tcW w:w="3402" w:type="dxa"/>
            <w:shd w:val="clear" w:color="auto" w:fill="auto"/>
            <w:hideMark/>
          </w:tcPr>
          <w:p w14:paraId="68BC69F7" w14:textId="77777777" w:rsidR="00473DCA" w:rsidRPr="00E509A4" w:rsidRDefault="00473DCA" w:rsidP="008E46B3">
            <w:pPr>
              <w:jc w:val="both"/>
              <w:rPr>
                <w:rFonts w:cs="Arial"/>
                <w:bCs/>
                <w:sz w:val="18"/>
                <w:szCs w:val="18"/>
                <w:lang w:val="en-US"/>
              </w:rPr>
            </w:pPr>
            <w:r w:rsidRPr="00E509A4">
              <w:rPr>
                <w:rFonts w:cs="Arial"/>
                <w:bCs/>
                <w:sz w:val="18"/>
                <w:szCs w:val="18"/>
                <w:lang w:val="en-US"/>
              </w:rPr>
              <w:t>Billy Murphy</w:t>
            </w:r>
            <w:r>
              <w:rPr>
                <w:rFonts w:cs="Arial"/>
                <w:bCs/>
                <w:sz w:val="18"/>
                <w:szCs w:val="18"/>
                <w:lang w:val="en-US"/>
              </w:rPr>
              <w:t xml:space="preserve">/ </w:t>
            </w:r>
            <w:r w:rsidRPr="00E509A4">
              <w:rPr>
                <w:rFonts w:cs="Arial"/>
                <w:bCs/>
                <w:sz w:val="18"/>
                <w:szCs w:val="18"/>
                <w:lang w:val="en-US"/>
              </w:rPr>
              <w:t>Louise Walsh</w:t>
            </w:r>
          </w:p>
        </w:tc>
        <w:tc>
          <w:tcPr>
            <w:tcW w:w="3119" w:type="dxa"/>
            <w:shd w:val="clear" w:color="auto" w:fill="auto"/>
            <w:hideMark/>
          </w:tcPr>
          <w:p w14:paraId="1F3A2497" w14:textId="77777777" w:rsidR="00473DCA" w:rsidRPr="00E509A4" w:rsidRDefault="00473DCA" w:rsidP="008E46B3">
            <w:pPr>
              <w:jc w:val="both"/>
              <w:rPr>
                <w:rFonts w:cs="Arial"/>
                <w:bCs/>
                <w:sz w:val="18"/>
                <w:szCs w:val="18"/>
                <w:lang w:val="en-US"/>
              </w:rPr>
            </w:pPr>
            <w:r w:rsidRPr="00E509A4">
              <w:rPr>
                <w:rFonts w:cs="Arial"/>
                <w:bCs/>
                <w:sz w:val="18"/>
                <w:szCs w:val="18"/>
                <w:lang w:val="en-US"/>
              </w:rPr>
              <w:t xml:space="preserve">Drury </w:t>
            </w:r>
            <w:r>
              <w:rPr>
                <w:rFonts w:cs="Arial"/>
                <w:bCs/>
                <w:sz w:val="18"/>
                <w:szCs w:val="18"/>
                <w:lang w:val="en-US"/>
              </w:rPr>
              <w:t>Communications</w:t>
            </w:r>
          </w:p>
        </w:tc>
        <w:tc>
          <w:tcPr>
            <w:tcW w:w="2299" w:type="dxa"/>
            <w:shd w:val="clear" w:color="auto" w:fill="auto"/>
            <w:hideMark/>
          </w:tcPr>
          <w:p w14:paraId="149A7200" w14:textId="77777777" w:rsidR="00473DCA" w:rsidRPr="00E509A4" w:rsidRDefault="00473DCA" w:rsidP="008E46B3">
            <w:pPr>
              <w:jc w:val="both"/>
              <w:rPr>
                <w:rFonts w:cs="Arial"/>
                <w:bCs/>
                <w:sz w:val="18"/>
                <w:szCs w:val="18"/>
                <w:lang w:val="en-US"/>
              </w:rPr>
            </w:pPr>
            <w:r w:rsidRPr="00E509A4">
              <w:rPr>
                <w:rFonts w:cs="Arial"/>
                <w:bCs/>
                <w:sz w:val="18"/>
                <w:szCs w:val="18"/>
                <w:lang w:val="en-US"/>
              </w:rPr>
              <w:t>Tel: +353 (0) 1 260 5000</w:t>
            </w:r>
          </w:p>
        </w:tc>
      </w:tr>
    </w:tbl>
    <w:p w14:paraId="13FD9483" w14:textId="77777777" w:rsidR="00473DCA" w:rsidRPr="00FF4280" w:rsidRDefault="00473DCA" w:rsidP="00473DCA">
      <w:pPr>
        <w:jc w:val="both"/>
        <w:rPr>
          <w:rFonts w:cs="Arial"/>
          <w:sz w:val="18"/>
          <w:szCs w:val="18"/>
        </w:rPr>
      </w:pPr>
    </w:p>
    <w:p w14:paraId="4F3AAEA1" w14:textId="77777777" w:rsidR="00473DCA" w:rsidRPr="00E512C6" w:rsidRDefault="00473DCA" w:rsidP="00473DCA">
      <w:pPr>
        <w:adjustRightInd w:val="0"/>
        <w:jc w:val="both"/>
        <w:rPr>
          <w:b/>
          <w:bCs/>
          <w:color w:val="000000"/>
          <w:sz w:val="20"/>
          <w:szCs w:val="18"/>
        </w:rPr>
      </w:pPr>
      <w:r w:rsidRPr="00E512C6">
        <w:rPr>
          <w:b/>
          <w:bCs/>
          <w:color w:val="000000"/>
          <w:sz w:val="20"/>
          <w:szCs w:val="18"/>
        </w:rPr>
        <w:t xml:space="preserve">About Greencore </w:t>
      </w:r>
    </w:p>
    <w:p w14:paraId="194A337A" w14:textId="77777777" w:rsidR="00473DCA" w:rsidRDefault="00473DCA" w:rsidP="00473DCA">
      <w:pPr>
        <w:jc w:val="both"/>
        <w:rPr>
          <w:color w:val="000000"/>
          <w:sz w:val="18"/>
          <w:szCs w:val="18"/>
        </w:rPr>
      </w:pPr>
    </w:p>
    <w:p w14:paraId="4EA592C1" w14:textId="77777777" w:rsidR="00473DCA" w:rsidRPr="002B4347" w:rsidRDefault="00473DCA" w:rsidP="00473DCA">
      <w:pPr>
        <w:jc w:val="both"/>
        <w:rPr>
          <w:color w:val="000000"/>
          <w:sz w:val="18"/>
          <w:szCs w:val="18"/>
        </w:rPr>
      </w:pPr>
      <w:r w:rsidRPr="00010E54">
        <w:rPr>
          <w:color w:val="000000"/>
          <w:sz w:val="18"/>
          <w:szCs w:val="18"/>
        </w:rPr>
        <w:t xml:space="preserve">We are a leading manufacturer of convenience food in the UK and our purpose is to make every day taste better. We supply all of the major supermarkets in the UK. We also supply convenience and travel retail outlets, discounters, coffee shops, foodservice and other retailers. We have strong market positions in a range of categories including sandwiches, salads, sushi, chilled snacking, chilled ready meals, chilled soups and sauces, chilled quiche, ambient sauces and pickles, and frozen Yorkshire Puddings. </w:t>
      </w:r>
    </w:p>
    <w:p w14:paraId="40FBE23C" w14:textId="77777777" w:rsidR="00473DCA" w:rsidRPr="002B4347" w:rsidRDefault="00473DCA" w:rsidP="00473DCA">
      <w:pPr>
        <w:jc w:val="both"/>
        <w:rPr>
          <w:color w:val="000000"/>
          <w:sz w:val="18"/>
          <w:szCs w:val="18"/>
        </w:rPr>
      </w:pPr>
    </w:p>
    <w:p w14:paraId="1A22F5C2" w14:textId="77777777" w:rsidR="00473DCA" w:rsidRPr="000D1A44" w:rsidRDefault="00473DCA" w:rsidP="00473DCA">
      <w:pPr>
        <w:jc w:val="both"/>
        <w:rPr>
          <w:color w:val="000000"/>
          <w:sz w:val="18"/>
          <w:szCs w:val="18"/>
        </w:rPr>
      </w:pPr>
      <w:bookmarkStart w:id="2" w:name="_Hlk87868870"/>
      <w:r w:rsidRPr="000D1A44">
        <w:rPr>
          <w:color w:val="000000"/>
          <w:sz w:val="18"/>
          <w:szCs w:val="18"/>
        </w:rPr>
        <w:t xml:space="preserve">In FY21 we manufactured 645m sandwiches and other food to go products, 117m chilled prepared meals, and 256m bottles of cooking sauces, pickles and condiments. We carry out more than 10,500 direct to store deliveries each day. We have </w:t>
      </w:r>
      <w:r w:rsidR="007F06AA">
        <w:rPr>
          <w:color w:val="000000"/>
          <w:sz w:val="18"/>
          <w:szCs w:val="18"/>
        </w:rPr>
        <w:t>21</w:t>
      </w:r>
      <w:r w:rsidR="007F06AA" w:rsidRPr="000D1A44">
        <w:rPr>
          <w:color w:val="000000"/>
          <w:sz w:val="18"/>
          <w:szCs w:val="18"/>
        </w:rPr>
        <w:t xml:space="preserve"> </w:t>
      </w:r>
      <w:r w:rsidRPr="000D1A44">
        <w:rPr>
          <w:color w:val="000000"/>
          <w:sz w:val="18"/>
          <w:szCs w:val="18"/>
        </w:rPr>
        <w:t xml:space="preserve">world-class manufacturing </w:t>
      </w:r>
      <w:r w:rsidR="007F06AA">
        <w:rPr>
          <w:color w:val="000000"/>
          <w:sz w:val="18"/>
          <w:szCs w:val="18"/>
        </w:rPr>
        <w:t>units across 16 locations</w:t>
      </w:r>
      <w:r w:rsidR="007F06AA" w:rsidRPr="000D1A44">
        <w:rPr>
          <w:color w:val="000000"/>
          <w:sz w:val="18"/>
          <w:szCs w:val="18"/>
        </w:rPr>
        <w:t xml:space="preserve"> </w:t>
      </w:r>
      <w:r w:rsidRPr="000D1A44">
        <w:rPr>
          <w:color w:val="000000"/>
          <w:sz w:val="18"/>
          <w:szCs w:val="18"/>
        </w:rPr>
        <w:t>in the UK, with industry-leading technology and supply chain capabilities. We generated revenues of £1.3bn in FY21 and employ approximately 13,000 people. We are headquartered in Dublin, Ireland.</w:t>
      </w:r>
    </w:p>
    <w:bookmarkEnd w:id="2"/>
    <w:p w14:paraId="4A3AE4C6" w14:textId="77777777" w:rsidR="00473DCA" w:rsidRPr="002B4347" w:rsidRDefault="00473DCA" w:rsidP="00473DCA">
      <w:pPr>
        <w:jc w:val="both"/>
        <w:rPr>
          <w:color w:val="000000"/>
          <w:sz w:val="18"/>
          <w:szCs w:val="18"/>
        </w:rPr>
      </w:pPr>
    </w:p>
    <w:p w14:paraId="50675CD7" w14:textId="77777777" w:rsidR="00473DCA" w:rsidRPr="00C860C1" w:rsidRDefault="00473DCA" w:rsidP="00473DCA">
      <w:pPr>
        <w:jc w:val="both"/>
        <w:rPr>
          <w:color w:val="000000"/>
          <w:sz w:val="18"/>
          <w:szCs w:val="18"/>
          <w:highlight w:val="yellow"/>
        </w:rPr>
      </w:pPr>
      <w:r w:rsidRPr="002B4347">
        <w:rPr>
          <w:color w:val="000000"/>
          <w:sz w:val="18"/>
          <w:szCs w:val="18"/>
        </w:rPr>
        <w:t>For further information go to</w:t>
      </w:r>
      <w:r w:rsidR="00A63404">
        <w:t xml:space="preserve"> </w:t>
      </w:r>
      <w:r w:rsidRPr="00AA2704">
        <w:rPr>
          <w:color w:val="000000"/>
          <w:sz w:val="18"/>
          <w:szCs w:val="18"/>
        </w:rPr>
        <w:t>greencore.com</w:t>
      </w:r>
      <w:r w:rsidRPr="002B4347">
        <w:rPr>
          <w:color w:val="000000"/>
          <w:sz w:val="18"/>
          <w:szCs w:val="18"/>
        </w:rPr>
        <w:t xml:space="preserve"> or follow Greencore on social media.</w:t>
      </w:r>
    </w:p>
    <w:p w14:paraId="286186F0" w14:textId="0ABA67EB" w:rsidR="00473DCA" w:rsidRDefault="00473DCA" w:rsidP="00473DCA">
      <w:pPr>
        <w:rPr>
          <w:rFonts w:cs="Arial"/>
          <w:b/>
          <w:sz w:val="20"/>
          <w:szCs w:val="18"/>
        </w:rPr>
      </w:pPr>
    </w:p>
    <w:p w14:paraId="40826F11" w14:textId="77777777" w:rsidR="00CA6373" w:rsidRDefault="00CA6373" w:rsidP="00CA6373">
      <w:pPr>
        <w:spacing w:after="120"/>
        <w:jc w:val="both"/>
        <w:rPr>
          <w:rFonts w:cs="Arial"/>
          <w:b/>
          <w:sz w:val="20"/>
          <w:szCs w:val="18"/>
        </w:rPr>
      </w:pPr>
      <w:r>
        <w:rPr>
          <w:rFonts w:cs="Arial"/>
          <w:b/>
          <w:sz w:val="20"/>
          <w:szCs w:val="18"/>
        </w:rPr>
        <w:t>EMERGING STRONGLY FROM A CHALLENGING PERIOD</w:t>
      </w:r>
      <w:r>
        <w:rPr>
          <w:rFonts w:cs="Arial"/>
          <w:b/>
          <w:sz w:val="20"/>
          <w:szCs w:val="18"/>
          <w:vertAlign w:val="superscript"/>
        </w:rPr>
        <w:t xml:space="preserve"> 1</w:t>
      </w:r>
    </w:p>
    <w:p w14:paraId="66EBBCC2" w14:textId="77777777" w:rsidR="00CA6373" w:rsidRPr="00283674" w:rsidRDefault="00CA6373" w:rsidP="00CA6373">
      <w:pPr>
        <w:tabs>
          <w:tab w:val="num" w:pos="426"/>
        </w:tabs>
        <w:jc w:val="both"/>
        <w:rPr>
          <w:rFonts w:cs="Arial"/>
          <w:sz w:val="18"/>
          <w:szCs w:val="18"/>
        </w:rPr>
      </w:pPr>
      <w:r>
        <w:rPr>
          <w:rFonts w:cs="Arial"/>
          <w:sz w:val="18"/>
          <w:szCs w:val="18"/>
        </w:rPr>
        <w:t xml:space="preserve">In a challenging year when demand was significantly impacted by various COVID-19 related lockdowns and associated mobility restrictions, the Group performed with resilience and benefitted from a strong recovery in the second half. </w:t>
      </w:r>
      <w:r w:rsidRPr="00015035">
        <w:rPr>
          <w:rFonts w:cs="Arial"/>
          <w:sz w:val="18"/>
          <w:szCs w:val="18"/>
        </w:rPr>
        <w:t xml:space="preserve">Throughout, the Group focused on three priorities </w:t>
      </w:r>
      <w:r w:rsidRPr="00CA31DC">
        <w:rPr>
          <w:rFonts w:cs="Arial"/>
          <w:sz w:val="18"/>
          <w:szCs w:val="18"/>
        </w:rPr>
        <w:t>– keeping our people safe, feeding</w:t>
      </w:r>
      <w:r>
        <w:rPr>
          <w:rFonts w:cs="Arial"/>
          <w:sz w:val="18"/>
          <w:szCs w:val="18"/>
        </w:rPr>
        <w:t xml:space="preserve"> </w:t>
      </w:r>
      <w:r w:rsidRPr="00CA31DC">
        <w:rPr>
          <w:rFonts w:cs="Arial"/>
          <w:sz w:val="18"/>
          <w:szCs w:val="18"/>
        </w:rPr>
        <w:t xml:space="preserve">the UK, and protecting our business. </w:t>
      </w:r>
      <w:r w:rsidRPr="00283674">
        <w:rPr>
          <w:rFonts w:cs="Arial"/>
          <w:sz w:val="18"/>
          <w:szCs w:val="18"/>
        </w:rPr>
        <w:t xml:space="preserve">These priorities are aligned with the Group’s purpose and its distinctive, repeatable </w:t>
      </w:r>
      <w:r>
        <w:rPr>
          <w:rFonts w:cs="Arial"/>
          <w:sz w:val="18"/>
          <w:szCs w:val="18"/>
        </w:rPr>
        <w:t>‘</w:t>
      </w:r>
      <w:r w:rsidRPr="00283674">
        <w:rPr>
          <w:rFonts w:cs="Arial"/>
          <w:sz w:val="18"/>
          <w:szCs w:val="18"/>
        </w:rPr>
        <w:t>Greencore Way’ of working.</w:t>
      </w:r>
    </w:p>
    <w:p w14:paraId="7CB559A8" w14:textId="77777777" w:rsidR="00CA6373" w:rsidRDefault="00CA6373" w:rsidP="00CA6373">
      <w:pPr>
        <w:tabs>
          <w:tab w:val="num" w:pos="426"/>
        </w:tabs>
        <w:rPr>
          <w:rFonts w:cs="Arial"/>
          <w:sz w:val="18"/>
          <w:szCs w:val="18"/>
        </w:rPr>
      </w:pPr>
    </w:p>
    <w:p w14:paraId="543D738C" w14:textId="77777777" w:rsidR="00CA6373" w:rsidRDefault="00CA6373" w:rsidP="00CA6373">
      <w:pPr>
        <w:tabs>
          <w:tab w:val="num" w:pos="426"/>
        </w:tabs>
        <w:jc w:val="both"/>
        <w:rPr>
          <w:rFonts w:cs="Arial"/>
          <w:sz w:val="18"/>
          <w:szCs w:val="18"/>
        </w:rPr>
      </w:pPr>
      <w:r>
        <w:rPr>
          <w:rFonts w:cs="Arial"/>
          <w:sz w:val="18"/>
          <w:szCs w:val="18"/>
        </w:rPr>
        <w:t xml:space="preserve">Greencore worked closely with customers to deliver strong operational service levels in FY21 and to meet increasing demand, notwithstanding the well documented supply chain and labour challenges that intensified as the year progressed </w:t>
      </w:r>
      <w:r w:rsidRPr="00E353A8">
        <w:rPr>
          <w:rFonts w:cs="Arial"/>
          <w:sz w:val="18"/>
          <w:szCs w:val="18"/>
        </w:rPr>
        <w:t>and which continue to be faced</w:t>
      </w:r>
      <w:r>
        <w:rPr>
          <w:rFonts w:cs="Arial"/>
          <w:sz w:val="18"/>
          <w:szCs w:val="18"/>
        </w:rPr>
        <w:t xml:space="preserve">. </w:t>
      </w:r>
    </w:p>
    <w:p w14:paraId="5486A2E4" w14:textId="77777777" w:rsidR="00CA6373" w:rsidRPr="00283674" w:rsidRDefault="00CA6373" w:rsidP="00CA6373">
      <w:pPr>
        <w:tabs>
          <w:tab w:val="num" w:pos="426"/>
        </w:tabs>
        <w:jc w:val="both"/>
        <w:rPr>
          <w:rFonts w:cs="Arial"/>
          <w:sz w:val="18"/>
          <w:szCs w:val="18"/>
        </w:rPr>
      </w:pPr>
    </w:p>
    <w:p w14:paraId="4C23E749" w14:textId="77777777" w:rsidR="00CA6373" w:rsidRDefault="00CA6373" w:rsidP="00CA6373">
      <w:pPr>
        <w:tabs>
          <w:tab w:val="num" w:pos="426"/>
        </w:tabs>
        <w:jc w:val="both"/>
        <w:rPr>
          <w:rFonts w:cs="Arial"/>
          <w:b/>
          <w:bCs/>
          <w:sz w:val="18"/>
          <w:szCs w:val="18"/>
        </w:rPr>
      </w:pPr>
      <w:r w:rsidRPr="00283674">
        <w:rPr>
          <w:rFonts w:cs="Arial"/>
          <w:b/>
          <w:bCs/>
          <w:sz w:val="18"/>
          <w:szCs w:val="18"/>
        </w:rPr>
        <w:t>Keeping our people safe</w:t>
      </w:r>
    </w:p>
    <w:p w14:paraId="186CA8EC" w14:textId="77777777" w:rsidR="00CA6373" w:rsidRPr="00283674" w:rsidRDefault="00CA6373" w:rsidP="00CA6373">
      <w:pPr>
        <w:tabs>
          <w:tab w:val="num" w:pos="426"/>
        </w:tabs>
        <w:jc w:val="both"/>
        <w:rPr>
          <w:rFonts w:cs="Arial"/>
          <w:b/>
          <w:bCs/>
          <w:sz w:val="18"/>
          <w:szCs w:val="18"/>
        </w:rPr>
      </w:pPr>
      <w:r w:rsidRPr="00283674">
        <w:rPr>
          <w:rFonts w:cs="Arial"/>
          <w:b/>
          <w:bCs/>
          <w:sz w:val="18"/>
          <w:szCs w:val="18"/>
        </w:rPr>
        <w:t xml:space="preserve"> </w:t>
      </w:r>
    </w:p>
    <w:p w14:paraId="1B993190" w14:textId="77777777" w:rsidR="00CA6373" w:rsidRDefault="00CA6373" w:rsidP="00CA6373">
      <w:pPr>
        <w:tabs>
          <w:tab w:val="num" w:pos="426"/>
        </w:tabs>
        <w:jc w:val="both"/>
        <w:rPr>
          <w:rFonts w:cs="Arial"/>
          <w:sz w:val="18"/>
          <w:szCs w:val="18"/>
        </w:rPr>
      </w:pPr>
      <w:r w:rsidRPr="00283674">
        <w:rPr>
          <w:rFonts w:cs="Arial"/>
          <w:sz w:val="18"/>
          <w:szCs w:val="18"/>
        </w:rPr>
        <w:t xml:space="preserve">Greencore’s people are at the core of its purpose and its success and keeping colleagues </w:t>
      </w:r>
      <w:r w:rsidRPr="00015035">
        <w:rPr>
          <w:rFonts w:cs="Arial"/>
          <w:sz w:val="18"/>
          <w:szCs w:val="18"/>
        </w:rPr>
        <w:t xml:space="preserve">safe remained the key priority throughout the past year. The Group maintained a vigilant and highly responsive approach to health and safety protocols to ensure that all is being done within the business to mitigate the impact of COVID-19 and to keep colleagues safe. </w:t>
      </w:r>
      <w:r w:rsidRPr="00283674">
        <w:rPr>
          <w:rFonts w:cs="Arial"/>
          <w:sz w:val="18"/>
          <w:szCs w:val="18"/>
        </w:rPr>
        <w:t xml:space="preserve"> </w:t>
      </w:r>
    </w:p>
    <w:p w14:paraId="5F0F3442" w14:textId="77777777" w:rsidR="00CA6373" w:rsidRPr="00283674" w:rsidRDefault="00CA6373" w:rsidP="00CA6373">
      <w:pPr>
        <w:tabs>
          <w:tab w:val="num" w:pos="426"/>
        </w:tabs>
        <w:jc w:val="both"/>
        <w:rPr>
          <w:rFonts w:cs="Arial"/>
          <w:sz w:val="18"/>
          <w:szCs w:val="18"/>
        </w:rPr>
      </w:pPr>
    </w:p>
    <w:p w14:paraId="6554A4BC" w14:textId="77777777" w:rsidR="00CA6373" w:rsidRPr="00A03FB5" w:rsidRDefault="00CA6373" w:rsidP="00CA6373">
      <w:pPr>
        <w:tabs>
          <w:tab w:val="num" w:pos="426"/>
        </w:tabs>
        <w:jc w:val="both"/>
        <w:rPr>
          <w:rFonts w:cs="Arial"/>
          <w:sz w:val="18"/>
          <w:szCs w:val="18"/>
        </w:rPr>
      </w:pPr>
      <w:r>
        <w:rPr>
          <w:rFonts w:cs="Arial"/>
          <w:sz w:val="18"/>
          <w:szCs w:val="18"/>
        </w:rPr>
        <w:t>Building on the extensive range of new measures implemented in FY20 to support colleague safety across the Group’s network, the Group has carried out many additional actions taken through FY21. The Group conducted regular</w:t>
      </w:r>
      <w:r w:rsidRPr="00283674">
        <w:rPr>
          <w:rFonts w:cs="Arial"/>
          <w:sz w:val="18"/>
          <w:szCs w:val="18"/>
        </w:rPr>
        <w:t xml:space="preserve"> COVID-19 risk assessments and </w:t>
      </w:r>
      <w:r>
        <w:rPr>
          <w:rFonts w:cs="Arial"/>
          <w:sz w:val="18"/>
          <w:szCs w:val="18"/>
        </w:rPr>
        <w:t xml:space="preserve">implemented </w:t>
      </w:r>
      <w:r w:rsidRPr="00283674">
        <w:rPr>
          <w:rFonts w:cs="Arial"/>
          <w:sz w:val="18"/>
          <w:szCs w:val="18"/>
        </w:rPr>
        <w:t xml:space="preserve">site-specific action plans across every manufacturing location and distribution facility, </w:t>
      </w:r>
      <w:r w:rsidRPr="00A03FB5">
        <w:rPr>
          <w:rFonts w:cs="Arial"/>
          <w:sz w:val="18"/>
          <w:szCs w:val="18"/>
        </w:rPr>
        <w:t xml:space="preserve">implemented weekly lateral flow testing across </w:t>
      </w:r>
      <w:r>
        <w:rPr>
          <w:rFonts w:cs="Arial"/>
          <w:sz w:val="18"/>
          <w:szCs w:val="18"/>
        </w:rPr>
        <w:t xml:space="preserve">the </w:t>
      </w:r>
      <w:r w:rsidRPr="00A03FB5">
        <w:rPr>
          <w:rFonts w:cs="Arial"/>
          <w:sz w:val="18"/>
          <w:szCs w:val="18"/>
        </w:rPr>
        <w:t>main manufacturing sites and Direct-to-Store depots, and developed a COVID-19 risk alert tool that uses a variety of data to dictate what levels of control are required for each site at any time.</w:t>
      </w:r>
      <w:r>
        <w:rPr>
          <w:rFonts w:cs="Arial"/>
          <w:sz w:val="18"/>
          <w:szCs w:val="18"/>
        </w:rPr>
        <w:t xml:space="preserve"> </w:t>
      </w:r>
    </w:p>
    <w:p w14:paraId="7B40BB8D" w14:textId="77777777" w:rsidR="00CA6373" w:rsidRPr="00283674" w:rsidRDefault="00CA6373" w:rsidP="00CA6373">
      <w:pPr>
        <w:tabs>
          <w:tab w:val="num" w:pos="426"/>
        </w:tabs>
        <w:jc w:val="both"/>
        <w:rPr>
          <w:rFonts w:cs="Arial"/>
          <w:sz w:val="18"/>
          <w:szCs w:val="18"/>
        </w:rPr>
      </w:pPr>
    </w:p>
    <w:p w14:paraId="7D6808B4" w14:textId="77777777" w:rsidR="00CA6373" w:rsidRDefault="00CA6373" w:rsidP="00CA6373">
      <w:pPr>
        <w:tabs>
          <w:tab w:val="num" w:pos="426"/>
        </w:tabs>
        <w:jc w:val="both"/>
        <w:rPr>
          <w:rFonts w:cs="Arial"/>
          <w:b/>
          <w:bCs/>
          <w:sz w:val="18"/>
          <w:szCs w:val="18"/>
        </w:rPr>
      </w:pPr>
      <w:r w:rsidRPr="00283674">
        <w:rPr>
          <w:rFonts w:cs="Arial"/>
          <w:b/>
          <w:bCs/>
          <w:sz w:val="18"/>
          <w:szCs w:val="18"/>
        </w:rPr>
        <w:t xml:space="preserve">Feeding the UK </w:t>
      </w:r>
    </w:p>
    <w:p w14:paraId="1B22E498" w14:textId="77777777" w:rsidR="00CA6373" w:rsidRPr="00283674" w:rsidRDefault="00CA6373" w:rsidP="00CA6373">
      <w:pPr>
        <w:tabs>
          <w:tab w:val="num" w:pos="426"/>
        </w:tabs>
        <w:jc w:val="both"/>
        <w:rPr>
          <w:rFonts w:cs="Arial"/>
          <w:b/>
          <w:bCs/>
          <w:sz w:val="18"/>
          <w:szCs w:val="18"/>
        </w:rPr>
      </w:pPr>
    </w:p>
    <w:p w14:paraId="24A850CB" w14:textId="77777777" w:rsidR="00CA6373" w:rsidRPr="003A653B" w:rsidRDefault="00CA6373" w:rsidP="00CA6373">
      <w:pPr>
        <w:tabs>
          <w:tab w:val="num" w:pos="426"/>
        </w:tabs>
        <w:jc w:val="both"/>
        <w:rPr>
          <w:rFonts w:cs="Arial"/>
          <w:sz w:val="18"/>
          <w:szCs w:val="18"/>
        </w:rPr>
      </w:pPr>
      <w:r w:rsidRPr="00A72617">
        <w:rPr>
          <w:rFonts w:cs="Arial"/>
          <w:sz w:val="18"/>
          <w:szCs w:val="18"/>
        </w:rPr>
        <w:t xml:space="preserve">The Group’s </w:t>
      </w:r>
      <w:r>
        <w:rPr>
          <w:rFonts w:cs="Arial"/>
          <w:sz w:val="18"/>
          <w:szCs w:val="18"/>
        </w:rPr>
        <w:t>mission</w:t>
      </w:r>
      <w:r w:rsidRPr="00A72617">
        <w:rPr>
          <w:rFonts w:cs="Arial"/>
          <w:sz w:val="18"/>
          <w:szCs w:val="18"/>
        </w:rPr>
        <w:t xml:space="preserve"> to feed the UK throughout the pandemic is fully aligned with the Group’s purpose and its commitment to producing Great Food. This involves close engagement with customers, to respond quickly to volatile demand patterns associated with the changing mobility restrictions and lockdowns that were introduced across the UK during the year. These strong customer relationships also enabled the Group to help drive category growth and range launches as the economy reopened, as well as to onboard new business successfully.</w:t>
      </w:r>
      <w:r>
        <w:rPr>
          <w:rFonts w:cs="Arial"/>
          <w:sz w:val="18"/>
          <w:szCs w:val="18"/>
        </w:rPr>
        <w:t xml:space="preserve"> </w:t>
      </w:r>
      <w:r w:rsidRPr="003A653B">
        <w:rPr>
          <w:rFonts w:cs="Arial"/>
          <w:sz w:val="18"/>
          <w:szCs w:val="18"/>
        </w:rPr>
        <w:t xml:space="preserve">The Group also continued to </w:t>
      </w:r>
      <w:r w:rsidRPr="003A653B">
        <w:rPr>
          <w:rFonts w:cs="Arial"/>
          <w:sz w:val="18"/>
          <w:szCs w:val="18"/>
          <w:lang w:val="en-US"/>
        </w:rPr>
        <w:t>scale up the work we do in support</w:t>
      </w:r>
      <w:r>
        <w:rPr>
          <w:rFonts w:cs="Arial"/>
          <w:sz w:val="18"/>
          <w:szCs w:val="18"/>
          <w:lang w:val="en-US"/>
        </w:rPr>
        <w:t xml:space="preserve"> of</w:t>
      </w:r>
      <w:r w:rsidRPr="003A653B">
        <w:rPr>
          <w:rFonts w:cs="Arial"/>
          <w:sz w:val="18"/>
          <w:szCs w:val="18"/>
          <w:lang w:val="en-US"/>
        </w:rPr>
        <w:t xml:space="preserve"> local communities, especially where food insecurity and hunger exists.</w:t>
      </w:r>
    </w:p>
    <w:p w14:paraId="683050B6" w14:textId="77777777" w:rsidR="00CA6373" w:rsidRDefault="00CA6373" w:rsidP="00CA6373">
      <w:pPr>
        <w:tabs>
          <w:tab w:val="num" w:pos="426"/>
        </w:tabs>
        <w:jc w:val="both"/>
        <w:rPr>
          <w:rFonts w:cs="Arial"/>
          <w:sz w:val="18"/>
          <w:szCs w:val="18"/>
        </w:rPr>
      </w:pPr>
    </w:p>
    <w:p w14:paraId="20955593" w14:textId="77777777" w:rsidR="00CA6373" w:rsidRDefault="00CA6373" w:rsidP="00CA6373">
      <w:pPr>
        <w:tabs>
          <w:tab w:val="num" w:pos="426"/>
        </w:tabs>
        <w:jc w:val="both"/>
        <w:rPr>
          <w:rFonts w:cs="Arial"/>
          <w:b/>
          <w:bCs/>
          <w:sz w:val="18"/>
          <w:szCs w:val="18"/>
        </w:rPr>
      </w:pPr>
      <w:r w:rsidRPr="00283674">
        <w:rPr>
          <w:rFonts w:cs="Arial"/>
          <w:b/>
          <w:bCs/>
          <w:sz w:val="18"/>
          <w:szCs w:val="18"/>
        </w:rPr>
        <w:t>Protecting our business</w:t>
      </w:r>
    </w:p>
    <w:p w14:paraId="1C009AC2" w14:textId="77777777" w:rsidR="00CA6373" w:rsidRPr="00283674" w:rsidRDefault="00CA6373" w:rsidP="00CA6373">
      <w:pPr>
        <w:tabs>
          <w:tab w:val="num" w:pos="426"/>
        </w:tabs>
        <w:jc w:val="both"/>
        <w:rPr>
          <w:rFonts w:cs="Arial"/>
          <w:b/>
          <w:bCs/>
          <w:sz w:val="18"/>
          <w:szCs w:val="18"/>
        </w:rPr>
      </w:pPr>
    </w:p>
    <w:p w14:paraId="5E3DBA59" w14:textId="77777777" w:rsidR="00CA6373" w:rsidRPr="00015035" w:rsidRDefault="00CA6373" w:rsidP="00CA6373">
      <w:pPr>
        <w:tabs>
          <w:tab w:val="num" w:pos="426"/>
        </w:tabs>
        <w:jc w:val="both"/>
        <w:rPr>
          <w:rFonts w:cs="Arial"/>
          <w:sz w:val="18"/>
          <w:szCs w:val="18"/>
        </w:rPr>
      </w:pPr>
      <w:r w:rsidRPr="00015035">
        <w:rPr>
          <w:rFonts w:cs="Arial"/>
          <w:sz w:val="18"/>
          <w:szCs w:val="18"/>
        </w:rPr>
        <w:t xml:space="preserve">In FY21 the Group implemented a comprehensive set of actions to alleviate the material negative short-term impact on the business caused by COVID-19, and to build back the business profitably as the pandemic began to ease. This was underpinned by the Group’s purpose through the drive for excellence in all that it does, and the responsibility to improve continuously the sustainability of the business. </w:t>
      </w:r>
    </w:p>
    <w:p w14:paraId="0122D92E" w14:textId="77777777" w:rsidR="00CA6373" w:rsidRPr="00A25B9E" w:rsidRDefault="00CA6373" w:rsidP="00CA6373">
      <w:pPr>
        <w:tabs>
          <w:tab w:val="num" w:pos="426"/>
        </w:tabs>
        <w:jc w:val="both"/>
        <w:rPr>
          <w:rFonts w:cs="Arial"/>
          <w:sz w:val="18"/>
          <w:szCs w:val="18"/>
          <w:highlight w:val="yellow"/>
        </w:rPr>
      </w:pPr>
    </w:p>
    <w:p w14:paraId="30F25BF4" w14:textId="77777777" w:rsidR="00CA6373" w:rsidRPr="00103199" w:rsidRDefault="00CA6373" w:rsidP="00CA6373">
      <w:pPr>
        <w:tabs>
          <w:tab w:val="num" w:pos="426"/>
        </w:tabs>
        <w:jc w:val="both"/>
        <w:rPr>
          <w:rFonts w:cs="Arial"/>
          <w:sz w:val="18"/>
          <w:szCs w:val="18"/>
        </w:rPr>
      </w:pPr>
      <w:r w:rsidRPr="00103199">
        <w:rPr>
          <w:rFonts w:cs="Arial"/>
          <w:sz w:val="18"/>
          <w:szCs w:val="18"/>
        </w:rPr>
        <w:t xml:space="preserve">The combination of recovering demand and strict underlying cost control allowed the Group to improve revenue, profitability, and cash flow momentum progressively through FY21. </w:t>
      </w:r>
      <w:r w:rsidRPr="00A72617">
        <w:rPr>
          <w:rFonts w:cs="Arial"/>
          <w:sz w:val="18"/>
          <w:szCs w:val="18"/>
        </w:rPr>
        <w:t xml:space="preserve">In the first half of FY21 </w:t>
      </w:r>
      <w:r w:rsidRPr="00103199">
        <w:rPr>
          <w:rFonts w:cs="Arial"/>
          <w:sz w:val="18"/>
          <w:szCs w:val="18"/>
        </w:rPr>
        <w:t xml:space="preserve">the Group also </w:t>
      </w:r>
      <w:r>
        <w:rPr>
          <w:rFonts w:cs="Arial"/>
          <w:sz w:val="18"/>
          <w:szCs w:val="18"/>
        </w:rPr>
        <w:t xml:space="preserve">launched </w:t>
      </w:r>
      <w:r w:rsidRPr="00A72617">
        <w:rPr>
          <w:rFonts w:cs="Arial"/>
          <w:sz w:val="18"/>
          <w:szCs w:val="18"/>
        </w:rPr>
        <w:t xml:space="preserve">a set of debt and equity initiatives to strengthen the balance sheet, including amendments to </w:t>
      </w:r>
      <w:r>
        <w:rPr>
          <w:rFonts w:cs="Arial"/>
          <w:sz w:val="18"/>
          <w:szCs w:val="18"/>
        </w:rPr>
        <w:t>its</w:t>
      </w:r>
      <w:r w:rsidRPr="00A72617">
        <w:rPr>
          <w:rFonts w:cs="Arial"/>
          <w:sz w:val="18"/>
          <w:szCs w:val="18"/>
        </w:rPr>
        <w:t xml:space="preserve"> debt agreements and a</w:t>
      </w:r>
      <w:r>
        <w:rPr>
          <w:rFonts w:cs="Arial"/>
          <w:sz w:val="18"/>
          <w:szCs w:val="18"/>
        </w:rPr>
        <w:t xml:space="preserve"> well-supported</w:t>
      </w:r>
      <w:r w:rsidRPr="00A72617">
        <w:rPr>
          <w:rFonts w:cs="Arial"/>
          <w:sz w:val="18"/>
          <w:szCs w:val="18"/>
        </w:rPr>
        <w:t xml:space="preserve"> equity placing</w:t>
      </w:r>
      <w:r>
        <w:rPr>
          <w:rFonts w:cs="Arial"/>
          <w:sz w:val="18"/>
          <w:szCs w:val="18"/>
        </w:rPr>
        <w:t xml:space="preserve"> in November 2020</w:t>
      </w:r>
      <w:r w:rsidRPr="00E353A8">
        <w:rPr>
          <w:rFonts w:cs="Arial"/>
          <w:sz w:val="18"/>
          <w:szCs w:val="18"/>
        </w:rPr>
        <w:t>, raising net proceeds of £87.1m.</w:t>
      </w:r>
      <w:r w:rsidRPr="00A72617">
        <w:rPr>
          <w:rFonts w:cs="Arial"/>
          <w:sz w:val="18"/>
          <w:szCs w:val="18"/>
        </w:rPr>
        <w:t xml:space="preserve"> </w:t>
      </w:r>
      <w:r w:rsidRPr="00103199">
        <w:rPr>
          <w:rFonts w:cs="Arial"/>
          <w:sz w:val="18"/>
          <w:szCs w:val="18"/>
        </w:rPr>
        <w:t>Th</w:t>
      </w:r>
      <w:r>
        <w:rPr>
          <w:rFonts w:cs="Arial"/>
          <w:sz w:val="18"/>
          <w:szCs w:val="18"/>
        </w:rPr>
        <w:t>ese</w:t>
      </w:r>
      <w:r w:rsidRPr="00103199">
        <w:rPr>
          <w:rFonts w:cs="Arial"/>
          <w:sz w:val="18"/>
          <w:szCs w:val="18"/>
        </w:rPr>
        <w:t xml:space="preserve"> </w:t>
      </w:r>
      <w:r w:rsidRPr="00A72617">
        <w:rPr>
          <w:rFonts w:cs="Arial"/>
          <w:sz w:val="18"/>
          <w:szCs w:val="18"/>
        </w:rPr>
        <w:t xml:space="preserve">ensured </w:t>
      </w:r>
      <w:r w:rsidRPr="00103199">
        <w:rPr>
          <w:rFonts w:cs="Arial"/>
          <w:sz w:val="18"/>
          <w:szCs w:val="18"/>
        </w:rPr>
        <w:t xml:space="preserve">the Group </w:t>
      </w:r>
      <w:r w:rsidRPr="00A72617">
        <w:rPr>
          <w:rFonts w:cs="Arial"/>
          <w:sz w:val="18"/>
          <w:szCs w:val="18"/>
        </w:rPr>
        <w:t xml:space="preserve">could protect </w:t>
      </w:r>
      <w:r>
        <w:rPr>
          <w:rFonts w:cs="Arial"/>
          <w:sz w:val="18"/>
          <w:szCs w:val="18"/>
        </w:rPr>
        <w:t>its operations</w:t>
      </w:r>
      <w:r w:rsidRPr="00A72617">
        <w:rPr>
          <w:rFonts w:cs="Arial"/>
          <w:sz w:val="18"/>
          <w:szCs w:val="18"/>
        </w:rPr>
        <w:t xml:space="preserve"> through COVID-19 </w:t>
      </w:r>
      <w:r>
        <w:rPr>
          <w:rFonts w:cs="Arial"/>
          <w:sz w:val="18"/>
          <w:szCs w:val="18"/>
        </w:rPr>
        <w:t xml:space="preserve">induced </w:t>
      </w:r>
      <w:r w:rsidRPr="00A72617">
        <w:rPr>
          <w:rFonts w:cs="Arial"/>
          <w:sz w:val="18"/>
          <w:szCs w:val="18"/>
        </w:rPr>
        <w:t xml:space="preserve">volatility </w:t>
      </w:r>
      <w:r>
        <w:rPr>
          <w:rFonts w:cs="Arial"/>
          <w:sz w:val="18"/>
          <w:szCs w:val="18"/>
        </w:rPr>
        <w:t>while also enable</w:t>
      </w:r>
      <w:r w:rsidRPr="00A72617">
        <w:rPr>
          <w:rFonts w:cs="Arial"/>
          <w:sz w:val="18"/>
          <w:szCs w:val="18"/>
        </w:rPr>
        <w:t xml:space="preserve"> </w:t>
      </w:r>
      <w:r w:rsidRPr="00103199">
        <w:rPr>
          <w:rFonts w:cs="Arial"/>
          <w:sz w:val="18"/>
          <w:szCs w:val="18"/>
        </w:rPr>
        <w:t xml:space="preserve">it </w:t>
      </w:r>
      <w:r w:rsidRPr="00A72617">
        <w:rPr>
          <w:rFonts w:cs="Arial"/>
          <w:sz w:val="18"/>
          <w:szCs w:val="18"/>
        </w:rPr>
        <w:t>to invest with customers to secure business and open up new opportunities in additional categories and formats.</w:t>
      </w:r>
      <w:r w:rsidRPr="00103199">
        <w:rPr>
          <w:rFonts w:cs="Arial"/>
          <w:sz w:val="18"/>
          <w:szCs w:val="18"/>
        </w:rPr>
        <w:t xml:space="preserve"> </w:t>
      </w:r>
      <w:r>
        <w:rPr>
          <w:rFonts w:cs="Arial"/>
          <w:sz w:val="18"/>
          <w:szCs w:val="18"/>
        </w:rPr>
        <w:t>T</w:t>
      </w:r>
      <w:r w:rsidRPr="004A50D3">
        <w:rPr>
          <w:rFonts w:cs="Arial"/>
          <w:sz w:val="18"/>
          <w:szCs w:val="18"/>
        </w:rPr>
        <w:t xml:space="preserve">he Group </w:t>
      </w:r>
      <w:r>
        <w:rPr>
          <w:rFonts w:cs="Arial"/>
          <w:sz w:val="18"/>
          <w:szCs w:val="18"/>
        </w:rPr>
        <w:t xml:space="preserve">continued to </w:t>
      </w:r>
      <w:r w:rsidRPr="004A50D3">
        <w:rPr>
          <w:rFonts w:cs="Arial"/>
          <w:sz w:val="18"/>
          <w:szCs w:val="18"/>
        </w:rPr>
        <w:t>receive UK Government assistance under the Coronavirus Job Retention Scheme</w:t>
      </w:r>
      <w:r>
        <w:rPr>
          <w:rFonts w:cs="Arial"/>
          <w:sz w:val="18"/>
          <w:szCs w:val="18"/>
        </w:rPr>
        <w:t xml:space="preserve"> until July 2021</w:t>
      </w:r>
      <w:r w:rsidRPr="004A50D3">
        <w:rPr>
          <w:rFonts w:cs="Arial"/>
          <w:sz w:val="18"/>
          <w:szCs w:val="18"/>
        </w:rPr>
        <w:t>.</w:t>
      </w:r>
    </w:p>
    <w:p w14:paraId="5CBE79DB" w14:textId="77777777" w:rsidR="00CA6373" w:rsidRPr="00103199" w:rsidRDefault="00CA6373" w:rsidP="00CA6373">
      <w:pPr>
        <w:tabs>
          <w:tab w:val="num" w:pos="426"/>
        </w:tabs>
        <w:jc w:val="both"/>
        <w:rPr>
          <w:rFonts w:cs="Arial"/>
          <w:sz w:val="18"/>
          <w:szCs w:val="18"/>
        </w:rPr>
      </w:pPr>
    </w:p>
    <w:p w14:paraId="1255A037" w14:textId="3111D0CB" w:rsidR="00CA6373" w:rsidRDefault="00CA6373" w:rsidP="00CA6373">
      <w:pPr>
        <w:tabs>
          <w:tab w:val="num" w:pos="426"/>
        </w:tabs>
        <w:jc w:val="both"/>
        <w:rPr>
          <w:rFonts w:cs="Arial"/>
          <w:sz w:val="18"/>
          <w:szCs w:val="18"/>
        </w:rPr>
      </w:pPr>
      <w:r w:rsidRPr="00103199">
        <w:rPr>
          <w:rFonts w:cs="Arial"/>
          <w:sz w:val="18"/>
          <w:szCs w:val="18"/>
        </w:rPr>
        <w:t>Strong underlying cash generation in the second half of the year allowed the Group to deleverage further</w:t>
      </w:r>
      <w:r w:rsidRPr="00015035">
        <w:rPr>
          <w:rFonts w:cs="Arial"/>
          <w:sz w:val="18"/>
          <w:szCs w:val="18"/>
        </w:rPr>
        <w:t xml:space="preserve">, ending the period with a leverage ratio now approaching FY19 levels. </w:t>
      </w:r>
      <w:r w:rsidRPr="00103199">
        <w:rPr>
          <w:rFonts w:cs="Arial"/>
          <w:sz w:val="18"/>
          <w:szCs w:val="18"/>
        </w:rPr>
        <w:t xml:space="preserve"> The Group had cash and undrawn committed bank facilities of £</w:t>
      </w:r>
      <w:r>
        <w:rPr>
          <w:rFonts w:cs="Arial"/>
          <w:sz w:val="18"/>
          <w:szCs w:val="18"/>
        </w:rPr>
        <w:t>433.6</w:t>
      </w:r>
      <w:r w:rsidRPr="00103199">
        <w:rPr>
          <w:rFonts w:cs="Arial"/>
          <w:sz w:val="18"/>
          <w:szCs w:val="18"/>
        </w:rPr>
        <w:t>m at 24 September 2021</w:t>
      </w:r>
      <w:r w:rsidR="003F1474">
        <w:rPr>
          <w:rFonts w:cs="Arial"/>
          <w:sz w:val="18"/>
          <w:szCs w:val="18"/>
        </w:rPr>
        <w:t xml:space="preserve"> (</w:t>
      </w:r>
      <w:r w:rsidR="00A836D4">
        <w:rPr>
          <w:rFonts w:cs="Arial"/>
          <w:sz w:val="18"/>
          <w:szCs w:val="18"/>
        </w:rPr>
        <w:t>FY20</w:t>
      </w:r>
      <w:r w:rsidR="003F1474">
        <w:rPr>
          <w:rFonts w:cs="Arial"/>
          <w:sz w:val="18"/>
          <w:szCs w:val="18"/>
        </w:rPr>
        <w:t>: £232.0m)</w:t>
      </w:r>
    </w:p>
    <w:p w14:paraId="79F00B16" w14:textId="77777777" w:rsidR="00CA6373" w:rsidRPr="00283674" w:rsidRDefault="00CA6373" w:rsidP="00CA6373">
      <w:pPr>
        <w:tabs>
          <w:tab w:val="num" w:pos="426"/>
        </w:tabs>
        <w:jc w:val="both"/>
        <w:rPr>
          <w:rFonts w:cs="Arial"/>
          <w:sz w:val="18"/>
          <w:szCs w:val="18"/>
        </w:rPr>
      </w:pPr>
    </w:p>
    <w:p w14:paraId="08E6322C" w14:textId="77777777" w:rsidR="00CA6373" w:rsidRPr="00806816" w:rsidRDefault="00CA6373" w:rsidP="00CA6373">
      <w:pPr>
        <w:spacing w:after="120"/>
        <w:jc w:val="both"/>
        <w:rPr>
          <w:rFonts w:cs="Arial"/>
          <w:b/>
          <w:sz w:val="20"/>
          <w:szCs w:val="18"/>
        </w:rPr>
      </w:pPr>
      <w:r w:rsidRPr="00806816">
        <w:rPr>
          <w:rFonts w:cs="Arial"/>
          <w:b/>
          <w:sz w:val="20"/>
          <w:szCs w:val="18"/>
        </w:rPr>
        <w:t>SUSTAINABILITY</w:t>
      </w:r>
    </w:p>
    <w:p w14:paraId="021F7A1C" w14:textId="77777777" w:rsidR="00CA6373" w:rsidRPr="00015035" w:rsidRDefault="00CA6373" w:rsidP="00CA6373">
      <w:pPr>
        <w:spacing w:after="120"/>
        <w:jc w:val="both"/>
        <w:rPr>
          <w:rFonts w:cs="Arial"/>
          <w:sz w:val="18"/>
          <w:szCs w:val="18"/>
        </w:rPr>
      </w:pPr>
      <w:r w:rsidRPr="00015035">
        <w:rPr>
          <w:rFonts w:cs="Arial"/>
          <w:sz w:val="18"/>
          <w:szCs w:val="18"/>
          <w:lang w:val="en-US"/>
        </w:rPr>
        <w:lastRenderedPageBreak/>
        <w:t>The Group’s first standalone sustainability report in FY20 coincided with the launch of the corporate purpose ‘Making every day taste better’ and the Group’s new sustainability strategy</w:t>
      </w:r>
      <w:r>
        <w:rPr>
          <w:rFonts w:cs="Arial"/>
          <w:sz w:val="18"/>
          <w:szCs w:val="18"/>
          <w:lang w:val="en-US"/>
        </w:rPr>
        <w:t>, the ‘Better Future Plan’</w:t>
      </w:r>
      <w:r w:rsidRPr="00015035">
        <w:rPr>
          <w:rFonts w:cs="Arial"/>
          <w:sz w:val="18"/>
          <w:szCs w:val="18"/>
          <w:lang w:val="en-US"/>
        </w:rPr>
        <w:t xml:space="preserve">. </w:t>
      </w:r>
      <w:r w:rsidRPr="00015035">
        <w:rPr>
          <w:rFonts w:cs="Arial"/>
          <w:sz w:val="18"/>
          <w:szCs w:val="18"/>
        </w:rPr>
        <w:t xml:space="preserve"> In addition the National Food Strategy, published at the beginning of H2</w:t>
      </w:r>
      <w:r>
        <w:rPr>
          <w:rFonts w:cs="Arial"/>
          <w:sz w:val="18"/>
          <w:szCs w:val="18"/>
        </w:rPr>
        <w:t xml:space="preserve"> 21 and </w:t>
      </w:r>
      <w:r w:rsidRPr="00015035">
        <w:rPr>
          <w:rFonts w:cs="Arial"/>
          <w:sz w:val="18"/>
          <w:szCs w:val="18"/>
        </w:rPr>
        <w:t>the first independent review of British food policy in 75 years, highlighted the urgent need for action in what is an increasingly unsustainable global food system.</w:t>
      </w:r>
    </w:p>
    <w:p w14:paraId="0C9C3986" w14:textId="77777777" w:rsidR="00CA6373" w:rsidRDefault="00CA6373" w:rsidP="00CA6373">
      <w:pPr>
        <w:jc w:val="both"/>
        <w:rPr>
          <w:rFonts w:cs="Arial"/>
          <w:sz w:val="18"/>
          <w:szCs w:val="18"/>
        </w:rPr>
      </w:pPr>
      <w:r w:rsidRPr="00AF416F">
        <w:rPr>
          <w:rFonts w:cs="Arial"/>
          <w:sz w:val="18"/>
          <w:szCs w:val="18"/>
        </w:rPr>
        <w:t>The Group’s sustainability strategy is built around three pillars</w:t>
      </w:r>
      <w:r>
        <w:rPr>
          <w:rFonts w:cs="Arial"/>
          <w:sz w:val="18"/>
          <w:szCs w:val="18"/>
        </w:rPr>
        <w:t xml:space="preserve"> and aspirations:</w:t>
      </w:r>
    </w:p>
    <w:p w14:paraId="605789BE" w14:textId="77777777" w:rsidR="00CA6373" w:rsidRDefault="00CA6373" w:rsidP="00CA6373">
      <w:pPr>
        <w:jc w:val="both"/>
        <w:rPr>
          <w:rFonts w:cs="Arial"/>
          <w:sz w:val="18"/>
          <w:szCs w:val="18"/>
        </w:rPr>
      </w:pPr>
    </w:p>
    <w:p w14:paraId="194C3A79" w14:textId="77777777" w:rsidR="00CA6373" w:rsidRDefault="00CA6373" w:rsidP="00CA6373">
      <w:pPr>
        <w:pStyle w:val="ListParagraph"/>
        <w:numPr>
          <w:ilvl w:val="0"/>
          <w:numId w:val="86"/>
        </w:numPr>
        <w:jc w:val="both"/>
        <w:rPr>
          <w:rFonts w:cs="Arial"/>
          <w:sz w:val="18"/>
          <w:szCs w:val="18"/>
        </w:rPr>
      </w:pPr>
      <w:r>
        <w:rPr>
          <w:rFonts w:cs="Arial"/>
          <w:sz w:val="18"/>
          <w:szCs w:val="18"/>
        </w:rPr>
        <w:t>Sourcing with Integrity: By 2030 we will source our priority ingredients from a sustainable and fair supply chain</w:t>
      </w:r>
    </w:p>
    <w:p w14:paraId="1C6BF333" w14:textId="77777777" w:rsidR="00CA6373" w:rsidRDefault="00CA6373" w:rsidP="00CA6373">
      <w:pPr>
        <w:pStyle w:val="ListParagraph"/>
        <w:numPr>
          <w:ilvl w:val="0"/>
          <w:numId w:val="86"/>
        </w:numPr>
        <w:jc w:val="both"/>
        <w:rPr>
          <w:rFonts w:cs="Arial"/>
          <w:sz w:val="18"/>
          <w:szCs w:val="18"/>
        </w:rPr>
      </w:pPr>
      <w:r>
        <w:rPr>
          <w:rFonts w:cs="Arial"/>
          <w:sz w:val="18"/>
          <w:szCs w:val="18"/>
        </w:rPr>
        <w:t>Making with Care: By 2040 we will operate with net zero emissions</w:t>
      </w:r>
    </w:p>
    <w:p w14:paraId="745DAAB0" w14:textId="77777777" w:rsidR="00CA6373" w:rsidRDefault="00CA6373" w:rsidP="00CA6373">
      <w:pPr>
        <w:pStyle w:val="ListParagraph"/>
        <w:numPr>
          <w:ilvl w:val="0"/>
          <w:numId w:val="86"/>
        </w:numPr>
        <w:jc w:val="both"/>
        <w:rPr>
          <w:rFonts w:cs="Arial"/>
          <w:sz w:val="18"/>
          <w:szCs w:val="18"/>
        </w:rPr>
      </w:pPr>
      <w:r>
        <w:rPr>
          <w:rFonts w:cs="Arial"/>
          <w:sz w:val="18"/>
          <w:szCs w:val="18"/>
        </w:rPr>
        <w:t>Feeding with Pride: By 2030 we will have increased our positive impact on society through our products</w:t>
      </w:r>
    </w:p>
    <w:p w14:paraId="486A26DC" w14:textId="77777777" w:rsidR="00CA6373" w:rsidRPr="00493F05" w:rsidRDefault="00CA6373" w:rsidP="00CA6373">
      <w:pPr>
        <w:pStyle w:val="ListParagraph"/>
        <w:ind w:left="720" w:firstLine="0"/>
        <w:jc w:val="both"/>
        <w:rPr>
          <w:rFonts w:cs="Arial"/>
          <w:sz w:val="18"/>
          <w:szCs w:val="18"/>
        </w:rPr>
      </w:pPr>
    </w:p>
    <w:p w14:paraId="41896D4E" w14:textId="77777777" w:rsidR="00CA6373" w:rsidRPr="00AF416F" w:rsidRDefault="00CA6373" w:rsidP="00CA6373">
      <w:pPr>
        <w:jc w:val="both"/>
        <w:rPr>
          <w:rFonts w:cs="Arial"/>
          <w:sz w:val="18"/>
          <w:szCs w:val="18"/>
        </w:rPr>
      </w:pPr>
      <w:r w:rsidRPr="00AA2704">
        <w:rPr>
          <w:rFonts w:cs="Arial"/>
          <w:sz w:val="18"/>
          <w:szCs w:val="18"/>
        </w:rPr>
        <w:t xml:space="preserve">Good progress was made </w:t>
      </w:r>
      <w:r w:rsidR="00206D8A" w:rsidRPr="00AA2704">
        <w:rPr>
          <w:rFonts w:cs="Arial"/>
          <w:sz w:val="18"/>
          <w:szCs w:val="18"/>
        </w:rPr>
        <w:t xml:space="preserve">on strategy </w:t>
      </w:r>
      <w:r w:rsidRPr="00AA2704">
        <w:rPr>
          <w:rFonts w:cs="Arial"/>
          <w:sz w:val="18"/>
          <w:szCs w:val="18"/>
        </w:rPr>
        <w:t>in FY21</w:t>
      </w:r>
      <w:r w:rsidR="00206D8A">
        <w:rPr>
          <w:rFonts w:cs="Arial"/>
          <w:sz w:val="18"/>
          <w:szCs w:val="18"/>
        </w:rPr>
        <w:t>, though COVID-19 continued to have a negative impact on manufacturing efficiencies and on some of the performance measures that the Group tracks</w:t>
      </w:r>
      <w:r w:rsidRPr="00AF416F">
        <w:rPr>
          <w:rFonts w:cs="Arial"/>
          <w:sz w:val="18"/>
          <w:szCs w:val="18"/>
        </w:rPr>
        <w:t xml:space="preserve">. </w:t>
      </w:r>
      <w:r>
        <w:rPr>
          <w:rFonts w:cs="Arial"/>
          <w:sz w:val="18"/>
          <w:szCs w:val="18"/>
        </w:rPr>
        <w:t xml:space="preserve">In September 2021 the Group launched fully recyclable, plastic free sandwich skillet trials for customers. The Group also set emission reduction targets, verified by the Science Based Targets Initiative, pledging </w:t>
      </w:r>
      <w:r w:rsidRPr="00DC335D">
        <w:rPr>
          <w:rFonts w:cs="Arial"/>
          <w:sz w:val="18"/>
          <w:szCs w:val="18"/>
        </w:rPr>
        <w:t xml:space="preserve">to reduce absolute Scope 1 and Scope 2 emissions by 46.2% by 2030 from a 2019 base year. </w:t>
      </w:r>
      <w:r>
        <w:rPr>
          <w:rFonts w:cs="Arial"/>
          <w:sz w:val="18"/>
          <w:szCs w:val="18"/>
        </w:rPr>
        <w:t xml:space="preserve">The Group </w:t>
      </w:r>
      <w:r w:rsidRPr="00DC335D">
        <w:rPr>
          <w:rFonts w:cs="Arial"/>
          <w:sz w:val="18"/>
          <w:szCs w:val="18"/>
        </w:rPr>
        <w:t>also pledged to reduce Scope 3 emissions from purchased goods and services, and upstream transport and distribution, by 42% per tonne of product sold by 2030 from a 2019 base year.</w:t>
      </w:r>
      <w:r>
        <w:rPr>
          <w:rFonts w:cs="Arial"/>
          <w:sz w:val="18"/>
          <w:szCs w:val="18"/>
        </w:rPr>
        <w:t xml:space="preserve"> The Group continued to advance </w:t>
      </w:r>
      <w:r w:rsidRPr="00D06B32">
        <w:rPr>
          <w:rFonts w:cs="Arial"/>
          <w:sz w:val="18"/>
          <w:szCs w:val="18"/>
        </w:rPr>
        <w:t xml:space="preserve">how </w:t>
      </w:r>
      <w:r>
        <w:rPr>
          <w:rFonts w:cs="Arial"/>
          <w:sz w:val="18"/>
          <w:szCs w:val="18"/>
        </w:rPr>
        <w:t xml:space="preserve">it </w:t>
      </w:r>
      <w:r w:rsidRPr="00D06B32">
        <w:rPr>
          <w:rFonts w:cs="Arial"/>
          <w:sz w:val="18"/>
          <w:szCs w:val="18"/>
        </w:rPr>
        <w:t>measure</w:t>
      </w:r>
      <w:r>
        <w:rPr>
          <w:rFonts w:cs="Arial"/>
          <w:sz w:val="18"/>
          <w:szCs w:val="18"/>
        </w:rPr>
        <w:t>s</w:t>
      </w:r>
      <w:r w:rsidRPr="00D06B32">
        <w:rPr>
          <w:rFonts w:cs="Arial"/>
          <w:sz w:val="18"/>
          <w:szCs w:val="18"/>
        </w:rPr>
        <w:t xml:space="preserve"> and act</w:t>
      </w:r>
      <w:r>
        <w:rPr>
          <w:rFonts w:cs="Arial"/>
          <w:sz w:val="18"/>
          <w:szCs w:val="18"/>
        </w:rPr>
        <w:t>s</w:t>
      </w:r>
      <w:r w:rsidRPr="00D06B32">
        <w:rPr>
          <w:rFonts w:cs="Arial"/>
          <w:sz w:val="18"/>
          <w:szCs w:val="18"/>
        </w:rPr>
        <w:t xml:space="preserve"> </w:t>
      </w:r>
      <w:r>
        <w:rPr>
          <w:rFonts w:cs="Arial"/>
          <w:sz w:val="18"/>
          <w:szCs w:val="18"/>
        </w:rPr>
        <w:t xml:space="preserve">to improve </w:t>
      </w:r>
      <w:r w:rsidRPr="00D06B32">
        <w:rPr>
          <w:rFonts w:cs="Arial"/>
          <w:sz w:val="18"/>
          <w:szCs w:val="18"/>
        </w:rPr>
        <w:t xml:space="preserve">the health and environmental impacts of </w:t>
      </w:r>
      <w:r>
        <w:rPr>
          <w:rFonts w:cs="Arial"/>
          <w:sz w:val="18"/>
          <w:szCs w:val="18"/>
        </w:rPr>
        <w:t xml:space="preserve">the </w:t>
      </w:r>
      <w:r w:rsidRPr="00D06B32">
        <w:rPr>
          <w:rFonts w:cs="Arial"/>
          <w:sz w:val="18"/>
          <w:szCs w:val="18"/>
        </w:rPr>
        <w:t>product</w:t>
      </w:r>
      <w:r>
        <w:rPr>
          <w:rFonts w:cs="Arial"/>
          <w:sz w:val="18"/>
          <w:szCs w:val="18"/>
        </w:rPr>
        <w:t xml:space="preserve"> portfolio, including initiatives in product footprinting and eco-labelling, while the rollout of site-specific plans for engagement with local communities </w:t>
      </w:r>
      <w:r w:rsidR="00D74740">
        <w:rPr>
          <w:rFonts w:cs="Arial"/>
          <w:sz w:val="18"/>
          <w:szCs w:val="18"/>
        </w:rPr>
        <w:t>was completed</w:t>
      </w:r>
      <w:r>
        <w:rPr>
          <w:rFonts w:cs="Arial"/>
          <w:sz w:val="18"/>
          <w:szCs w:val="18"/>
        </w:rPr>
        <w:t xml:space="preserve">. </w:t>
      </w:r>
    </w:p>
    <w:p w14:paraId="503324D3" w14:textId="77777777" w:rsidR="00CA6373" w:rsidRDefault="00CA6373" w:rsidP="00CA6373">
      <w:pPr>
        <w:jc w:val="both"/>
        <w:rPr>
          <w:rFonts w:cs="Arial"/>
          <w:sz w:val="18"/>
          <w:szCs w:val="18"/>
        </w:rPr>
      </w:pPr>
    </w:p>
    <w:p w14:paraId="5518842C" w14:textId="77777777" w:rsidR="00CA6373" w:rsidRDefault="00CA6373" w:rsidP="00CA6373">
      <w:pPr>
        <w:jc w:val="both"/>
        <w:rPr>
          <w:rFonts w:cs="Arial"/>
          <w:sz w:val="18"/>
          <w:szCs w:val="18"/>
        </w:rPr>
      </w:pPr>
      <w:r>
        <w:rPr>
          <w:rFonts w:cs="Arial"/>
          <w:sz w:val="18"/>
          <w:szCs w:val="18"/>
        </w:rPr>
        <w:t xml:space="preserve">Transparency and engagement around the Group’s sustainability strategy was also enhanced. The Group now maps its activities against both Global Reporting Initiative (GRI) Standards and the Sustainable Accounting Standards (SASB) framework. Stakeholder engagement on sustainability has increased markedly since the launch of the Group’s strategy </w:t>
      </w:r>
      <w:r w:rsidRPr="00103199">
        <w:rPr>
          <w:rFonts w:cs="Arial"/>
          <w:sz w:val="18"/>
          <w:szCs w:val="18"/>
        </w:rPr>
        <w:t>in November 2020</w:t>
      </w:r>
      <w:r>
        <w:rPr>
          <w:rFonts w:cs="Arial"/>
          <w:sz w:val="18"/>
          <w:szCs w:val="18"/>
        </w:rPr>
        <w:t xml:space="preserve">, including a detailed </w:t>
      </w:r>
      <w:r w:rsidRPr="00103199">
        <w:rPr>
          <w:rFonts w:cs="Arial"/>
          <w:sz w:val="18"/>
          <w:szCs w:val="18"/>
        </w:rPr>
        <w:t>present</w:t>
      </w:r>
      <w:r>
        <w:rPr>
          <w:rFonts w:cs="Arial"/>
          <w:sz w:val="18"/>
          <w:szCs w:val="18"/>
        </w:rPr>
        <w:t>ation</w:t>
      </w:r>
      <w:r w:rsidRPr="00103199">
        <w:rPr>
          <w:rFonts w:cs="Arial"/>
          <w:sz w:val="18"/>
          <w:szCs w:val="18"/>
        </w:rPr>
        <w:t xml:space="preserve"> at a seminar for the investment community in February 2021</w:t>
      </w:r>
      <w:r>
        <w:rPr>
          <w:rFonts w:cs="Arial"/>
          <w:sz w:val="18"/>
          <w:szCs w:val="18"/>
        </w:rPr>
        <w:t>.</w:t>
      </w:r>
    </w:p>
    <w:p w14:paraId="28937DCD" w14:textId="77777777" w:rsidR="00CA6373" w:rsidRDefault="00CA6373" w:rsidP="00CA6373">
      <w:pPr>
        <w:jc w:val="both"/>
        <w:rPr>
          <w:rFonts w:cs="Arial"/>
          <w:sz w:val="18"/>
          <w:szCs w:val="18"/>
        </w:rPr>
      </w:pPr>
    </w:p>
    <w:p w14:paraId="3D4DF7F1" w14:textId="77777777" w:rsidR="00CA6373" w:rsidRDefault="00CA6373" w:rsidP="00CA6373">
      <w:pPr>
        <w:jc w:val="both"/>
        <w:rPr>
          <w:rFonts w:cs="Arial"/>
          <w:sz w:val="18"/>
          <w:szCs w:val="18"/>
        </w:rPr>
      </w:pPr>
      <w:r>
        <w:rPr>
          <w:rFonts w:cs="Arial"/>
          <w:sz w:val="18"/>
          <w:szCs w:val="18"/>
        </w:rPr>
        <w:t>New commitments and action points have been established to advance the Group’s progress</w:t>
      </w:r>
      <w:r w:rsidR="002F775F">
        <w:rPr>
          <w:rFonts w:cs="Arial"/>
          <w:sz w:val="18"/>
          <w:szCs w:val="18"/>
        </w:rPr>
        <w:t xml:space="preserve">. </w:t>
      </w:r>
      <w:r w:rsidR="005B7F83">
        <w:rPr>
          <w:rFonts w:cs="Arial"/>
          <w:sz w:val="18"/>
          <w:szCs w:val="18"/>
        </w:rPr>
        <w:t>In FY22</w:t>
      </w:r>
      <w:r w:rsidR="002F775F">
        <w:rPr>
          <w:rFonts w:cs="Arial"/>
          <w:sz w:val="18"/>
          <w:szCs w:val="18"/>
        </w:rPr>
        <w:t xml:space="preserve">, the Group will </w:t>
      </w:r>
      <w:r w:rsidR="002F775F" w:rsidRPr="002F775F">
        <w:rPr>
          <w:rFonts w:cs="Arial"/>
          <w:sz w:val="18"/>
          <w:szCs w:val="18"/>
        </w:rPr>
        <w:t xml:space="preserve">transparently share data on </w:t>
      </w:r>
      <w:r w:rsidR="005B7F83">
        <w:rPr>
          <w:rFonts w:cs="Arial"/>
          <w:sz w:val="18"/>
          <w:szCs w:val="18"/>
        </w:rPr>
        <w:t xml:space="preserve">the </w:t>
      </w:r>
      <w:r w:rsidR="002F775F" w:rsidRPr="002F775F">
        <w:rPr>
          <w:rFonts w:cs="Arial"/>
          <w:sz w:val="18"/>
          <w:szCs w:val="18"/>
        </w:rPr>
        <w:t>health and sustaina</w:t>
      </w:r>
      <w:r w:rsidR="005B7F83">
        <w:rPr>
          <w:rFonts w:cs="Arial"/>
          <w:sz w:val="18"/>
          <w:szCs w:val="18"/>
        </w:rPr>
        <w:t xml:space="preserve">bility profile of its </w:t>
      </w:r>
      <w:r w:rsidR="002F775F" w:rsidRPr="002F775F">
        <w:rPr>
          <w:rFonts w:cs="Arial"/>
          <w:sz w:val="18"/>
          <w:szCs w:val="18"/>
        </w:rPr>
        <w:t xml:space="preserve">products with </w:t>
      </w:r>
      <w:r w:rsidR="005B7F83">
        <w:rPr>
          <w:rFonts w:cs="Arial"/>
          <w:sz w:val="18"/>
          <w:szCs w:val="18"/>
        </w:rPr>
        <w:t>its</w:t>
      </w:r>
      <w:r w:rsidR="002F775F" w:rsidRPr="002F775F">
        <w:rPr>
          <w:rFonts w:cs="Arial"/>
          <w:sz w:val="18"/>
          <w:szCs w:val="18"/>
        </w:rPr>
        <w:t xml:space="preserve"> </w:t>
      </w:r>
      <w:r w:rsidR="009E3491" w:rsidRPr="002F775F">
        <w:rPr>
          <w:rFonts w:cs="Arial"/>
          <w:sz w:val="18"/>
          <w:szCs w:val="18"/>
        </w:rPr>
        <w:t>stakeholders and</w:t>
      </w:r>
      <w:r w:rsidR="002F775F">
        <w:rPr>
          <w:rFonts w:cs="Arial"/>
          <w:sz w:val="18"/>
          <w:szCs w:val="18"/>
        </w:rPr>
        <w:t xml:space="preserve"> will also </w:t>
      </w:r>
      <w:r w:rsidR="002F775F" w:rsidRPr="002F775F">
        <w:rPr>
          <w:rFonts w:cs="Arial"/>
          <w:sz w:val="18"/>
          <w:szCs w:val="18"/>
        </w:rPr>
        <w:t>ensure all the Group’s food surplus goes to feed those in need</w:t>
      </w:r>
      <w:r w:rsidR="002F775F">
        <w:rPr>
          <w:rFonts w:cs="Arial"/>
          <w:sz w:val="18"/>
          <w:szCs w:val="18"/>
        </w:rPr>
        <w:t xml:space="preserve">. By </w:t>
      </w:r>
      <w:r w:rsidR="002F775F" w:rsidRPr="002F775F">
        <w:rPr>
          <w:rFonts w:cs="Arial"/>
          <w:sz w:val="18"/>
          <w:szCs w:val="18"/>
        </w:rPr>
        <w:t>2030</w:t>
      </w:r>
      <w:r w:rsidR="002F775F">
        <w:rPr>
          <w:rFonts w:cs="Arial"/>
          <w:sz w:val="18"/>
          <w:szCs w:val="18"/>
        </w:rPr>
        <w:t>, the Group commits</w:t>
      </w:r>
      <w:r w:rsidR="002F775F" w:rsidRPr="002F775F">
        <w:rPr>
          <w:rFonts w:cs="Arial"/>
          <w:sz w:val="18"/>
          <w:szCs w:val="18"/>
        </w:rPr>
        <w:t xml:space="preserve"> to reduce the average meat content across the Group’s product portfolio by 30%, in line with the recommendations of the National Food Strategy</w:t>
      </w:r>
      <w:r w:rsidR="009E3491">
        <w:rPr>
          <w:rFonts w:cs="Arial"/>
          <w:sz w:val="18"/>
          <w:szCs w:val="18"/>
        </w:rPr>
        <w:t>.</w:t>
      </w:r>
    </w:p>
    <w:p w14:paraId="4B315D11" w14:textId="77777777" w:rsidR="00206D8A" w:rsidRDefault="00206D8A" w:rsidP="00CA6373">
      <w:pPr>
        <w:jc w:val="both"/>
        <w:rPr>
          <w:rFonts w:cs="Arial"/>
          <w:sz w:val="18"/>
          <w:szCs w:val="18"/>
        </w:rPr>
      </w:pPr>
    </w:p>
    <w:p w14:paraId="0D5B5A4D" w14:textId="77777777" w:rsidR="00473DCA" w:rsidRPr="00CB7CCC" w:rsidRDefault="00473DCA" w:rsidP="00473DCA">
      <w:pPr>
        <w:jc w:val="both"/>
        <w:rPr>
          <w:rFonts w:cs="Arial"/>
          <w:b/>
          <w:sz w:val="20"/>
          <w:szCs w:val="18"/>
        </w:rPr>
      </w:pPr>
      <w:r w:rsidRPr="00CB7CCC">
        <w:rPr>
          <w:rFonts w:cs="Arial"/>
          <w:b/>
          <w:sz w:val="20"/>
          <w:szCs w:val="18"/>
        </w:rPr>
        <w:t>OPERATING REVIEW</w:t>
      </w:r>
      <w:r>
        <w:rPr>
          <w:rFonts w:cs="Arial"/>
          <w:b/>
          <w:sz w:val="20"/>
          <w:szCs w:val="18"/>
        </w:rPr>
        <w:t xml:space="preserve"> </w:t>
      </w:r>
      <w:r w:rsidRPr="00CB7CCC">
        <w:rPr>
          <w:rFonts w:cs="Arial"/>
          <w:b/>
          <w:sz w:val="20"/>
          <w:szCs w:val="18"/>
          <w:vertAlign w:val="superscript"/>
        </w:rPr>
        <w:t>1</w:t>
      </w:r>
    </w:p>
    <w:p w14:paraId="04A401A9" w14:textId="77777777" w:rsidR="00473DCA" w:rsidRDefault="00473DCA" w:rsidP="00473DCA">
      <w:pPr>
        <w:jc w:val="both"/>
        <w:rPr>
          <w:rFonts w:cs="Arial"/>
          <w:b/>
          <w:sz w:val="18"/>
          <w:szCs w:val="18"/>
          <w:u w:val="single"/>
        </w:rPr>
      </w:pPr>
    </w:p>
    <w:p w14:paraId="22E06106" w14:textId="77777777" w:rsidR="00473DCA" w:rsidRPr="00CB7CCC" w:rsidRDefault="00473DCA" w:rsidP="00473DCA">
      <w:pPr>
        <w:jc w:val="both"/>
        <w:rPr>
          <w:rFonts w:cs="Arial"/>
          <w:b/>
          <w:sz w:val="18"/>
          <w:szCs w:val="18"/>
          <w:u w:val="single"/>
        </w:rPr>
      </w:pPr>
      <w:r w:rsidRPr="00CB7CCC">
        <w:rPr>
          <w:rFonts w:cs="Arial"/>
          <w:b/>
          <w:sz w:val="18"/>
          <w:szCs w:val="18"/>
          <w:u w:val="single"/>
        </w:rPr>
        <w:t>Convenience Foods UK &amp; Ireland</w:t>
      </w:r>
    </w:p>
    <w:p w14:paraId="14F6F89A" w14:textId="77777777" w:rsidR="00473DCA" w:rsidRPr="00CB7CCC" w:rsidRDefault="00473DCA" w:rsidP="00473DCA">
      <w:pPr>
        <w:jc w:val="both"/>
        <w:rPr>
          <w:rFonts w:cs="Arial"/>
          <w:b/>
          <w:sz w:val="18"/>
          <w:szCs w:val="18"/>
          <w:u w:val="single"/>
        </w:rPr>
      </w:pP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736"/>
        <w:gridCol w:w="1737"/>
        <w:gridCol w:w="1736"/>
        <w:gridCol w:w="1737"/>
      </w:tblGrid>
      <w:tr w:rsidR="00473DCA" w:rsidRPr="00CB7CCC" w14:paraId="1B85B76B" w14:textId="77777777" w:rsidTr="008E46B3">
        <w:tc>
          <w:tcPr>
            <w:tcW w:w="2835" w:type="dxa"/>
          </w:tcPr>
          <w:p w14:paraId="61ABE21E" w14:textId="77777777" w:rsidR="00473DCA" w:rsidRPr="00CB7CCC" w:rsidRDefault="00473DCA" w:rsidP="008E46B3">
            <w:pPr>
              <w:jc w:val="both"/>
              <w:rPr>
                <w:rFonts w:cs="Arial"/>
                <w:b/>
                <w:sz w:val="18"/>
                <w:szCs w:val="18"/>
                <w:lang w:val="en-US"/>
              </w:rPr>
            </w:pPr>
            <w:bookmarkStart w:id="3" w:name="_Hlk88043227"/>
          </w:p>
        </w:tc>
        <w:tc>
          <w:tcPr>
            <w:tcW w:w="1736" w:type="dxa"/>
            <w:hideMark/>
          </w:tcPr>
          <w:p w14:paraId="1A0E7F41" w14:textId="77777777" w:rsidR="00473DCA" w:rsidRPr="00CB7CCC" w:rsidRDefault="00473DCA" w:rsidP="008E46B3">
            <w:pPr>
              <w:jc w:val="right"/>
              <w:rPr>
                <w:rFonts w:cs="Arial"/>
                <w:b/>
                <w:sz w:val="18"/>
                <w:szCs w:val="18"/>
                <w:lang w:val="en-US"/>
              </w:rPr>
            </w:pPr>
            <w:r w:rsidRPr="00CB7CCC">
              <w:rPr>
                <w:rFonts w:cs="Arial"/>
                <w:b/>
                <w:sz w:val="18"/>
                <w:szCs w:val="18"/>
                <w:lang w:val="en-US"/>
              </w:rPr>
              <w:t>FY2</w:t>
            </w:r>
            <w:r>
              <w:rPr>
                <w:rFonts w:cs="Arial"/>
                <w:b/>
                <w:sz w:val="18"/>
                <w:szCs w:val="18"/>
                <w:lang w:val="en-US"/>
              </w:rPr>
              <w:t>1</w:t>
            </w:r>
          </w:p>
          <w:p w14:paraId="393498BC" w14:textId="77777777" w:rsidR="00473DCA" w:rsidRPr="00CB7CCC" w:rsidRDefault="00473DCA" w:rsidP="008E46B3">
            <w:pPr>
              <w:jc w:val="right"/>
              <w:rPr>
                <w:rFonts w:cs="Arial"/>
                <w:b/>
                <w:sz w:val="18"/>
                <w:szCs w:val="18"/>
                <w:lang w:val="en-US"/>
              </w:rPr>
            </w:pPr>
            <w:r w:rsidRPr="00CB7CCC">
              <w:rPr>
                <w:rFonts w:cs="Arial"/>
                <w:b/>
                <w:sz w:val="18"/>
                <w:szCs w:val="18"/>
                <w:lang w:val="en-US"/>
              </w:rPr>
              <w:t>£m</w:t>
            </w:r>
          </w:p>
        </w:tc>
        <w:tc>
          <w:tcPr>
            <w:tcW w:w="1737" w:type="dxa"/>
          </w:tcPr>
          <w:p w14:paraId="31D44003" w14:textId="77777777" w:rsidR="00473DCA" w:rsidRPr="00CB7CCC" w:rsidRDefault="00473DCA" w:rsidP="008E46B3">
            <w:pPr>
              <w:jc w:val="right"/>
              <w:rPr>
                <w:rFonts w:cs="Arial"/>
                <w:b/>
                <w:sz w:val="18"/>
                <w:szCs w:val="18"/>
                <w:lang w:val="en-US"/>
              </w:rPr>
            </w:pPr>
            <w:r w:rsidRPr="00CB7CCC">
              <w:rPr>
                <w:rFonts w:cs="Arial"/>
                <w:b/>
                <w:sz w:val="18"/>
                <w:szCs w:val="18"/>
                <w:lang w:val="en-US"/>
              </w:rPr>
              <w:t>FY20</w:t>
            </w:r>
          </w:p>
          <w:p w14:paraId="36A87328" w14:textId="77777777" w:rsidR="00473DCA" w:rsidRPr="00CB7CCC" w:rsidRDefault="00473DCA" w:rsidP="008E46B3">
            <w:pPr>
              <w:jc w:val="right"/>
              <w:rPr>
                <w:rFonts w:cs="Arial"/>
                <w:b/>
                <w:sz w:val="18"/>
                <w:szCs w:val="18"/>
                <w:lang w:val="en-US"/>
              </w:rPr>
            </w:pPr>
            <w:r w:rsidRPr="00CB7CCC">
              <w:rPr>
                <w:rFonts w:cs="Arial"/>
                <w:b/>
                <w:sz w:val="18"/>
                <w:szCs w:val="18"/>
                <w:lang w:val="en-US"/>
              </w:rPr>
              <w:t>£m</w:t>
            </w:r>
          </w:p>
        </w:tc>
        <w:tc>
          <w:tcPr>
            <w:tcW w:w="1736" w:type="dxa"/>
            <w:hideMark/>
          </w:tcPr>
          <w:p w14:paraId="7756849E" w14:textId="77777777" w:rsidR="00473DCA" w:rsidRPr="00CB7CCC" w:rsidRDefault="00473DCA" w:rsidP="008E46B3">
            <w:pPr>
              <w:jc w:val="right"/>
              <w:rPr>
                <w:rFonts w:cs="Arial"/>
                <w:b/>
                <w:sz w:val="18"/>
                <w:szCs w:val="18"/>
                <w:lang w:val="en-US"/>
              </w:rPr>
            </w:pPr>
            <w:r w:rsidRPr="00CB7CCC">
              <w:rPr>
                <w:rFonts w:cs="Arial"/>
                <w:b/>
                <w:sz w:val="18"/>
                <w:szCs w:val="18"/>
                <w:lang w:val="en-US"/>
              </w:rPr>
              <w:t>Change</w:t>
            </w:r>
          </w:p>
          <w:p w14:paraId="4D2A9F5A" w14:textId="77777777" w:rsidR="00473DCA" w:rsidRPr="00CB7CCC" w:rsidRDefault="00473DCA" w:rsidP="008E46B3">
            <w:pPr>
              <w:jc w:val="right"/>
              <w:rPr>
                <w:rFonts w:cs="Arial"/>
                <w:b/>
                <w:sz w:val="18"/>
                <w:szCs w:val="18"/>
                <w:lang w:val="en-US"/>
              </w:rPr>
            </w:pPr>
            <w:r w:rsidRPr="00CB7CCC">
              <w:rPr>
                <w:rFonts w:cs="Arial"/>
                <w:b/>
                <w:sz w:val="18"/>
                <w:szCs w:val="18"/>
                <w:lang w:val="en-US"/>
              </w:rPr>
              <w:t>(As reported)</w:t>
            </w:r>
          </w:p>
        </w:tc>
        <w:tc>
          <w:tcPr>
            <w:tcW w:w="1737" w:type="dxa"/>
            <w:hideMark/>
          </w:tcPr>
          <w:p w14:paraId="77302692" w14:textId="77777777" w:rsidR="00473DCA" w:rsidRPr="00CB7CCC" w:rsidRDefault="00473DCA" w:rsidP="008E46B3">
            <w:pPr>
              <w:jc w:val="right"/>
              <w:rPr>
                <w:rFonts w:cs="Arial"/>
                <w:b/>
                <w:sz w:val="18"/>
                <w:szCs w:val="18"/>
                <w:lang w:val="en-US"/>
              </w:rPr>
            </w:pPr>
            <w:r w:rsidRPr="00CB7CCC">
              <w:rPr>
                <w:rFonts w:cs="Arial"/>
                <w:b/>
                <w:sz w:val="18"/>
                <w:szCs w:val="18"/>
                <w:lang w:val="en-US"/>
              </w:rPr>
              <w:t>Change</w:t>
            </w:r>
          </w:p>
          <w:p w14:paraId="0D4497F1" w14:textId="77777777" w:rsidR="00473DCA" w:rsidRPr="00CB7CCC" w:rsidRDefault="00473DCA" w:rsidP="008E46B3">
            <w:pPr>
              <w:jc w:val="right"/>
              <w:rPr>
                <w:rFonts w:cs="Arial"/>
                <w:b/>
                <w:sz w:val="18"/>
                <w:szCs w:val="18"/>
                <w:lang w:val="en-US"/>
              </w:rPr>
            </w:pPr>
            <w:r w:rsidRPr="00CB7CCC">
              <w:rPr>
                <w:rFonts w:cs="Arial"/>
                <w:b/>
                <w:sz w:val="18"/>
                <w:szCs w:val="18"/>
                <w:lang w:val="en-US"/>
              </w:rPr>
              <w:t>(Pro Forma basis)</w:t>
            </w:r>
          </w:p>
        </w:tc>
      </w:tr>
      <w:tr w:rsidR="00473DCA" w:rsidRPr="00CB7CCC" w14:paraId="02E7ECB0" w14:textId="77777777" w:rsidTr="008E46B3">
        <w:tc>
          <w:tcPr>
            <w:tcW w:w="2835" w:type="dxa"/>
            <w:hideMark/>
          </w:tcPr>
          <w:p w14:paraId="73DA468E" w14:textId="77777777" w:rsidR="00473DCA" w:rsidRPr="00CB7CCC" w:rsidRDefault="00473DCA" w:rsidP="008E46B3">
            <w:pPr>
              <w:jc w:val="both"/>
              <w:rPr>
                <w:rFonts w:cs="Arial"/>
                <w:sz w:val="18"/>
                <w:szCs w:val="18"/>
                <w:lang w:val="en-US"/>
              </w:rPr>
            </w:pPr>
            <w:r w:rsidRPr="00CB7CCC">
              <w:rPr>
                <w:rFonts w:cs="Arial"/>
                <w:sz w:val="18"/>
                <w:szCs w:val="18"/>
                <w:lang w:val="en-US"/>
              </w:rPr>
              <w:t>Revenue</w:t>
            </w:r>
          </w:p>
        </w:tc>
        <w:tc>
          <w:tcPr>
            <w:tcW w:w="1736" w:type="dxa"/>
            <w:shd w:val="clear" w:color="auto" w:fill="auto"/>
          </w:tcPr>
          <w:p w14:paraId="17D1A8C1" w14:textId="77777777" w:rsidR="00473DCA" w:rsidRPr="00CB7CCC" w:rsidRDefault="00473DCA" w:rsidP="008E46B3">
            <w:pPr>
              <w:jc w:val="right"/>
              <w:rPr>
                <w:rFonts w:cs="Arial"/>
                <w:sz w:val="18"/>
                <w:szCs w:val="18"/>
                <w:lang w:val="en-US"/>
              </w:rPr>
            </w:pPr>
            <w:r>
              <w:rPr>
                <w:rFonts w:cs="Arial"/>
                <w:sz w:val="18"/>
                <w:szCs w:val="18"/>
                <w:lang w:val="en-US"/>
              </w:rPr>
              <w:t>1,324.8</w:t>
            </w:r>
          </w:p>
        </w:tc>
        <w:tc>
          <w:tcPr>
            <w:tcW w:w="1737" w:type="dxa"/>
          </w:tcPr>
          <w:p w14:paraId="6143AEA1" w14:textId="77777777" w:rsidR="00473DCA" w:rsidRPr="00CB7CCC" w:rsidRDefault="00473DCA" w:rsidP="008E46B3">
            <w:pPr>
              <w:jc w:val="right"/>
              <w:rPr>
                <w:rFonts w:cs="Arial"/>
                <w:sz w:val="18"/>
                <w:szCs w:val="18"/>
                <w:lang w:val="en-US"/>
              </w:rPr>
            </w:pPr>
            <w:r w:rsidRPr="00CB7CCC">
              <w:rPr>
                <w:rFonts w:cs="Arial"/>
                <w:sz w:val="18"/>
                <w:szCs w:val="18"/>
                <w:lang w:val="en-US"/>
              </w:rPr>
              <w:t>1,264.7</w:t>
            </w:r>
          </w:p>
        </w:tc>
        <w:tc>
          <w:tcPr>
            <w:tcW w:w="1736" w:type="dxa"/>
            <w:shd w:val="clear" w:color="auto" w:fill="auto"/>
          </w:tcPr>
          <w:p w14:paraId="7C8F515E" w14:textId="77777777" w:rsidR="00473DCA" w:rsidRPr="00CB7CCC" w:rsidRDefault="00473DCA" w:rsidP="008E46B3">
            <w:pPr>
              <w:jc w:val="right"/>
              <w:rPr>
                <w:rFonts w:cs="Arial"/>
                <w:sz w:val="18"/>
                <w:szCs w:val="18"/>
                <w:lang w:val="en-US"/>
              </w:rPr>
            </w:pPr>
            <w:r>
              <w:rPr>
                <w:rFonts w:cs="Arial"/>
                <w:bCs/>
                <w:sz w:val="18"/>
                <w:szCs w:val="18"/>
                <w:lang w:val="en-US"/>
              </w:rPr>
              <w:t>+4.8</w:t>
            </w:r>
            <w:r w:rsidRPr="00F62309">
              <w:rPr>
                <w:rFonts w:cs="Arial"/>
                <w:bCs/>
                <w:sz w:val="18"/>
                <w:szCs w:val="18"/>
                <w:lang w:val="en-US"/>
              </w:rPr>
              <w:t>%</w:t>
            </w:r>
          </w:p>
        </w:tc>
        <w:tc>
          <w:tcPr>
            <w:tcW w:w="1737" w:type="dxa"/>
          </w:tcPr>
          <w:p w14:paraId="21317F28" w14:textId="77777777" w:rsidR="00473DCA" w:rsidRPr="00CB7CCC" w:rsidRDefault="00473DCA" w:rsidP="008E46B3">
            <w:pPr>
              <w:jc w:val="right"/>
              <w:rPr>
                <w:rFonts w:cs="Arial"/>
                <w:sz w:val="18"/>
                <w:szCs w:val="18"/>
                <w:lang w:val="en-US"/>
              </w:rPr>
            </w:pPr>
            <w:r>
              <w:rPr>
                <w:rFonts w:cs="Arial"/>
                <w:bCs/>
                <w:sz w:val="18"/>
                <w:szCs w:val="18"/>
                <w:lang w:val="en-US"/>
              </w:rPr>
              <w:t>+6.2%</w:t>
            </w:r>
          </w:p>
        </w:tc>
      </w:tr>
      <w:tr w:rsidR="00473DCA" w:rsidRPr="00CB7CCC" w14:paraId="75B3D47F" w14:textId="77777777" w:rsidTr="008E46B3">
        <w:tc>
          <w:tcPr>
            <w:tcW w:w="2835" w:type="dxa"/>
          </w:tcPr>
          <w:p w14:paraId="166FD689" w14:textId="77777777" w:rsidR="00473DCA" w:rsidRPr="00CB7CCC" w:rsidRDefault="00473DCA" w:rsidP="008E46B3">
            <w:pPr>
              <w:jc w:val="both"/>
              <w:rPr>
                <w:rFonts w:cs="Arial"/>
                <w:sz w:val="18"/>
                <w:szCs w:val="18"/>
                <w:lang w:val="en-US"/>
              </w:rPr>
            </w:pPr>
            <w:r w:rsidRPr="00CB7CCC">
              <w:rPr>
                <w:rFonts w:cs="Arial"/>
                <w:sz w:val="18"/>
                <w:szCs w:val="18"/>
                <w:lang w:val="en-US"/>
              </w:rPr>
              <w:t>Group Operating Profit</w:t>
            </w:r>
          </w:p>
        </w:tc>
        <w:tc>
          <w:tcPr>
            <w:tcW w:w="1736" w:type="dxa"/>
            <w:shd w:val="clear" w:color="auto" w:fill="auto"/>
          </w:tcPr>
          <w:p w14:paraId="5B85FAE5" w14:textId="77777777" w:rsidR="00473DCA" w:rsidRPr="00CB7CCC" w:rsidRDefault="00473DCA" w:rsidP="008E46B3">
            <w:pPr>
              <w:jc w:val="right"/>
              <w:rPr>
                <w:rFonts w:cs="Arial"/>
                <w:sz w:val="18"/>
                <w:szCs w:val="18"/>
                <w:lang w:val="en-US"/>
              </w:rPr>
            </w:pPr>
            <w:r>
              <w:rPr>
                <w:rFonts w:cs="Arial"/>
                <w:sz w:val="18"/>
                <w:szCs w:val="18"/>
                <w:lang w:val="en-US"/>
              </w:rPr>
              <w:t>42.8</w:t>
            </w:r>
          </w:p>
        </w:tc>
        <w:tc>
          <w:tcPr>
            <w:tcW w:w="1737" w:type="dxa"/>
          </w:tcPr>
          <w:p w14:paraId="3DF70BB8" w14:textId="77777777" w:rsidR="00473DCA" w:rsidRPr="00CB7CCC" w:rsidRDefault="00473DCA" w:rsidP="008E46B3">
            <w:pPr>
              <w:jc w:val="right"/>
              <w:rPr>
                <w:rFonts w:cs="Arial"/>
                <w:sz w:val="18"/>
                <w:szCs w:val="18"/>
                <w:lang w:val="en-US"/>
              </w:rPr>
            </w:pPr>
            <w:r w:rsidRPr="00CB7CCC">
              <w:rPr>
                <w:rFonts w:cs="Arial"/>
                <w:sz w:val="18"/>
                <w:szCs w:val="18"/>
                <w:lang w:val="en-US"/>
              </w:rPr>
              <w:t>12.9</w:t>
            </w:r>
          </w:p>
        </w:tc>
        <w:tc>
          <w:tcPr>
            <w:tcW w:w="1736" w:type="dxa"/>
            <w:shd w:val="clear" w:color="auto" w:fill="auto"/>
          </w:tcPr>
          <w:p w14:paraId="4989543B" w14:textId="77777777" w:rsidR="00473DCA" w:rsidRPr="00CB7CCC" w:rsidRDefault="00473DCA" w:rsidP="008E46B3">
            <w:pPr>
              <w:jc w:val="right"/>
              <w:rPr>
                <w:rFonts w:cs="Arial"/>
                <w:sz w:val="18"/>
                <w:szCs w:val="18"/>
                <w:lang w:val="en-US"/>
              </w:rPr>
            </w:pPr>
            <w:r>
              <w:rPr>
                <w:rFonts w:cs="Arial"/>
                <w:bCs/>
                <w:sz w:val="18"/>
                <w:szCs w:val="18"/>
                <w:lang w:val="en-US"/>
              </w:rPr>
              <w:t>+231.8%</w:t>
            </w:r>
          </w:p>
        </w:tc>
        <w:tc>
          <w:tcPr>
            <w:tcW w:w="1737" w:type="dxa"/>
          </w:tcPr>
          <w:p w14:paraId="347132BA" w14:textId="77777777" w:rsidR="00473DCA" w:rsidRPr="00CB7CCC" w:rsidRDefault="00473DCA" w:rsidP="008E46B3">
            <w:pPr>
              <w:jc w:val="right"/>
              <w:rPr>
                <w:rFonts w:cs="Arial"/>
                <w:sz w:val="18"/>
                <w:szCs w:val="18"/>
                <w:lang w:val="en-US"/>
              </w:rPr>
            </w:pPr>
          </w:p>
        </w:tc>
      </w:tr>
      <w:tr w:rsidR="00473DCA" w:rsidRPr="00CB7CCC" w14:paraId="7E38E600" w14:textId="77777777" w:rsidTr="008E46B3">
        <w:tc>
          <w:tcPr>
            <w:tcW w:w="2835" w:type="dxa"/>
          </w:tcPr>
          <w:p w14:paraId="0EEBFE8E" w14:textId="77777777" w:rsidR="00473DCA" w:rsidRPr="00CB7CCC" w:rsidRDefault="00473DCA" w:rsidP="008E46B3">
            <w:pPr>
              <w:jc w:val="both"/>
              <w:rPr>
                <w:rFonts w:cs="Arial"/>
                <w:sz w:val="18"/>
                <w:szCs w:val="18"/>
                <w:lang w:val="en-US"/>
              </w:rPr>
            </w:pPr>
            <w:r w:rsidRPr="00CB7CCC">
              <w:rPr>
                <w:rFonts w:cs="Arial"/>
                <w:sz w:val="18"/>
                <w:szCs w:val="18"/>
                <w:lang w:val="en-US"/>
              </w:rPr>
              <w:t>Adjusted Operating Profit</w:t>
            </w:r>
          </w:p>
        </w:tc>
        <w:tc>
          <w:tcPr>
            <w:tcW w:w="1736" w:type="dxa"/>
            <w:shd w:val="clear" w:color="auto" w:fill="auto"/>
          </w:tcPr>
          <w:p w14:paraId="0E914F27" w14:textId="77777777" w:rsidR="00473DCA" w:rsidRPr="00CB7CCC" w:rsidRDefault="00473DCA" w:rsidP="008E46B3">
            <w:pPr>
              <w:jc w:val="right"/>
              <w:rPr>
                <w:rFonts w:cs="Arial"/>
                <w:sz w:val="18"/>
                <w:szCs w:val="18"/>
                <w:lang w:val="en-US"/>
              </w:rPr>
            </w:pPr>
            <w:r>
              <w:rPr>
                <w:rFonts w:cs="Arial"/>
                <w:sz w:val="18"/>
                <w:szCs w:val="18"/>
                <w:lang w:val="en-US"/>
              </w:rPr>
              <w:t>39.0</w:t>
            </w:r>
          </w:p>
        </w:tc>
        <w:tc>
          <w:tcPr>
            <w:tcW w:w="1737" w:type="dxa"/>
          </w:tcPr>
          <w:p w14:paraId="77963C2B" w14:textId="77777777" w:rsidR="00473DCA" w:rsidRPr="00CB7CCC" w:rsidRDefault="00473DCA" w:rsidP="008E46B3">
            <w:pPr>
              <w:jc w:val="right"/>
              <w:rPr>
                <w:rFonts w:cs="Arial"/>
                <w:sz w:val="18"/>
                <w:szCs w:val="18"/>
                <w:lang w:val="en-US"/>
              </w:rPr>
            </w:pPr>
            <w:r w:rsidRPr="00CB7CCC">
              <w:rPr>
                <w:rFonts w:cs="Arial"/>
                <w:sz w:val="18"/>
                <w:szCs w:val="18"/>
                <w:lang w:val="en-US"/>
              </w:rPr>
              <w:t>32.5</w:t>
            </w:r>
          </w:p>
        </w:tc>
        <w:tc>
          <w:tcPr>
            <w:tcW w:w="1736" w:type="dxa"/>
            <w:shd w:val="clear" w:color="auto" w:fill="auto"/>
          </w:tcPr>
          <w:p w14:paraId="598F35E1" w14:textId="77777777" w:rsidR="00473DCA" w:rsidRPr="00CB7CCC" w:rsidRDefault="00473DCA" w:rsidP="008E46B3">
            <w:pPr>
              <w:jc w:val="right"/>
              <w:rPr>
                <w:rFonts w:cs="Arial"/>
                <w:sz w:val="18"/>
                <w:szCs w:val="18"/>
                <w:lang w:val="en-US"/>
              </w:rPr>
            </w:pPr>
            <w:r>
              <w:rPr>
                <w:rFonts w:cs="Arial"/>
                <w:bCs/>
                <w:sz w:val="18"/>
                <w:szCs w:val="18"/>
                <w:lang w:val="en-US"/>
              </w:rPr>
              <w:t>+20.0</w:t>
            </w:r>
            <w:r w:rsidRPr="00F62309">
              <w:rPr>
                <w:rFonts w:cs="Arial"/>
                <w:bCs/>
                <w:sz w:val="18"/>
                <w:szCs w:val="18"/>
                <w:lang w:val="en-US"/>
              </w:rPr>
              <w:t>%</w:t>
            </w:r>
          </w:p>
        </w:tc>
        <w:tc>
          <w:tcPr>
            <w:tcW w:w="1737" w:type="dxa"/>
          </w:tcPr>
          <w:p w14:paraId="6612E71B" w14:textId="77777777" w:rsidR="00473DCA" w:rsidRPr="00CB7CCC" w:rsidRDefault="00473DCA" w:rsidP="008E46B3">
            <w:pPr>
              <w:jc w:val="right"/>
              <w:rPr>
                <w:rFonts w:cs="Arial"/>
                <w:sz w:val="18"/>
                <w:szCs w:val="18"/>
                <w:lang w:val="en-US"/>
              </w:rPr>
            </w:pPr>
          </w:p>
        </w:tc>
      </w:tr>
      <w:tr w:rsidR="00473DCA" w:rsidRPr="00CB7CCC" w14:paraId="63DF0BD8" w14:textId="77777777" w:rsidTr="008E46B3">
        <w:tc>
          <w:tcPr>
            <w:tcW w:w="2835" w:type="dxa"/>
            <w:hideMark/>
          </w:tcPr>
          <w:p w14:paraId="67DC7D1E" w14:textId="77777777" w:rsidR="00473DCA" w:rsidRPr="00CB7CCC" w:rsidRDefault="00473DCA" w:rsidP="008E46B3">
            <w:pPr>
              <w:jc w:val="both"/>
              <w:rPr>
                <w:rFonts w:cs="Arial"/>
                <w:sz w:val="18"/>
                <w:szCs w:val="18"/>
                <w:lang w:val="en-US"/>
              </w:rPr>
            </w:pPr>
            <w:r w:rsidRPr="00CB7CCC">
              <w:rPr>
                <w:rFonts w:cs="Arial"/>
                <w:sz w:val="18"/>
                <w:szCs w:val="18"/>
                <w:lang w:val="en-US"/>
              </w:rPr>
              <w:t>Adjusted Operating Margin %</w:t>
            </w:r>
          </w:p>
        </w:tc>
        <w:tc>
          <w:tcPr>
            <w:tcW w:w="1736" w:type="dxa"/>
            <w:shd w:val="clear" w:color="auto" w:fill="auto"/>
          </w:tcPr>
          <w:p w14:paraId="10B8D020" w14:textId="77777777" w:rsidR="00473DCA" w:rsidRPr="00CB7CCC" w:rsidRDefault="00473DCA" w:rsidP="008E46B3">
            <w:pPr>
              <w:jc w:val="right"/>
              <w:rPr>
                <w:rFonts w:cs="Arial"/>
                <w:sz w:val="18"/>
                <w:szCs w:val="18"/>
                <w:lang w:val="en-US"/>
              </w:rPr>
            </w:pPr>
            <w:r>
              <w:rPr>
                <w:rFonts w:cs="Arial"/>
                <w:sz w:val="18"/>
                <w:szCs w:val="18"/>
                <w:lang w:val="en-US"/>
              </w:rPr>
              <w:t>2.9%</w:t>
            </w:r>
          </w:p>
        </w:tc>
        <w:tc>
          <w:tcPr>
            <w:tcW w:w="1737" w:type="dxa"/>
          </w:tcPr>
          <w:p w14:paraId="1D152881" w14:textId="77777777" w:rsidR="00473DCA" w:rsidRPr="00CB7CCC" w:rsidRDefault="00473DCA" w:rsidP="008E46B3">
            <w:pPr>
              <w:jc w:val="right"/>
              <w:rPr>
                <w:rFonts w:cs="Arial"/>
                <w:sz w:val="18"/>
                <w:szCs w:val="18"/>
                <w:lang w:val="en-US"/>
              </w:rPr>
            </w:pPr>
            <w:r w:rsidRPr="00CB7CCC">
              <w:rPr>
                <w:rFonts w:cs="Arial"/>
                <w:sz w:val="18"/>
                <w:szCs w:val="18"/>
                <w:lang w:val="en-US"/>
              </w:rPr>
              <w:t>2.6%</w:t>
            </w:r>
          </w:p>
        </w:tc>
        <w:tc>
          <w:tcPr>
            <w:tcW w:w="1736" w:type="dxa"/>
            <w:shd w:val="clear" w:color="auto" w:fill="auto"/>
          </w:tcPr>
          <w:p w14:paraId="4FBF9E46" w14:textId="77777777" w:rsidR="00473DCA" w:rsidRPr="00CB7CCC" w:rsidRDefault="00473DCA" w:rsidP="008E46B3">
            <w:pPr>
              <w:jc w:val="right"/>
              <w:rPr>
                <w:rFonts w:cs="Arial"/>
                <w:sz w:val="18"/>
                <w:szCs w:val="18"/>
                <w:lang w:val="en-US"/>
              </w:rPr>
            </w:pPr>
            <w:r>
              <w:rPr>
                <w:rFonts w:cs="Arial"/>
                <w:sz w:val="18"/>
                <w:szCs w:val="18"/>
                <w:lang w:val="en-US"/>
              </w:rPr>
              <w:t>+30bps</w:t>
            </w:r>
          </w:p>
        </w:tc>
        <w:tc>
          <w:tcPr>
            <w:tcW w:w="1737" w:type="dxa"/>
          </w:tcPr>
          <w:p w14:paraId="0527D33A" w14:textId="77777777" w:rsidR="00473DCA" w:rsidRPr="00CB7CCC" w:rsidRDefault="00473DCA" w:rsidP="008E46B3">
            <w:pPr>
              <w:jc w:val="right"/>
              <w:rPr>
                <w:rFonts w:cs="Arial"/>
                <w:sz w:val="18"/>
                <w:szCs w:val="18"/>
                <w:lang w:val="en-US"/>
              </w:rPr>
            </w:pPr>
          </w:p>
        </w:tc>
      </w:tr>
    </w:tbl>
    <w:p w14:paraId="7ED64B03" w14:textId="77777777" w:rsidR="00473DCA" w:rsidRDefault="00473DCA" w:rsidP="00473DCA">
      <w:pPr>
        <w:jc w:val="both"/>
        <w:rPr>
          <w:rFonts w:cs="Arial"/>
          <w:b/>
          <w:sz w:val="18"/>
          <w:szCs w:val="18"/>
        </w:rPr>
      </w:pPr>
    </w:p>
    <w:p w14:paraId="7E08A15B" w14:textId="77777777" w:rsidR="00473DCA" w:rsidRPr="00CB7CCC" w:rsidRDefault="00473DCA" w:rsidP="00473DCA">
      <w:pPr>
        <w:jc w:val="both"/>
        <w:rPr>
          <w:rFonts w:cs="Arial"/>
          <w:b/>
          <w:sz w:val="18"/>
          <w:szCs w:val="1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1376"/>
        <w:gridCol w:w="1376"/>
        <w:gridCol w:w="1376"/>
        <w:gridCol w:w="1376"/>
        <w:gridCol w:w="1377"/>
      </w:tblGrid>
      <w:tr w:rsidR="00473DCA" w:rsidRPr="00CB7CCC" w14:paraId="145ECB01" w14:textId="77777777" w:rsidTr="008E46B3">
        <w:trPr>
          <w:jc w:val="center"/>
        </w:trPr>
        <w:tc>
          <w:tcPr>
            <w:tcW w:w="2895" w:type="dxa"/>
          </w:tcPr>
          <w:p w14:paraId="2C231639" w14:textId="77777777" w:rsidR="00473DCA" w:rsidRPr="00CB7CCC" w:rsidRDefault="00473DCA" w:rsidP="008E46B3">
            <w:pPr>
              <w:jc w:val="both"/>
              <w:rPr>
                <w:rFonts w:cs="Arial"/>
                <w:b/>
                <w:sz w:val="18"/>
                <w:szCs w:val="18"/>
                <w:lang w:val="en-US"/>
              </w:rPr>
            </w:pPr>
          </w:p>
        </w:tc>
        <w:tc>
          <w:tcPr>
            <w:tcW w:w="6881" w:type="dxa"/>
            <w:gridSpan w:val="5"/>
            <w:hideMark/>
          </w:tcPr>
          <w:p w14:paraId="59184D6A" w14:textId="77777777" w:rsidR="00473DCA" w:rsidRPr="00CB7CCC" w:rsidRDefault="00473DCA" w:rsidP="008E46B3">
            <w:pPr>
              <w:tabs>
                <w:tab w:val="left" w:pos="1296"/>
                <w:tab w:val="center" w:pos="2584"/>
              </w:tabs>
              <w:jc w:val="center"/>
              <w:rPr>
                <w:rFonts w:cs="Arial"/>
                <w:b/>
                <w:sz w:val="18"/>
                <w:szCs w:val="18"/>
                <w:lang w:val="en-US"/>
              </w:rPr>
            </w:pPr>
            <w:r w:rsidRPr="00CB7CCC">
              <w:rPr>
                <w:rFonts w:cs="Arial"/>
                <w:b/>
                <w:sz w:val="18"/>
                <w:szCs w:val="18"/>
                <w:lang w:val="en-US"/>
              </w:rPr>
              <w:t>Pro Forma Revenue Growth</w:t>
            </w:r>
            <w:r>
              <w:rPr>
                <w:rFonts w:cs="Arial"/>
                <w:b/>
                <w:sz w:val="18"/>
                <w:szCs w:val="18"/>
                <w:lang w:val="en-US"/>
              </w:rPr>
              <w:t xml:space="preserve"> (versus FY20)</w:t>
            </w:r>
          </w:p>
        </w:tc>
      </w:tr>
      <w:tr w:rsidR="00473DCA" w:rsidRPr="00CB7CCC" w14:paraId="69DDBB7B" w14:textId="77777777" w:rsidTr="008E46B3">
        <w:trPr>
          <w:jc w:val="center"/>
        </w:trPr>
        <w:tc>
          <w:tcPr>
            <w:tcW w:w="2895" w:type="dxa"/>
          </w:tcPr>
          <w:p w14:paraId="139EA3A2" w14:textId="77777777" w:rsidR="00473DCA" w:rsidRPr="00CB7CCC" w:rsidRDefault="00473DCA" w:rsidP="008E46B3">
            <w:pPr>
              <w:jc w:val="both"/>
              <w:rPr>
                <w:rFonts w:cs="Arial"/>
                <w:b/>
                <w:sz w:val="18"/>
                <w:szCs w:val="18"/>
                <w:lang w:val="en-US"/>
              </w:rPr>
            </w:pPr>
          </w:p>
        </w:tc>
        <w:tc>
          <w:tcPr>
            <w:tcW w:w="1376" w:type="dxa"/>
          </w:tcPr>
          <w:p w14:paraId="47F82F27" w14:textId="77777777" w:rsidR="00473DCA" w:rsidRPr="00CB7CCC" w:rsidRDefault="00473DCA" w:rsidP="008E46B3">
            <w:pPr>
              <w:jc w:val="right"/>
              <w:rPr>
                <w:rFonts w:cs="Arial"/>
                <w:b/>
                <w:sz w:val="18"/>
                <w:szCs w:val="18"/>
                <w:lang w:val="en-US"/>
              </w:rPr>
            </w:pPr>
            <w:r w:rsidRPr="00CB7CCC">
              <w:rPr>
                <w:rFonts w:cs="Arial"/>
                <w:b/>
                <w:sz w:val="18"/>
                <w:szCs w:val="18"/>
                <w:lang w:val="en-US"/>
              </w:rPr>
              <w:t>Q1 202</w:t>
            </w:r>
            <w:r>
              <w:rPr>
                <w:rFonts w:cs="Arial"/>
                <w:b/>
                <w:sz w:val="18"/>
                <w:szCs w:val="18"/>
                <w:lang w:val="en-US"/>
              </w:rPr>
              <w:t>1</w:t>
            </w:r>
          </w:p>
        </w:tc>
        <w:tc>
          <w:tcPr>
            <w:tcW w:w="1376" w:type="dxa"/>
          </w:tcPr>
          <w:p w14:paraId="1735D8F1" w14:textId="77777777" w:rsidR="00473DCA" w:rsidRPr="00CB7CCC" w:rsidRDefault="00473DCA" w:rsidP="008E46B3">
            <w:pPr>
              <w:jc w:val="right"/>
              <w:rPr>
                <w:rFonts w:cs="Arial"/>
                <w:b/>
                <w:sz w:val="18"/>
                <w:szCs w:val="18"/>
                <w:lang w:val="en-US"/>
              </w:rPr>
            </w:pPr>
            <w:r w:rsidRPr="00CB7CCC">
              <w:rPr>
                <w:rFonts w:cs="Arial"/>
                <w:b/>
                <w:sz w:val="18"/>
                <w:szCs w:val="18"/>
                <w:lang w:val="en-US"/>
              </w:rPr>
              <w:t>Q2 202</w:t>
            </w:r>
            <w:r>
              <w:rPr>
                <w:rFonts w:cs="Arial"/>
                <w:b/>
                <w:sz w:val="18"/>
                <w:szCs w:val="18"/>
                <w:lang w:val="en-US"/>
              </w:rPr>
              <w:t>1</w:t>
            </w:r>
          </w:p>
        </w:tc>
        <w:tc>
          <w:tcPr>
            <w:tcW w:w="1376" w:type="dxa"/>
          </w:tcPr>
          <w:p w14:paraId="07D04D00" w14:textId="77777777" w:rsidR="00473DCA" w:rsidRPr="00CB7CCC" w:rsidRDefault="00473DCA" w:rsidP="008E46B3">
            <w:pPr>
              <w:jc w:val="right"/>
              <w:rPr>
                <w:rFonts w:cs="Arial"/>
                <w:b/>
                <w:sz w:val="18"/>
                <w:szCs w:val="18"/>
                <w:lang w:val="en-US"/>
              </w:rPr>
            </w:pPr>
            <w:r w:rsidRPr="00CB7CCC">
              <w:rPr>
                <w:rFonts w:cs="Arial"/>
                <w:b/>
                <w:sz w:val="18"/>
                <w:szCs w:val="18"/>
                <w:lang w:val="en-US"/>
              </w:rPr>
              <w:t>Q3 202</w:t>
            </w:r>
            <w:r>
              <w:rPr>
                <w:rFonts w:cs="Arial"/>
                <w:b/>
                <w:sz w:val="18"/>
                <w:szCs w:val="18"/>
                <w:lang w:val="en-US"/>
              </w:rPr>
              <w:t>1</w:t>
            </w:r>
          </w:p>
        </w:tc>
        <w:tc>
          <w:tcPr>
            <w:tcW w:w="1376" w:type="dxa"/>
          </w:tcPr>
          <w:p w14:paraId="5D26BC5C" w14:textId="77777777" w:rsidR="00473DCA" w:rsidRPr="00CB7CCC" w:rsidRDefault="00473DCA" w:rsidP="008E46B3">
            <w:pPr>
              <w:jc w:val="right"/>
              <w:rPr>
                <w:rFonts w:cs="Arial"/>
                <w:b/>
                <w:sz w:val="18"/>
                <w:szCs w:val="18"/>
                <w:lang w:val="en-US"/>
              </w:rPr>
            </w:pPr>
            <w:r w:rsidRPr="00CB7CCC">
              <w:rPr>
                <w:rFonts w:cs="Arial"/>
                <w:b/>
                <w:sz w:val="18"/>
                <w:szCs w:val="18"/>
                <w:lang w:val="en-US"/>
              </w:rPr>
              <w:t>Q4 202</w:t>
            </w:r>
            <w:r>
              <w:rPr>
                <w:rFonts w:cs="Arial"/>
                <w:b/>
                <w:sz w:val="18"/>
                <w:szCs w:val="18"/>
                <w:lang w:val="en-US"/>
              </w:rPr>
              <w:t>1</w:t>
            </w:r>
          </w:p>
        </w:tc>
        <w:tc>
          <w:tcPr>
            <w:tcW w:w="1377" w:type="dxa"/>
          </w:tcPr>
          <w:p w14:paraId="3214FA94" w14:textId="77777777" w:rsidR="00473DCA" w:rsidRPr="00CB7CCC" w:rsidRDefault="00473DCA" w:rsidP="008E46B3">
            <w:pPr>
              <w:jc w:val="right"/>
              <w:rPr>
                <w:rFonts w:cs="Arial"/>
                <w:b/>
                <w:sz w:val="18"/>
                <w:szCs w:val="18"/>
                <w:lang w:val="en-US"/>
              </w:rPr>
            </w:pPr>
            <w:r>
              <w:rPr>
                <w:rFonts w:cs="Arial"/>
                <w:b/>
                <w:sz w:val="18"/>
                <w:szCs w:val="18"/>
                <w:lang w:val="en-US"/>
              </w:rPr>
              <w:t>FY21</w:t>
            </w:r>
          </w:p>
        </w:tc>
      </w:tr>
      <w:tr w:rsidR="00473DCA" w:rsidRPr="00CB7CCC" w14:paraId="4B1F3859" w14:textId="77777777" w:rsidTr="008E46B3">
        <w:trPr>
          <w:jc w:val="center"/>
        </w:trPr>
        <w:tc>
          <w:tcPr>
            <w:tcW w:w="2895" w:type="dxa"/>
            <w:hideMark/>
          </w:tcPr>
          <w:p w14:paraId="7A6E54F7" w14:textId="77777777" w:rsidR="00473DCA" w:rsidRPr="00CB7CCC" w:rsidRDefault="00473DCA" w:rsidP="008E46B3">
            <w:pPr>
              <w:jc w:val="both"/>
              <w:rPr>
                <w:rFonts w:cs="Arial"/>
                <w:sz w:val="18"/>
                <w:szCs w:val="18"/>
                <w:lang w:val="en-US"/>
              </w:rPr>
            </w:pPr>
            <w:r w:rsidRPr="00CB7CCC">
              <w:rPr>
                <w:rFonts w:cs="Arial"/>
                <w:sz w:val="18"/>
                <w:szCs w:val="18"/>
                <w:lang w:val="en-US"/>
              </w:rPr>
              <w:t>Group</w:t>
            </w:r>
          </w:p>
        </w:tc>
        <w:tc>
          <w:tcPr>
            <w:tcW w:w="1376" w:type="dxa"/>
            <w:shd w:val="clear" w:color="auto" w:fill="auto"/>
          </w:tcPr>
          <w:p w14:paraId="75BE8E86" w14:textId="77777777" w:rsidR="00473DCA" w:rsidRPr="00CB7CCC" w:rsidRDefault="00473DCA" w:rsidP="008E46B3">
            <w:pPr>
              <w:jc w:val="right"/>
              <w:rPr>
                <w:rFonts w:cs="Arial"/>
                <w:sz w:val="18"/>
                <w:szCs w:val="18"/>
                <w:lang w:val="en-US"/>
              </w:rPr>
            </w:pPr>
            <w:r>
              <w:rPr>
                <w:rFonts w:cs="Arial"/>
                <w:bCs/>
                <w:sz w:val="18"/>
                <w:szCs w:val="18"/>
                <w:lang w:val="en-US"/>
              </w:rPr>
              <w:t>-15</w:t>
            </w:r>
            <w:r w:rsidRPr="00B56227">
              <w:rPr>
                <w:rFonts w:cs="Arial"/>
                <w:bCs/>
                <w:sz w:val="18"/>
                <w:szCs w:val="18"/>
                <w:lang w:val="en-US"/>
              </w:rPr>
              <w:t>%</w:t>
            </w:r>
          </w:p>
        </w:tc>
        <w:tc>
          <w:tcPr>
            <w:tcW w:w="1376" w:type="dxa"/>
            <w:shd w:val="clear" w:color="auto" w:fill="auto"/>
          </w:tcPr>
          <w:p w14:paraId="2A6EA231" w14:textId="77777777" w:rsidR="00473DCA" w:rsidRPr="00CB7CCC" w:rsidRDefault="00473DCA" w:rsidP="008E46B3">
            <w:pPr>
              <w:jc w:val="right"/>
              <w:rPr>
                <w:rFonts w:cs="Arial"/>
                <w:sz w:val="18"/>
                <w:szCs w:val="18"/>
                <w:lang w:val="en-US"/>
              </w:rPr>
            </w:pPr>
            <w:r>
              <w:rPr>
                <w:rFonts w:cs="Arial"/>
                <w:bCs/>
                <w:sz w:val="18"/>
                <w:szCs w:val="18"/>
                <w:lang w:val="en-US"/>
              </w:rPr>
              <w:t>-22</w:t>
            </w:r>
            <w:r w:rsidRPr="00B56227">
              <w:rPr>
                <w:rFonts w:cs="Arial"/>
                <w:bCs/>
                <w:sz w:val="18"/>
                <w:szCs w:val="18"/>
                <w:lang w:val="en-US"/>
              </w:rPr>
              <w:t>%</w:t>
            </w:r>
          </w:p>
        </w:tc>
        <w:tc>
          <w:tcPr>
            <w:tcW w:w="1376" w:type="dxa"/>
            <w:shd w:val="clear" w:color="auto" w:fill="auto"/>
          </w:tcPr>
          <w:p w14:paraId="715100D9" w14:textId="77777777" w:rsidR="00473DCA" w:rsidRPr="00CB7CCC" w:rsidRDefault="00473DCA" w:rsidP="008E46B3">
            <w:pPr>
              <w:jc w:val="right"/>
              <w:rPr>
                <w:rFonts w:cs="Arial"/>
                <w:sz w:val="18"/>
                <w:szCs w:val="18"/>
                <w:lang w:val="en-US"/>
              </w:rPr>
            </w:pPr>
            <w:r>
              <w:rPr>
                <w:rFonts w:cs="Arial"/>
                <w:bCs/>
                <w:sz w:val="18"/>
                <w:szCs w:val="18"/>
                <w:lang w:val="en-US"/>
              </w:rPr>
              <w:t>+53</w:t>
            </w:r>
            <w:r w:rsidRPr="00B56227">
              <w:rPr>
                <w:rFonts w:cs="Arial"/>
                <w:bCs/>
                <w:sz w:val="18"/>
                <w:szCs w:val="18"/>
                <w:lang w:val="en-US"/>
              </w:rPr>
              <w:t>%</w:t>
            </w:r>
          </w:p>
        </w:tc>
        <w:tc>
          <w:tcPr>
            <w:tcW w:w="1376" w:type="dxa"/>
          </w:tcPr>
          <w:p w14:paraId="4B9A76DF" w14:textId="77777777" w:rsidR="00473DCA" w:rsidRPr="00CB7CCC" w:rsidRDefault="00473DCA" w:rsidP="008E46B3">
            <w:pPr>
              <w:jc w:val="right"/>
              <w:rPr>
                <w:rFonts w:cs="Arial"/>
                <w:sz w:val="18"/>
                <w:szCs w:val="18"/>
                <w:lang w:val="en-US"/>
              </w:rPr>
            </w:pPr>
            <w:r>
              <w:rPr>
                <w:rFonts w:cs="Arial"/>
                <w:bCs/>
                <w:sz w:val="18"/>
                <w:szCs w:val="18"/>
                <w:lang w:val="en-US"/>
              </w:rPr>
              <w:t>+27</w:t>
            </w:r>
            <w:r w:rsidRPr="00B56227">
              <w:rPr>
                <w:rFonts w:cs="Arial"/>
                <w:bCs/>
                <w:sz w:val="18"/>
                <w:szCs w:val="18"/>
                <w:lang w:val="en-US"/>
              </w:rPr>
              <w:t>%</w:t>
            </w:r>
          </w:p>
        </w:tc>
        <w:tc>
          <w:tcPr>
            <w:tcW w:w="1377" w:type="dxa"/>
          </w:tcPr>
          <w:p w14:paraId="7FCF3488" w14:textId="77777777" w:rsidR="00473DCA" w:rsidRPr="00CB7CCC" w:rsidRDefault="00473DCA" w:rsidP="008E46B3">
            <w:pPr>
              <w:jc w:val="right"/>
              <w:rPr>
                <w:rFonts w:cs="Arial"/>
                <w:sz w:val="18"/>
                <w:szCs w:val="18"/>
                <w:lang w:val="en-US"/>
              </w:rPr>
            </w:pPr>
            <w:r>
              <w:rPr>
                <w:rFonts w:cs="Arial"/>
                <w:bCs/>
                <w:sz w:val="18"/>
                <w:szCs w:val="18"/>
                <w:lang w:val="en-US"/>
              </w:rPr>
              <w:t>+6</w:t>
            </w:r>
            <w:r w:rsidRPr="00B56227">
              <w:rPr>
                <w:rFonts w:cs="Arial"/>
                <w:bCs/>
                <w:sz w:val="18"/>
                <w:szCs w:val="18"/>
                <w:lang w:val="en-US"/>
              </w:rPr>
              <w:t>%</w:t>
            </w:r>
          </w:p>
        </w:tc>
      </w:tr>
      <w:tr w:rsidR="00473DCA" w:rsidRPr="00CB7CCC" w14:paraId="0608343D" w14:textId="77777777" w:rsidTr="008E46B3">
        <w:trPr>
          <w:jc w:val="center"/>
        </w:trPr>
        <w:tc>
          <w:tcPr>
            <w:tcW w:w="2895" w:type="dxa"/>
          </w:tcPr>
          <w:p w14:paraId="07C17A63" w14:textId="77777777" w:rsidR="00473DCA" w:rsidRPr="00CB7CCC" w:rsidRDefault="00473DCA" w:rsidP="008E46B3">
            <w:pPr>
              <w:jc w:val="both"/>
              <w:rPr>
                <w:rFonts w:cs="Arial"/>
                <w:sz w:val="18"/>
                <w:szCs w:val="18"/>
                <w:lang w:val="en-US"/>
              </w:rPr>
            </w:pPr>
            <w:r w:rsidRPr="00CB7CCC">
              <w:rPr>
                <w:rFonts w:cs="Arial"/>
                <w:sz w:val="18"/>
                <w:szCs w:val="18"/>
                <w:lang w:val="en-US"/>
              </w:rPr>
              <w:t>Food to go categories</w:t>
            </w:r>
          </w:p>
        </w:tc>
        <w:tc>
          <w:tcPr>
            <w:tcW w:w="1376" w:type="dxa"/>
            <w:shd w:val="clear" w:color="auto" w:fill="auto"/>
          </w:tcPr>
          <w:p w14:paraId="2480E974" w14:textId="77777777" w:rsidR="00473DCA" w:rsidRPr="00CB7CCC" w:rsidRDefault="00473DCA" w:rsidP="008E46B3">
            <w:pPr>
              <w:jc w:val="right"/>
              <w:rPr>
                <w:rFonts w:cs="Arial"/>
                <w:sz w:val="18"/>
                <w:szCs w:val="18"/>
                <w:lang w:val="en-US"/>
              </w:rPr>
            </w:pPr>
            <w:r>
              <w:rPr>
                <w:rFonts w:cs="Arial"/>
                <w:bCs/>
                <w:sz w:val="18"/>
                <w:szCs w:val="18"/>
                <w:lang w:val="en-US"/>
              </w:rPr>
              <w:t>-22</w:t>
            </w:r>
            <w:r w:rsidRPr="00B56227">
              <w:rPr>
                <w:rFonts w:cs="Arial"/>
                <w:bCs/>
                <w:sz w:val="18"/>
                <w:szCs w:val="18"/>
                <w:lang w:val="en-US"/>
              </w:rPr>
              <w:t>%</w:t>
            </w:r>
          </w:p>
        </w:tc>
        <w:tc>
          <w:tcPr>
            <w:tcW w:w="1376" w:type="dxa"/>
            <w:shd w:val="clear" w:color="auto" w:fill="auto"/>
          </w:tcPr>
          <w:p w14:paraId="0088D78B" w14:textId="77777777" w:rsidR="00473DCA" w:rsidRPr="00CB7CCC" w:rsidRDefault="00473DCA" w:rsidP="008E46B3">
            <w:pPr>
              <w:jc w:val="right"/>
              <w:rPr>
                <w:rFonts w:cs="Arial"/>
                <w:sz w:val="18"/>
                <w:szCs w:val="18"/>
                <w:lang w:val="en-US"/>
              </w:rPr>
            </w:pPr>
            <w:r>
              <w:rPr>
                <w:rFonts w:cs="Arial"/>
                <w:bCs/>
                <w:sz w:val="18"/>
                <w:szCs w:val="18"/>
                <w:lang w:val="en-US"/>
              </w:rPr>
              <w:t>-30</w:t>
            </w:r>
            <w:r w:rsidRPr="00B56227">
              <w:rPr>
                <w:rFonts w:cs="Arial"/>
                <w:bCs/>
                <w:sz w:val="18"/>
                <w:szCs w:val="18"/>
                <w:lang w:val="en-US"/>
              </w:rPr>
              <w:t>%</w:t>
            </w:r>
          </w:p>
        </w:tc>
        <w:tc>
          <w:tcPr>
            <w:tcW w:w="1376" w:type="dxa"/>
            <w:shd w:val="clear" w:color="auto" w:fill="auto"/>
          </w:tcPr>
          <w:p w14:paraId="1CC19F27" w14:textId="77777777" w:rsidR="00473DCA" w:rsidRPr="00CB7CCC" w:rsidRDefault="00473DCA" w:rsidP="008E46B3">
            <w:pPr>
              <w:jc w:val="right"/>
              <w:rPr>
                <w:rFonts w:cs="Arial"/>
                <w:sz w:val="18"/>
                <w:szCs w:val="18"/>
                <w:lang w:val="en-US"/>
              </w:rPr>
            </w:pPr>
            <w:r>
              <w:rPr>
                <w:rFonts w:cs="Arial"/>
                <w:bCs/>
                <w:sz w:val="18"/>
                <w:szCs w:val="18"/>
                <w:lang w:val="en-US"/>
              </w:rPr>
              <w:t>+91</w:t>
            </w:r>
            <w:r w:rsidRPr="00B56227">
              <w:rPr>
                <w:rFonts w:cs="Arial"/>
                <w:bCs/>
                <w:sz w:val="18"/>
                <w:szCs w:val="18"/>
                <w:lang w:val="en-US"/>
              </w:rPr>
              <w:t>%</w:t>
            </w:r>
          </w:p>
        </w:tc>
        <w:tc>
          <w:tcPr>
            <w:tcW w:w="1376" w:type="dxa"/>
          </w:tcPr>
          <w:p w14:paraId="4B0362BA" w14:textId="77777777" w:rsidR="00473DCA" w:rsidRPr="00CB7CCC" w:rsidRDefault="00473DCA" w:rsidP="008E46B3">
            <w:pPr>
              <w:jc w:val="right"/>
              <w:rPr>
                <w:rFonts w:cs="Arial"/>
                <w:sz w:val="18"/>
                <w:szCs w:val="18"/>
                <w:lang w:val="en-US"/>
              </w:rPr>
            </w:pPr>
            <w:r>
              <w:rPr>
                <w:rFonts w:cs="Arial"/>
                <w:bCs/>
                <w:sz w:val="18"/>
                <w:szCs w:val="18"/>
                <w:lang w:val="en-US"/>
              </w:rPr>
              <w:t>+38</w:t>
            </w:r>
            <w:r w:rsidRPr="00B56227">
              <w:rPr>
                <w:rFonts w:cs="Arial"/>
                <w:bCs/>
                <w:sz w:val="18"/>
                <w:szCs w:val="18"/>
                <w:lang w:val="en-US"/>
              </w:rPr>
              <w:t>%</w:t>
            </w:r>
          </w:p>
        </w:tc>
        <w:tc>
          <w:tcPr>
            <w:tcW w:w="1377" w:type="dxa"/>
          </w:tcPr>
          <w:p w14:paraId="5BEF4A74" w14:textId="77777777" w:rsidR="00473DCA" w:rsidRPr="00CB7CCC" w:rsidRDefault="00473DCA" w:rsidP="008E46B3">
            <w:pPr>
              <w:jc w:val="right"/>
              <w:rPr>
                <w:rFonts w:cs="Arial"/>
                <w:sz w:val="18"/>
                <w:szCs w:val="18"/>
                <w:lang w:val="en-US"/>
              </w:rPr>
            </w:pPr>
            <w:r>
              <w:rPr>
                <w:rFonts w:cs="Arial"/>
                <w:bCs/>
                <w:sz w:val="18"/>
                <w:szCs w:val="18"/>
                <w:lang w:val="en-US"/>
              </w:rPr>
              <w:t>+9</w:t>
            </w:r>
            <w:r w:rsidRPr="00B56227">
              <w:rPr>
                <w:rFonts w:cs="Arial"/>
                <w:bCs/>
                <w:sz w:val="18"/>
                <w:szCs w:val="18"/>
                <w:lang w:val="en-US"/>
              </w:rPr>
              <w:t>%</w:t>
            </w:r>
          </w:p>
        </w:tc>
      </w:tr>
      <w:tr w:rsidR="00473DCA" w:rsidRPr="00CB7CCC" w14:paraId="1F8AB629" w14:textId="77777777" w:rsidTr="008E46B3">
        <w:trPr>
          <w:jc w:val="center"/>
        </w:trPr>
        <w:tc>
          <w:tcPr>
            <w:tcW w:w="2895" w:type="dxa"/>
            <w:hideMark/>
          </w:tcPr>
          <w:p w14:paraId="03C8B173" w14:textId="77777777" w:rsidR="00473DCA" w:rsidRPr="00CB7CCC" w:rsidRDefault="00473DCA" w:rsidP="008E46B3">
            <w:pPr>
              <w:jc w:val="both"/>
              <w:rPr>
                <w:rFonts w:cs="Arial"/>
                <w:sz w:val="18"/>
                <w:szCs w:val="18"/>
                <w:lang w:val="en-US"/>
              </w:rPr>
            </w:pPr>
            <w:r w:rsidRPr="00CB7CCC">
              <w:rPr>
                <w:rFonts w:cs="Arial"/>
                <w:sz w:val="18"/>
                <w:szCs w:val="18"/>
                <w:lang w:val="en-US"/>
              </w:rPr>
              <w:t>Other convenience food categories</w:t>
            </w:r>
          </w:p>
        </w:tc>
        <w:tc>
          <w:tcPr>
            <w:tcW w:w="1376" w:type="dxa"/>
            <w:shd w:val="clear" w:color="auto" w:fill="auto"/>
          </w:tcPr>
          <w:p w14:paraId="454C3F7A" w14:textId="77777777" w:rsidR="00473DCA" w:rsidRPr="00CB7CCC" w:rsidRDefault="00473DCA" w:rsidP="008E46B3">
            <w:pPr>
              <w:jc w:val="right"/>
              <w:rPr>
                <w:rFonts w:cs="Arial"/>
                <w:sz w:val="18"/>
                <w:szCs w:val="18"/>
                <w:lang w:val="en-US"/>
              </w:rPr>
            </w:pPr>
            <w:r>
              <w:rPr>
                <w:rFonts w:cs="Arial"/>
                <w:bCs/>
                <w:sz w:val="18"/>
                <w:szCs w:val="18"/>
                <w:lang w:val="en-US"/>
              </w:rPr>
              <w:t>-2</w:t>
            </w:r>
            <w:r w:rsidRPr="00B56227">
              <w:rPr>
                <w:rFonts w:cs="Arial"/>
                <w:bCs/>
                <w:sz w:val="18"/>
                <w:szCs w:val="18"/>
                <w:lang w:val="en-US"/>
              </w:rPr>
              <w:t>%</w:t>
            </w:r>
          </w:p>
        </w:tc>
        <w:tc>
          <w:tcPr>
            <w:tcW w:w="1376" w:type="dxa"/>
            <w:shd w:val="clear" w:color="auto" w:fill="auto"/>
          </w:tcPr>
          <w:p w14:paraId="192BF5BA" w14:textId="77777777" w:rsidR="00473DCA" w:rsidRPr="00CB7CCC" w:rsidRDefault="00473DCA" w:rsidP="008E46B3">
            <w:pPr>
              <w:jc w:val="right"/>
              <w:rPr>
                <w:rFonts w:cs="Arial"/>
                <w:sz w:val="18"/>
                <w:szCs w:val="18"/>
                <w:lang w:val="en-US"/>
              </w:rPr>
            </w:pPr>
            <w:r>
              <w:rPr>
                <w:rFonts w:cs="Arial"/>
                <w:bCs/>
                <w:sz w:val="18"/>
                <w:szCs w:val="18"/>
                <w:lang w:val="en-US"/>
              </w:rPr>
              <w:t>-9</w:t>
            </w:r>
            <w:r w:rsidRPr="00B56227">
              <w:rPr>
                <w:rFonts w:cs="Arial"/>
                <w:bCs/>
                <w:sz w:val="18"/>
                <w:szCs w:val="18"/>
                <w:lang w:val="en-US"/>
              </w:rPr>
              <w:t>%</w:t>
            </w:r>
          </w:p>
        </w:tc>
        <w:tc>
          <w:tcPr>
            <w:tcW w:w="1376" w:type="dxa"/>
            <w:shd w:val="clear" w:color="auto" w:fill="auto"/>
          </w:tcPr>
          <w:p w14:paraId="467EA235" w14:textId="77777777" w:rsidR="00473DCA" w:rsidRPr="00CB7CCC" w:rsidRDefault="00473DCA" w:rsidP="008E46B3">
            <w:pPr>
              <w:jc w:val="right"/>
              <w:rPr>
                <w:rFonts w:cs="Arial"/>
                <w:sz w:val="18"/>
                <w:szCs w:val="18"/>
                <w:lang w:val="en-US"/>
              </w:rPr>
            </w:pPr>
            <w:r>
              <w:rPr>
                <w:rFonts w:cs="Arial"/>
                <w:bCs/>
                <w:sz w:val="18"/>
                <w:szCs w:val="18"/>
                <w:lang w:val="en-US"/>
              </w:rPr>
              <w:t>+11</w:t>
            </w:r>
            <w:r w:rsidRPr="00B56227">
              <w:rPr>
                <w:rFonts w:cs="Arial"/>
                <w:bCs/>
                <w:sz w:val="18"/>
                <w:szCs w:val="18"/>
                <w:lang w:val="en-US"/>
              </w:rPr>
              <w:t>%</w:t>
            </w:r>
          </w:p>
        </w:tc>
        <w:tc>
          <w:tcPr>
            <w:tcW w:w="1376" w:type="dxa"/>
          </w:tcPr>
          <w:p w14:paraId="0321A998" w14:textId="77777777" w:rsidR="00473DCA" w:rsidRPr="00CB7CCC" w:rsidRDefault="00473DCA" w:rsidP="008E46B3">
            <w:pPr>
              <w:jc w:val="right"/>
              <w:rPr>
                <w:rFonts w:cs="Arial"/>
                <w:sz w:val="18"/>
                <w:szCs w:val="18"/>
                <w:lang w:val="en-US"/>
              </w:rPr>
            </w:pPr>
            <w:r>
              <w:rPr>
                <w:rFonts w:cs="Arial"/>
                <w:bCs/>
                <w:sz w:val="18"/>
                <w:szCs w:val="18"/>
                <w:lang w:val="en-US"/>
              </w:rPr>
              <w:t>+8</w:t>
            </w:r>
            <w:r w:rsidRPr="00B56227">
              <w:rPr>
                <w:rFonts w:cs="Arial"/>
                <w:bCs/>
                <w:sz w:val="18"/>
                <w:szCs w:val="18"/>
                <w:lang w:val="en-US"/>
              </w:rPr>
              <w:t>%</w:t>
            </w:r>
          </w:p>
        </w:tc>
        <w:tc>
          <w:tcPr>
            <w:tcW w:w="1377" w:type="dxa"/>
          </w:tcPr>
          <w:p w14:paraId="3D73D3A2" w14:textId="77777777" w:rsidR="00473DCA" w:rsidRPr="00CB7CCC" w:rsidRDefault="00473DCA" w:rsidP="008E46B3">
            <w:pPr>
              <w:jc w:val="right"/>
              <w:rPr>
                <w:rFonts w:cs="Arial"/>
                <w:sz w:val="18"/>
                <w:szCs w:val="18"/>
                <w:lang w:val="en-US"/>
              </w:rPr>
            </w:pPr>
            <w:r>
              <w:rPr>
                <w:rFonts w:cs="Arial"/>
                <w:bCs/>
                <w:sz w:val="18"/>
                <w:szCs w:val="18"/>
                <w:lang w:val="en-US"/>
              </w:rPr>
              <w:t>+2</w:t>
            </w:r>
            <w:r w:rsidRPr="00B56227">
              <w:rPr>
                <w:rFonts w:cs="Arial"/>
                <w:bCs/>
                <w:sz w:val="18"/>
                <w:szCs w:val="18"/>
                <w:lang w:val="en-US"/>
              </w:rPr>
              <w:t>%</w:t>
            </w:r>
          </w:p>
        </w:tc>
      </w:tr>
    </w:tbl>
    <w:p w14:paraId="277B183D" w14:textId="77777777" w:rsidR="00473DCA" w:rsidRDefault="00473DCA" w:rsidP="00473DCA">
      <w:pPr>
        <w:jc w:val="both"/>
        <w:rPr>
          <w:rFonts w:cs="Arial"/>
          <w:b/>
          <w:sz w:val="18"/>
          <w:szCs w:val="18"/>
        </w:rPr>
      </w:pPr>
    </w:p>
    <w:p w14:paraId="385DB1BB" w14:textId="77777777" w:rsidR="00473DCA" w:rsidRPr="00CB7CCC" w:rsidRDefault="00473DCA" w:rsidP="00473DCA">
      <w:pPr>
        <w:jc w:val="both"/>
        <w:rPr>
          <w:rFonts w:cs="Arial"/>
          <w:b/>
          <w:sz w:val="18"/>
          <w:szCs w:val="1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1376"/>
        <w:gridCol w:w="1376"/>
        <w:gridCol w:w="1376"/>
        <w:gridCol w:w="1376"/>
        <w:gridCol w:w="1377"/>
      </w:tblGrid>
      <w:tr w:rsidR="00473DCA" w:rsidRPr="00CB7CCC" w14:paraId="6C33EE0A" w14:textId="77777777" w:rsidTr="008E46B3">
        <w:trPr>
          <w:jc w:val="center"/>
        </w:trPr>
        <w:tc>
          <w:tcPr>
            <w:tcW w:w="2895" w:type="dxa"/>
          </w:tcPr>
          <w:p w14:paraId="7D78170A" w14:textId="77777777" w:rsidR="00473DCA" w:rsidRPr="00CB7CCC" w:rsidRDefault="00473DCA" w:rsidP="008E46B3">
            <w:pPr>
              <w:jc w:val="both"/>
              <w:rPr>
                <w:rFonts w:cs="Arial"/>
                <w:b/>
                <w:sz w:val="18"/>
                <w:szCs w:val="18"/>
                <w:lang w:val="en-US"/>
              </w:rPr>
            </w:pPr>
          </w:p>
        </w:tc>
        <w:tc>
          <w:tcPr>
            <w:tcW w:w="6881" w:type="dxa"/>
            <w:gridSpan w:val="5"/>
            <w:hideMark/>
          </w:tcPr>
          <w:p w14:paraId="0318DF1C" w14:textId="77777777" w:rsidR="00473DCA" w:rsidRPr="00CB7CCC" w:rsidRDefault="00473DCA" w:rsidP="008E46B3">
            <w:pPr>
              <w:tabs>
                <w:tab w:val="left" w:pos="1296"/>
                <w:tab w:val="center" w:pos="2584"/>
              </w:tabs>
              <w:jc w:val="center"/>
              <w:rPr>
                <w:rFonts w:cs="Arial"/>
                <w:b/>
                <w:sz w:val="18"/>
                <w:szCs w:val="18"/>
                <w:lang w:val="en-US"/>
              </w:rPr>
            </w:pPr>
            <w:r w:rsidRPr="00CB7CCC">
              <w:rPr>
                <w:rFonts w:cs="Arial"/>
                <w:b/>
                <w:sz w:val="18"/>
                <w:szCs w:val="18"/>
                <w:lang w:val="en-US"/>
              </w:rPr>
              <w:t>Pro Forma Revenue Growth</w:t>
            </w:r>
            <w:r>
              <w:rPr>
                <w:rFonts w:cs="Arial"/>
                <w:b/>
                <w:sz w:val="18"/>
                <w:szCs w:val="18"/>
                <w:lang w:val="en-US"/>
              </w:rPr>
              <w:t xml:space="preserve"> (versus FY19)</w:t>
            </w:r>
          </w:p>
        </w:tc>
      </w:tr>
      <w:tr w:rsidR="00473DCA" w:rsidRPr="00CB7CCC" w14:paraId="4DB5088F" w14:textId="77777777" w:rsidTr="008E46B3">
        <w:trPr>
          <w:jc w:val="center"/>
        </w:trPr>
        <w:tc>
          <w:tcPr>
            <w:tcW w:w="2895" w:type="dxa"/>
          </w:tcPr>
          <w:p w14:paraId="1F3FF0AB" w14:textId="77777777" w:rsidR="00473DCA" w:rsidRPr="00CB7CCC" w:rsidRDefault="00473DCA" w:rsidP="008E46B3">
            <w:pPr>
              <w:jc w:val="both"/>
              <w:rPr>
                <w:rFonts w:cs="Arial"/>
                <w:b/>
                <w:sz w:val="18"/>
                <w:szCs w:val="18"/>
                <w:lang w:val="en-US"/>
              </w:rPr>
            </w:pPr>
          </w:p>
        </w:tc>
        <w:tc>
          <w:tcPr>
            <w:tcW w:w="1376" w:type="dxa"/>
          </w:tcPr>
          <w:p w14:paraId="7300A46A" w14:textId="77777777" w:rsidR="00473DCA" w:rsidRPr="00CB7CCC" w:rsidRDefault="00473DCA" w:rsidP="008E46B3">
            <w:pPr>
              <w:jc w:val="right"/>
              <w:rPr>
                <w:rFonts w:cs="Arial"/>
                <w:b/>
                <w:sz w:val="18"/>
                <w:szCs w:val="18"/>
                <w:lang w:val="en-US"/>
              </w:rPr>
            </w:pPr>
            <w:r w:rsidRPr="00CB7CCC">
              <w:rPr>
                <w:rFonts w:cs="Arial"/>
                <w:b/>
                <w:sz w:val="18"/>
                <w:szCs w:val="18"/>
                <w:lang w:val="en-US"/>
              </w:rPr>
              <w:t>Q1 202</w:t>
            </w:r>
            <w:r>
              <w:rPr>
                <w:rFonts w:cs="Arial"/>
                <w:b/>
                <w:sz w:val="18"/>
                <w:szCs w:val="18"/>
                <w:lang w:val="en-US"/>
              </w:rPr>
              <w:t>1</w:t>
            </w:r>
          </w:p>
        </w:tc>
        <w:tc>
          <w:tcPr>
            <w:tcW w:w="1376" w:type="dxa"/>
          </w:tcPr>
          <w:p w14:paraId="7AB05D9B" w14:textId="77777777" w:rsidR="00473DCA" w:rsidRPr="00CB7CCC" w:rsidRDefault="00473DCA" w:rsidP="008E46B3">
            <w:pPr>
              <w:jc w:val="right"/>
              <w:rPr>
                <w:rFonts w:cs="Arial"/>
                <w:b/>
                <w:sz w:val="18"/>
                <w:szCs w:val="18"/>
                <w:lang w:val="en-US"/>
              </w:rPr>
            </w:pPr>
            <w:r w:rsidRPr="00CB7CCC">
              <w:rPr>
                <w:rFonts w:cs="Arial"/>
                <w:b/>
                <w:sz w:val="18"/>
                <w:szCs w:val="18"/>
                <w:lang w:val="en-US"/>
              </w:rPr>
              <w:t>Q2 202</w:t>
            </w:r>
            <w:r>
              <w:rPr>
                <w:rFonts w:cs="Arial"/>
                <w:b/>
                <w:sz w:val="18"/>
                <w:szCs w:val="18"/>
                <w:lang w:val="en-US"/>
              </w:rPr>
              <w:t>1</w:t>
            </w:r>
          </w:p>
        </w:tc>
        <w:tc>
          <w:tcPr>
            <w:tcW w:w="1376" w:type="dxa"/>
          </w:tcPr>
          <w:p w14:paraId="5B04011D" w14:textId="77777777" w:rsidR="00473DCA" w:rsidRPr="00CB7CCC" w:rsidRDefault="00473DCA" w:rsidP="008E46B3">
            <w:pPr>
              <w:jc w:val="right"/>
              <w:rPr>
                <w:rFonts w:cs="Arial"/>
                <w:b/>
                <w:sz w:val="18"/>
                <w:szCs w:val="18"/>
                <w:lang w:val="en-US"/>
              </w:rPr>
            </w:pPr>
            <w:r w:rsidRPr="00CB7CCC">
              <w:rPr>
                <w:rFonts w:cs="Arial"/>
                <w:b/>
                <w:sz w:val="18"/>
                <w:szCs w:val="18"/>
                <w:lang w:val="en-US"/>
              </w:rPr>
              <w:t>Q3 202</w:t>
            </w:r>
            <w:r>
              <w:rPr>
                <w:rFonts w:cs="Arial"/>
                <w:b/>
                <w:sz w:val="18"/>
                <w:szCs w:val="18"/>
                <w:lang w:val="en-US"/>
              </w:rPr>
              <w:t>1</w:t>
            </w:r>
          </w:p>
        </w:tc>
        <w:tc>
          <w:tcPr>
            <w:tcW w:w="1376" w:type="dxa"/>
          </w:tcPr>
          <w:p w14:paraId="43AB8E7A" w14:textId="77777777" w:rsidR="00473DCA" w:rsidRPr="00CB7CCC" w:rsidRDefault="00473DCA" w:rsidP="008E46B3">
            <w:pPr>
              <w:jc w:val="right"/>
              <w:rPr>
                <w:rFonts w:cs="Arial"/>
                <w:b/>
                <w:sz w:val="18"/>
                <w:szCs w:val="18"/>
                <w:lang w:val="en-US"/>
              </w:rPr>
            </w:pPr>
            <w:r w:rsidRPr="00CB7CCC">
              <w:rPr>
                <w:rFonts w:cs="Arial"/>
                <w:b/>
                <w:sz w:val="18"/>
                <w:szCs w:val="18"/>
                <w:lang w:val="en-US"/>
              </w:rPr>
              <w:t>Q4 202</w:t>
            </w:r>
            <w:r>
              <w:rPr>
                <w:rFonts w:cs="Arial"/>
                <w:b/>
                <w:sz w:val="18"/>
                <w:szCs w:val="18"/>
                <w:lang w:val="en-US"/>
              </w:rPr>
              <w:t>1</w:t>
            </w:r>
          </w:p>
        </w:tc>
        <w:tc>
          <w:tcPr>
            <w:tcW w:w="1377" w:type="dxa"/>
          </w:tcPr>
          <w:p w14:paraId="2785A91A" w14:textId="77777777" w:rsidR="00473DCA" w:rsidRPr="00CB7CCC" w:rsidRDefault="00473DCA" w:rsidP="008E46B3">
            <w:pPr>
              <w:jc w:val="right"/>
              <w:rPr>
                <w:rFonts w:cs="Arial"/>
                <w:b/>
                <w:sz w:val="18"/>
                <w:szCs w:val="18"/>
                <w:lang w:val="en-US"/>
              </w:rPr>
            </w:pPr>
            <w:r>
              <w:rPr>
                <w:rFonts w:cs="Arial"/>
                <w:b/>
                <w:sz w:val="18"/>
                <w:szCs w:val="18"/>
                <w:lang w:val="en-US"/>
              </w:rPr>
              <w:t>FY21</w:t>
            </w:r>
          </w:p>
        </w:tc>
      </w:tr>
      <w:tr w:rsidR="00473DCA" w:rsidRPr="00CB7CCC" w14:paraId="671D2ABC" w14:textId="77777777" w:rsidTr="008E46B3">
        <w:trPr>
          <w:jc w:val="center"/>
        </w:trPr>
        <w:tc>
          <w:tcPr>
            <w:tcW w:w="2895" w:type="dxa"/>
            <w:hideMark/>
          </w:tcPr>
          <w:p w14:paraId="3516460B" w14:textId="77777777" w:rsidR="00473DCA" w:rsidRPr="00CB7CCC" w:rsidRDefault="00473DCA" w:rsidP="008E46B3">
            <w:pPr>
              <w:jc w:val="both"/>
              <w:rPr>
                <w:rFonts w:cs="Arial"/>
                <w:sz w:val="18"/>
                <w:szCs w:val="18"/>
                <w:lang w:val="en-US"/>
              </w:rPr>
            </w:pPr>
            <w:r w:rsidRPr="00CB7CCC">
              <w:rPr>
                <w:rFonts w:cs="Arial"/>
                <w:sz w:val="18"/>
                <w:szCs w:val="18"/>
                <w:lang w:val="en-US"/>
              </w:rPr>
              <w:t>Group</w:t>
            </w:r>
          </w:p>
        </w:tc>
        <w:tc>
          <w:tcPr>
            <w:tcW w:w="1376" w:type="dxa"/>
            <w:shd w:val="clear" w:color="auto" w:fill="auto"/>
          </w:tcPr>
          <w:p w14:paraId="3289E3A5" w14:textId="77777777" w:rsidR="00473DCA" w:rsidRPr="00CB7CCC" w:rsidRDefault="00473DCA" w:rsidP="008E46B3">
            <w:pPr>
              <w:jc w:val="right"/>
              <w:rPr>
                <w:rFonts w:cs="Arial"/>
                <w:sz w:val="18"/>
                <w:szCs w:val="18"/>
                <w:lang w:val="en-US"/>
              </w:rPr>
            </w:pPr>
            <w:r>
              <w:rPr>
                <w:rFonts w:cs="Arial"/>
                <w:bCs/>
                <w:sz w:val="18"/>
                <w:szCs w:val="18"/>
                <w:lang w:val="en-US"/>
              </w:rPr>
              <w:t>-14</w:t>
            </w:r>
            <w:r w:rsidRPr="00B56227">
              <w:rPr>
                <w:rFonts w:cs="Arial"/>
                <w:bCs/>
                <w:sz w:val="18"/>
                <w:szCs w:val="18"/>
                <w:lang w:val="en-US"/>
              </w:rPr>
              <w:t>%</w:t>
            </w:r>
          </w:p>
        </w:tc>
        <w:tc>
          <w:tcPr>
            <w:tcW w:w="1376" w:type="dxa"/>
            <w:shd w:val="clear" w:color="auto" w:fill="auto"/>
          </w:tcPr>
          <w:p w14:paraId="6EEF0E00" w14:textId="77777777" w:rsidR="00473DCA" w:rsidRPr="00CB7CCC" w:rsidRDefault="00473DCA" w:rsidP="008E46B3">
            <w:pPr>
              <w:jc w:val="right"/>
              <w:rPr>
                <w:rFonts w:cs="Arial"/>
                <w:sz w:val="18"/>
                <w:szCs w:val="18"/>
                <w:lang w:val="en-US"/>
              </w:rPr>
            </w:pPr>
            <w:r>
              <w:rPr>
                <w:rFonts w:cs="Arial"/>
                <w:bCs/>
                <w:sz w:val="18"/>
                <w:szCs w:val="18"/>
                <w:lang w:val="en-US"/>
              </w:rPr>
              <w:t>-23</w:t>
            </w:r>
            <w:r w:rsidRPr="00B56227">
              <w:rPr>
                <w:rFonts w:cs="Arial"/>
                <w:bCs/>
                <w:sz w:val="18"/>
                <w:szCs w:val="18"/>
                <w:lang w:val="en-US"/>
              </w:rPr>
              <w:t>%</w:t>
            </w:r>
          </w:p>
        </w:tc>
        <w:tc>
          <w:tcPr>
            <w:tcW w:w="1376" w:type="dxa"/>
            <w:shd w:val="clear" w:color="auto" w:fill="auto"/>
          </w:tcPr>
          <w:p w14:paraId="63F906C4" w14:textId="77777777" w:rsidR="00473DCA" w:rsidRPr="00CB7CCC" w:rsidRDefault="00473DCA" w:rsidP="008E46B3">
            <w:pPr>
              <w:jc w:val="right"/>
              <w:rPr>
                <w:rFonts w:cs="Arial"/>
                <w:sz w:val="18"/>
                <w:szCs w:val="18"/>
                <w:lang w:val="en-US"/>
              </w:rPr>
            </w:pPr>
            <w:r>
              <w:rPr>
                <w:rFonts w:cs="Arial"/>
                <w:bCs/>
                <w:sz w:val="18"/>
                <w:szCs w:val="18"/>
                <w:lang w:val="en-US"/>
              </w:rPr>
              <w:t>-3</w:t>
            </w:r>
            <w:r w:rsidRPr="00B56227">
              <w:rPr>
                <w:rFonts w:cs="Arial"/>
                <w:bCs/>
                <w:sz w:val="18"/>
                <w:szCs w:val="18"/>
                <w:lang w:val="en-US"/>
              </w:rPr>
              <w:t>%</w:t>
            </w:r>
          </w:p>
        </w:tc>
        <w:tc>
          <w:tcPr>
            <w:tcW w:w="1376" w:type="dxa"/>
          </w:tcPr>
          <w:p w14:paraId="63857547" w14:textId="77777777" w:rsidR="00473DCA" w:rsidRPr="00CB7CCC" w:rsidRDefault="00473DCA" w:rsidP="008E46B3">
            <w:pPr>
              <w:jc w:val="right"/>
              <w:rPr>
                <w:rFonts w:cs="Arial"/>
                <w:sz w:val="18"/>
                <w:szCs w:val="18"/>
                <w:lang w:val="en-US"/>
              </w:rPr>
            </w:pPr>
            <w:r>
              <w:rPr>
                <w:rFonts w:cs="Arial"/>
                <w:bCs/>
                <w:sz w:val="18"/>
                <w:szCs w:val="18"/>
                <w:lang w:val="en-US"/>
              </w:rPr>
              <w:t>+1</w:t>
            </w:r>
            <w:r w:rsidRPr="00B56227">
              <w:rPr>
                <w:rFonts w:cs="Arial"/>
                <w:bCs/>
                <w:sz w:val="18"/>
                <w:szCs w:val="18"/>
                <w:lang w:val="en-US"/>
              </w:rPr>
              <w:t>%</w:t>
            </w:r>
          </w:p>
        </w:tc>
        <w:tc>
          <w:tcPr>
            <w:tcW w:w="1377" w:type="dxa"/>
          </w:tcPr>
          <w:p w14:paraId="11F10A19" w14:textId="77777777" w:rsidR="00473DCA" w:rsidRPr="00CB7CCC" w:rsidRDefault="00473DCA" w:rsidP="008E46B3">
            <w:pPr>
              <w:jc w:val="right"/>
              <w:rPr>
                <w:rFonts w:cs="Arial"/>
                <w:sz w:val="18"/>
                <w:szCs w:val="18"/>
                <w:lang w:val="en-US"/>
              </w:rPr>
            </w:pPr>
            <w:r>
              <w:rPr>
                <w:rFonts w:cs="Arial"/>
                <w:bCs/>
                <w:sz w:val="18"/>
                <w:szCs w:val="18"/>
                <w:lang w:val="en-US"/>
              </w:rPr>
              <w:t>-9</w:t>
            </w:r>
            <w:r w:rsidRPr="00B56227">
              <w:rPr>
                <w:rFonts w:cs="Arial"/>
                <w:bCs/>
                <w:sz w:val="18"/>
                <w:szCs w:val="18"/>
                <w:lang w:val="en-US"/>
              </w:rPr>
              <w:t>%</w:t>
            </w:r>
          </w:p>
        </w:tc>
      </w:tr>
      <w:tr w:rsidR="00473DCA" w:rsidRPr="00CB7CCC" w14:paraId="4150AF1E" w14:textId="77777777" w:rsidTr="008E46B3">
        <w:trPr>
          <w:jc w:val="center"/>
        </w:trPr>
        <w:tc>
          <w:tcPr>
            <w:tcW w:w="2895" w:type="dxa"/>
          </w:tcPr>
          <w:p w14:paraId="64FD5D57" w14:textId="77777777" w:rsidR="00473DCA" w:rsidRPr="00CB7CCC" w:rsidRDefault="00473DCA" w:rsidP="008E46B3">
            <w:pPr>
              <w:jc w:val="both"/>
              <w:rPr>
                <w:rFonts w:cs="Arial"/>
                <w:sz w:val="18"/>
                <w:szCs w:val="18"/>
                <w:lang w:val="en-US"/>
              </w:rPr>
            </w:pPr>
            <w:r w:rsidRPr="00CB7CCC">
              <w:rPr>
                <w:rFonts w:cs="Arial"/>
                <w:sz w:val="18"/>
                <w:szCs w:val="18"/>
                <w:lang w:val="en-US"/>
              </w:rPr>
              <w:t>Food to go categories</w:t>
            </w:r>
          </w:p>
        </w:tc>
        <w:tc>
          <w:tcPr>
            <w:tcW w:w="1376" w:type="dxa"/>
            <w:shd w:val="clear" w:color="auto" w:fill="auto"/>
          </w:tcPr>
          <w:p w14:paraId="66F2B3C9" w14:textId="77777777" w:rsidR="00473DCA" w:rsidRPr="00CB7CCC" w:rsidRDefault="00473DCA" w:rsidP="008E46B3">
            <w:pPr>
              <w:jc w:val="right"/>
              <w:rPr>
                <w:rFonts w:cs="Arial"/>
                <w:sz w:val="18"/>
                <w:szCs w:val="18"/>
                <w:lang w:val="en-US"/>
              </w:rPr>
            </w:pPr>
            <w:r>
              <w:rPr>
                <w:rFonts w:cs="Arial"/>
                <w:bCs/>
                <w:sz w:val="18"/>
                <w:szCs w:val="18"/>
                <w:lang w:val="en-US"/>
              </w:rPr>
              <w:t>-21</w:t>
            </w:r>
            <w:r w:rsidRPr="00B56227">
              <w:rPr>
                <w:rFonts w:cs="Arial"/>
                <w:bCs/>
                <w:sz w:val="18"/>
                <w:szCs w:val="18"/>
                <w:lang w:val="en-US"/>
              </w:rPr>
              <w:t>%</w:t>
            </w:r>
          </w:p>
        </w:tc>
        <w:tc>
          <w:tcPr>
            <w:tcW w:w="1376" w:type="dxa"/>
            <w:shd w:val="clear" w:color="auto" w:fill="auto"/>
          </w:tcPr>
          <w:p w14:paraId="07E8166A" w14:textId="77777777" w:rsidR="00473DCA" w:rsidRPr="00CB7CCC" w:rsidRDefault="00473DCA" w:rsidP="008E46B3">
            <w:pPr>
              <w:jc w:val="right"/>
              <w:rPr>
                <w:rFonts w:cs="Arial"/>
                <w:sz w:val="18"/>
                <w:szCs w:val="18"/>
                <w:lang w:val="en-US"/>
              </w:rPr>
            </w:pPr>
            <w:r>
              <w:rPr>
                <w:rFonts w:cs="Arial"/>
                <w:bCs/>
                <w:sz w:val="18"/>
                <w:szCs w:val="18"/>
                <w:lang w:val="en-US"/>
              </w:rPr>
              <w:t>-33</w:t>
            </w:r>
            <w:r w:rsidRPr="00B56227">
              <w:rPr>
                <w:rFonts w:cs="Arial"/>
                <w:bCs/>
                <w:sz w:val="18"/>
                <w:szCs w:val="18"/>
                <w:lang w:val="en-US"/>
              </w:rPr>
              <w:t>%</w:t>
            </w:r>
          </w:p>
        </w:tc>
        <w:tc>
          <w:tcPr>
            <w:tcW w:w="1376" w:type="dxa"/>
            <w:shd w:val="clear" w:color="auto" w:fill="auto"/>
          </w:tcPr>
          <w:p w14:paraId="6DB0A5AA" w14:textId="77777777" w:rsidR="00473DCA" w:rsidRPr="00CB7CCC" w:rsidRDefault="00473DCA" w:rsidP="008E46B3">
            <w:pPr>
              <w:jc w:val="right"/>
              <w:rPr>
                <w:rFonts w:cs="Arial"/>
                <w:sz w:val="18"/>
                <w:szCs w:val="18"/>
                <w:lang w:val="en-US"/>
              </w:rPr>
            </w:pPr>
            <w:r>
              <w:rPr>
                <w:rFonts w:cs="Arial"/>
                <w:bCs/>
                <w:sz w:val="18"/>
                <w:szCs w:val="18"/>
                <w:lang w:val="en-US"/>
              </w:rPr>
              <w:t>-9</w:t>
            </w:r>
            <w:r w:rsidRPr="00B56227">
              <w:rPr>
                <w:rFonts w:cs="Arial"/>
                <w:bCs/>
                <w:sz w:val="18"/>
                <w:szCs w:val="18"/>
                <w:lang w:val="en-US"/>
              </w:rPr>
              <w:t>%</w:t>
            </w:r>
          </w:p>
        </w:tc>
        <w:tc>
          <w:tcPr>
            <w:tcW w:w="1376" w:type="dxa"/>
          </w:tcPr>
          <w:p w14:paraId="2CD05DB3" w14:textId="77777777" w:rsidR="00473DCA" w:rsidRPr="00CB7CCC" w:rsidRDefault="00473DCA" w:rsidP="008E46B3">
            <w:pPr>
              <w:jc w:val="right"/>
              <w:rPr>
                <w:rFonts w:cs="Arial"/>
                <w:sz w:val="18"/>
                <w:szCs w:val="18"/>
                <w:lang w:val="en-US"/>
              </w:rPr>
            </w:pPr>
            <w:r>
              <w:rPr>
                <w:rFonts w:cs="Arial"/>
                <w:bCs/>
                <w:sz w:val="18"/>
                <w:szCs w:val="18"/>
                <w:lang w:val="en-US"/>
              </w:rPr>
              <w:t>-2</w:t>
            </w:r>
            <w:r w:rsidRPr="00B56227">
              <w:rPr>
                <w:rFonts w:cs="Arial"/>
                <w:bCs/>
                <w:sz w:val="18"/>
                <w:szCs w:val="18"/>
                <w:lang w:val="en-US"/>
              </w:rPr>
              <w:t>%</w:t>
            </w:r>
          </w:p>
        </w:tc>
        <w:tc>
          <w:tcPr>
            <w:tcW w:w="1377" w:type="dxa"/>
          </w:tcPr>
          <w:p w14:paraId="50A76814" w14:textId="77777777" w:rsidR="00473DCA" w:rsidRPr="00CB7CCC" w:rsidRDefault="00473DCA" w:rsidP="008E46B3">
            <w:pPr>
              <w:jc w:val="right"/>
              <w:rPr>
                <w:rFonts w:cs="Arial"/>
                <w:sz w:val="18"/>
                <w:szCs w:val="18"/>
                <w:lang w:val="en-US"/>
              </w:rPr>
            </w:pPr>
            <w:r>
              <w:rPr>
                <w:rFonts w:cs="Arial"/>
                <w:bCs/>
                <w:sz w:val="18"/>
                <w:szCs w:val="18"/>
                <w:lang w:val="en-US"/>
              </w:rPr>
              <w:t>-16</w:t>
            </w:r>
            <w:r w:rsidRPr="00B56227">
              <w:rPr>
                <w:rFonts w:cs="Arial"/>
                <w:bCs/>
                <w:sz w:val="18"/>
                <w:szCs w:val="18"/>
                <w:lang w:val="en-US"/>
              </w:rPr>
              <w:t>%</w:t>
            </w:r>
          </w:p>
        </w:tc>
      </w:tr>
      <w:tr w:rsidR="00473DCA" w:rsidRPr="00CB7CCC" w14:paraId="4F8A1A2F" w14:textId="77777777" w:rsidTr="008E46B3">
        <w:trPr>
          <w:jc w:val="center"/>
        </w:trPr>
        <w:tc>
          <w:tcPr>
            <w:tcW w:w="2895" w:type="dxa"/>
            <w:hideMark/>
          </w:tcPr>
          <w:p w14:paraId="4F5AE24C" w14:textId="77777777" w:rsidR="00473DCA" w:rsidRPr="00CB7CCC" w:rsidRDefault="00473DCA" w:rsidP="008E46B3">
            <w:pPr>
              <w:jc w:val="both"/>
              <w:rPr>
                <w:rFonts w:cs="Arial"/>
                <w:sz w:val="18"/>
                <w:szCs w:val="18"/>
                <w:lang w:val="en-US"/>
              </w:rPr>
            </w:pPr>
            <w:r w:rsidRPr="00CB7CCC">
              <w:rPr>
                <w:rFonts w:cs="Arial"/>
                <w:sz w:val="18"/>
                <w:szCs w:val="18"/>
                <w:lang w:val="en-US"/>
              </w:rPr>
              <w:t>Other convenience food categories</w:t>
            </w:r>
          </w:p>
        </w:tc>
        <w:tc>
          <w:tcPr>
            <w:tcW w:w="1376" w:type="dxa"/>
            <w:shd w:val="clear" w:color="auto" w:fill="auto"/>
          </w:tcPr>
          <w:p w14:paraId="6CA853A0" w14:textId="77777777" w:rsidR="00473DCA" w:rsidRPr="00CB7CCC" w:rsidRDefault="00473DCA" w:rsidP="008E46B3">
            <w:pPr>
              <w:jc w:val="right"/>
              <w:rPr>
                <w:rFonts w:cs="Arial"/>
                <w:sz w:val="18"/>
                <w:szCs w:val="18"/>
                <w:lang w:val="en-US"/>
              </w:rPr>
            </w:pPr>
            <w:r>
              <w:rPr>
                <w:rFonts w:cs="Arial"/>
                <w:bCs/>
                <w:sz w:val="18"/>
                <w:szCs w:val="18"/>
                <w:lang w:val="en-US"/>
              </w:rPr>
              <w:t>-1</w:t>
            </w:r>
            <w:r w:rsidRPr="00B56227">
              <w:rPr>
                <w:rFonts w:cs="Arial"/>
                <w:bCs/>
                <w:sz w:val="18"/>
                <w:szCs w:val="18"/>
                <w:lang w:val="en-US"/>
              </w:rPr>
              <w:t>%</w:t>
            </w:r>
          </w:p>
        </w:tc>
        <w:tc>
          <w:tcPr>
            <w:tcW w:w="1376" w:type="dxa"/>
            <w:shd w:val="clear" w:color="auto" w:fill="auto"/>
          </w:tcPr>
          <w:p w14:paraId="109D0F0C" w14:textId="77777777" w:rsidR="00473DCA" w:rsidRPr="00CB7CCC" w:rsidRDefault="00473DCA" w:rsidP="008E46B3">
            <w:pPr>
              <w:jc w:val="right"/>
              <w:rPr>
                <w:rFonts w:cs="Arial"/>
                <w:sz w:val="18"/>
                <w:szCs w:val="18"/>
                <w:lang w:val="en-US"/>
              </w:rPr>
            </w:pPr>
            <w:r>
              <w:rPr>
                <w:rFonts w:cs="Arial"/>
                <w:bCs/>
                <w:sz w:val="18"/>
                <w:szCs w:val="18"/>
                <w:lang w:val="en-US"/>
              </w:rPr>
              <w:t>-3</w:t>
            </w:r>
            <w:r w:rsidRPr="00B56227">
              <w:rPr>
                <w:rFonts w:cs="Arial"/>
                <w:bCs/>
                <w:sz w:val="18"/>
                <w:szCs w:val="18"/>
                <w:lang w:val="en-US"/>
              </w:rPr>
              <w:t>%</w:t>
            </w:r>
          </w:p>
        </w:tc>
        <w:tc>
          <w:tcPr>
            <w:tcW w:w="1376" w:type="dxa"/>
            <w:shd w:val="clear" w:color="auto" w:fill="auto"/>
          </w:tcPr>
          <w:p w14:paraId="745704D1" w14:textId="77777777" w:rsidR="00473DCA" w:rsidRPr="00CB7CCC" w:rsidRDefault="00473DCA" w:rsidP="008E46B3">
            <w:pPr>
              <w:jc w:val="right"/>
              <w:rPr>
                <w:rFonts w:cs="Arial"/>
                <w:sz w:val="18"/>
                <w:szCs w:val="18"/>
                <w:lang w:val="en-US"/>
              </w:rPr>
            </w:pPr>
            <w:r>
              <w:rPr>
                <w:rFonts w:cs="Arial"/>
                <w:bCs/>
                <w:sz w:val="18"/>
                <w:szCs w:val="18"/>
                <w:lang w:val="en-US"/>
              </w:rPr>
              <w:t>+13</w:t>
            </w:r>
            <w:r w:rsidRPr="00B56227">
              <w:rPr>
                <w:rFonts w:cs="Arial"/>
                <w:bCs/>
                <w:sz w:val="18"/>
                <w:szCs w:val="18"/>
                <w:lang w:val="en-US"/>
              </w:rPr>
              <w:t>%</w:t>
            </w:r>
          </w:p>
        </w:tc>
        <w:tc>
          <w:tcPr>
            <w:tcW w:w="1376" w:type="dxa"/>
          </w:tcPr>
          <w:p w14:paraId="4960AE60" w14:textId="77777777" w:rsidR="00473DCA" w:rsidRPr="00CB7CCC" w:rsidRDefault="00473DCA" w:rsidP="008E46B3">
            <w:pPr>
              <w:jc w:val="right"/>
              <w:rPr>
                <w:rFonts w:cs="Arial"/>
                <w:sz w:val="18"/>
                <w:szCs w:val="18"/>
                <w:lang w:val="en-US"/>
              </w:rPr>
            </w:pPr>
            <w:r>
              <w:rPr>
                <w:rFonts w:cs="Arial"/>
                <w:bCs/>
                <w:sz w:val="18"/>
                <w:szCs w:val="18"/>
                <w:lang w:val="en-US"/>
              </w:rPr>
              <w:t>+10</w:t>
            </w:r>
            <w:r w:rsidRPr="00B56227">
              <w:rPr>
                <w:rFonts w:cs="Arial"/>
                <w:bCs/>
                <w:sz w:val="18"/>
                <w:szCs w:val="18"/>
                <w:lang w:val="en-US"/>
              </w:rPr>
              <w:t>%</w:t>
            </w:r>
          </w:p>
        </w:tc>
        <w:tc>
          <w:tcPr>
            <w:tcW w:w="1377" w:type="dxa"/>
          </w:tcPr>
          <w:p w14:paraId="1D0E7ACF" w14:textId="77777777" w:rsidR="00473DCA" w:rsidRPr="00CB7CCC" w:rsidRDefault="00473DCA" w:rsidP="008E46B3">
            <w:pPr>
              <w:jc w:val="right"/>
              <w:rPr>
                <w:rFonts w:cs="Arial"/>
                <w:sz w:val="18"/>
                <w:szCs w:val="18"/>
                <w:lang w:val="en-US"/>
              </w:rPr>
            </w:pPr>
            <w:r>
              <w:rPr>
                <w:rFonts w:cs="Arial"/>
                <w:bCs/>
                <w:sz w:val="18"/>
                <w:szCs w:val="18"/>
                <w:lang w:val="en-US"/>
              </w:rPr>
              <w:t>+4</w:t>
            </w:r>
            <w:r w:rsidRPr="00B56227">
              <w:rPr>
                <w:rFonts w:cs="Arial"/>
                <w:bCs/>
                <w:sz w:val="18"/>
                <w:szCs w:val="18"/>
                <w:lang w:val="en-US"/>
              </w:rPr>
              <w:t>%</w:t>
            </w:r>
          </w:p>
        </w:tc>
      </w:tr>
    </w:tbl>
    <w:p w14:paraId="001B65C1" w14:textId="77777777" w:rsidR="00473DCA" w:rsidRPr="00CB7CCC" w:rsidRDefault="00473DCA" w:rsidP="00473DCA">
      <w:pPr>
        <w:jc w:val="both"/>
        <w:rPr>
          <w:rFonts w:cs="Arial"/>
          <w:b/>
          <w:sz w:val="18"/>
          <w:szCs w:val="18"/>
        </w:rPr>
      </w:pPr>
    </w:p>
    <w:p w14:paraId="361B4713" w14:textId="77777777" w:rsidR="00473DCA" w:rsidRPr="00CB7CCC" w:rsidRDefault="00473DCA" w:rsidP="00473DCA">
      <w:pPr>
        <w:jc w:val="both"/>
        <w:rPr>
          <w:rFonts w:cs="Arial"/>
          <w:b/>
          <w:sz w:val="18"/>
          <w:szCs w:val="18"/>
        </w:rPr>
      </w:pPr>
      <w:r w:rsidRPr="003648F1">
        <w:rPr>
          <w:rFonts w:cs="Arial"/>
          <w:b/>
          <w:sz w:val="18"/>
          <w:szCs w:val="18"/>
        </w:rPr>
        <w:t>Strategic developments</w:t>
      </w:r>
    </w:p>
    <w:p w14:paraId="4F8272F4" w14:textId="77777777" w:rsidR="00473DCA" w:rsidRPr="00CB7CCC" w:rsidRDefault="00473DCA" w:rsidP="00473DCA">
      <w:pPr>
        <w:jc w:val="both"/>
        <w:rPr>
          <w:rFonts w:cs="Arial"/>
          <w:sz w:val="18"/>
          <w:szCs w:val="18"/>
        </w:rPr>
      </w:pPr>
    </w:p>
    <w:p w14:paraId="5A80D4B4" w14:textId="77777777" w:rsidR="00473DCA" w:rsidRPr="00C320E7" w:rsidRDefault="00473DCA" w:rsidP="00473DCA">
      <w:pPr>
        <w:jc w:val="both"/>
        <w:rPr>
          <w:rFonts w:cs="Arial"/>
          <w:sz w:val="18"/>
          <w:szCs w:val="18"/>
        </w:rPr>
      </w:pPr>
      <w:r w:rsidRPr="00C320E7">
        <w:rPr>
          <w:rFonts w:cs="Arial"/>
          <w:sz w:val="18"/>
          <w:szCs w:val="18"/>
        </w:rPr>
        <w:t>The Group</w:t>
      </w:r>
      <w:r>
        <w:rPr>
          <w:rFonts w:cs="Arial"/>
          <w:sz w:val="18"/>
          <w:szCs w:val="18"/>
        </w:rPr>
        <w:t xml:space="preserve"> delivered well against its</w:t>
      </w:r>
      <w:r w:rsidRPr="00C320E7">
        <w:rPr>
          <w:rFonts w:cs="Arial"/>
          <w:sz w:val="18"/>
          <w:szCs w:val="18"/>
        </w:rPr>
        <w:t xml:space="preserve"> </w:t>
      </w:r>
      <w:r>
        <w:rPr>
          <w:rFonts w:cs="Arial"/>
          <w:sz w:val="18"/>
          <w:szCs w:val="18"/>
        </w:rPr>
        <w:t xml:space="preserve">strategic </w:t>
      </w:r>
      <w:r w:rsidRPr="00347F14">
        <w:rPr>
          <w:rFonts w:cs="Arial"/>
          <w:sz w:val="18"/>
          <w:szCs w:val="18"/>
        </w:rPr>
        <w:t>objectives in what was a challenging period.</w:t>
      </w:r>
      <w:r>
        <w:rPr>
          <w:rFonts w:cs="Arial"/>
          <w:sz w:val="18"/>
          <w:szCs w:val="18"/>
        </w:rPr>
        <w:t xml:space="preserve"> </w:t>
      </w:r>
      <w:r w:rsidRPr="002E6504">
        <w:rPr>
          <w:rFonts w:cs="Arial"/>
          <w:sz w:val="18"/>
          <w:szCs w:val="18"/>
        </w:rPr>
        <w:t xml:space="preserve">Central to this </w:t>
      </w:r>
      <w:r>
        <w:rPr>
          <w:rFonts w:cs="Arial"/>
          <w:sz w:val="18"/>
          <w:szCs w:val="18"/>
        </w:rPr>
        <w:t xml:space="preserve">delivery </w:t>
      </w:r>
      <w:r w:rsidRPr="002E6504">
        <w:rPr>
          <w:rFonts w:cs="Arial"/>
          <w:sz w:val="18"/>
          <w:szCs w:val="18"/>
        </w:rPr>
        <w:t xml:space="preserve">was </w:t>
      </w:r>
      <w:r>
        <w:rPr>
          <w:rFonts w:cs="Arial"/>
          <w:sz w:val="18"/>
          <w:szCs w:val="18"/>
        </w:rPr>
        <w:t xml:space="preserve">the Group’s close </w:t>
      </w:r>
      <w:r w:rsidRPr="002E6504">
        <w:rPr>
          <w:rFonts w:cs="Arial"/>
          <w:sz w:val="18"/>
          <w:szCs w:val="18"/>
        </w:rPr>
        <w:t>engagement with customers.</w:t>
      </w:r>
    </w:p>
    <w:p w14:paraId="1B6CE3F8" w14:textId="77777777" w:rsidR="00473DCA" w:rsidRPr="0047756F" w:rsidRDefault="00473DCA" w:rsidP="00473DCA">
      <w:pPr>
        <w:jc w:val="both"/>
        <w:rPr>
          <w:rFonts w:cs="Arial"/>
          <w:sz w:val="18"/>
          <w:szCs w:val="18"/>
          <w:highlight w:val="yellow"/>
        </w:rPr>
      </w:pPr>
    </w:p>
    <w:p w14:paraId="3B726E1F" w14:textId="05C1FAA3" w:rsidR="00473DCA" w:rsidRPr="002E6504" w:rsidRDefault="00473DCA" w:rsidP="00473DCA">
      <w:pPr>
        <w:jc w:val="both"/>
        <w:rPr>
          <w:rFonts w:cs="Arial"/>
          <w:sz w:val="18"/>
          <w:szCs w:val="18"/>
        </w:rPr>
      </w:pPr>
      <w:r w:rsidRPr="00347F14">
        <w:rPr>
          <w:rFonts w:cs="Arial"/>
          <w:sz w:val="18"/>
          <w:szCs w:val="18"/>
        </w:rPr>
        <w:t xml:space="preserve">In the first half of the year, during periods of mobility restrictions, the Group worked with customers on effective range management. Subsequently, as mobility restrictions were lifted in the UK, the Group designed and implemented growth programmes with customers, with a focus on building back rapidly in affected categories, to reactivate product ranges and formats in </w:t>
      </w:r>
      <w:r w:rsidR="00C03EC1">
        <w:rPr>
          <w:rFonts w:cs="Arial"/>
          <w:sz w:val="18"/>
          <w:szCs w:val="18"/>
        </w:rPr>
        <w:t>s</w:t>
      </w:r>
      <w:r w:rsidRPr="00347F14">
        <w:rPr>
          <w:rFonts w:cs="Arial"/>
          <w:sz w:val="18"/>
          <w:szCs w:val="18"/>
        </w:rPr>
        <w:t xml:space="preserve">pring and early </w:t>
      </w:r>
      <w:r w:rsidR="00C03EC1">
        <w:rPr>
          <w:rFonts w:cs="Arial"/>
          <w:sz w:val="18"/>
          <w:szCs w:val="18"/>
        </w:rPr>
        <w:t>s</w:t>
      </w:r>
      <w:r w:rsidRPr="00347F14">
        <w:rPr>
          <w:rFonts w:cs="Arial"/>
          <w:sz w:val="18"/>
          <w:szCs w:val="18"/>
        </w:rPr>
        <w:t xml:space="preserve">ummer. </w:t>
      </w:r>
      <w:r>
        <w:rPr>
          <w:rFonts w:cs="Arial"/>
          <w:sz w:val="18"/>
          <w:szCs w:val="18"/>
        </w:rPr>
        <w:t>As the year progressed the Group managed through the operational service challenges arising from supply chain disruptions and tight labour availability, working effectively with customers to manage inflation and to align the network and product ranges to deliver optimally</w:t>
      </w:r>
      <w:r w:rsidRPr="002E6504">
        <w:rPr>
          <w:rFonts w:cs="Arial"/>
          <w:sz w:val="18"/>
          <w:szCs w:val="18"/>
        </w:rPr>
        <w:t xml:space="preserve">. </w:t>
      </w:r>
    </w:p>
    <w:p w14:paraId="2FF76A9D" w14:textId="77777777" w:rsidR="00473DCA" w:rsidRPr="0047756F" w:rsidRDefault="00473DCA" w:rsidP="00473DCA">
      <w:pPr>
        <w:jc w:val="both"/>
        <w:rPr>
          <w:rFonts w:cs="Arial"/>
          <w:sz w:val="18"/>
          <w:szCs w:val="18"/>
          <w:highlight w:val="yellow"/>
        </w:rPr>
      </w:pPr>
    </w:p>
    <w:p w14:paraId="41C1CA39" w14:textId="77777777" w:rsidR="00473DCA" w:rsidRPr="00E255F7" w:rsidRDefault="00473DCA" w:rsidP="00473DCA">
      <w:pPr>
        <w:jc w:val="both"/>
        <w:rPr>
          <w:rFonts w:cs="Arial"/>
          <w:sz w:val="18"/>
          <w:szCs w:val="18"/>
        </w:rPr>
      </w:pPr>
      <w:r>
        <w:rPr>
          <w:rFonts w:cs="Arial"/>
          <w:sz w:val="18"/>
          <w:szCs w:val="18"/>
        </w:rPr>
        <w:t>T</w:t>
      </w:r>
      <w:r w:rsidRPr="00E255F7">
        <w:rPr>
          <w:rFonts w:cs="Arial"/>
          <w:sz w:val="18"/>
          <w:szCs w:val="18"/>
        </w:rPr>
        <w:t>he Group secured new business wins representing annualised pre-COVID revenues of approximately £175m</w:t>
      </w:r>
      <w:r>
        <w:rPr>
          <w:rFonts w:cs="Arial"/>
          <w:sz w:val="18"/>
          <w:szCs w:val="18"/>
        </w:rPr>
        <w:t>,</w:t>
      </w:r>
      <w:r w:rsidRPr="00E255F7">
        <w:rPr>
          <w:rFonts w:cs="Arial"/>
          <w:sz w:val="18"/>
          <w:szCs w:val="18"/>
        </w:rPr>
        <w:t xml:space="preserve"> across food to go and other convenience categories and customers. </w:t>
      </w:r>
      <w:r>
        <w:rPr>
          <w:rFonts w:cs="Arial"/>
          <w:sz w:val="18"/>
          <w:szCs w:val="18"/>
        </w:rPr>
        <w:t xml:space="preserve">This </w:t>
      </w:r>
      <w:r w:rsidRPr="00E255F7">
        <w:rPr>
          <w:rFonts w:cs="Arial"/>
          <w:sz w:val="18"/>
          <w:szCs w:val="18"/>
        </w:rPr>
        <w:t xml:space="preserve">supported the </w:t>
      </w:r>
      <w:r>
        <w:rPr>
          <w:rFonts w:cs="Arial"/>
          <w:sz w:val="18"/>
          <w:szCs w:val="18"/>
        </w:rPr>
        <w:t xml:space="preserve">Group’s </w:t>
      </w:r>
      <w:r w:rsidRPr="00E255F7">
        <w:rPr>
          <w:rFonts w:cs="Arial"/>
          <w:sz w:val="18"/>
          <w:szCs w:val="18"/>
        </w:rPr>
        <w:t xml:space="preserve">diversification of its product and channel footprint. Many of these customers were onboarded during the second half of the year and the Group is </w:t>
      </w:r>
      <w:r>
        <w:rPr>
          <w:rFonts w:cs="Arial"/>
          <w:sz w:val="18"/>
          <w:szCs w:val="18"/>
        </w:rPr>
        <w:t xml:space="preserve">encouraged by their performance to date. </w:t>
      </w:r>
      <w:r w:rsidRPr="00E255F7">
        <w:rPr>
          <w:rFonts w:cs="Arial"/>
          <w:sz w:val="18"/>
          <w:szCs w:val="18"/>
        </w:rPr>
        <w:t xml:space="preserve">The Group has </w:t>
      </w:r>
      <w:r w:rsidRPr="00E255F7">
        <w:rPr>
          <w:rFonts w:cs="Arial"/>
          <w:sz w:val="18"/>
          <w:szCs w:val="18"/>
        </w:rPr>
        <w:lastRenderedPageBreak/>
        <w:t>committed to invest</w:t>
      </w:r>
      <w:r>
        <w:rPr>
          <w:rFonts w:cs="Arial"/>
          <w:sz w:val="18"/>
          <w:szCs w:val="18"/>
        </w:rPr>
        <w:t>ing</w:t>
      </w:r>
      <w:r w:rsidRPr="00E255F7">
        <w:rPr>
          <w:rFonts w:cs="Arial"/>
          <w:sz w:val="18"/>
          <w:szCs w:val="18"/>
        </w:rPr>
        <w:t xml:space="preserve"> approximately £30m over FY21 and FY22, across three existing Greencore manufacturing sites, to support the delivery of this new business. </w:t>
      </w:r>
    </w:p>
    <w:p w14:paraId="4277C798" w14:textId="77777777" w:rsidR="00473DCA" w:rsidRPr="00E255F7" w:rsidRDefault="00473DCA" w:rsidP="00473DCA">
      <w:pPr>
        <w:jc w:val="both"/>
        <w:rPr>
          <w:rFonts w:cs="Arial"/>
          <w:sz w:val="18"/>
          <w:szCs w:val="18"/>
        </w:rPr>
      </w:pPr>
    </w:p>
    <w:p w14:paraId="0830F8B9" w14:textId="77777777" w:rsidR="00473DCA" w:rsidRPr="00CB7CCC" w:rsidRDefault="00473DCA" w:rsidP="00473DCA">
      <w:pPr>
        <w:jc w:val="both"/>
        <w:rPr>
          <w:rFonts w:cs="Arial"/>
          <w:sz w:val="18"/>
          <w:szCs w:val="18"/>
        </w:rPr>
      </w:pPr>
      <w:r w:rsidRPr="003648F1">
        <w:rPr>
          <w:rFonts w:cs="Arial"/>
          <w:sz w:val="18"/>
          <w:szCs w:val="18"/>
        </w:rPr>
        <w:t>In FY21</w:t>
      </w:r>
      <w:r>
        <w:rPr>
          <w:rFonts w:cs="Arial"/>
          <w:sz w:val="18"/>
          <w:szCs w:val="18"/>
        </w:rPr>
        <w:t>,</w:t>
      </w:r>
      <w:r w:rsidRPr="003648F1">
        <w:rPr>
          <w:rFonts w:cs="Arial"/>
          <w:sz w:val="18"/>
          <w:szCs w:val="18"/>
        </w:rPr>
        <w:t xml:space="preserve"> the Group also expanded its product offering and extended its category reach with existing customers, in the salads and fresh meals categories. Furthermore, several commercial relationships with key customers were renewed and extended in the period, some of which became effective in FY21 </w:t>
      </w:r>
      <w:r>
        <w:rPr>
          <w:rFonts w:cs="Arial"/>
          <w:sz w:val="18"/>
          <w:szCs w:val="18"/>
        </w:rPr>
        <w:t xml:space="preserve">– with the remainder becoming effective </w:t>
      </w:r>
      <w:r w:rsidRPr="003648F1">
        <w:rPr>
          <w:rFonts w:cs="Arial"/>
          <w:sz w:val="18"/>
          <w:szCs w:val="18"/>
        </w:rPr>
        <w:t>from FY22 onwards. The Group has successfully operated a model of long-term strategic partnering with customers for several years. These multi-year, sole supply agreements typically involve near term investment in capabilities, capital, and terms that both secure and support growth in key categories and also open up growth opportunities with these customers in additional categories and formats.</w:t>
      </w:r>
      <w:r w:rsidRPr="00CB7CCC">
        <w:rPr>
          <w:rFonts w:cs="Arial"/>
          <w:sz w:val="18"/>
          <w:szCs w:val="18"/>
        </w:rPr>
        <w:t xml:space="preserve"> </w:t>
      </w:r>
    </w:p>
    <w:p w14:paraId="59C29744" w14:textId="77777777" w:rsidR="00473DCA" w:rsidRPr="00CB7CCC" w:rsidRDefault="00473DCA" w:rsidP="00473DCA">
      <w:pPr>
        <w:jc w:val="both"/>
        <w:rPr>
          <w:rFonts w:cs="Arial"/>
          <w:sz w:val="18"/>
          <w:szCs w:val="18"/>
        </w:rPr>
      </w:pPr>
    </w:p>
    <w:p w14:paraId="1931DF2D" w14:textId="77777777" w:rsidR="00473DCA" w:rsidRPr="0008513A" w:rsidRDefault="00473DCA" w:rsidP="00473DCA">
      <w:pPr>
        <w:jc w:val="both"/>
        <w:rPr>
          <w:rFonts w:cs="Arial"/>
          <w:sz w:val="18"/>
          <w:szCs w:val="18"/>
        </w:rPr>
      </w:pPr>
      <w:r w:rsidRPr="00834783">
        <w:rPr>
          <w:rFonts w:cs="Arial"/>
          <w:sz w:val="18"/>
          <w:szCs w:val="18"/>
        </w:rPr>
        <w:t xml:space="preserve">The Group progressed its Excellence agenda through FY21, albeit with some restrictions on the deployment of certain initiatives in light of COVID-19 disruption. The Group commissioned and installed modular robotic solutions across 15 production lines in </w:t>
      </w:r>
      <w:r>
        <w:rPr>
          <w:rFonts w:cs="Arial"/>
          <w:sz w:val="18"/>
          <w:szCs w:val="18"/>
        </w:rPr>
        <w:t>three</w:t>
      </w:r>
      <w:r w:rsidRPr="00834783">
        <w:rPr>
          <w:rFonts w:cs="Arial"/>
          <w:sz w:val="18"/>
          <w:szCs w:val="18"/>
        </w:rPr>
        <w:t xml:space="preserve"> locations. </w:t>
      </w:r>
      <w:bookmarkStart w:id="4" w:name="_Hlk86932067"/>
      <w:r>
        <w:rPr>
          <w:rFonts w:cs="Arial"/>
          <w:sz w:val="18"/>
          <w:szCs w:val="18"/>
        </w:rPr>
        <w:t>It also</w:t>
      </w:r>
      <w:r w:rsidRPr="0085746A">
        <w:rPr>
          <w:rFonts w:cs="Arial"/>
          <w:sz w:val="18"/>
          <w:szCs w:val="18"/>
        </w:rPr>
        <w:t xml:space="preserve"> made good progress on </w:t>
      </w:r>
      <w:r>
        <w:rPr>
          <w:rFonts w:cs="Arial"/>
          <w:sz w:val="18"/>
          <w:szCs w:val="18"/>
        </w:rPr>
        <w:t>the Group’s P</w:t>
      </w:r>
      <w:r w:rsidRPr="0085746A">
        <w:rPr>
          <w:rFonts w:cs="Arial"/>
          <w:sz w:val="18"/>
          <w:szCs w:val="18"/>
        </w:rPr>
        <w:t>urchasing Excellence agenda</w:t>
      </w:r>
      <w:r>
        <w:rPr>
          <w:rFonts w:cs="Arial"/>
          <w:sz w:val="18"/>
          <w:szCs w:val="18"/>
        </w:rPr>
        <w:t xml:space="preserve">, </w:t>
      </w:r>
      <w:r w:rsidRPr="0085746A">
        <w:rPr>
          <w:rFonts w:cs="Arial"/>
          <w:sz w:val="18"/>
          <w:szCs w:val="18"/>
        </w:rPr>
        <w:t>implement</w:t>
      </w:r>
      <w:r>
        <w:rPr>
          <w:rFonts w:cs="Arial"/>
          <w:sz w:val="18"/>
          <w:szCs w:val="18"/>
        </w:rPr>
        <w:t>ing</w:t>
      </w:r>
      <w:r w:rsidRPr="0085746A">
        <w:rPr>
          <w:rFonts w:cs="Arial"/>
          <w:sz w:val="18"/>
          <w:szCs w:val="18"/>
        </w:rPr>
        <w:t xml:space="preserve"> new IT solutions to support analytics and reporting, including a shared portal for managing packaging data with customers and suppliers.</w:t>
      </w:r>
      <w:r>
        <w:rPr>
          <w:rFonts w:cs="Arial"/>
          <w:sz w:val="18"/>
          <w:szCs w:val="18"/>
        </w:rPr>
        <w:t xml:space="preserve"> The Group continues to </w:t>
      </w:r>
      <w:r w:rsidRPr="0085746A">
        <w:rPr>
          <w:rFonts w:cs="Arial"/>
          <w:sz w:val="18"/>
          <w:szCs w:val="18"/>
        </w:rPr>
        <w:t>engag</w:t>
      </w:r>
      <w:r>
        <w:rPr>
          <w:rFonts w:cs="Arial"/>
          <w:sz w:val="18"/>
          <w:szCs w:val="18"/>
        </w:rPr>
        <w:t>e</w:t>
      </w:r>
      <w:r w:rsidRPr="0085746A">
        <w:rPr>
          <w:rFonts w:cs="Arial"/>
          <w:sz w:val="18"/>
          <w:szCs w:val="18"/>
        </w:rPr>
        <w:t xml:space="preserve"> with key suppliers in a structured way to simplify ingredient supply chains, whilst enabling innovation and maintaining rigorous quality standards.</w:t>
      </w:r>
    </w:p>
    <w:bookmarkEnd w:id="4"/>
    <w:p w14:paraId="294B822A" w14:textId="77777777" w:rsidR="00473DCA" w:rsidRDefault="00473DCA" w:rsidP="00473DCA">
      <w:pPr>
        <w:jc w:val="both"/>
        <w:rPr>
          <w:rFonts w:cs="Arial"/>
          <w:sz w:val="18"/>
          <w:szCs w:val="18"/>
          <w:highlight w:val="yellow"/>
        </w:rPr>
      </w:pPr>
    </w:p>
    <w:p w14:paraId="50CD3D4E" w14:textId="77777777" w:rsidR="00473DCA" w:rsidRDefault="00473DCA" w:rsidP="00473DCA">
      <w:pPr>
        <w:jc w:val="both"/>
        <w:rPr>
          <w:rFonts w:cs="Arial"/>
          <w:sz w:val="18"/>
          <w:szCs w:val="18"/>
        </w:rPr>
      </w:pPr>
      <w:r w:rsidRPr="000601E3">
        <w:rPr>
          <w:rFonts w:cs="Arial"/>
          <w:sz w:val="18"/>
          <w:szCs w:val="18"/>
        </w:rPr>
        <w:t xml:space="preserve">Producing great tasting, quality food to the highest technical and food safety standards is a hallmark of the Greencore business. Throughout FY21, the Group launched </w:t>
      </w:r>
      <w:r w:rsidR="009938C7">
        <w:rPr>
          <w:rFonts w:cs="Arial"/>
          <w:sz w:val="18"/>
          <w:szCs w:val="18"/>
        </w:rPr>
        <w:t>over 1,300</w:t>
      </w:r>
      <w:r w:rsidRPr="000601E3">
        <w:rPr>
          <w:rFonts w:cs="Arial"/>
          <w:sz w:val="18"/>
          <w:szCs w:val="18"/>
        </w:rPr>
        <w:t xml:space="preserve"> new or reformulated products with our customers, </w:t>
      </w:r>
      <w:r w:rsidR="009938C7">
        <w:rPr>
          <w:rFonts w:cs="Arial"/>
          <w:sz w:val="18"/>
          <w:szCs w:val="18"/>
        </w:rPr>
        <w:t xml:space="preserve">within </w:t>
      </w:r>
      <w:r w:rsidRPr="000601E3">
        <w:rPr>
          <w:rFonts w:cs="Arial"/>
          <w:sz w:val="18"/>
          <w:szCs w:val="18"/>
        </w:rPr>
        <w:t xml:space="preserve">the Group’s total </w:t>
      </w:r>
      <w:r>
        <w:rPr>
          <w:rFonts w:cs="Arial"/>
          <w:sz w:val="18"/>
          <w:szCs w:val="18"/>
        </w:rPr>
        <w:t>Stock Keeping Unit (</w:t>
      </w:r>
      <w:r w:rsidRPr="000601E3">
        <w:rPr>
          <w:rFonts w:cs="Arial"/>
          <w:sz w:val="18"/>
          <w:szCs w:val="18"/>
        </w:rPr>
        <w:t>SKU</w:t>
      </w:r>
      <w:r>
        <w:rPr>
          <w:rFonts w:cs="Arial"/>
          <w:sz w:val="18"/>
          <w:szCs w:val="18"/>
        </w:rPr>
        <w:t>)</w:t>
      </w:r>
      <w:r w:rsidRPr="000601E3">
        <w:rPr>
          <w:rFonts w:cs="Arial"/>
          <w:sz w:val="18"/>
          <w:szCs w:val="18"/>
        </w:rPr>
        <w:t xml:space="preserve"> range</w:t>
      </w:r>
      <w:r w:rsidR="009938C7">
        <w:rPr>
          <w:rFonts w:cs="Arial"/>
          <w:sz w:val="18"/>
          <w:szCs w:val="18"/>
        </w:rPr>
        <w:t xml:space="preserve"> of approximately 2,200 products</w:t>
      </w:r>
      <w:r w:rsidRPr="000601E3">
        <w:rPr>
          <w:rFonts w:cs="Arial"/>
          <w:sz w:val="18"/>
          <w:szCs w:val="18"/>
        </w:rPr>
        <w:t xml:space="preserve">. An example of these new initiatives was a first-to-market innovation transitioning all sandwich bread with one of the Group’s largest customers to a new fibre-enriched loaf, with no compromise on either taste or shelf life. The Group was also responsive to changes in consumer behaviour through the COVID-19 disruption and developed a range of ‘dine-at-home’ meal boxes with a key customer to create a premium, restaurant quality meal experience. </w:t>
      </w:r>
    </w:p>
    <w:p w14:paraId="2C31601D" w14:textId="77777777" w:rsidR="009B1C1E" w:rsidRDefault="009B1C1E" w:rsidP="00473DCA">
      <w:pPr>
        <w:jc w:val="both"/>
        <w:rPr>
          <w:rFonts w:cs="Arial"/>
          <w:b/>
          <w:sz w:val="18"/>
          <w:szCs w:val="18"/>
        </w:rPr>
      </w:pPr>
    </w:p>
    <w:p w14:paraId="10E41FD1" w14:textId="77777777" w:rsidR="00473DCA" w:rsidRPr="00CB7CCC" w:rsidRDefault="00473DCA" w:rsidP="00473DCA">
      <w:pPr>
        <w:jc w:val="both"/>
        <w:rPr>
          <w:rFonts w:cs="Arial"/>
          <w:b/>
          <w:sz w:val="18"/>
          <w:szCs w:val="18"/>
        </w:rPr>
      </w:pPr>
      <w:r w:rsidRPr="00CB7CCC">
        <w:rPr>
          <w:rFonts w:cs="Arial"/>
          <w:b/>
          <w:sz w:val="18"/>
          <w:szCs w:val="18"/>
        </w:rPr>
        <w:t>Performance</w:t>
      </w:r>
    </w:p>
    <w:p w14:paraId="1AA553CB" w14:textId="77777777" w:rsidR="00473DCA" w:rsidRPr="00CB7CCC" w:rsidRDefault="00473DCA" w:rsidP="00473DCA">
      <w:pPr>
        <w:jc w:val="both"/>
        <w:rPr>
          <w:rFonts w:cs="Arial"/>
          <w:sz w:val="18"/>
          <w:szCs w:val="18"/>
        </w:rPr>
      </w:pPr>
    </w:p>
    <w:p w14:paraId="538C556E" w14:textId="77777777" w:rsidR="00473DCA" w:rsidRPr="00CB7CCC" w:rsidRDefault="00473DCA" w:rsidP="00473DCA">
      <w:pPr>
        <w:jc w:val="both"/>
        <w:rPr>
          <w:rFonts w:cs="Arial"/>
          <w:sz w:val="18"/>
          <w:szCs w:val="18"/>
        </w:rPr>
      </w:pPr>
      <w:r w:rsidRPr="00E255F7">
        <w:rPr>
          <w:rFonts w:cs="Arial"/>
          <w:sz w:val="18"/>
          <w:szCs w:val="18"/>
        </w:rPr>
        <w:t xml:space="preserve">Reported Group revenue increased by </w:t>
      </w:r>
      <w:r>
        <w:rPr>
          <w:rFonts w:cs="Arial"/>
          <w:sz w:val="18"/>
          <w:szCs w:val="18"/>
        </w:rPr>
        <w:t>4.8</w:t>
      </w:r>
      <w:r w:rsidRPr="00E255F7">
        <w:rPr>
          <w:rFonts w:cs="Arial"/>
          <w:sz w:val="18"/>
          <w:szCs w:val="18"/>
        </w:rPr>
        <w:t>% to £</w:t>
      </w:r>
      <w:r>
        <w:rPr>
          <w:rFonts w:cs="Arial"/>
          <w:sz w:val="18"/>
          <w:szCs w:val="18"/>
        </w:rPr>
        <w:t>1,324.8</w:t>
      </w:r>
      <w:r w:rsidRPr="00E255F7">
        <w:rPr>
          <w:rFonts w:cs="Arial"/>
          <w:sz w:val="18"/>
          <w:szCs w:val="18"/>
        </w:rPr>
        <w:t>m in FY21. On a pro forma basis</w:t>
      </w:r>
      <w:r>
        <w:rPr>
          <w:rFonts w:cs="Arial"/>
          <w:sz w:val="18"/>
          <w:szCs w:val="18"/>
        </w:rPr>
        <w:t>,</w:t>
      </w:r>
      <w:r w:rsidRPr="00E255F7">
        <w:rPr>
          <w:rFonts w:cs="Arial"/>
          <w:sz w:val="18"/>
          <w:szCs w:val="18"/>
        </w:rPr>
        <w:t xml:space="preserve"> revenue increased by </w:t>
      </w:r>
      <w:r>
        <w:rPr>
          <w:rFonts w:cs="Arial"/>
          <w:sz w:val="18"/>
          <w:szCs w:val="18"/>
        </w:rPr>
        <w:t>6.2</w:t>
      </w:r>
      <w:r w:rsidRPr="00E255F7">
        <w:rPr>
          <w:rFonts w:cs="Arial"/>
          <w:sz w:val="18"/>
          <w:szCs w:val="18"/>
        </w:rPr>
        <w:t>%, after adjusting for the disposal of the molasses businesses in Q1 21 and for movement</w:t>
      </w:r>
      <w:r>
        <w:rPr>
          <w:rFonts w:cs="Arial"/>
          <w:sz w:val="18"/>
          <w:szCs w:val="18"/>
        </w:rPr>
        <w:t>s</w:t>
      </w:r>
      <w:r w:rsidRPr="00E255F7">
        <w:rPr>
          <w:rFonts w:cs="Arial"/>
          <w:sz w:val="18"/>
          <w:szCs w:val="18"/>
        </w:rPr>
        <w:t xml:space="preserve"> in foreign exchange. Adjusted Operating Profit rose by </w:t>
      </w:r>
      <w:r>
        <w:rPr>
          <w:rFonts w:cs="Arial"/>
          <w:sz w:val="18"/>
          <w:szCs w:val="18"/>
        </w:rPr>
        <w:t>20.0</w:t>
      </w:r>
      <w:r w:rsidRPr="00E255F7">
        <w:rPr>
          <w:rFonts w:cs="Arial"/>
          <w:sz w:val="18"/>
          <w:szCs w:val="18"/>
        </w:rPr>
        <w:t>% to £</w:t>
      </w:r>
      <w:r>
        <w:rPr>
          <w:rFonts w:cs="Arial"/>
          <w:sz w:val="18"/>
          <w:szCs w:val="18"/>
        </w:rPr>
        <w:t>39.0</w:t>
      </w:r>
      <w:r w:rsidRPr="00E255F7">
        <w:rPr>
          <w:rFonts w:cs="Arial"/>
          <w:sz w:val="18"/>
          <w:szCs w:val="18"/>
        </w:rPr>
        <w:t xml:space="preserve">m and Adjusted Operating Margin advanced by </w:t>
      </w:r>
      <w:r>
        <w:rPr>
          <w:rFonts w:cs="Arial"/>
          <w:sz w:val="18"/>
          <w:szCs w:val="18"/>
        </w:rPr>
        <w:t>30</w:t>
      </w:r>
      <w:r w:rsidRPr="00E255F7">
        <w:rPr>
          <w:rFonts w:cs="Arial"/>
          <w:sz w:val="18"/>
          <w:szCs w:val="18"/>
        </w:rPr>
        <w:t xml:space="preserve">bps to </w:t>
      </w:r>
      <w:r>
        <w:rPr>
          <w:rFonts w:cs="Arial"/>
          <w:sz w:val="18"/>
          <w:szCs w:val="18"/>
        </w:rPr>
        <w:t>2.9</w:t>
      </w:r>
      <w:r w:rsidRPr="00E255F7">
        <w:rPr>
          <w:rFonts w:cs="Arial"/>
          <w:sz w:val="18"/>
          <w:szCs w:val="18"/>
        </w:rPr>
        <w:t>%.</w:t>
      </w:r>
      <w:r w:rsidRPr="00CB7CCC">
        <w:rPr>
          <w:rFonts w:cs="Arial"/>
          <w:sz w:val="18"/>
          <w:szCs w:val="18"/>
        </w:rPr>
        <w:t xml:space="preserve"> </w:t>
      </w:r>
      <w:r w:rsidR="00D74740">
        <w:rPr>
          <w:rFonts w:cs="Arial"/>
          <w:sz w:val="18"/>
          <w:szCs w:val="18"/>
        </w:rPr>
        <w:t>Group Profit Before Tax was £</w:t>
      </w:r>
      <w:r w:rsidR="001848F1">
        <w:rPr>
          <w:rFonts w:cs="Arial"/>
          <w:sz w:val="18"/>
          <w:szCs w:val="18"/>
        </w:rPr>
        <w:t>27.8m in FY21, compared to a Loss Before Tax of £10.8m in FY20.</w:t>
      </w:r>
    </w:p>
    <w:p w14:paraId="49B65020" w14:textId="77777777" w:rsidR="00473DCA" w:rsidRPr="00CB7CCC" w:rsidRDefault="00473DCA" w:rsidP="00473DCA">
      <w:pPr>
        <w:jc w:val="both"/>
        <w:rPr>
          <w:rFonts w:cs="Arial"/>
          <w:sz w:val="18"/>
          <w:szCs w:val="18"/>
        </w:rPr>
      </w:pPr>
    </w:p>
    <w:p w14:paraId="722CBC6E" w14:textId="77777777" w:rsidR="00473DCA" w:rsidRDefault="00473DCA" w:rsidP="00473DCA">
      <w:pPr>
        <w:jc w:val="both"/>
        <w:rPr>
          <w:rFonts w:cs="Arial"/>
          <w:sz w:val="18"/>
          <w:szCs w:val="18"/>
        </w:rPr>
      </w:pPr>
      <w:r w:rsidRPr="00BB26BB">
        <w:rPr>
          <w:rFonts w:cs="Arial"/>
          <w:sz w:val="18"/>
          <w:szCs w:val="18"/>
        </w:rPr>
        <w:t xml:space="preserve">The UK trading environment </w:t>
      </w:r>
      <w:r>
        <w:rPr>
          <w:rFonts w:cs="Arial"/>
          <w:sz w:val="18"/>
          <w:szCs w:val="18"/>
        </w:rPr>
        <w:t>remained</w:t>
      </w:r>
      <w:r w:rsidRPr="00BB26BB">
        <w:rPr>
          <w:rFonts w:cs="Arial"/>
          <w:sz w:val="18"/>
          <w:szCs w:val="18"/>
        </w:rPr>
        <w:t xml:space="preserve"> volatile during FY21. There was a pronounced negative impact on demand in food to go categories in the first half of the year, arising from a reduction in mobility due to extensive lockdowns and tiered restrictions across the UK. The trading environment improved markedly from Q3 as the economy reopened and mobility restrictions were eased, supporting demand growth in food to go categories in particular. In addition to the underlying market recovery, the Group benefitted from its strong market position in the grocery retail channel, its customer and format mix, and its portfolio across food to go and other convenience categories. </w:t>
      </w:r>
      <w:r w:rsidRPr="00AA2704">
        <w:rPr>
          <w:rFonts w:cs="Arial"/>
          <w:sz w:val="18"/>
          <w:szCs w:val="18"/>
        </w:rPr>
        <w:t>New business increasingly contributed to Group revenue performance as the year progressed.</w:t>
      </w:r>
      <w:r w:rsidRPr="00BB26BB">
        <w:rPr>
          <w:rFonts w:cs="Arial"/>
          <w:sz w:val="18"/>
          <w:szCs w:val="18"/>
        </w:rPr>
        <w:t xml:space="preserve"> </w:t>
      </w:r>
    </w:p>
    <w:p w14:paraId="3945BBE0" w14:textId="77777777" w:rsidR="00473DCA" w:rsidRDefault="00473DCA" w:rsidP="00473DCA">
      <w:pPr>
        <w:jc w:val="both"/>
        <w:rPr>
          <w:rFonts w:cs="Arial"/>
          <w:sz w:val="18"/>
          <w:szCs w:val="18"/>
        </w:rPr>
      </w:pPr>
    </w:p>
    <w:p w14:paraId="43455A37" w14:textId="77777777" w:rsidR="00473DCA" w:rsidRPr="00BB26BB" w:rsidRDefault="00473DCA" w:rsidP="00473DCA">
      <w:pPr>
        <w:jc w:val="both"/>
        <w:rPr>
          <w:rFonts w:cs="Arial"/>
          <w:sz w:val="18"/>
          <w:szCs w:val="18"/>
        </w:rPr>
      </w:pPr>
      <w:r w:rsidRPr="004A790F">
        <w:rPr>
          <w:rFonts w:cs="Arial"/>
          <w:sz w:val="18"/>
          <w:szCs w:val="18"/>
        </w:rPr>
        <w:t>As the economy reopened, supply-side challenges emerged across the UK food industry. This has been primarily driven by tight labour availability, with a marked impact on logistics and the supply of inbound materials. Greencore has not been immune to these impacts but delivered strong operational service levels in this context, supported by its own Direct-to-Store distribution network.</w:t>
      </w:r>
    </w:p>
    <w:p w14:paraId="56A2C1A7" w14:textId="77777777" w:rsidR="00473DCA" w:rsidRPr="00A25B9E" w:rsidRDefault="00473DCA" w:rsidP="00473DCA">
      <w:pPr>
        <w:jc w:val="both"/>
        <w:rPr>
          <w:rFonts w:cs="Arial"/>
          <w:sz w:val="18"/>
          <w:szCs w:val="18"/>
          <w:highlight w:val="yellow"/>
        </w:rPr>
      </w:pPr>
    </w:p>
    <w:p w14:paraId="3CEBFD0F" w14:textId="77777777" w:rsidR="00473DCA" w:rsidRPr="00CB7CCC" w:rsidRDefault="00473DCA" w:rsidP="00473DCA">
      <w:pPr>
        <w:jc w:val="both"/>
        <w:rPr>
          <w:rFonts w:cs="Arial"/>
          <w:sz w:val="18"/>
          <w:szCs w:val="18"/>
        </w:rPr>
      </w:pPr>
      <w:r w:rsidRPr="00D4380E">
        <w:rPr>
          <w:rFonts w:cs="Arial"/>
          <w:sz w:val="18"/>
          <w:szCs w:val="18"/>
        </w:rPr>
        <w:t>FY21 revenue in the Group’s food to go categories (comprising sandwiches, salads, sushi and chilled snacking) totalled £</w:t>
      </w:r>
      <w:r>
        <w:rPr>
          <w:rFonts w:cs="Arial"/>
          <w:sz w:val="18"/>
          <w:szCs w:val="18"/>
        </w:rPr>
        <w:t>842.1</w:t>
      </w:r>
      <w:r w:rsidRPr="00D4380E">
        <w:rPr>
          <w:rFonts w:cs="Arial"/>
          <w:sz w:val="18"/>
          <w:szCs w:val="18"/>
        </w:rPr>
        <w:t xml:space="preserve">m and accounted for approximately </w:t>
      </w:r>
      <w:r>
        <w:rPr>
          <w:rFonts w:cs="Arial"/>
          <w:sz w:val="18"/>
          <w:szCs w:val="18"/>
        </w:rPr>
        <w:t>64</w:t>
      </w:r>
      <w:r w:rsidRPr="00D4380E">
        <w:rPr>
          <w:rFonts w:cs="Arial"/>
          <w:sz w:val="18"/>
          <w:szCs w:val="18"/>
        </w:rPr>
        <w:t xml:space="preserve">% of reported revenue. Reported and pro forma revenues increased by </w:t>
      </w:r>
      <w:r>
        <w:rPr>
          <w:rFonts w:cs="Arial"/>
          <w:sz w:val="18"/>
          <w:szCs w:val="18"/>
        </w:rPr>
        <w:t>9.0</w:t>
      </w:r>
      <w:r w:rsidRPr="00D4380E">
        <w:rPr>
          <w:rFonts w:cs="Arial"/>
          <w:sz w:val="18"/>
          <w:szCs w:val="18"/>
        </w:rPr>
        <w:t xml:space="preserve">% in these categories, driven by a recovery in underlying demand as the year progressed and by strong execution on new business wins. </w:t>
      </w:r>
      <w:bookmarkStart w:id="5" w:name="_Hlk87869963"/>
      <w:r w:rsidRPr="00843ED9">
        <w:rPr>
          <w:rFonts w:cs="Arial"/>
          <w:sz w:val="18"/>
          <w:szCs w:val="18"/>
        </w:rPr>
        <w:t xml:space="preserve">Revenue for the distribution of third party products accounted for approximately </w:t>
      </w:r>
      <w:r w:rsidR="00550A95">
        <w:rPr>
          <w:rFonts w:cs="Arial"/>
          <w:sz w:val="18"/>
          <w:szCs w:val="18"/>
        </w:rPr>
        <w:t>8</w:t>
      </w:r>
      <w:r w:rsidRPr="00843ED9">
        <w:rPr>
          <w:rFonts w:cs="Arial"/>
          <w:sz w:val="18"/>
          <w:szCs w:val="18"/>
        </w:rPr>
        <w:t xml:space="preserve">% of Group revenue in FY21 and benefitted from new customer wins in the period. </w:t>
      </w:r>
      <w:bookmarkEnd w:id="5"/>
    </w:p>
    <w:p w14:paraId="4457F6AD" w14:textId="77777777" w:rsidR="00473DCA" w:rsidRPr="00CB7CCC" w:rsidRDefault="00473DCA" w:rsidP="00473DCA">
      <w:pPr>
        <w:jc w:val="both"/>
        <w:rPr>
          <w:rFonts w:cs="Arial"/>
          <w:sz w:val="18"/>
          <w:szCs w:val="18"/>
        </w:rPr>
      </w:pPr>
    </w:p>
    <w:p w14:paraId="7D9F1699" w14:textId="77777777" w:rsidR="00473DCA" w:rsidRPr="00843ED9" w:rsidRDefault="00473DCA" w:rsidP="00473DCA">
      <w:pPr>
        <w:tabs>
          <w:tab w:val="num" w:pos="426"/>
        </w:tabs>
        <w:jc w:val="both"/>
        <w:rPr>
          <w:rFonts w:cs="Arial"/>
          <w:sz w:val="18"/>
          <w:szCs w:val="18"/>
        </w:rPr>
      </w:pPr>
      <w:r w:rsidRPr="00843ED9">
        <w:rPr>
          <w:rFonts w:cs="Arial"/>
          <w:sz w:val="18"/>
          <w:szCs w:val="18"/>
        </w:rPr>
        <w:t>On a pro forma basis</w:t>
      </w:r>
      <w:r>
        <w:rPr>
          <w:rFonts w:cs="Arial"/>
          <w:sz w:val="18"/>
          <w:szCs w:val="18"/>
        </w:rPr>
        <w:t>,</w:t>
      </w:r>
      <w:r w:rsidRPr="00843ED9">
        <w:rPr>
          <w:rFonts w:cs="Arial"/>
          <w:sz w:val="18"/>
          <w:szCs w:val="18"/>
        </w:rPr>
        <w:t xml:space="preserve"> revenue in food to go categories increased by </w:t>
      </w:r>
      <w:r>
        <w:rPr>
          <w:rFonts w:cs="Arial"/>
          <w:sz w:val="18"/>
          <w:szCs w:val="18"/>
        </w:rPr>
        <w:t>approximately 59</w:t>
      </w:r>
      <w:r w:rsidRPr="00843ED9">
        <w:rPr>
          <w:rFonts w:cs="Arial"/>
          <w:sz w:val="18"/>
          <w:szCs w:val="18"/>
        </w:rPr>
        <w:t>% in the second half of FY21, and was</w:t>
      </w:r>
      <w:r>
        <w:rPr>
          <w:rFonts w:cs="Arial"/>
          <w:sz w:val="18"/>
          <w:szCs w:val="18"/>
        </w:rPr>
        <w:t xml:space="preserve"> approximately</w:t>
      </w:r>
      <w:r w:rsidRPr="00843ED9">
        <w:rPr>
          <w:rFonts w:cs="Arial"/>
          <w:sz w:val="18"/>
          <w:szCs w:val="18"/>
        </w:rPr>
        <w:t xml:space="preserve"> </w:t>
      </w:r>
      <w:r>
        <w:rPr>
          <w:rFonts w:cs="Arial"/>
          <w:sz w:val="18"/>
          <w:szCs w:val="18"/>
        </w:rPr>
        <w:t>5</w:t>
      </w:r>
      <w:r w:rsidRPr="00843ED9">
        <w:rPr>
          <w:rFonts w:cs="Arial"/>
          <w:sz w:val="18"/>
          <w:szCs w:val="18"/>
        </w:rPr>
        <w:t xml:space="preserve">% below the equivalent pre-COVID levels in H2 19. In September 2021, the final month of the Group’s fiscal year, pro forma revenue in food to go categories increased by </w:t>
      </w:r>
      <w:r>
        <w:rPr>
          <w:rFonts w:cs="Arial"/>
          <w:sz w:val="18"/>
          <w:szCs w:val="18"/>
        </w:rPr>
        <w:t>approximately 40</w:t>
      </w:r>
      <w:r w:rsidRPr="00843ED9">
        <w:rPr>
          <w:rFonts w:cs="Arial"/>
          <w:sz w:val="18"/>
          <w:szCs w:val="18"/>
        </w:rPr>
        <w:t xml:space="preserve">% year on year and was only </w:t>
      </w:r>
      <w:r>
        <w:rPr>
          <w:rFonts w:cs="Arial"/>
          <w:sz w:val="18"/>
          <w:szCs w:val="18"/>
        </w:rPr>
        <w:t>approximately 1</w:t>
      </w:r>
      <w:r w:rsidRPr="00843ED9">
        <w:rPr>
          <w:rFonts w:cs="Arial"/>
          <w:sz w:val="18"/>
          <w:szCs w:val="18"/>
        </w:rPr>
        <w:t>% below the equivalent pre-COVID levels in H2 19.</w:t>
      </w:r>
    </w:p>
    <w:p w14:paraId="5B32DDEC" w14:textId="77777777" w:rsidR="00473DCA" w:rsidRPr="00CB7CCC" w:rsidRDefault="00473DCA" w:rsidP="00473DCA">
      <w:pPr>
        <w:jc w:val="both"/>
        <w:rPr>
          <w:rFonts w:cs="Arial"/>
          <w:sz w:val="18"/>
          <w:szCs w:val="18"/>
        </w:rPr>
      </w:pPr>
    </w:p>
    <w:p w14:paraId="497887C4" w14:textId="7DB900D9" w:rsidR="00473DCA" w:rsidRPr="00CB7CCC" w:rsidRDefault="00473DCA" w:rsidP="00473DCA">
      <w:pPr>
        <w:jc w:val="both"/>
        <w:rPr>
          <w:rFonts w:cs="Arial"/>
          <w:sz w:val="18"/>
          <w:szCs w:val="18"/>
        </w:rPr>
      </w:pPr>
      <w:r w:rsidRPr="00843ED9">
        <w:rPr>
          <w:rFonts w:cs="Arial"/>
          <w:sz w:val="18"/>
          <w:szCs w:val="18"/>
        </w:rPr>
        <w:t xml:space="preserve">The Group’s other convenience categories comprise activities in the chilled ready meals, chilled soups and sauces, chilled quiche, ambient sauces and pickles, and frozen Yorkshire Pudding categories, as well as </w:t>
      </w:r>
      <w:r w:rsidR="00C03EC1">
        <w:rPr>
          <w:rFonts w:cs="Arial"/>
          <w:sz w:val="18"/>
          <w:szCs w:val="18"/>
        </w:rPr>
        <w:t xml:space="preserve">an </w:t>
      </w:r>
      <w:r w:rsidRPr="00843ED9">
        <w:rPr>
          <w:rFonts w:cs="Arial"/>
          <w:sz w:val="18"/>
          <w:szCs w:val="18"/>
        </w:rPr>
        <w:t xml:space="preserve">Irish ingredients trading business. Reported revenue across these businesses </w:t>
      </w:r>
      <w:r>
        <w:rPr>
          <w:rFonts w:cs="Arial"/>
          <w:sz w:val="18"/>
          <w:szCs w:val="18"/>
        </w:rPr>
        <w:t>decreased</w:t>
      </w:r>
      <w:r w:rsidRPr="00843ED9">
        <w:rPr>
          <w:rFonts w:cs="Arial"/>
          <w:sz w:val="18"/>
          <w:szCs w:val="18"/>
        </w:rPr>
        <w:t xml:space="preserve"> by </w:t>
      </w:r>
      <w:r>
        <w:rPr>
          <w:rFonts w:cs="Arial"/>
          <w:sz w:val="18"/>
          <w:szCs w:val="18"/>
        </w:rPr>
        <w:t>1.9</w:t>
      </w:r>
      <w:r w:rsidRPr="00843ED9">
        <w:rPr>
          <w:rFonts w:cs="Arial"/>
          <w:sz w:val="18"/>
          <w:szCs w:val="18"/>
        </w:rPr>
        <w:t>% to £</w:t>
      </w:r>
      <w:r>
        <w:rPr>
          <w:rFonts w:cs="Arial"/>
          <w:sz w:val="18"/>
          <w:szCs w:val="18"/>
        </w:rPr>
        <w:t>482.7</w:t>
      </w:r>
      <w:r w:rsidRPr="00843ED9">
        <w:rPr>
          <w:rFonts w:cs="Arial"/>
          <w:sz w:val="18"/>
          <w:szCs w:val="18"/>
        </w:rPr>
        <w:t xml:space="preserve">m in FY21. Adjusting for movements in foreign exchange and the disposal of the Irish molasses businesses in Q1 21, pro forma revenue increased by </w:t>
      </w:r>
      <w:r>
        <w:rPr>
          <w:rFonts w:cs="Arial"/>
          <w:sz w:val="18"/>
          <w:szCs w:val="18"/>
        </w:rPr>
        <w:t>1.6</w:t>
      </w:r>
      <w:r w:rsidRPr="00843ED9">
        <w:rPr>
          <w:rFonts w:cs="Arial"/>
          <w:sz w:val="18"/>
          <w:szCs w:val="18"/>
        </w:rPr>
        <w:t xml:space="preserve">%. This was driven by strong growth in the Group’s </w:t>
      </w:r>
      <w:r w:rsidR="0018511E">
        <w:rPr>
          <w:rFonts w:cs="Arial"/>
          <w:sz w:val="18"/>
          <w:szCs w:val="18"/>
        </w:rPr>
        <w:t xml:space="preserve">ready meals </w:t>
      </w:r>
      <w:r w:rsidRPr="00843ED9">
        <w:rPr>
          <w:rFonts w:cs="Arial"/>
          <w:sz w:val="18"/>
          <w:szCs w:val="18"/>
        </w:rPr>
        <w:t xml:space="preserve">business through the second half of the year, while </w:t>
      </w:r>
      <w:r>
        <w:rPr>
          <w:rFonts w:cs="Arial"/>
          <w:sz w:val="18"/>
          <w:szCs w:val="18"/>
        </w:rPr>
        <w:t xml:space="preserve">FY21 </w:t>
      </w:r>
      <w:r w:rsidRPr="00843ED9">
        <w:rPr>
          <w:rFonts w:cs="Arial"/>
          <w:sz w:val="18"/>
          <w:szCs w:val="18"/>
        </w:rPr>
        <w:t xml:space="preserve">revenue in the </w:t>
      </w:r>
      <w:r w:rsidR="0018511E">
        <w:rPr>
          <w:rFonts w:cs="Arial"/>
          <w:sz w:val="18"/>
          <w:szCs w:val="18"/>
        </w:rPr>
        <w:t xml:space="preserve">cooking sauce </w:t>
      </w:r>
      <w:r w:rsidRPr="00843ED9">
        <w:rPr>
          <w:rFonts w:cs="Arial"/>
          <w:sz w:val="18"/>
          <w:szCs w:val="18"/>
        </w:rPr>
        <w:t xml:space="preserve">business was broadly unchanged. Revenue in the Group’s remaining Irish ingredients trading business increased in FY21, recovering from a slower start to the year. </w:t>
      </w:r>
    </w:p>
    <w:p w14:paraId="2FFD4CA9" w14:textId="77777777" w:rsidR="00473DCA" w:rsidRPr="00CB7CCC" w:rsidRDefault="00473DCA" w:rsidP="00473DCA">
      <w:pPr>
        <w:jc w:val="both"/>
        <w:rPr>
          <w:rFonts w:cs="Arial"/>
          <w:sz w:val="18"/>
          <w:szCs w:val="18"/>
        </w:rPr>
      </w:pPr>
    </w:p>
    <w:p w14:paraId="2372BCCC" w14:textId="77777777" w:rsidR="00473DCA" w:rsidRPr="00CB7CCC" w:rsidRDefault="00473DCA" w:rsidP="00473DCA">
      <w:pPr>
        <w:jc w:val="both"/>
        <w:rPr>
          <w:rFonts w:cs="Arial"/>
          <w:sz w:val="18"/>
          <w:szCs w:val="18"/>
        </w:rPr>
      </w:pPr>
      <w:r w:rsidRPr="00613EE4">
        <w:rPr>
          <w:rFonts w:cs="Arial"/>
          <w:sz w:val="18"/>
          <w:szCs w:val="18"/>
        </w:rPr>
        <w:t>Inflation trends in the Group’s main UK cost components were broadly as anticipated. Raw material and packaging costs rose by approximately 1% in FY21. Direct labour inflation was approximately 5%. Both cost components have seen a marked increase in inflation since early Q4 21.</w:t>
      </w:r>
    </w:p>
    <w:p w14:paraId="03C1A9F1" w14:textId="77777777" w:rsidR="00473DCA" w:rsidRDefault="00473DCA" w:rsidP="00473DCA">
      <w:pPr>
        <w:jc w:val="both"/>
        <w:rPr>
          <w:rFonts w:cs="Arial"/>
          <w:sz w:val="18"/>
          <w:szCs w:val="18"/>
        </w:rPr>
      </w:pPr>
    </w:p>
    <w:p w14:paraId="37A12F22" w14:textId="77777777" w:rsidR="00473DCA" w:rsidRDefault="00473DCA" w:rsidP="00473DCA">
      <w:pPr>
        <w:jc w:val="both"/>
        <w:rPr>
          <w:rFonts w:cs="Arial"/>
          <w:sz w:val="18"/>
          <w:szCs w:val="18"/>
        </w:rPr>
      </w:pPr>
      <w:r w:rsidRPr="00206D8A">
        <w:rPr>
          <w:rFonts w:cs="Arial"/>
          <w:sz w:val="18"/>
          <w:szCs w:val="18"/>
        </w:rPr>
        <w:t>The Group incurred £5.3m of operating costs relating to COVID-19</w:t>
      </w:r>
      <w:r w:rsidR="00206D8A" w:rsidRPr="00AA2704">
        <w:rPr>
          <w:rFonts w:cs="Arial"/>
          <w:sz w:val="18"/>
          <w:szCs w:val="18"/>
        </w:rPr>
        <w:t xml:space="preserve"> (FY20:£10.8m). The Group also incurred non-recurring costs of £4.4m relating to </w:t>
      </w:r>
      <w:r w:rsidRPr="00206D8A">
        <w:rPr>
          <w:rFonts w:cs="Arial"/>
          <w:sz w:val="18"/>
          <w:szCs w:val="18"/>
        </w:rPr>
        <w:t xml:space="preserve">an impairment charge on fixed assets, offset by a £4.8m </w:t>
      </w:r>
      <w:r w:rsidR="00206D8A" w:rsidRPr="00AA2704">
        <w:rPr>
          <w:rFonts w:cs="Arial"/>
          <w:sz w:val="18"/>
          <w:szCs w:val="18"/>
        </w:rPr>
        <w:t xml:space="preserve">non-recurring gain relating to an </w:t>
      </w:r>
      <w:r w:rsidRPr="00206D8A">
        <w:rPr>
          <w:rFonts w:cs="Arial"/>
          <w:sz w:val="18"/>
          <w:szCs w:val="18"/>
        </w:rPr>
        <w:t>insurance claim credit</w:t>
      </w:r>
      <w:r w:rsidR="00206D8A" w:rsidRPr="00AA2704">
        <w:rPr>
          <w:rFonts w:cs="Arial"/>
          <w:sz w:val="18"/>
          <w:szCs w:val="18"/>
        </w:rPr>
        <w:t xml:space="preserve">. </w:t>
      </w:r>
      <w:r w:rsidRPr="00AA2704">
        <w:rPr>
          <w:rFonts w:cs="Arial"/>
          <w:sz w:val="18"/>
          <w:szCs w:val="18"/>
        </w:rPr>
        <w:t xml:space="preserve">These costs were </w:t>
      </w:r>
      <w:r w:rsidR="00206D8A" w:rsidRPr="00206D8A">
        <w:rPr>
          <w:rFonts w:cs="Arial"/>
          <w:sz w:val="18"/>
          <w:szCs w:val="18"/>
        </w:rPr>
        <w:t>recognised within operating income</w:t>
      </w:r>
      <w:r w:rsidRPr="00613EE4">
        <w:rPr>
          <w:rFonts w:cs="Arial"/>
          <w:sz w:val="18"/>
          <w:szCs w:val="18"/>
        </w:rPr>
        <w:t>.</w:t>
      </w:r>
    </w:p>
    <w:p w14:paraId="3D9A081D" w14:textId="77777777" w:rsidR="00473DCA" w:rsidRPr="00CB7CCC" w:rsidRDefault="00473DCA" w:rsidP="00473DCA">
      <w:pPr>
        <w:jc w:val="both"/>
        <w:rPr>
          <w:rFonts w:cs="Arial"/>
          <w:sz w:val="18"/>
          <w:szCs w:val="18"/>
        </w:rPr>
      </w:pPr>
    </w:p>
    <w:p w14:paraId="5936156D" w14:textId="77777777" w:rsidR="00473DCA" w:rsidRDefault="00473DCA" w:rsidP="00473DCA">
      <w:pPr>
        <w:jc w:val="both"/>
        <w:rPr>
          <w:rFonts w:cs="Arial"/>
          <w:sz w:val="18"/>
          <w:szCs w:val="18"/>
        </w:rPr>
      </w:pPr>
      <w:r w:rsidRPr="00084450">
        <w:rPr>
          <w:rFonts w:cs="Arial"/>
          <w:sz w:val="18"/>
          <w:szCs w:val="18"/>
        </w:rPr>
        <w:t>Overall, Group Operating Profit increased from £12.9m to £</w:t>
      </w:r>
      <w:r>
        <w:rPr>
          <w:rFonts w:cs="Arial"/>
          <w:sz w:val="18"/>
          <w:szCs w:val="18"/>
        </w:rPr>
        <w:t>42.8</w:t>
      </w:r>
      <w:r w:rsidRPr="00084450">
        <w:rPr>
          <w:rFonts w:cs="Arial"/>
          <w:sz w:val="18"/>
          <w:szCs w:val="18"/>
        </w:rPr>
        <w:t>m. Adjusted Operating Profit increased from £32.5m to £</w:t>
      </w:r>
      <w:r>
        <w:rPr>
          <w:rFonts w:cs="Arial"/>
          <w:sz w:val="18"/>
          <w:szCs w:val="18"/>
        </w:rPr>
        <w:t>39.0</w:t>
      </w:r>
      <w:r w:rsidRPr="00084450">
        <w:rPr>
          <w:rFonts w:cs="Arial"/>
          <w:sz w:val="18"/>
          <w:szCs w:val="18"/>
        </w:rPr>
        <w:t xml:space="preserve">m. The increase in Adjusted Operating Profit was driven primarily by an improvement in profitability in the Group’s food to go categories, as demand recovered in the second half of the year. </w:t>
      </w:r>
      <w:r w:rsidR="0020720A">
        <w:rPr>
          <w:rFonts w:cs="Arial"/>
          <w:sz w:val="18"/>
          <w:szCs w:val="18"/>
        </w:rPr>
        <w:t>Underlying p</w:t>
      </w:r>
      <w:r w:rsidRPr="00084450">
        <w:rPr>
          <w:rFonts w:cs="Arial"/>
          <w:sz w:val="18"/>
          <w:szCs w:val="18"/>
        </w:rPr>
        <w:t xml:space="preserve">rofitability in the Group’s other convenience categories </w:t>
      </w:r>
      <w:r>
        <w:rPr>
          <w:rFonts w:cs="Arial"/>
          <w:sz w:val="18"/>
          <w:szCs w:val="18"/>
        </w:rPr>
        <w:t>was broadly unchanged</w:t>
      </w:r>
      <w:r w:rsidRPr="00084450">
        <w:rPr>
          <w:rFonts w:cs="Arial"/>
          <w:sz w:val="18"/>
          <w:szCs w:val="18"/>
        </w:rPr>
        <w:t xml:space="preserve"> in FY21.</w:t>
      </w:r>
    </w:p>
    <w:p w14:paraId="0AE0EF16" w14:textId="77777777" w:rsidR="00473DCA" w:rsidRDefault="00473DCA" w:rsidP="00473DCA">
      <w:pPr>
        <w:jc w:val="both"/>
        <w:rPr>
          <w:rFonts w:cs="Arial"/>
          <w:sz w:val="18"/>
          <w:szCs w:val="18"/>
        </w:rPr>
      </w:pPr>
    </w:p>
    <w:p w14:paraId="7240D576" w14:textId="77777777" w:rsidR="00473DCA" w:rsidRPr="00182932" w:rsidRDefault="00473DCA" w:rsidP="00473DCA">
      <w:pPr>
        <w:jc w:val="both"/>
        <w:rPr>
          <w:rFonts w:cs="Arial"/>
          <w:sz w:val="18"/>
          <w:szCs w:val="18"/>
        </w:rPr>
      </w:pPr>
      <w:r w:rsidRPr="00182932">
        <w:rPr>
          <w:rFonts w:cs="Arial"/>
          <w:sz w:val="18"/>
          <w:szCs w:val="18"/>
        </w:rPr>
        <w:lastRenderedPageBreak/>
        <w:t>In FY21 the Group received UK Government assistance of £</w:t>
      </w:r>
      <w:r>
        <w:rPr>
          <w:rFonts w:cs="Arial"/>
          <w:sz w:val="18"/>
          <w:szCs w:val="18"/>
        </w:rPr>
        <w:t>8.7</w:t>
      </w:r>
      <w:r w:rsidRPr="00182932">
        <w:rPr>
          <w:rFonts w:cs="Arial"/>
          <w:sz w:val="18"/>
          <w:szCs w:val="18"/>
        </w:rPr>
        <w:t>m (</w:t>
      </w:r>
      <w:r>
        <w:rPr>
          <w:rFonts w:cs="Arial"/>
          <w:sz w:val="18"/>
          <w:szCs w:val="18"/>
        </w:rPr>
        <w:t>FY20</w:t>
      </w:r>
      <w:r w:rsidRPr="00182932">
        <w:rPr>
          <w:rFonts w:cs="Arial"/>
          <w:sz w:val="18"/>
          <w:szCs w:val="18"/>
        </w:rPr>
        <w:t>: £</w:t>
      </w:r>
      <w:r>
        <w:rPr>
          <w:rFonts w:cs="Arial"/>
          <w:sz w:val="18"/>
          <w:szCs w:val="18"/>
        </w:rPr>
        <w:t>21.3</w:t>
      </w:r>
      <w:r w:rsidRPr="00182932">
        <w:rPr>
          <w:rFonts w:cs="Arial"/>
          <w:sz w:val="18"/>
          <w:szCs w:val="18"/>
        </w:rPr>
        <w:t>m) under the Coronavirus Job Retention Scheme.</w:t>
      </w:r>
    </w:p>
    <w:p w14:paraId="00A4F0E0" w14:textId="77777777" w:rsidR="00473DCA" w:rsidRDefault="00473DCA" w:rsidP="00473DCA">
      <w:pPr>
        <w:jc w:val="both"/>
        <w:rPr>
          <w:rFonts w:cs="Arial"/>
          <w:sz w:val="18"/>
          <w:szCs w:val="18"/>
        </w:rPr>
      </w:pPr>
    </w:p>
    <w:p w14:paraId="52B95FCC" w14:textId="77777777" w:rsidR="00473DCA" w:rsidRPr="00AF416F" w:rsidRDefault="00473DCA" w:rsidP="00473DCA">
      <w:pPr>
        <w:jc w:val="both"/>
        <w:rPr>
          <w:rFonts w:cs="Arial"/>
          <w:b/>
          <w:bCs/>
          <w:sz w:val="18"/>
          <w:szCs w:val="18"/>
        </w:rPr>
      </w:pPr>
      <w:r w:rsidRPr="00AF416F">
        <w:rPr>
          <w:rFonts w:cs="Arial"/>
          <w:b/>
          <w:bCs/>
          <w:sz w:val="18"/>
          <w:szCs w:val="18"/>
        </w:rPr>
        <w:t>Brexit</w:t>
      </w:r>
    </w:p>
    <w:p w14:paraId="2C9CE536" w14:textId="77777777" w:rsidR="00473DCA" w:rsidRDefault="00473DCA" w:rsidP="00473DCA">
      <w:pPr>
        <w:jc w:val="both"/>
        <w:rPr>
          <w:rFonts w:cs="Arial"/>
          <w:sz w:val="18"/>
          <w:szCs w:val="18"/>
        </w:rPr>
      </w:pPr>
    </w:p>
    <w:p w14:paraId="1A120E3A" w14:textId="77777777" w:rsidR="00473DCA" w:rsidRPr="00CB7CCC" w:rsidRDefault="00473DCA" w:rsidP="00473DCA">
      <w:pPr>
        <w:jc w:val="both"/>
        <w:rPr>
          <w:rFonts w:cs="Arial"/>
          <w:sz w:val="18"/>
          <w:szCs w:val="18"/>
        </w:rPr>
      </w:pPr>
      <w:r w:rsidRPr="00AF416F">
        <w:rPr>
          <w:rFonts w:cs="Arial"/>
          <w:sz w:val="18"/>
          <w:szCs w:val="18"/>
        </w:rPr>
        <w:t xml:space="preserve">The Trade and Cooperation Agreement negotiated between the EU and the UK was applied provisionally from 1 January 2021 and entered into force from 1 May 2021. </w:t>
      </w:r>
      <w:r>
        <w:rPr>
          <w:rFonts w:cs="Arial"/>
          <w:sz w:val="18"/>
          <w:szCs w:val="18"/>
        </w:rPr>
        <w:t>While t</w:t>
      </w:r>
      <w:r w:rsidRPr="00AF416F">
        <w:rPr>
          <w:rFonts w:cs="Arial"/>
          <w:sz w:val="18"/>
          <w:szCs w:val="18"/>
        </w:rPr>
        <w:t xml:space="preserve">he </w:t>
      </w:r>
      <w:r>
        <w:rPr>
          <w:rFonts w:cs="Arial"/>
          <w:sz w:val="18"/>
          <w:szCs w:val="18"/>
        </w:rPr>
        <w:t xml:space="preserve">direct </w:t>
      </w:r>
      <w:r w:rsidRPr="00AF416F">
        <w:rPr>
          <w:rFonts w:cs="Arial"/>
          <w:sz w:val="18"/>
          <w:szCs w:val="18"/>
        </w:rPr>
        <w:t xml:space="preserve">financial impact on the Group in </w:t>
      </w:r>
      <w:r>
        <w:rPr>
          <w:rFonts w:cs="Arial"/>
          <w:sz w:val="18"/>
          <w:szCs w:val="18"/>
        </w:rPr>
        <w:t>FY</w:t>
      </w:r>
      <w:r w:rsidRPr="00AF416F">
        <w:rPr>
          <w:rFonts w:cs="Arial"/>
          <w:sz w:val="18"/>
          <w:szCs w:val="18"/>
        </w:rPr>
        <w:t xml:space="preserve">21 was </w:t>
      </w:r>
      <w:r>
        <w:rPr>
          <w:rFonts w:cs="Arial"/>
          <w:sz w:val="18"/>
          <w:szCs w:val="18"/>
        </w:rPr>
        <w:t xml:space="preserve">modest, the operational impact </w:t>
      </w:r>
      <w:r w:rsidR="00EB35BA">
        <w:rPr>
          <w:rFonts w:cs="Arial"/>
          <w:sz w:val="18"/>
          <w:szCs w:val="18"/>
        </w:rPr>
        <w:t>was</w:t>
      </w:r>
      <w:r>
        <w:rPr>
          <w:rFonts w:cs="Arial"/>
          <w:sz w:val="18"/>
          <w:szCs w:val="18"/>
        </w:rPr>
        <w:t xml:space="preserve"> more challenging due to the</w:t>
      </w:r>
      <w:r w:rsidR="009867EC">
        <w:rPr>
          <w:rFonts w:cs="Arial"/>
          <w:sz w:val="18"/>
          <w:szCs w:val="18"/>
        </w:rPr>
        <w:t xml:space="preserve"> additional</w:t>
      </w:r>
      <w:r>
        <w:rPr>
          <w:rFonts w:cs="Arial"/>
          <w:sz w:val="18"/>
          <w:szCs w:val="18"/>
        </w:rPr>
        <w:t xml:space="preserve"> impact of COVID-19 on labour availability and the supply chain</w:t>
      </w:r>
      <w:r w:rsidRPr="00AF416F">
        <w:rPr>
          <w:rFonts w:cs="Arial"/>
          <w:sz w:val="18"/>
          <w:szCs w:val="18"/>
        </w:rPr>
        <w:t>.</w:t>
      </w:r>
      <w:r>
        <w:rPr>
          <w:rFonts w:cs="Arial"/>
          <w:sz w:val="18"/>
          <w:szCs w:val="18"/>
        </w:rPr>
        <w:t xml:space="preserve"> The Group continues to work through these challenges effectively with its customers and suppliers.</w:t>
      </w:r>
    </w:p>
    <w:bookmarkEnd w:id="3"/>
    <w:p w14:paraId="61894D42" w14:textId="7D4105C8" w:rsidR="00473DCA" w:rsidRPr="00CB7CCC" w:rsidRDefault="00473DCA" w:rsidP="00473DCA">
      <w:pPr>
        <w:rPr>
          <w:rFonts w:cs="Arial"/>
          <w:sz w:val="18"/>
          <w:szCs w:val="18"/>
        </w:rPr>
      </w:pPr>
    </w:p>
    <w:p w14:paraId="6B65B923" w14:textId="77777777" w:rsidR="00473DCA" w:rsidRPr="00CB7CCC" w:rsidRDefault="00473DCA" w:rsidP="00473DCA">
      <w:pPr>
        <w:jc w:val="both"/>
        <w:rPr>
          <w:rFonts w:cs="Arial"/>
          <w:b/>
          <w:sz w:val="18"/>
          <w:szCs w:val="18"/>
          <w:u w:val="single"/>
        </w:rPr>
      </w:pPr>
      <w:r w:rsidRPr="00CB7CCC">
        <w:rPr>
          <w:rFonts w:cs="Arial"/>
          <w:b/>
          <w:sz w:val="18"/>
          <w:szCs w:val="18"/>
          <w:u w:val="single"/>
        </w:rPr>
        <w:t>Group Cash Flow and Returns</w:t>
      </w:r>
    </w:p>
    <w:p w14:paraId="387C5D97" w14:textId="77777777" w:rsidR="00473DCA" w:rsidRPr="00CB7CCC" w:rsidRDefault="00473DCA" w:rsidP="00473DCA">
      <w:pPr>
        <w:jc w:val="both"/>
        <w:rPr>
          <w:rFonts w:cs="Arial"/>
          <w:b/>
          <w:bCs/>
          <w:sz w:val="18"/>
          <w:szCs w:val="18"/>
        </w:rPr>
      </w:pP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1086"/>
        <w:gridCol w:w="1087"/>
        <w:gridCol w:w="1087"/>
      </w:tblGrid>
      <w:tr w:rsidR="00473DCA" w:rsidRPr="00CB7CCC" w14:paraId="26BD2064" w14:textId="77777777" w:rsidTr="008E46B3">
        <w:trPr>
          <w:jc w:val="center"/>
        </w:trPr>
        <w:tc>
          <w:tcPr>
            <w:tcW w:w="3823" w:type="dxa"/>
          </w:tcPr>
          <w:p w14:paraId="161F36A9" w14:textId="77777777" w:rsidR="00473DCA" w:rsidRPr="00CB7CCC" w:rsidRDefault="00473DCA" w:rsidP="008E46B3">
            <w:pPr>
              <w:jc w:val="both"/>
              <w:rPr>
                <w:rFonts w:cs="Arial"/>
                <w:b/>
                <w:sz w:val="18"/>
                <w:szCs w:val="18"/>
                <w:lang w:val="en-US"/>
              </w:rPr>
            </w:pPr>
            <w:bookmarkStart w:id="6" w:name="_Hlk88043298"/>
          </w:p>
        </w:tc>
        <w:tc>
          <w:tcPr>
            <w:tcW w:w="1086" w:type="dxa"/>
            <w:hideMark/>
          </w:tcPr>
          <w:p w14:paraId="4680ABD7" w14:textId="77777777" w:rsidR="00473DCA" w:rsidRPr="00CB7CCC" w:rsidRDefault="00473DCA" w:rsidP="008E46B3">
            <w:pPr>
              <w:jc w:val="right"/>
              <w:rPr>
                <w:rFonts w:cs="Arial"/>
                <w:b/>
                <w:sz w:val="18"/>
                <w:szCs w:val="18"/>
                <w:lang w:val="en-US"/>
              </w:rPr>
            </w:pPr>
            <w:r w:rsidRPr="00CB7CCC">
              <w:rPr>
                <w:rFonts w:cs="Arial"/>
                <w:b/>
                <w:sz w:val="18"/>
                <w:szCs w:val="18"/>
                <w:lang w:val="en-US"/>
              </w:rPr>
              <w:t>FY2</w:t>
            </w:r>
            <w:r>
              <w:rPr>
                <w:rFonts w:cs="Arial"/>
                <w:b/>
                <w:sz w:val="18"/>
                <w:szCs w:val="18"/>
                <w:lang w:val="en-US"/>
              </w:rPr>
              <w:t>1</w:t>
            </w:r>
          </w:p>
          <w:p w14:paraId="514D24A8" w14:textId="77777777" w:rsidR="00473DCA" w:rsidRPr="00CB7CCC" w:rsidRDefault="00473DCA" w:rsidP="008E46B3">
            <w:pPr>
              <w:jc w:val="right"/>
              <w:rPr>
                <w:rFonts w:cs="Arial"/>
                <w:b/>
                <w:sz w:val="18"/>
                <w:szCs w:val="18"/>
                <w:lang w:val="en-US"/>
              </w:rPr>
            </w:pPr>
            <w:r w:rsidRPr="00CB7CCC">
              <w:rPr>
                <w:rFonts w:cs="Arial"/>
                <w:b/>
                <w:sz w:val="18"/>
                <w:szCs w:val="18"/>
                <w:lang w:val="en-US"/>
              </w:rPr>
              <w:t>£m</w:t>
            </w:r>
          </w:p>
        </w:tc>
        <w:tc>
          <w:tcPr>
            <w:tcW w:w="1087" w:type="dxa"/>
          </w:tcPr>
          <w:p w14:paraId="17841ACC" w14:textId="77777777" w:rsidR="00473DCA" w:rsidRPr="00CB7CCC" w:rsidRDefault="00473DCA" w:rsidP="008E46B3">
            <w:pPr>
              <w:jc w:val="right"/>
              <w:rPr>
                <w:rFonts w:cs="Arial"/>
                <w:b/>
                <w:sz w:val="18"/>
                <w:szCs w:val="18"/>
                <w:lang w:val="en-US"/>
              </w:rPr>
            </w:pPr>
            <w:r w:rsidRPr="00CB7CCC">
              <w:rPr>
                <w:rFonts w:cs="Arial"/>
                <w:b/>
                <w:sz w:val="18"/>
                <w:szCs w:val="18"/>
                <w:lang w:val="en-US"/>
              </w:rPr>
              <w:t>FY20</w:t>
            </w:r>
          </w:p>
          <w:p w14:paraId="4204CED0" w14:textId="77777777" w:rsidR="00473DCA" w:rsidRPr="00CB7CCC" w:rsidRDefault="00473DCA" w:rsidP="008E46B3">
            <w:pPr>
              <w:jc w:val="right"/>
              <w:rPr>
                <w:rFonts w:cs="Arial"/>
                <w:b/>
                <w:sz w:val="18"/>
                <w:szCs w:val="18"/>
                <w:lang w:val="en-US"/>
              </w:rPr>
            </w:pPr>
            <w:r w:rsidRPr="00CB7CCC">
              <w:rPr>
                <w:rFonts w:cs="Arial"/>
                <w:b/>
                <w:sz w:val="18"/>
                <w:szCs w:val="18"/>
                <w:lang w:val="en-US"/>
              </w:rPr>
              <w:t>£m</w:t>
            </w:r>
          </w:p>
        </w:tc>
        <w:tc>
          <w:tcPr>
            <w:tcW w:w="1087" w:type="dxa"/>
            <w:hideMark/>
          </w:tcPr>
          <w:p w14:paraId="4D7EDF13" w14:textId="77777777" w:rsidR="00473DCA" w:rsidRPr="00CB7CCC" w:rsidRDefault="00473DCA" w:rsidP="008E46B3">
            <w:pPr>
              <w:jc w:val="right"/>
              <w:rPr>
                <w:rFonts w:cs="Arial"/>
                <w:b/>
                <w:sz w:val="18"/>
                <w:szCs w:val="18"/>
                <w:lang w:val="en-US"/>
              </w:rPr>
            </w:pPr>
            <w:r w:rsidRPr="00CB7CCC">
              <w:rPr>
                <w:rFonts w:cs="Arial"/>
                <w:b/>
                <w:sz w:val="18"/>
                <w:szCs w:val="18"/>
                <w:lang w:val="en-US"/>
              </w:rPr>
              <w:t>Change (as reported)</w:t>
            </w:r>
          </w:p>
          <w:p w14:paraId="1740A9C1" w14:textId="77777777" w:rsidR="00473DCA" w:rsidRPr="00CB7CCC" w:rsidRDefault="00473DCA" w:rsidP="008E46B3">
            <w:pPr>
              <w:jc w:val="right"/>
              <w:rPr>
                <w:rFonts w:cs="Arial"/>
                <w:b/>
                <w:sz w:val="18"/>
                <w:szCs w:val="18"/>
                <w:lang w:val="en-US"/>
              </w:rPr>
            </w:pPr>
          </w:p>
        </w:tc>
      </w:tr>
      <w:tr w:rsidR="00473DCA" w:rsidRPr="00CB7CCC" w14:paraId="6B8FEEF5" w14:textId="77777777" w:rsidTr="008E46B3">
        <w:trPr>
          <w:jc w:val="center"/>
        </w:trPr>
        <w:tc>
          <w:tcPr>
            <w:tcW w:w="3823" w:type="dxa"/>
          </w:tcPr>
          <w:p w14:paraId="4090568C" w14:textId="77777777" w:rsidR="00473DCA" w:rsidRPr="00CB7CCC" w:rsidRDefault="00473DCA" w:rsidP="008E46B3">
            <w:pPr>
              <w:jc w:val="both"/>
              <w:rPr>
                <w:rFonts w:cs="Arial"/>
                <w:sz w:val="18"/>
                <w:szCs w:val="18"/>
                <w:lang w:val="en-US"/>
              </w:rPr>
            </w:pPr>
            <w:r w:rsidRPr="00CB7CCC">
              <w:rPr>
                <w:rFonts w:cs="Arial"/>
                <w:sz w:val="18"/>
                <w:szCs w:val="18"/>
                <w:lang w:val="en-US"/>
              </w:rPr>
              <w:t>Free Cash Flow</w:t>
            </w:r>
          </w:p>
        </w:tc>
        <w:tc>
          <w:tcPr>
            <w:tcW w:w="1086" w:type="dxa"/>
          </w:tcPr>
          <w:p w14:paraId="7C5517DD" w14:textId="77777777" w:rsidR="00473DCA" w:rsidRPr="00CB7CCC" w:rsidRDefault="00473DCA" w:rsidP="008E46B3">
            <w:pPr>
              <w:jc w:val="right"/>
              <w:rPr>
                <w:rFonts w:cs="Arial"/>
                <w:sz w:val="18"/>
                <w:szCs w:val="18"/>
                <w:lang w:val="en-US"/>
              </w:rPr>
            </w:pPr>
            <w:r>
              <w:rPr>
                <w:rFonts w:cs="Arial"/>
                <w:sz w:val="18"/>
                <w:szCs w:val="18"/>
                <w:lang w:val="en-US"/>
              </w:rPr>
              <w:t>72.2</w:t>
            </w:r>
          </w:p>
        </w:tc>
        <w:tc>
          <w:tcPr>
            <w:tcW w:w="1087" w:type="dxa"/>
          </w:tcPr>
          <w:p w14:paraId="678185C6" w14:textId="77777777" w:rsidR="00473DCA" w:rsidRPr="00CB7CCC" w:rsidRDefault="00473DCA" w:rsidP="008E46B3">
            <w:pPr>
              <w:jc w:val="right"/>
              <w:rPr>
                <w:rFonts w:cs="Arial"/>
                <w:sz w:val="18"/>
                <w:szCs w:val="18"/>
                <w:lang w:val="en-US"/>
              </w:rPr>
            </w:pPr>
            <w:r w:rsidRPr="00CB7CCC">
              <w:rPr>
                <w:rFonts w:cs="Arial"/>
                <w:sz w:val="18"/>
                <w:szCs w:val="18"/>
                <w:lang w:val="en-US"/>
              </w:rPr>
              <w:t>(</w:t>
            </w:r>
            <w:r>
              <w:rPr>
                <w:rFonts w:cs="Arial"/>
                <w:sz w:val="18"/>
                <w:szCs w:val="18"/>
                <w:lang w:val="en-US"/>
              </w:rPr>
              <w:t>29.7</w:t>
            </w:r>
            <w:r w:rsidRPr="00CB7CCC">
              <w:rPr>
                <w:rFonts w:cs="Arial"/>
                <w:sz w:val="18"/>
                <w:szCs w:val="18"/>
                <w:lang w:val="en-US"/>
              </w:rPr>
              <w:t>)</w:t>
            </w:r>
          </w:p>
        </w:tc>
        <w:tc>
          <w:tcPr>
            <w:tcW w:w="1087" w:type="dxa"/>
          </w:tcPr>
          <w:p w14:paraId="6EF5ECF2" w14:textId="77777777" w:rsidR="00473DCA" w:rsidRPr="00CB7CCC" w:rsidRDefault="00473DCA" w:rsidP="008E46B3">
            <w:pPr>
              <w:jc w:val="right"/>
              <w:rPr>
                <w:rFonts w:cs="Arial"/>
                <w:sz w:val="18"/>
                <w:szCs w:val="18"/>
                <w:lang w:val="en-US"/>
              </w:rPr>
            </w:pPr>
            <w:r>
              <w:rPr>
                <w:rFonts w:cs="Arial"/>
                <w:sz w:val="18"/>
                <w:szCs w:val="18"/>
                <w:lang w:val="en-US"/>
              </w:rPr>
              <w:t>+£101.9m</w:t>
            </w:r>
          </w:p>
        </w:tc>
      </w:tr>
      <w:tr w:rsidR="00473DCA" w:rsidRPr="00CB7CCC" w14:paraId="313A3E25" w14:textId="77777777" w:rsidTr="008E46B3">
        <w:trPr>
          <w:jc w:val="center"/>
        </w:trPr>
        <w:tc>
          <w:tcPr>
            <w:tcW w:w="3823" w:type="dxa"/>
            <w:hideMark/>
          </w:tcPr>
          <w:p w14:paraId="0BCF0E57" w14:textId="77777777" w:rsidR="00473DCA" w:rsidRPr="00CB7CCC" w:rsidRDefault="00473DCA" w:rsidP="008E46B3">
            <w:pPr>
              <w:jc w:val="both"/>
              <w:rPr>
                <w:rFonts w:cs="Arial"/>
                <w:sz w:val="18"/>
                <w:szCs w:val="18"/>
                <w:lang w:val="en-US"/>
              </w:rPr>
            </w:pPr>
            <w:r w:rsidRPr="00CB7CCC">
              <w:rPr>
                <w:rFonts w:cs="Arial"/>
                <w:sz w:val="18"/>
                <w:szCs w:val="18"/>
                <w:lang w:val="en-US"/>
              </w:rPr>
              <w:t>Net Debt</w:t>
            </w:r>
            <w:r>
              <w:rPr>
                <w:rFonts w:cs="Arial"/>
                <w:sz w:val="18"/>
                <w:szCs w:val="18"/>
                <w:lang w:val="en-US"/>
              </w:rPr>
              <w:t xml:space="preserve"> (excluding lease liabilities)</w:t>
            </w:r>
          </w:p>
        </w:tc>
        <w:tc>
          <w:tcPr>
            <w:tcW w:w="1086" w:type="dxa"/>
          </w:tcPr>
          <w:p w14:paraId="2165D149" w14:textId="77777777" w:rsidR="00473DCA" w:rsidRPr="00CB7CCC" w:rsidRDefault="00473DCA" w:rsidP="008E46B3">
            <w:pPr>
              <w:jc w:val="right"/>
              <w:rPr>
                <w:rFonts w:cs="Arial"/>
                <w:sz w:val="18"/>
                <w:szCs w:val="18"/>
                <w:lang w:val="en-US"/>
              </w:rPr>
            </w:pPr>
            <w:r>
              <w:rPr>
                <w:rFonts w:cs="Arial"/>
                <w:sz w:val="18"/>
                <w:szCs w:val="18"/>
                <w:lang w:val="en-US"/>
              </w:rPr>
              <w:t>183.1</w:t>
            </w:r>
          </w:p>
        </w:tc>
        <w:tc>
          <w:tcPr>
            <w:tcW w:w="1087" w:type="dxa"/>
          </w:tcPr>
          <w:p w14:paraId="5A1AA167" w14:textId="77777777" w:rsidR="00473DCA" w:rsidRPr="00CB7CCC" w:rsidRDefault="00473DCA" w:rsidP="008E46B3">
            <w:pPr>
              <w:jc w:val="right"/>
              <w:rPr>
                <w:rFonts w:cs="Arial"/>
                <w:sz w:val="18"/>
                <w:szCs w:val="18"/>
                <w:lang w:val="en-US"/>
              </w:rPr>
            </w:pPr>
            <w:r w:rsidRPr="00CB7CCC">
              <w:rPr>
                <w:rFonts w:cs="Arial"/>
                <w:sz w:val="18"/>
                <w:szCs w:val="18"/>
                <w:lang w:val="en-US"/>
              </w:rPr>
              <w:t>350.5</w:t>
            </w:r>
          </w:p>
        </w:tc>
        <w:tc>
          <w:tcPr>
            <w:tcW w:w="1087" w:type="dxa"/>
          </w:tcPr>
          <w:p w14:paraId="4AAEDBFC" w14:textId="77777777" w:rsidR="00473DCA" w:rsidRPr="00CB7CCC" w:rsidRDefault="00473DCA" w:rsidP="008E46B3">
            <w:pPr>
              <w:jc w:val="right"/>
              <w:rPr>
                <w:rFonts w:cs="Arial"/>
                <w:sz w:val="18"/>
                <w:szCs w:val="18"/>
                <w:lang w:val="en-US"/>
              </w:rPr>
            </w:pPr>
          </w:p>
        </w:tc>
      </w:tr>
      <w:tr w:rsidR="00473DCA" w:rsidRPr="00CB7CCC" w14:paraId="7DC5B17B" w14:textId="77777777" w:rsidTr="008E46B3">
        <w:trPr>
          <w:jc w:val="center"/>
        </w:trPr>
        <w:tc>
          <w:tcPr>
            <w:tcW w:w="3823" w:type="dxa"/>
          </w:tcPr>
          <w:p w14:paraId="226EE4FD" w14:textId="77777777" w:rsidR="00473DCA" w:rsidRPr="00CB7CCC" w:rsidRDefault="00473DCA" w:rsidP="008E46B3">
            <w:pPr>
              <w:jc w:val="both"/>
              <w:rPr>
                <w:rFonts w:cs="Arial"/>
                <w:sz w:val="18"/>
                <w:szCs w:val="18"/>
                <w:lang w:val="en-US"/>
              </w:rPr>
            </w:pPr>
            <w:r w:rsidRPr="00CB7CCC">
              <w:rPr>
                <w:rFonts w:cs="Arial"/>
                <w:sz w:val="18"/>
                <w:szCs w:val="18"/>
                <w:lang w:val="en-US"/>
              </w:rPr>
              <w:t>Net Debt:EBITDA as per financing agreements</w:t>
            </w:r>
          </w:p>
        </w:tc>
        <w:tc>
          <w:tcPr>
            <w:tcW w:w="1086" w:type="dxa"/>
          </w:tcPr>
          <w:p w14:paraId="135385B2" w14:textId="77777777" w:rsidR="00473DCA" w:rsidRPr="00CB7CCC" w:rsidRDefault="00933A1D" w:rsidP="008E46B3">
            <w:pPr>
              <w:jc w:val="right"/>
              <w:rPr>
                <w:rFonts w:cs="Arial"/>
                <w:sz w:val="18"/>
                <w:szCs w:val="18"/>
                <w:lang w:val="en-US"/>
              </w:rPr>
            </w:pPr>
            <w:r>
              <w:rPr>
                <w:rFonts w:cs="Arial"/>
                <w:sz w:val="18"/>
                <w:szCs w:val="18"/>
                <w:lang w:val="en-US"/>
              </w:rPr>
              <w:t>2.0</w:t>
            </w:r>
            <w:r w:rsidR="00473DCA">
              <w:rPr>
                <w:rFonts w:cs="Arial"/>
                <w:sz w:val="18"/>
                <w:szCs w:val="18"/>
                <w:lang w:val="en-US"/>
              </w:rPr>
              <w:t>x</w:t>
            </w:r>
          </w:p>
        </w:tc>
        <w:tc>
          <w:tcPr>
            <w:tcW w:w="1087" w:type="dxa"/>
          </w:tcPr>
          <w:p w14:paraId="063CB198" w14:textId="77777777" w:rsidR="00473DCA" w:rsidRPr="00CB7CCC" w:rsidRDefault="00473DCA" w:rsidP="008E46B3">
            <w:pPr>
              <w:jc w:val="right"/>
              <w:rPr>
                <w:rFonts w:cs="Arial"/>
                <w:sz w:val="18"/>
                <w:szCs w:val="18"/>
                <w:lang w:val="en-US"/>
              </w:rPr>
            </w:pPr>
            <w:r w:rsidRPr="00CB7CCC">
              <w:rPr>
                <w:rFonts w:cs="Arial"/>
                <w:sz w:val="18"/>
                <w:szCs w:val="18"/>
                <w:lang w:val="en-US"/>
              </w:rPr>
              <w:t>4.</w:t>
            </w:r>
            <w:r>
              <w:rPr>
                <w:rFonts w:cs="Arial"/>
                <w:sz w:val="18"/>
                <w:szCs w:val="18"/>
                <w:lang w:val="en-US"/>
              </w:rPr>
              <w:t>4x</w:t>
            </w:r>
          </w:p>
        </w:tc>
        <w:tc>
          <w:tcPr>
            <w:tcW w:w="1087" w:type="dxa"/>
          </w:tcPr>
          <w:p w14:paraId="6175C2F9" w14:textId="77777777" w:rsidR="00473DCA" w:rsidRPr="00CB7CCC" w:rsidRDefault="00473DCA" w:rsidP="008E46B3">
            <w:pPr>
              <w:jc w:val="right"/>
              <w:rPr>
                <w:rFonts w:cs="Arial"/>
                <w:sz w:val="18"/>
                <w:szCs w:val="18"/>
                <w:lang w:val="en-US"/>
              </w:rPr>
            </w:pPr>
          </w:p>
        </w:tc>
      </w:tr>
      <w:tr w:rsidR="00473DCA" w:rsidRPr="00CB7CCC" w14:paraId="368B7F61" w14:textId="77777777" w:rsidTr="008E46B3">
        <w:trPr>
          <w:jc w:val="center"/>
        </w:trPr>
        <w:tc>
          <w:tcPr>
            <w:tcW w:w="3823" w:type="dxa"/>
            <w:hideMark/>
          </w:tcPr>
          <w:p w14:paraId="2436B286" w14:textId="77777777" w:rsidR="00473DCA" w:rsidRPr="00CB7CCC" w:rsidRDefault="00473DCA" w:rsidP="008E46B3">
            <w:pPr>
              <w:jc w:val="both"/>
              <w:rPr>
                <w:rFonts w:cs="Arial"/>
                <w:sz w:val="18"/>
                <w:szCs w:val="18"/>
                <w:lang w:val="en-US"/>
              </w:rPr>
            </w:pPr>
            <w:r w:rsidRPr="00CB7CCC">
              <w:rPr>
                <w:rFonts w:cs="Arial"/>
                <w:sz w:val="18"/>
                <w:szCs w:val="18"/>
                <w:lang w:val="en-US"/>
              </w:rPr>
              <w:t xml:space="preserve">ROIC </w:t>
            </w:r>
          </w:p>
        </w:tc>
        <w:tc>
          <w:tcPr>
            <w:tcW w:w="1086" w:type="dxa"/>
          </w:tcPr>
          <w:p w14:paraId="616B7573" w14:textId="77777777" w:rsidR="00473DCA" w:rsidRPr="00CB7CCC" w:rsidRDefault="00473DCA" w:rsidP="008E46B3">
            <w:pPr>
              <w:jc w:val="right"/>
              <w:rPr>
                <w:rFonts w:cs="Arial"/>
                <w:sz w:val="18"/>
                <w:szCs w:val="18"/>
                <w:lang w:val="en-US"/>
              </w:rPr>
            </w:pPr>
            <w:r>
              <w:rPr>
                <w:rFonts w:cs="Arial"/>
                <w:sz w:val="18"/>
                <w:szCs w:val="18"/>
                <w:lang w:val="en-US"/>
              </w:rPr>
              <w:t>4.5%</w:t>
            </w:r>
          </w:p>
        </w:tc>
        <w:tc>
          <w:tcPr>
            <w:tcW w:w="1087" w:type="dxa"/>
          </w:tcPr>
          <w:p w14:paraId="7285B483" w14:textId="77777777" w:rsidR="00473DCA" w:rsidRPr="00CB7CCC" w:rsidRDefault="00473DCA" w:rsidP="008E46B3">
            <w:pPr>
              <w:jc w:val="right"/>
              <w:rPr>
                <w:rFonts w:cs="Arial"/>
                <w:sz w:val="18"/>
                <w:szCs w:val="18"/>
                <w:lang w:val="en-US"/>
              </w:rPr>
            </w:pPr>
            <w:r w:rsidRPr="00CB7CCC">
              <w:rPr>
                <w:rFonts w:cs="Arial"/>
                <w:sz w:val="18"/>
                <w:szCs w:val="18"/>
                <w:lang w:val="en-US"/>
              </w:rPr>
              <w:t>4.1%</w:t>
            </w:r>
          </w:p>
        </w:tc>
        <w:tc>
          <w:tcPr>
            <w:tcW w:w="1087" w:type="dxa"/>
          </w:tcPr>
          <w:p w14:paraId="0E6AE979" w14:textId="77777777" w:rsidR="00473DCA" w:rsidRPr="00CB7CCC" w:rsidRDefault="00473DCA" w:rsidP="008E46B3">
            <w:pPr>
              <w:jc w:val="right"/>
              <w:rPr>
                <w:rFonts w:cs="Arial"/>
                <w:sz w:val="18"/>
                <w:szCs w:val="18"/>
                <w:lang w:val="en-US"/>
              </w:rPr>
            </w:pPr>
          </w:p>
        </w:tc>
      </w:tr>
    </w:tbl>
    <w:p w14:paraId="20A27D76" w14:textId="77777777" w:rsidR="00473DCA" w:rsidRPr="00CB7CCC" w:rsidRDefault="00473DCA" w:rsidP="00473DCA">
      <w:pPr>
        <w:jc w:val="both"/>
        <w:rPr>
          <w:rFonts w:cs="Arial"/>
          <w:sz w:val="18"/>
          <w:szCs w:val="18"/>
        </w:rPr>
      </w:pPr>
    </w:p>
    <w:p w14:paraId="55B70526" w14:textId="77777777" w:rsidR="00473DCA" w:rsidRPr="00CB7CCC" w:rsidRDefault="00473DCA" w:rsidP="00473DCA">
      <w:pPr>
        <w:jc w:val="both"/>
        <w:rPr>
          <w:rFonts w:cs="Arial"/>
          <w:b/>
          <w:sz w:val="18"/>
          <w:szCs w:val="18"/>
        </w:rPr>
      </w:pPr>
      <w:r w:rsidRPr="003E61CC">
        <w:rPr>
          <w:rFonts w:cs="Arial"/>
          <w:b/>
          <w:sz w:val="18"/>
          <w:szCs w:val="18"/>
        </w:rPr>
        <w:t>Strategic developments</w:t>
      </w:r>
      <w:r w:rsidRPr="00CB7CCC">
        <w:rPr>
          <w:rFonts w:cs="Arial"/>
          <w:b/>
          <w:sz w:val="18"/>
          <w:szCs w:val="18"/>
        </w:rPr>
        <w:t xml:space="preserve"> </w:t>
      </w:r>
    </w:p>
    <w:p w14:paraId="694D72AC" w14:textId="77777777" w:rsidR="00473DCA" w:rsidRPr="00CB7CCC" w:rsidRDefault="00473DCA" w:rsidP="00473DCA">
      <w:pPr>
        <w:jc w:val="both"/>
        <w:rPr>
          <w:rFonts w:cs="Arial"/>
          <w:sz w:val="18"/>
          <w:szCs w:val="18"/>
        </w:rPr>
      </w:pPr>
    </w:p>
    <w:p w14:paraId="5B351197" w14:textId="77777777" w:rsidR="00473DCA" w:rsidRPr="00BB26BB" w:rsidRDefault="00473DCA" w:rsidP="00473DCA">
      <w:pPr>
        <w:adjustRightInd w:val="0"/>
        <w:jc w:val="both"/>
        <w:rPr>
          <w:sz w:val="18"/>
          <w:szCs w:val="18"/>
        </w:rPr>
      </w:pPr>
      <w:r w:rsidRPr="00BB26BB">
        <w:rPr>
          <w:sz w:val="18"/>
          <w:szCs w:val="18"/>
        </w:rPr>
        <w:t>The Group implemented a comprehensive range of operational, debt and equity measures in FY21 that protected and supported the business</w:t>
      </w:r>
      <w:r>
        <w:rPr>
          <w:sz w:val="18"/>
          <w:szCs w:val="18"/>
        </w:rPr>
        <w:t>, enabling it to exit the covenant waiver period as planned, securely. As the business moved back into profitable growth in the second half of the year, strong free cash generation allowed the Group to deleverage rapidly.</w:t>
      </w:r>
    </w:p>
    <w:p w14:paraId="1DF0B748" w14:textId="77777777" w:rsidR="00473DCA" w:rsidRPr="00BB26BB" w:rsidRDefault="00473DCA" w:rsidP="00473DCA">
      <w:pPr>
        <w:adjustRightInd w:val="0"/>
        <w:jc w:val="both"/>
        <w:rPr>
          <w:sz w:val="18"/>
          <w:szCs w:val="18"/>
        </w:rPr>
      </w:pPr>
    </w:p>
    <w:p w14:paraId="36B40E70" w14:textId="77777777" w:rsidR="00473DCA" w:rsidRPr="00BB26BB" w:rsidRDefault="00473DCA" w:rsidP="00473DCA">
      <w:pPr>
        <w:adjustRightInd w:val="0"/>
        <w:jc w:val="both"/>
        <w:rPr>
          <w:sz w:val="18"/>
          <w:szCs w:val="18"/>
        </w:rPr>
      </w:pPr>
      <w:r w:rsidRPr="00BB26BB">
        <w:rPr>
          <w:sz w:val="18"/>
          <w:szCs w:val="18"/>
        </w:rPr>
        <w:t xml:space="preserve">The Group applied a range of mitigating actions to manage cash outflows in FY21, particularly in the first half of the year. </w:t>
      </w:r>
      <w:r>
        <w:rPr>
          <w:sz w:val="18"/>
          <w:szCs w:val="18"/>
        </w:rPr>
        <w:t>Alongside this, the Group secured support from its bank lending syndicate and its Private Placement Note Holders to a range of initiatives, including the waiving of certain covenant test conditions and the refinancing of various debt facilities.</w:t>
      </w:r>
      <w:r w:rsidRPr="00EC7633">
        <w:rPr>
          <w:sz w:val="18"/>
          <w:szCs w:val="18"/>
        </w:rPr>
        <w:t xml:space="preserve"> </w:t>
      </w:r>
      <w:r w:rsidRPr="00BB26BB">
        <w:rPr>
          <w:sz w:val="18"/>
          <w:szCs w:val="18"/>
        </w:rPr>
        <w:t>In November 2020 the Group completed an equity placing of 80,357,142 new ordinary shares at 112 pence per share, to raise net proceeds of £</w:t>
      </w:r>
      <w:r>
        <w:rPr>
          <w:sz w:val="18"/>
          <w:szCs w:val="18"/>
        </w:rPr>
        <w:t>87.0</w:t>
      </w:r>
      <w:r w:rsidRPr="00BB26BB">
        <w:rPr>
          <w:sz w:val="18"/>
          <w:szCs w:val="18"/>
        </w:rPr>
        <w:t xml:space="preserve">m. </w:t>
      </w:r>
      <w:r>
        <w:rPr>
          <w:sz w:val="18"/>
          <w:szCs w:val="18"/>
        </w:rPr>
        <w:t>The Group also completed the disposal of its interest in its molasses trading businesses in December 2020, and the disposal of an investment property in September 2021.</w:t>
      </w:r>
    </w:p>
    <w:p w14:paraId="349AAAE4" w14:textId="77777777" w:rsidR="00473DCA" w:rsidRDefault="00473DCA" w:rsidP="00473DCA">
      <w:pPr>
        <w:adjustRightInd w:val="0"/>
        <w:jc w:val="both"/>
        <w:rPr>
          <w:sz w:val="18"/>
          <w:szCs w:val="18"/>
        </w:rPr>
      </w:pPr>
    </w:p>
    <w:p w14:paraId="2C9ABC41" w14:textId="77777777" w:rsidR="00473DCA" w:rsidRPr="00714E2A" w:rsidRDefault="00473DCA" w:rsidP="00473DCA">
      <w:pPr>
        <w:adjustRightInd w:val="0"/>
        <w:jc w:val="both"/>
        <w:rPr>
          <w:sz w:val="18"/>
          <w:szCs w:val="18"/>
        </w:rPr>
      </w:pPr>
      <w:r w:rsidRPr="00714E2A">
        <w:rPr>
          <w:sz w:val="18"/>
          <w:szCs w:val="18"/>
        </w:rPr>
        <w:t xml:space="preserve">As a result of all these measures, in particular the successful completion of the equity placing, the Group has had sufficient financial flexibility to navigate through a volatile trading period while continuing to invest to support future growth in the business. </w:t>
      </w:r>
      <w:bookmarkStart w:id="7" w:name="_Hlk86323890"/>
      <w:r w:rsidRPr="00714E2A">
        <w:rPr>
          <w:sz w:val="18"/>
          <w:szCs w:val="18"/>
        </w:rPr>
        <w:t>At 24 September 2021 the Group had cash and undrawn committed bank facilities of £</w:t>
      </w:r>
      <w:r>
        <w:rPr>
          <w:sz w:val="18"/>
          <w:szCs w:val="18"/>
        </w:rPr>
        <w:t>433.6</w:t>
      </w:r>
      <w:r w:rsidRPr="00714E2A">
        <w:rPr>
          <w:sz w:val="18"/>
          <w:szCs w:val="18"/>
        </w:rPr>
        <w:t>m</w:t>
      </w:r>
      <w:bookmarkEnd w:id="7"/>
      <w:r w:rsidRPr="00714E2A">
        <w:rPr>
          <w:sz w:val="18"/>
          <w:szCs w:val="18"/>
        </w:rPr>
        <w:t>, comfortably above minimum liquidity requirements as stipulated in the conditions of the Group’s covenant waivers.</w:t>
      </w:r>
    </w:p>
    <w:p w14:paraId="4734D1C5" w14:textId="77777777" w:rsidR="00473DCA" w:rsidRPr="003E61CC" w:rsidRDefault="00473DCA" w:rsidP="00473DCA">
      <w:pPr>
        <w:adjustRightInd w:val="0"/>
        <w:jc w:val="both"/>
        <w:rPr>
          <w:sz w:val="18"/>
          <w:szCs w:val="18"/>
          <w:highlight w:val="yellow"/>
        </w:rPr>
      </w:pPr>
    </w:p>
    <w:p w14:paraId="50604955" w14:textId="77777777" w:rsidR="00473DCA" w:rsidRDefault="00473DCA" w:rsidP="00473DCA">
      <w:pPr>
        <w:adjustRightInd w:val="0"/>
        <w:jc w:val="both"/>
        <w:rPr>
          <w:sz w:val="18"/>
          <w:szCs w:val="18"/>
        </w:rPr>
      </w:pPr>
      <w:r w:rsidRPr="00893BAD">
        <w:rPr>
          <w:sz w:val="18"/>
          <w:szCs w:val="18"/>
        </w:rPr>
        <w:t>The Group’s initiatives continue to be informed by modelling a set of scenarios that reflect the Group’s considered and conservative view on short and medium term trading, and ensuring the Group is efficiently and effectively funded through any of these scenarios.</w:t>
      </w:r>
    </w:p>
    <w:p w14:paraId="18EA28C2" w14:textId="77777777" w:rsidR="00473DCA" w:rsidRDefault="00473DCA" w:rsidP="00473DCA">
      <w:pPr>
        <w:adjustRightInd w:val="0"/>
        <w:jc w:val="both"/>
        <w:rPr>
          <w:sz w:val="18"/>
          <w:szCs w:val="18"/>
        </w:rPr>
      </w:pPr>
    </w:p>
    <w:p w14:paraId="763F2151" w14:textId="77777777" w:rsidR="00473DCA" w:rsidRPr="00CB7CCC" w:rsidRDefault="00473DCA" w:rsidP="00473DCA">
      <w:pPr>
        <w:jc w:val="both"/>
        <w:rPr>
          <w:rFonts w:cs="Arial"/>
          <w:b/>
          <w:bCs/>
          <w:sz w:val="18"/>
          <w:szCs w:val="18"/>
        </w:rPr>
      </w:pPr>
      <w:r w:rsidRPr="00CB7CCC">
        <w:rPr>
          <w:rFonts w:cs="Arial"/>
          <w:b/>
          <w:bCs/>
          <w:sz w:val="18"/>
          <w:szCs w:val="18"/>
        </w:rPr>
        <w:t>Performance</w:t>
      </w:r>
    </w:p>
    <w:p w14:paraId="6EEE0979" w14:textId="77777777" w:rsidR="00473DCA" w:rsidRPr="00CB7CCC" w:rsidRDefault="00473DCA" w:rsidP="00473DCA">
      <w:pPr>
        <w:adjustRightInd w:val="0"/>
        <w:jc w:val="both"/>
        <w:rPr>
          <w:sz w:val="18"/>
          <w:szCs w:val="18"/>
        </w:rPr>
      </w:pPr>
    </w:p>
    <w:p w14:paraId="3CEE5A46" w14:textId="77777777" w:rsidR="00473DCA" w:rsidRPr="00066551" w:rsidRDefault="00473DCA" w:rsidP="00473DCA">
      <w:pPr>
        <w:adjustRightInd w:val="0"/>
        <w:jc w:val="both"/>
        <w:rPr>
          <w:sz w:val="18"/>
          <w:szCs w:val="18"/>
        </w:rPr>
      </w:pPr>
      <w:r w:rsidRPr="00066551">
        <w:rPr>
          <w:sz w:val="18"/>
          <w:szCs w:val="18"/>
        </w:rPr>
        <w:t xml:space="preserve">Free Cash Flow was </w:t>
      </w:r>
      <w:r>
        <w:rPr>
          <w:sz w:val="18"/>
          <w:szCs w:val="18"/>
        </w:rPr>
        <w:t>an</w:t>
      </w:r>
      <w:r w:rsidRPr="00066551">
        <w:rPr>
          <w:sz w:val="18"/>
          <w:szCs w:val="18"/>
        </w:rPr>
        <w:t xml:space="preserve"> inflow of £7</w:t>
      </w:r>
      <w:r>
        <w:rPr>
          <w:sz w:val="18"/>
          <w:szCs w:val="18"/>
        </w:rPr>
        <w:t>2.2</w:t>
      </w:r>
      <w:r w:rsidRPr="00066551">
        <w:rPr>
          <w:sz w:val="18"/>
          <w:szCs w:val="18"/>
        </w:rPr>
        <w:t xml:space="preserve">m in FY21 compared to an outflow of £29.7m in FY20, the increase primarily reflecting improved profitability and the working capital inflows associated with the recovery in demand in the Group’s food to go categories. The conversion rate of Adjusted EBITDA was </w:t>
      </w:r>
      <w:r>
        <w:rPr>
          <w:sz w:val="18"/>
          <w:szCs w:val="18"/>
        </w:rPr>
        <w:t>78.2</w:t>
      </w:r>
      <w:r w:rsidRPr="00066551">
        <w:rPr>
          <w:sz w:val="18"/>
          <w:szCs w:val="18"/>
        </w:rPr>
        <w:t xml:space="preserve">% in FY21 (FY20: </w:t>
      </w:r>
      <w:r>
        <w:rPr>
          <w:sz w:val="18"/>
          <w:szCs w:val="18"/>
        </w:rPr>
        <w:t>(34.9%)</w:t>
      </w:r>
      <w:r w:rsidRPr="00066551">
        <w:rPr>
          <w:sz w:val="18"/>
          <w:szCs w:val="18"/>
        </w:rPr>
        <w:t>).</w:t>
      </w:r>
      <w:r>
        <w:rPr>
          <w:sz w:val="18"/>
          <w:szCs w:val="18"/>
        </w:rPr>
        <w:t xml:space="preserve"> </w:t>
      </w:r>
      <w:r w:rsidRPr="00066551">
        <w:rPr>
          <w:sz w:val="18"/>
          <w:szCs w:val="18"/>
        </w:rPr>
        <w:t xml:space="preserve">Several other factors also </w:t>
      </w:r>
      <w:r>
        <w:rPr>
          <w:sz w:val="18"/>
          <w:szCs w:val="18"/>
        </w:rPr>
        <w:t xml:space="preserve">supported </w:t>
      </w:r>
      <w:r w:rsidRPr="00066551">
        <w:rPr>
          <w:sz w:val="18"/>
          <w:szCs w:val="18"/>
        </w:rPr>
        <w:t xml:space="preserve">the levels of </w:t>
      </w:r>
      <w:r>
        <w:rPr>
          <w:sz w:val="18"/>
          <w:szCs w:val="18"/>
        </w:rPr>
        <w:t>net</w:t>
      </w:r>
      <w:r w:rsidRPr="00066551">
        <w:rPr>
          <w:sz w:val="18"/>
          <w:szCs w:val="18"/>
        </w:rPr>
        <w:t xml:space="preserve"> cash </w:t>
      </w:r>
      <w:r>
        <w:rPr>
          <w:sz w:val="18"/>
          <w:szCs w:val="18"/>
        </w:rPr>
        <w:t xml:space="preserve">inflow </w:t>
      </w:r>
      <w:r w:rsidRPr="00066551">
        <w:rPr>
          <w:sz w:val="18"/>
          <w:szCs w:val="18"/>
        </w:rPr>
        <w:t>during FY2</w:t>
      </w:r>
      <w:r>
        <w:rPr>
          <w:sz w:val="18"/>
          <w:szCs w:val="18"/>
        </w:rPr>
        <w:t>1</w:t>
      </w:r>
      <w:r w:rsidRPr="00066551">
        <w:rPr>
          <w:sz w:val="18"/>
          <w:szCs w:val="18"/>
        </w:rPr>
        <w:t xml:space="preserve">, principally the </w:t>
      </w:r>
      <w:r>
        <w:rPr>
          <w:sz w:val="18"/>
          <w:szCs w:val="18"/>
        </w:rPr>
        <w:t>equity placing completed in November 2020 and the disposal of the molasses businesses in December 2020</w:t>
      </w:r>
      <w:r w:rsidRPr="00066551">
        <w:rPr>
          <w:sz w:val="18"/>
          <w:szCs w:val="18"/>
        </w:rPr>
        <w:t xml:space="preserve">. </w:t>
      </w:r>
    </w:p>
    <w:p w14:paraId="1F09F7E3" w14:textId="77777777" w:rsidR="00473DCA" w:rsidRPr="003E61CC" w:rsidRDefault="00473DCA" w:rsidP="00473DCA">
      <w:pPr>
        <w:jc w:val="both"/>
        <w:rPr>
          <w:sz w:val="18"/>
          <w:szCs w:val="18"/>
          <w:highlight w:val="yellow"/>
        </w:rPr>
      </w:pPr>
    </w:p>
    <w:p w14:paraId="5C778BBE" w14:textId="77777777" w:rsidR="00473DCA" w:rsidRDefault="00473DCA" w:rsidP="00473DCA">
      <w:pPr>
        <w:adjustRightInd w:val="0"/>
        <w:jc w:val="both"/>
        <w:rPr>
          <w:sz w:val="18"/>
          <w:szCs w:val="18"/>
        </w:rPr>
      </w:pPr>
      <w:r w:rsidRPr="00066551">
        <w:rPr>
          <w:sz w:val="18"/>
          <w:szCs w:val="18"/>
        </w:rPr>
        <w:t>The Group’s Net Debt at 24 September 2021 was £</w:t>
      </w:r>
      <w:r>
        <w:rPr>
          <w:sz w:val="18"/>
          <w:szCs w:val="18"/>
        </w:rPr>
        <w:t>242.7</w:t>
      </w:r>
      <w:r w:rsidRPr="00066551">
        <w:rPr>
          <w:sz w:val="18"/>
          <w:szCs w:val="18"/>
        </w:rPr>
        <w:t>m, a reduction of £</w:t>
      </w:r>
      <w:r>
        <w:rPr>
          <w:sz w:val="18"/>
          <w:szCs w:val="18"/>
        </w:rPr>
        <w:t>168.5</w:t>
      </w:r>
      <w:r w:rsidRPr="00066551">
        <w:rPr>
          <w:sz w:val="18"/>
          <w:szCs w:val="18"/>
        </w:rPr>
        <w:t>m compared to the prior year period which includes the impact of IFRS 16 lease obligations of £</w:t>
      </w:r>
      <w:r>
        <w:rPr>
          <w:sz w:val="18"/>
          <w:szCs w:val="18"/>
        </w:rPr>
        <w:t>59.6</w:t>
      </w:r>
      <w:r w:rsidRPr="00066551">
        <w:rPr>
          <w:sz w:val="18"/>
          <w:szCs w:val="18"/>
        </w:rPr>
        <w:t>m (FY20:£60.7m). Net Debt excluding lease liabilities decreased to £</w:t>
      </w:r>
      <w:r>
        <w:rPr>
          <w:sz w:val="18"/>
          <w:szCs w:val="18"/>
        </w:rPr>
        <w:t>183.1</w:t>
      </w:r>
      <w:r w:rsidRPr="00066551">
        <w:rPr>
          <w:sz w:val="18"/>
          <w:szCs w:val="18"/>
        </w:rPr>
        <w:t xml:space="preserve">m from £350.5m at the end of FY20. The Group’s Net Debt:EBITDA leverage as measured under financing agreements was </w:t>
      </w:r>
      <w:r w:rsidR="00933A1D">
        <w:rPr>
          <w:rFonts w:cs="Arial"/>
          <w:sz w:val="18"/>
          <w:szCs w:val="18"/>
        </w:rPr>
        <w:t>2.0</w:t>
      </w:r>
      <w:r w:rsidRPr="00066551">
        <w:rPr>
          <w:rFonts w:cs="Arial"/>
          <w:sz w:val="18"/>
          <w:szCs w:val="18"/>
        </w:rPr>
        <w:t>x</w:t>
      </w:r>
      <w:r w:rsidRPr="00066551">
        <w:rPr>
          <w:sz w:val="18"/>
          <w:szCs w:val="18"/>
        </w:rPr>
        <w:t xml:space="preserve"> at year end. This compared to 7.2x at the end of March 2021 and 4.4x at the end of September 2020. </w:t>
      </w:r>
    </w:p>
    <w:p w14:paraId="7138CE6A" w14:textId="77777777" w:rsidR="00473DCA" w:rsidRDefault="00473DCA" w:rsidP="00473DCA">
      <w:pPr>
        <w:adjustRightInd w:val="0"/>
        <w:jc w:val="both"/>
        <w:rPr>
          <w:sz w:val="18"/>
          <w:szCs w:val="18"/>
        </w:rPr>
      </w:pPr>
    </w:p>
    <w:p w14:paraId="2B53A2E8" w14:textId="77777777" w:rsidR="00473DCA" w:rsidRDefault="00473DCA" w:rsidP="00473DCA">
      <w:pPr>
        <w:adjustRightInd w:val="0"/>
        <w:jc w:val="both"/>
        <w:rPr>
          <w:rFonts w:cs="Arial"/>
          <w:sz w:val="18"/>
          <w:szCs w:val="18"/>
        </w:rPr>
      </w:pPr>
      <w:r w:rsidRPr="00005FD2">
        <w:rPr>
          <w:rFonts w:cs="Arial"/>
          <w:sz w:val="18"/>
          <w:szCs w:val="18"/>
        </w:rPr>
        <w:t xml:space="preserve">As at 24 September 2021, </w:t>
      </w:r>
      <w:r>
        <w:rPr>
          <w:rFonts w:cs="Arial"/>
          <w:sz w:val="18"/>
          <w:szCs w:val="18"/>
        </w:rPr>
        <w:t>t</w:t>
      </w:r>
      <w:r w:rsidRPr="00E01B67">
        <w:rPr>
          <w:rFonts w:cs="Arial"/>
          <w:sz w:val="18"/>
          <w:szCs w:val="18"/>
        </w:rPr>
        <w:t xml:space="preserve">he Group had total committed debt facilities of £616.4m and a weighted average maturity of 2.7 years. </w:t>
      </w:r>
      <w:r w:rsidRPr="00005FD2">
        <w:rPr>
          <w:sz w:val="18"/>
          <w:szCs w:val="18"/>
        </w:rPr>
        <w:t xml:space="preserve">Following the </w:t>
      </w:r>
      <w:r>
        <w:rPr>
          <w:sz w:val="18"/>
          <w:szCs w:val="18"/>
        </w:rPr>
        <w:t>maturing</w:t>
      </w:r>
      <w:r w:rsidRPr="00005FD2">
        <w:rPr>
          <w:sz w:val="18"/>
          <w:szCs w:val="18"/>
        </w:rPr>
        <w:t xml:space="preserve"> of the Private Placement Notes in October 2021 and the extension of the maturity on the £3</w:t>
      </w:r>
      <w:r>
        <w:rPr>
          <w:sz w:val="18"/>
          <w:szCs w:val="18"/>
        </w:rPr>
        <w:t>4</w:t>
      </w:r>
      <w:r w:rsidRPr="00005FD2">
        <w:rPr>
          <w:sz w:val="18"/>
          <w:szCs w:val="18"/>
        </w:rPr>
        <w:t>0m revolving credit facility in November</w:t>
      </w:r>
      <w:r>
        <w:rPr>
          <w:sz w:val="18"/>
          <w:szCs w:val="18"/>
        </w:rPr>
        <w:t xml:space="preserve"> 2021</w:t>
      </w:r>
      <w:r w:rsidRPr="00893BAD">
        <w:rPr>
          <w:rFonts w:cs="Arial"/>
          <w:sz w:val="18"/>
          <w:szCs w:val="18"/>
        </w:rPr>
        <w:t xml:space="preserve">, the </w:t>
      </w:r>
      <w:r>
        <w:rPr>
          <w:rFonts w:cs="Arial"/>
          <w:sz w:val="18"/>
          <w:szCs w:val="18"/>
        </w:rPr>
        <w:t xml:space="preserve">Group has total committed debt facilities of £568.8m with a </w:t>
      </w:r>
      <w:r w:rsidRPr="00893BAD">
        <w:rPr>
          <w:rFonts w:cs="Arial"/>
          <w:sz w:val="18"/>
          <w:szCs w:val="18"/>
        </w:rPr>
        <w:t xml:space="preserve">weighted average maturity of 3.4 years. </w:t>
      </w:r>
    </w:p>
    <w:p w14:paraId="429D756C" w14:textId="77777777" w:rsidR="00473DCA" w:rsidRDefault="00473DCA" w:rsidP="00473DCA">
      <w:pPr>
        <w:adjustRightInd w:val="0"/>
        <w:jc w:val="both"/>
        <w:rPr>
          <w:rFonts w:cs="Arial"/>
          <w:sz w:val="18"/>
          <w:szCs w:val="18"/>
        </w:rPr>
      </w:pPr>
    </w:p>
    <w:p w14:paraId="2DAE9397" w14:textId="77777777" w:rsidR="00473DCA" w:rsidRPr="00CB7CCC" w:rsidRDefault="00473DCA" w:rsidP="00473DCA">
      <w:pPr>
        <w:jc w:val="both"/>
        <w:rPr>
          <w:sz w:val="18"/>
          <w:szCs w:val="18"/>
        </w:rPr>
      </w:pPr>
      <w:r w:rsidRPr="00A01BD6">
        <w:rPr>
          <w:sz w:val="18"/>
          <w:szCs w:val="18"/>
        </w:rPr>
        <w:t xml:space="preserve">ROIC increased to </w:t>
      </w:r>
      <w:r w:rsidRPr="00A01BD6">
        <w:rPr>
          <w:rFonts w:cs="Arial"/>
          <w:sz w:val="18"/>
          <w:szCs w:val="18"/>
        </w:rPr>
        <w:t>4.</w:t>
      </w:r>
      <w:r>
        <w:rPr>
          <w:rFonts w:cs="Arial"/>
          <w:sz w:val="18"/>
          <w:szCs w:val="18"/>
        </w:rPr>
        <w:t>5</w:t>
      </w:r>
      <w:r w:rsidRPr="00A01BD6">
        <w:rPr>
          <w:sz w:val="18"/>
          <w:szCs w:val="18"/>
        </w:rPr>
        <w:t>% for the 12 months ended 24 September 2021, compared to 4.1% for the 12 months ended 25 September 2020. The increase was driven by increased profitability in the period, partly offset by a higher effective tax rate and a modest increase in the Group’s average invested capital</w:t>
      </w:r>
      <w:r>
        <w:rPr>
          <w:sz w:val="18"/>
          <w:szCs w:val="18"/>
        </w:rPr>
        <w:t>.</w:t>
      </w:r>
      <w:r w:rsidRPr="00CB7CCC">
        <w:rPr>
          <w:sz w:val="18"/>
          <w:szCs w:val="18"/>
        </w:rPr>
        <w:t xml:space="preserve"> </w:t>
      </w:r>
    </w:p>
    <w:bookmarkEnd w:id="6"/>
    <w:p w14:paraId="1D60DC27" w14:textId="4287D446" w:rsidR="00473DCA" w:rsidRPr="00CB7CCC" w:rsidRDefault="00473DCA" w:rsidP="00473DCA">
      <w:pPr>
        <w:jc w:val="both"/>
        <w:rPr>
          <w:rFonts w:cs="Arial"/>
          <w:b/>
          <w:sz w:val="20"/>
          <w:szCs w:val="18"/>
        </w:rPr>
      </w:pPr>
    </w:p>
    <w:p w14:paraId="27EA84E8" w14:textId="77777777" w:rsidR="00473DCA" w:rsidRPr="00CB7CCC" w:rsidRDefault="00473DCA" w:rsidP="00473DCA">
      <w:pPr>
        <w:spacing w:after="120"/>
        <w:jc w:val="both"/>
        <w:rPr>
          <w:sz w:val="18"/>
          <w:szCs w:val="18"/>
        </w:rPr>
      </w:pPr>
      <w:r w:rsidRPr="00CB7CCC">
        <w:rPr>
          <w:rFonts w:cs="Arial"/>
          <w:b/>
          <w:sz w:val="20"/>
          <w:szCs w:val="18"/>
        </w:rPr>
        <w:t>FINANCIAL REVIEW</w:t>
      </w:r>
      <w:r>
        <w:rPr>
          <w:rFonts w:cs="Arial"/>
          <w:b/>
          <w:sz w:val="20"/>
          <w:szCs w:val="18"/>
        </w:rPr>
        <w:t xml:space="preserve"> </w:t>
      </w:r>
      <w:r w:rsidRPr="00A836D4">
        <w:rPr>
          <w:rFonts w:cs="Arial"/>
          <w:b/>
          <w:sz w:val="20"/>
          <w:szCs w:val="18"/>
          <w:vertAlign w:val="superscript"/>
        </w:rPr>
        <w:t>1</w:t>
      </w:r>
    </w:p>
    <w:p w14:paraId="6AF98FB8" w14:textId="77777777" w:rsidR="00473DCA" w:rsidRPr="00CB7CCC" w:rsidRDefault="00473DCA" w:rsidP="00473DCA">
      <w:pPr>
        <w:pStyle w:val="Default"/>
        <w:spacing w:after="120"/>
        <w:jc w:val="both"/>
        <w:rPr>
          <w:rFonts w:asciiTheme="minorHAnsi" w:hAnsiTheme="minorHAnsi" w:cs="Arial"/>
          <w:b/>
          <w:bCs/>
          <w:sz w:val="18"/>
          <w:szCs w:val="18"/>
        </w:rPr>
      </w:pPr>
      <w:r w:rsidRPr="002A5884">
        <w:rPr>
          <w:rFonts w:asciiTheme="minorHAnsi" w:hAnsiTheme="minorHAnsi" w:cs="Arial"/>
          <w:b/>
          <w:bCs/>
          <w:sz w:val="18"/>
          <w:szCs w:val="18"/>
        </w:rPr>
        <w:t>Revenue and Operating Profit</w:t>
      </w:r>
      <w:r w:rsidRPr="00CB7CCC">
        <w:rPr>
          <w:rFonts w:asciiTheme="minorHAnsi" w:hAnsiTheme="minorHAnsi" w:cs="Arial"/>
          <w:b/>
          <w:bCs/>
          <w:sz w:val="18"/>
          <w:szCs w:val="18"/>
        </w:rPr>
        <w:t xml:space="preserve"> </w:t>
      </w:r>
    </w:p>
    <w:p w14:paraId="030B8513" w14:textId="77777777" w:rsidR="00473DCA" w:rsidRPr="00CB7CCC" w:rsidRDefault="00473DCA" w:rsidP="00473DCA">
      <w:pPr>
        <w:adjustRightInd w:val="0"/>
        <w:jc w:val="both"/>
        <w:rPr>
          <w:sz w:val="18"/>
          <w:szCs w:val="18"/>
        </w:rPr>
      </w:pPr>
      <w:r w:rsidRPr="00CB7CCC">
        <w:rPr>
          <w:sz w:val="18"/>
          <w:szCs w:val="18"/>
        </w:rPr>
        <w:t>Reported revenue in the period was £</w:t>
      </w:r>
      <w:r>
        <w:rPr>
          <w:rFonts w:cs="Arial"/>
          <w:sz w:val="18"/>
          <w:szCs w:val="18"/>
        </w:rPr>
        <w:t>1,324.8</w:t>
      </w:r>
      <w:r w:rsidRPr="00CB7CCC">
        <w:rPr>
          <w:sz w:val="18"/>
          <w:szCs w:val="18"/>
        </w:rPr>
        <w:t>m, a</w:t>
      </w:r>
      <w:r>
        <w:rPr>
          <w:sz w:val="18"/>
          <w:szCs w:val="18"/>
        </w:rPr>
        <w:t>n increase</w:t>
      </w:r>
      <w:r w:rsidRPr="00CB7CCC">
        <w:rPr>
          <w:sz w:val="18"/>
          <w:szCs w:val="18"/>
        </w:rPr>
        <w:t xml:space="preserve"> of </w:t>
      </w:r>
      <w:r>
        <w:rPr>
          <w:sz w:val="18"/>
          <w:szCs w:val="18"/>
        </w:rPr>
        <w:t>4.8</w:t>
      </w:r>
      <w:r w:rsidRPr="00CB7CCC">
        <w:rPr>
          <w:sz w:val="18"/>
          <w:szCs w:val="18"/>
        </w:rPr>
        <w:t>% compared to FY</w:t>
      </w:r>
      <w:r>
        <w:rPr>
          <w:sz w:val="18"/>
          <w:szCs w:val="18"/>
        </w:rPr>
        <w:t>20</w:t>
      </w:r>
      <w:r w:rsidRPr="00CB7CCC">
        <w:rPr>
          <w:sz w:val="18"/>
          <w:szCs w:val="18"/>
        </w:rPr>
        <w:t xml:space="preserve">, primarily reflecting the </w:t>
      </w:r>
      <w:r>
        <w:rPr>
          <w:sz w:val="18"/>
          <w:szCs w:val="18"/>
        </w:rPr>
        <w:t xml:space="preserve">recovery in demand in food to go categories as mobility restrictions eased in the UK during the year. </w:t>
      </w:r>
      <w:r w:rsidRPr="00CB7CCC">
        <w:rPr>
          <w:sz w:val="18"/>
          <w:szCs w:val="18"/>
        </w:rPr>
        <w:t xml:space="preserve">Pro Forma Revenue </w:t>
      </w:r>
      <w:r>
        <w:rPr>
          <w:sz w:val="18"/>
          <w:szCs w:val="18"/>
        </w:rPr>
        <w:t xml:space="preserve">increased </w:t>
      </w:r>
      <w:r w:rsidRPr="00CB7CCC">
        <w:rPr>
          <w:sz w:val="18"/>
          <w:szCs w:val="18"/>
        </w:rPr>
        <w:t xml:space="preserve">by </w:t>
      </w:r>
      <w:r>
        <w:rPr>
          <w:sz w:val="18"/>
          <w:szCs w:val="18"/>
        </w:rPr>
        <w:t>6.2</w:t>
      </w:r>
      <w:r w:rsidRPr="00CB7CCC">
        <w:rPr>
          <w:sz w:val="18"/>
          <w:szCs w:val="18"/>
        </w:rPr>
        <w:t xml:space="preserve">%. </w:t>
      </w:r>
    </w:p>
    <w:p w14:paraId="6BFCEDDC" w14:textId="77777777" w:rsidR="00473DCA" w:rsidRPr="00CB7CCC" w:rsidRDefault="00473DCA" w:rsidP="00473DCA">
      <w:pPr>
        <w:adjustRightInd w:val="0"/>
        <w:jc w:val="both"/>
        <w:rPr>
          <w:sz w:val="18"/>
          <w:szCs w:val="18"/>
        </w:rPr>
      </w:pPr>
    </w:p>
    <w:p w14:paraId="613E0776" w14:textId="77777777" w:rsidR="00473DCA" w:rsidRPr="00CB7CCC" w:rsidRDefault="00473DCA" w:rsidP="00473DCA">
      <w:pPr>
        <w:jc w:val="both"/>
        <w:rPr>
          <w:sz w:val="18"/>
          <w:szCs w:val="18"/>
        </w:rPr>
      </w:pPr>
      <w:r w:rsidRPr="00CB7CCC">
        <w:rPr>
          <w:sz w:val="18"/>
          <w:szCs w:val="18"/>
        </w:rPr>
        <w:t xml:space="preserve">Group Operating Profit </w:t>
      </w:r>
      <w:r>
        <w:rPr>
          <w:sz w:val="18"/>
          <w:szCs w:val="18"/>
        </w:rPr>
        <w:t>increased</w:t>
      </w:r>
      <w:r w:rsidRPr="00CB7CCC">
        <w:rPr>
          <w:sz w:val="18"/>
          <w:szCs w:val="18"/>
        </w:rPr>
        <w:t xml:space="preserve"> from £</w:t>
      </w:r>
      <w:r>
        <w:rPr>
          <w:sz w:val="18"/>
          <w:szCs w:val="18"/>
        </w:rPr>
        <w:t>12.9</w:t>
      </w:r>
      <w:r w:rsidRPr="00CB7CCC">
        <w:rPr>
          <w:sz w:val="18"/>
          <w:szCs w:val="18"/>
        </w:rPr>
        <w:t>m to £</w:t>
      </w:r>
      <w:r>
        <w:rPr>
          <w:sz w:val="18"/>
          <w:szCs w:val="18"/>
        </w:rPr>
        <w:t>42.8</w:t>
      </w:r>
      <w:r w:rsidRPr="00CB7CCC">
        <w:rPr>
          <w:sz w:val="18"/>
          <w:szCs w:val="18"/>
        </w:rPr>
        <w:t xml:space="preserve">m as a result of </w:t>
      </w:r>
      <w:r>
        <w:rPr>
          <w:sz w:val="18"/>
          <w:szCs w:val="18"/>
        </w:rPr>
        <w:t xml:space="preserve">an improved revenue outturn </w:t>
      </w:r>
      <w:r w:rsidRPr="00CB7CCC">
        <w:rPr>
          <w:sz w:val="18"/>
          <w:szCs w:val="18"/>
        </w:rPr>
        <w:t>in FY2</w:t>
      </w:r>
      <w:r>
        <w:rPr>
          <w:sz w:val="18"/>
          <w:szCs w:val="18"/>
        </w:rPr>
        <w:t>1</w:t>
      </w:r>
      <w:r w:rsidRPr="00CB7CCC">
        <w:rPr>
          <w:sz w:val="18"/>
          <w:szCs w:val="18"/>
        </w:rPr>
        <w:t xml:space="preserve"> and </w:t>
      </w:r>
      <w:r>
        <w:rPr>
          <w:sz w:val="18"/>
          <w:szCs w:val="18"/>
        </w:rPr>
        <w:t xml:space="preserve">the movement from a net exceptional charge to a net exceptional gain </w:t>
      </w:r>
      <w:r w:rsidRPr="00CB7CCC">
        <w:rPr>
          <w:sz w:val="18"/>
          <w:szCs w:val="18"/>
        </w:rPr>
        <w:t>in FY2</w:t>
      </w:r>
      <w:r>
        <w:rPr>
          <w:sz w:val="18"/>
          <w:szCs w:val="18"/>
        </w:rPr>
        <w:t>1</w:t>
      </w:r>
      <w:r w:rsidRPr="00CB7CCC">
        <w:rPr>
          <w:sz w:val="18"/>
          <w:szCs w:val="18"/>
        </w:rPr>
        <w:t xml:space="preserve">. Adjusted Operating Profit of </w:t>
      </w:r>
      <w:r>
        <w:rPr>
          <w:sz w:val="18"/>
          <w:szCs w:val="18"/>
        </w:rPr>
        <w:t>£</w:t>
      </w:r>
      <w:r w:rsidRPr="00CB7CCC">
        <w:rPr>
          <w:rFonts w:cs="Arial"/>
          <w:sz w:val="18"/>
          <w:szCs w:val="18"/>
        </w:rPr>
        <w:t>3</w:t>
      </w:r>
      <w:r>
        <w:rPr>
          <w:rFonts w:cs="Arial"/>
          <w:sz w:val="18"/>
          <w:szCs w:val="18"/>
        </w:rPr>
        <w:t>9.0</w:t>
      </w:r>
      <w:r w:rsidRPr="00CB7CCC">
        <w:rPr>
          <w:sz w:val="18"/>
          <w:szCs w:val="18"/>
        </w:rPr>
        <w:t xml:space="preserve">m was </w:t>
      </w:r>
      <w:r>
        <w:rPr>
          <w:sz w:val="18"/>
          <w:szCs w:val="18"/>
        </w:rPr>
        <w:t xml:space="preserve">20.0% higher </w:t>
      </w:r>
      <w:r w:rsidRPr="00CB7CCC">
        <w:rPr>
          <w:sz w:val="18"/>
          <w:szCs w:val="18"/>
        </w:rPr>
        <w:t>than in FY</w:t>
      </w:r>
      <w:r>
        <w:rPr>
          <w:sz w:val="18"/>
          <w:szCs w:val="18"/>
        </w:rPr>
        <w:t>20, driven by an improvement</w:t>
      </w:r>
      <w:r w:rsidRPr="00CB7CCC">
        <w:rPr>
          <w:sz w:val="18"/>
          <w:szCs w:val="18"/>
        </w:rPr>
        <w:t xml:space="preserve"> </w:t>
      </w:r>
      <w:r>
        <w:rPr>
          <w:sz w:val="18"/>
          <w:szCs w:val="18"/>
        </w:rPr>
        <w:t xml:space="preserve">in </w:t>
      </w:r>
      <w:r w:rsidRPr="00CB7CCC">
        <w:rPr>
          <w:sz w:val="18"/>
          <w:szCs w:val="18"/>
        </w:rPr>
        <w:t xml:space="preserve">profits in food to go categories in </w:t>
      </w:r>
      <w:r>
        <w:rPr>
          <w:sz w:val="18"/>
          <w:szCs w:val="18"/>
        </w:rPr>
        <w:t xml:space="preserve">FY21 and a broadly unchanged </w:t>
      </w:r>
      <w:r w:rsidR="0020720A">
        <w:rPr>
          <w:sz w:val="18"/>
          <w:szCs w:val="18"/>
        </w:rPr>
        <w:t xml:space="preserve">underlying </w:t>
      </w:r>
      <w:r w:rsidRPr="00CB7CCC">
        <w:rPr>
          <w:sz w:val="18"/>
          <w:szCs w:val="18"/>
        </w:rPr>
        <w:t xml:space="preserve">performance in the Group’s other convenience </w:t>
      </w:r>
      <w:r w:rsidRPr="00CB7CCC">
        <w:rPr>
          <w:sz w:val="18"/>
          <w:szCs w:val="18"/>
        </w:rPr>
        <w:lastRenderedPageBreak/>
        <w:t xml:space="preserve">categories. Adjusted Operating Margin was </w:t>
      </w:r>
      <w:r w:rsidRPr="00CB7CCC">
        <w:rPr>
          <w:rFonts w:cs="Arial"/>
          <w:sz w:val="18"/>
          <w:szCs w:val="18"/>
        </w:rPr>
        <w:t>2.</w:t>
      </w:r>
      <w:r>
        <w:rPr>
          <w:rFonts w:cs="Arial"/>
          <w:sz w:val="18"/>
          <w:szCs w:val="18"/>
        </w:rPr>
        <w:t>9</w:t>
      </w:r>
      <w:r w:rsidRPr="00CB7CCC">
        <w:rPr>
          <w:sz w:val="18"/>
          <w:szCs w:val="18"/>
        </w:rPr>
        <w:t xml:space="preserve">%, </w:t>
      </w:r>
      <w:r>
        <w:rPr>
          <w:rFonts w:cs="Arial"/>
          <w:sz w:val="18"/>
          <w:szCs w:val="18"/>
        </w:rPr>
        <w:t>30</w:t>
      </w:r>
      <w:r w:rsidRPr="00CB7CCC">
        <w:rPr>
          <w:sz w:val="18"/>
          <w:szCs w:val="18"/>
        </w:rPr>
        <w:t xml:space="preserve"> basis points </w:t>
      </w:r>
      <w:r>
        <w:rPr>
          <w:sz w:val="18"/>
          <w:szCs w:val="18"/>
        </w:rPr>
        <w:t xml:space="preserve">higher </w:t>
      </w:r>
      <w:r w:rsidRPr="00CB7CCC">
        <w:rPr>
          <w:sz w:val="18"/>
          <w:szCs w:val="18"/>
        </w:rPr>
        <w:t xml:space="preserve">than the prior year. </w:t>
      </w:r>
    </w:p>
    <w:p w14:paraId="23B1120F" w14:textId="77777777" w:rsidR="00473DCA" w:rsidRPr="00CB7CCC" w:rsidRDefault="00473DCA" w:rsidP="00473DCA">
      <w:pPr>
        <w:adjustRightInd w:val="0"/>
        <w:jc w:val="both"/>
        <w:rPr>
          <w:sz w:val="18"/>
          <w:szCs w:val="18"/>
        </w:rPr>
      </w:pPr>
    </w:p>
    <w:p w14:paraId="5B0E9B45" w14:textId="77777777" w:rsidR="00473DCA" w:rsidRPr="00CB7CCC" w:rsidRDefault="00473DCA" w:rsidP="00473DCA">
      <w:pPr>
        <w:spacing w:after="120"/>
        <w:jc w:val="both"/>
        <w:rPr>
          <w:rFonts w:cs="Arial"/>
          <w:b/>
          <w:sz w:val="18"/>
          <w:szCs w:val="18"/>
        </w:rPr>
      </w:pPr>
      <w:r w:rsidRPr="00CB7CCC">
        <w:rPr>
          <w:rFonts w:cs="Arial"/>
          <w:b/>
          <w:sz w:val="18"/>
          <w:szCs w:val="18"/>
        </w:rPr>
        <w:t xml:space="preserve">Net finance costs </w:t>
      </w:r>
    </w:p>
    <w:p w14:paraId="5A678D64" w14:textId="77777777" w:rsidR="00473DCA" w:rsidRPr="00CB7CCC" w:rsidRDefault="00473DCA" w:rsidP="00473DCA">
      <w:pPr>
        <w:adjustRightInd w:val="0"/>
        <w:jc w:val="both"/>
        <w:rPr>
          <w:sz w:val="18"/>
          <w:szCs w:val="18"/>
        </w:rPr>
      </w:pPr>
      <w:r w:rsidRPr="00CB7CCC">
        <w:rPr>
          <w:sz w:val="18"/>
          <w:szCs w:val="18"/>
        </w:rPr>
        <w:t>The Group’s net bank interest payable was £</w:t>
      </w:r>
      <w:r>
        <w:rPr>
          <w:rFonts w:cs="Arial"/>
          <w:sz w:val="18"/>
          <w:szCs w:val="18"/>
        </w:rPr>
        <w:t>1</w:t>
      </w:r>
      <w:r w:rsidR="001848F1">
        <w:rPr>
          <w:rFonts w:cs="Arial"/>
          <w:sz w:val="18"/>
          <w:szCs w:val="18"/>
        </w:rPr>
        <w:t>5.0</w:t>
      </w:r>
      <w:r w:rsidRPr="00CB7CCC">
        <w:rPr>
          <w:sz w:val="18"/>
          <w:szCs w:val="18"/>
        </w:rPr>
        <w:t>m in FY2</w:t>
      </w:r>
      <w:r>
        <w:rPr>
          <w:sz w:val="18"/>
          <w:szCs w:val="18"/>
        </w:rPr>
        <w:t>1</w:t>
      </w:r>
      <w:r w:rsidRPr="00CB7CCC">
        <w:rPr>
          <w:sz w:val="18"/>
          <w:szCs w:val="18"/>
        </w:rPr>
        <w:t xml:space="preserve">, an increase </w:t>
      </w:r>
      <w:r w:rsidRPr="00DE30F3">
        <w:rPr>
          <w:sz w:val="18"/>
          <w:szCs w:val="18"/>
        </w:rPr>
        <w:t>of £</w:t>
      </w:r>
      <w:r w:rsidRPr="00DE30F3">
        <w:rPr>
          <w:rFonts w:cs="Arial"/>
          <w:sz w:val="18"/>
          <w:szCs w:val="18"/>
        </w:rPr>
        <w:t>0.</w:t>
      </w:r>
      <w:r w:rsidR="001848F1">
        <w:rPr>
          <w:rFonts w:cs="Arial"/>
          <w:sz w:val="18"/>
          <w:szCs w:val="18"/>
        </w:rPr>
        <w:t>3</w:t>
      </w:r>
      <w:r w:rsidRPr="00DE30F3">
        <w:rPr>
          <w:sz w:val="18"/>
          <w:szCs w:val="18"/>
        </w:rPr>
        <w:t>m versus</w:t>
      </w:r>
      <w:r w:rsidRPr="00CB7CCC">
        <w:rPr>
          <w:sz w:val="18"/>
          <w:szCs w:val="18"/>
        </w:rPr>
        <w:t xml:space="preserve"> FY</w:t>
      </w:r>
      <w:r>
        <w:rPr>
          <w:sz w:val="18"/>
          <w:szCs w:val="18"/>
        </w:rPr>
        <w:t>20</w:t>
      </w:r>
      <w:r w:rsidRPr="00CB7CCC">
        <w:rPr>
          <w:sz w:val="18"/>
          <w:szCs w:val="18"/>
        </w:rPr>
        <w:t xml:space="preserve">. The increase was driven by </w:t>
      </w:r>
      <w:r>
        <w:rPr>
          <w:sz w:val="18"/>
          <w:szCs w:val="18"/>
        </w:rPr>
        <w:t>the higher cost of debt</w:t>
      </w:r>
      <w:r w:rsidRPr="00CB7CCC">
        <w:rPr>
          <w:sz w:val="18"/>
          <w:szCs w:val="18"/>
        </w:rPr>
        <w:t xml:space="preserve">. The Group </w:t>
      </w:r>
      <w:r>
        <w:rPr>
          <w:sz w:val="18"/>
          <w:szCs w:val="18"/>
        </w:rPr>
        <w:t xml:space="preserve">also </w:t>
      </w:r>
      <w:r w:rsidRPr="00CB7CCC">
        <w:rPr>
          <w:sz w:val="18"/>
          <w:szCs w:val="18"/>
        </w:rPr>
        <w:t>recognised a £</w:t>
      </w:r>
      <w:r>
        <w:rPr>
          <w:sz w:val="18"/>
          <w:szCs w:val="18"/>
        </w:rPr>
        <w:t>1.3</w:t>
      </w:r>
      <w:r w:rsidRPr="00CB7CCC">
        <w:rPr>
          <w:sz w:val="18"/>
          <w:szCs w:val="18"/>
        </w:rPr>
        <w:t xml:space="preserve">m interest charge relating to the </w:t>
      </w:r>
      <w:r>
        <w:rPr>
          <w:sz w:val="18"/>
          <w:szCs w:val="18"/>
        </w:rPr>
        <w:t xml:space="preserve">interest payable on </w:t>
      </w:r>
      <w:r w:rsidRPr="00CB7CCC">
        <w:rPr>
          <w:sz w:val="18"/>
          <w:szCs w:val="18"/>
        </w:rPr>
        <w:t>lease liabilit</w:t>
      </w:r>
      <w:r>
        <w:rPr>
          <w:sz w:val="18"/>
          <w:szCs w:val="18"/>
        </w:rPr>
        <w:t>ies</w:t>
      </w:r>
      <w:r w:rsidRPr="00CB7CCC">
        <w:rPr>
          <w:sz w:val="18"/>
          <w:szCs w:val="18"/>
        </w:rPr>
        <w:t xml:space="preserve"> in the </w:t>
      </w:r>
      <w:r>
        <w:rPr>
          <w:sz w:val="18"/>
          <w:szCs w:val="18"/>
        </w:rPr>
        <w:t>year (FY20:</w:t>
      </w:r>
      <w:r w:rsidR="00AD6E4F">
        <w:rPr>
          <w:sz w:val="18"/>
          <w:szCs w:val="18"/>
        </w:rPr>
        <w:t xml:space="preserve"> </w:t>
      </w:r>
      <w:r>
        <w:rPr>
          <w:sz w:val="18"/>
          <w:szCs w:val="18"/>
        </w:rPr>
        <w:t>£1.2m)</w:t>
      </w:r>
      <w:r w:rsidRPr="00CB7CCC">
        <w:rPr>
          <w:sz w:val="18"/>
          <w:szCs w:val="18"/>
        </w:rPr>
        <w:t>.</w:t>
      </w:r>
    </w:p>
    <w:p w14:paraId="51A821AC" w14:textId="77777777" w:rsidR="00473DCA" w:rsidRPr="00CB7CCC" w:rsidRDefault="00473DCA" w:rsidP="00473DCA">
      <w:pPr>
        <w:adjustRightInd w:val="0"/>
        <w:jc w:val="both"/>
        <w:rPr>
          <w:sz w:val="18"/>
          <w:szCs w:val="18"/>
        </w:rPr>
      </w:pPr>
    </w:p>
    <w:p w14:paraId="3A20B65A" w14:textId="77777777" w:rsidR="00473DCA" w:rsidRPr="00CB7CCC" w:rsidRDefault="00473DCA" w:rsidP="00473DCA">
      <w:pPr>
        <w:adjustRightInd w:val="0"/>
        <w:jc w:val="both"/>
        <w:rPr>
          <w:sz w:val="18"/>
          <w:szCs w:val="18"/>
        </w:rPr>
      </w:pPr>
      <w:r w:rsidRPr="00CB7CCC">
        <w:rPr>
          <w:sz w:val="18"/>
          <w:szCs w:val="18"/>
        </w:rPr>
        <w:t>The Group’s non-cash finance charge, before exceptional items, in FY2</w:t>
      </w:r>
      <w:r>
        <w:rPr>
          <w:sz w:val="18"/>
          <w:szCs w:val="18"/>
        </w:rPr>
        <w:t>1</w:t>
      </w:r>
      <w:r w:rsidRPr="00CB7CCC">
        <w:rPr>
          <w:sz w:val="18"/>
          <w:szCs w:val="18"/>
        </w:rPr>
        <w:t xml:space="preserve"> was £</w:t>
      </w:r>
      <w:r>
        <w:rPr>
          <w:sz w:val="18"/>
          <w:szCs w:val="18"/>
        </w:rPr>
        <w:t>2.8</w:t>
      </w:r>
      <w:r w:rsidRPr="00CB7CCC">
        <w:rPr>
          <w:sz w:val="18"/>
          <w:szCs w:val="18"/>
        </w:rPr>
        <w:t>m (FY</w:t>
      </w:r>
      <w:r>
        <w:rPr>
          <w:sz w:val="18"/>
          <w:szCs w:val="18"/>
        </w:rPr>
        <w:t>20</w:t>
      </w:r>
      <w:r w:rsidRPr="00CB7CCC">
        <w:rPr>
          <w:sz w:val="18"/>
          <w:szCs w:val="18"/>
        </w:rPr>
        <w:t>: £</w:t>
      </w:r>
      <w:r>
        <w:rPr>
          <w:sz w:val="18"/>
          <w:szCs w:val="18"/>
        </w:rPr>
        <w:t>1.3</w:t>
      </w:r>
      <w:r w:rsidRPr="00CB7CCC">
        <w:rPr>
          <w:sz w:val="18"/>
          <w:szCs w:val="18"/>
        </w:rPr>
        <w:t xml:space="preserve">m). </w:t>
      </w:r>
      <w:r>
        <w:rPr>
          <w:sz w:val="18"/>
          <w:szCs w:val="18"/>
        </w:rPr>
        <w:t>The</w:t>
      </w:r>
      <w:r w:rsidRPr="00CB7CCC">
        <w:rPr>
          <w:sz w:val="18"/>
          <w:szCs w:val="18"/>
        </w:rPr>
        <w:t xml:space="preserve"> change in the fair value of derivatives and related debt adjustments in the period was a £</w:t>
      </w:r>
      <w:r>
        <w:rPr>
          <w:sz w:val="18"/>
          <w:szCs w:val="18"/>
        </w:rPr>
        <w:t>1.0</w:t>
      </w:r>
      <w:r w:rsidRPr="00CB7CCC">
        <w:rPr>
          <w:sz w:val="18"/>
          <w:szCs w:val="18"/>
        </w:rPr>
        <w:t xml:space="preserve">m </w:t>
      </w:r>
      <w:r>
        <w:rPr>
          <w:sz w:val="18"/>
          <w:szCs w:val="18"/>
        </w:rPr>
        <w:t>charge</w:t>
      </w:r>
      <w:r w:rsidRPr="00CB7CCC">
        <w:rPr>
          <w:sz w:val="18"/>
          <w:szCs w:val="18"/>
        </w:rPr>
        <w:t xml:space="preserve"> (FY</w:t>
      </w:r>
      <w:r w:rsidR="001848F1">
        <w:rPr>
          <w:sz w:val="18"/>
          <w:szCs w:val="18"/>
        </w:rPr>
        <w:t>20</w:t>
      </w:r>
      <w:r w:rsidRPr="00CB7CCC">
        <w:rPr>
          <w:sz w:val="18"/>
          <w:szCs w:val="18"/>
        </w:rPr>
        <w:t>: £</w:t>
      </w:r>
      <w:r w:rsidR="001848F1">
        <w:rPr>
          <w:sz w:val="18"/>
          <w:szCs w:val="18"/>
        </w:rPr>
        <w:t>1.1</w:t>
      </w:r>
      <w:r w:rsidRPr="00CB7CCC">
        <w:rPr>
          <w:sz w:val="18"/>
          <w:szCs w:val="18"/>
        </w:rPr>
        <w:t>m</w:t>
      </w:r>
      <w:r>
        <w:rPr>
          <w:sz w:val="18"/>
          <w:szCs w:val="18"/>
        </w:rPr>
        <w:t xml:space="preserve"> credit</w:t>
      </w:r>
      <w:r w:rsidRPr="00CB7CCC">
        <w:rPr>
          <w:sz w:val="18"/>
          <w:szCs w:val="18"/>
        </w:rPr>
        <w:t>)</w:t>
      </w:r>
      <w:r>
        <w:rPr>
          <w:sz w:val="18"/>
          <w:szCs w:val="18"/>
        </w:rPr>
        <w:t xml:space="preserve"> and t</w:t>
      </w:r>
      <w:r w:rsidRPr="00CB7CCC">
        <w:rPr>
          <w:sz w:val="18"/>
          <w:szCs w:val="18"/>
        </w:rPr>
        <w:t>he non-cash pension financing charge of £</w:t>
      </w:r>
      <w:r w:rsidRPr="00CB7CCC">
        <w:rPr>
          <w:rFonts w:cs="Arial"/>
          <w:sz w:val="18"/>
          <w:szCs w:val="18"/>
        </w:rPr>
        <w:t>1.</w:t>
      </w:r>
      <w:r>
        <w:rPr>
          <w:rFonts w:cs="Arial"/>
          <w:sz w:val="18"/>
          <w:szCs w:val="18"/>
        </w:rPr>
        <w:t>7</w:t>
      </w:r>
      <w:r w:rsidRPr="00CB7CCC">
        <w:rPr>
          <w:sz w:val="18"/>
          <w:szCs w:val="18"/>
        </w:rPr>
        <w:t>m was £</w:t>
      </w:r>
      <w:r w:rsidRPr="00CB7CCC">
        <w:rPr>
          <w:rFonts w:cs="Arial"/>
          <w:sz w:val="18"/>
          <w:szCs w:val="18"/>
        </w:rPr>
        <w:t>0.</w:t>
      </w:r>
      <w:r>
        <w:rPr>
          <w:rFonts w:cs="Arial"/>
          <w:sz w:val="18"/>
          <w:szCs w:val="18"/>
        </w:rPr>
        <w:t>2</w:t>
      </w:r>
      <w:r w:rsidRPr="00CB7CCC">
        <w:rPr>
          <w:sz w:val="18"/>
          <w:szCs w:val="18"/>
        </w:rPr>
        <w:t>m lower than the FY</w:t>
      </w:r>
      <w:r>
        <w:rPr>
          <w:sz w:val="18"/>
          <w:szCs w:val="18"/>
        </w:rPr>
        <w:t>20</w:t>
      </w:r>
      <w:r w:rsidRPr="00CB7CCC">
        <w:rPr>
          <w:sz w:val="18"/>
          <w:szCs w:val="18"/>
        </w:rPr>
        <w:t xml:space="preserve"> charge of £</w:t>
      </w:r>
      <w:r>
        <w:rPr>
          <w:sz w:val="18"/>
          <w:szCs w:val="18"/>
        </w:rPr>
        <w:t>1.9</w:t>
      </w:r>
      <w:r w:rsidRPr="00CB7CCC">
        <w:rPr>
          <w:sz w:val="18"/>
          <w:szCs w:val="18"/>
        </w:rPr>
        <w:t>m.</w:t>
      </w:r>
    </w:p>
    <w:p w14:paraId="14005FA2" w14:textId="77777777" w:rsidR="00473DCA" w:rsidRPr="00CB7CCC" w:rsidRDefault="00473DCA" w:rsidP="00473DCA">
      <w:pPr>
        <w:adjustRightInd w:val="0"/>
        <w:jc w:val="both"/>
        <w:rPr>
          <w:sz w:val="18"/>
          <w:szCs w:val="18"/>
        </w:rPr>
      </w:pPr>
    </w:p>
    <w:p w14:paraId="6D618185" w14:textId="77777777" w:rsidR="00473DCA" w:rsidRPr="00CB7CCC" w:rsidRDefault="00473DCA" w:rsidP="00473DCA">
      <w:pPr>
        <w:spacing w:after="120"/>
        <w:jc w:val="both"/>
        <w:rPr>
          <w:rFonts w:cs="Arial"/>
          <w:b/>
          <w:sz w:val="18"/>
          <w:szCs w:val="18"/>
        </w:rPr>
      </w:pPr>
      <w:r w:rsidRPr="00CB7CCC">
        <w:rPr>
          <w:rFonts w:cs="Arial"/>
          <w:b/>
          <w:sz w:val="18"/>
          <w:szCs w:val="18"/>
        </w:rPr>
        <w:t xml:space="preserve">Profit before taxation </w:t>
      </w:r>
    </w:p>
    <w:p w14:paraId="50B2C9F2" w14:textId="77777777" w:rsidR="00473DCA" w:rsidRPr="00CB7CCC" w:rsidRDefault="00473DCA" w:rsidP="00473DCA">
      <w:pPr>
        <w:adjustRightInd w:val="0"/>
        <w:jc w:val="both"/>
        <w:rPr>
          <w:sz w:val="18"/>
          <w:szCs w:val="18"/>
        </w:rPr>
      </w:pPr>
      <w:r w:rsidRPr="00CB7CCC">
        <w:rPr>
          <w:sz w:val="18"/>
          <w:szCs w:val="18"/>
        </w:rPr>
        <w:t xml:space="preserve">The Group’s Profit before taxation </w:t>
      </w:r>
      <w:r>
        <w:rPr>
          <w:sz w:val="18"/>
          <w:szCs w:val="18"/>
        </w:rPr>
        <w:t xml:space="preserve">increased from a loss of £10.8m in FY20 to a profit of </w:t>
      </w:r>
      <w:r w:rsidRPr="00CB7CCC">
        <w:rPr>
          <w:sz w:val="18"/>
          <w:szCs w:val="18"/>
        </w:rPr>
        <w:t>£</w:t>
      </w:r>
      <w:r>
        <w:rPr>
          <w:sz w:val="18"/>
          <w:szCs w:val="18"/>
        </w:rPr>
        <w:t>27.8</w:t>
      </w:r>
      <w:r w:rsidRPr="00CB7CCC">
        <w:rPr>
          <w:sz w:val="18"/>
          <w:szCs w:val="18"/>
        </w:rPr>
        <w:t>m in FY</w:t>
      </w:r>
      <w:r>
        <w:rPr>
          <w:sz w:val="18"/>
          <w:szCs w:val="18"/>
        </w:rPr>
        <w:t>21</w:t>
      </w:r>
      <w:r w:rsidRPr="00CB7CCC">
        <w:rPr>
          <w:sz w:val="18"/>
          <w:szCs w:val="18"/>
        </w:rPr>
        <w:t xml:space="preserve">, driven by </w:t>
      </w:r>
      <w:r>
        <w:rPr>
          <w:sz w:val="18"/>
          <w:szCs w:val="18"/>
        </w:rPr>
        <w:t xml:space="preserve">higher </w:t>
      </w:r>
      <w:r w:rsidRPr="00CB7CCC">
        <w:rPr>
          <w:sz w:val="18"/>
          <w:szCs w:val="18"/>
        </w:rPr>
        <w:t>Group Operating Profit and lower finance costs as compared to the FY</w:t>
      </w:r>
      <w:r>
        <w:rPr>
          <w:sz w:val="18"/>
          <w:szCs w:val="18"/>
        </w:rPr>
        <w:t>20</w:t>
      </w:r>
      <w:r w:rsidRPr="00CB7CCC">
        <w:rPr>
          <w:sz w:val="18"/>
          <w:szCs w:val="18"/>
        </w:rPr>
        <w:t xml:space="preserve"> costs which included an exceptional finance charge. Adjusted Profit Before Tax in the period was £</w:t>
      </w:r>
      <w:r>
        <w:rPr>
          <w:rFonts w:cs="Arial"/>
          <w:sz w:val="18"/>
          <w:szCs w:val="18"/>
        </w:rPr>
        <w:t>22.6</w:t>
      </w:r>
      <w:r w:rsidRPr="00CB7CCC">
        <w:rPr>
          <w:sz w:val="18"/>
          <w:szCs w:val="18"/>
        </w:rPr>
        <w:t>m (FY</w:t>
      </w:r>
      <w:r>
        <w:rPr>
          <w:sz w:val="18"/>
          <w:szCs w:val="18"/>
        </w:rPr>
        <w:t>20</w:t>
      </w:r>
      <w:r w:rsidRPr="00CB7CCC">
        <w:rPr>
          <w:sz w:val="18"/>
          <w:szCs w:val="18"/>
        </w:rPr>
        <w:t>: £</w:t>
      </w:r>
      <w:r>
        <w:rPr>
          <w:sz w:val="18"/>
          <w:szCs w:val="18"/>
        </w:rPr>
        <w:t>17</w:t>
      </w:r>
      <w:r w:rsidRPr="00CB7CCC">
        <w:rPr>
          <w:sz w:val="18"/>
          <w:szCs w:val="18"/>
        </w:rPr>
        <w:t xml:space="preserve">.3m), primarily driven by </w:t>
      </w:r>
      <w:r>
        <w:rPr>
          <w:sz w:val="18"/>
          <w:szCs w:val="18"/>
        </w:rPr>
        <w:t xml:space="preserve">an improvement in </w:t>
      </w:r>
      <w:r w:rsidRPr="00CB7CCC">
        <w:rPr>
          <w:sz w:val="18"/>
          <w:szCs w:val="18"/>
        </w:rPr>
        <w:t>Adjusted Operating Profit.</w:t>
      </w:r>
    </w:p>
    <w:p w14:paraId="75FA21DA" w14:textId="77777777" w:rsidR="00473DCA" w:rsidRPr="00CB7CCC" w:rsidRDefault="00473DCA" w:rsidP="00473DCA">
      <w:pPr>
        <w:adjustRightInd w:val="0"/>
        <w:jc w:val="both"/>
        <w:rPr>
          <w:sz w:val="18"/>
          <w:szCs w:val="18"/>
        </w:rPr>
      </w:pPr>
    </w:p>
    <w:p w14:paraId="17F19957" w14:textId="77777777" w:rsidR="00473DCA" w:rsidRPr="00CB7CCC" w:rsidRDefault="00473DCA" w:rsidP="00473DCA">
      <w:pPr>
        <w:pStyle w:val="Default"/>
        <w:spacing w:after="120"/>
        <w:jc w:val="both"/>
        <w:rPr>
          <w:rFonts w:asciiTheme="minorHAnsi" w:hAnsiTheme="minorHAnsi" w:cs="Arial"/>
          <w:sz w:val="18"/>
          <w:szCs w:val="18"/>
        </w:rPr>
      </w:pPr>
      <w:r w:rsidRPr="00CB7CCC">
        <w:rPr>
          <w:rFonts w:asciiTheme="minorHAnsi" w:hAnsiTheme="minorHAnsi" w:cs="Arial"/>
          <w:b/>
          <w:bCs/>
          <w:sz w:val="18"/>
          <w:szCs w:val="18"/>
        </w:rPr>
        <w:t xml:space="preserve">Taxation </w:t>
      </w:r>
    </w:p>
    <w:p w14:paraId="2A945CDF" w14:textId="1383C9F9" w:rsidR="00473DCA" w:rsidRPr="00093407" w:rsidRDefault="00473DCA" w:rsidP="00473DCA">
      <w:pPr>
        <w:adjustRightInd w:val="0"/>
        <w:jc w:val="both"/>
        <w:rPr>
          <w:sz w:val="18"/>
          <w:szCs w:val="18"/>
        </w:rPr>
      </w:pPr>
      <w:r w:rsidRPr="00CB7CCC">
        <w:rPr>
          <w:sz w:val="18"/>
          <w:szCs w:val="18"/>
        </w:rPr>
        <w:t>The Group’s effective tax rate in FY2</w:t>
      </w:r>
      <w:r>
        <w:rPr>
          <w:sz w:val="18"/>
          <w:szCs w:val="18"/>
        </w:rPr>
        <w:t>1</w:t>
      </w:r>
      <w:r w:rsidRPr="00CB7CCC">
        <w:rPr>
          <w:sz w:val="18"/>
          <w:szCs w:val="18"/>
        </w:rPr>
        <w:t xml:space="preserve"> (</w:t>
      </w:r>
      <w:r w:rsidR="00C83D3C" w:rsidRPr="00C83D3C">
        <w:rPr>
          <w:sz w:val="18"/>
          <w:szCs w:val="18"/>
        </w:rPr>
        <w:t xml:space="preserve">adjusting pre-exceptional profit for the change in fair value of derivatives) </w:t>
      </w:r>
      <w:r w:rsidRPr="00CB7CCC">
        <w:rPr>
          <w:sz w:val="18"/>
          <w:szCs w:val="18"/>
        </w:rPr>
        <w:t xml:space="preserve">was </w:t>
      </w:r>
      <w:r w:rsidRPr="00CB7CCC">
        <w:rPr>
          <w:rFonts w:cs="Arial"/>
          <w:sz w:val="18"/>
          <w:szCs w:val="18"/>
        </w:rPr>
        <w:t>1</w:t>
      </w:r>
      <w:r>
        <w:rPr>
          <w:rFonts w:cs="Arial"/>
          <w:sz w:val="18"/>
          <w:szCs w:val="18"/>
        </w:rPr>
        <w:t>5</w:t>
      </w:r>
      <w:r w:rsidRPr="00CB7CCC">
        <w:rPr>
          <w:sz w:val="18"/>
          <w:szCs w:val="18"/>
        </w:rPr>
        <w:t>% (FY</w:t>
      </w:r>
      <w:r>
        <w:rPr>
          <w:sz w:val="18"/>
          <w:szCs w:val="18"/>
        </w:rPr>
        <w:t>20</w:t>
      </w:r>
      <w:r w:rsidRPr="00CB7CCC">
        <w:rPr>
          <w:sz w:val="18"/>
          <w:szCs w:val="18"/>
        </w:rPr>
        <w:t>: 1</w:t>
      </w:r>
      <w:r>
        <w:rPr>
          <w:sz w:val="18"/>
          <w:szCs w:val="18"/>
        </w:rPr>
        <w:t>3</w:t>
      </w:r>
      <w:r w:rsidRPr="00CB7CCC">
        <w:rPr>
          <w:sz w:val="18"/>
          <w:szCs w:val="18"/>
        </w:rPr>
        <w:t xml:space="preserve">%). </w:t>
      </w:r>
      <w:r w:rsidRPr="00093407">
        <w:rPr>
          <w:sz w:val="18"/>
          <w:szCs w:val="18"/>
        </w:rPr>
        <w:t xml:space="preserve">In March 2021, the UK Government announced an increase in the UK rate of corporation tax from 19% to 25%, to be effective from 1 April 2023. This change results in a one-off credit to the income statement, with a corresponding increase in the </w:t>
      </w:r>
      <w:r w:rsidR="00AD6E4F">
        <w:rPr>
          <w:sz w:val="18"/>
          <w:szCs w:val="18"/>
        </w:rPr>
        <w:t>G</w:t>
      </w:r>
      <w:r w:rsidR="00AD6E4F" w:rsidRPr="00093407">
        <w:rPr>
          <w:sz w:val="18"/>
          <w:szCs w:val="18"/>
        </w:rPr>
        <w:t xml:space="preserve">roup’s </w:t>
      </w:r>
      <w:r w:rsidRPr="00093407">
        <w:rPr>
          <w:sz w:val="18"/>
          <w:szCs w:val="18"/>
        </w:rPr>
        <w:t xml:space="preserve">deferred tax asset. </w:t>
      </w:r>
      <w:r>
        <w:rPr>
          <w:sz w:val="18"/>
          <w:szCs w:val="18"/>
        </w:rPr>
        <w:t>This credit is partially offset by a charge arising from the reassessment of recoverability of deferred tax assets previously recognised in respect of certain buildings owned by the Group.</w:t>
      </w:r>
    </w:p>
    <w:p w14:paraId="18BBAEAE" w14:textId="77777777" w:rsidR="00473DCA" w:rsidRPr="00CB7CCC" w:rsidRDefault="00473DCA" w:rsidP="00473DCA">
      <w:pPr>
        <w:adjustRightInd w:val="0"/>
        <w:jc w:val="both"/>
        <w:rPr>
          <w:sz w:val="18"/>
          <w:szCs w:val="18"/>
        </w:rPr>
      </w:pPr>
    </w:p>
    <w:p w14:paraId="7329109D" w14:textId="77777777" w:rsidR="00473DCA" w:rsidRPr="00CB7CCC" w:rsidRDefault="00473DCA" w:rsidP="00473DCA">
      <w:pPr>
        <w:pStyle w:val="Default"/>
        <w:spacing w:after="120"/>
        <w:jc w:val="both"/>
        <w:rPr>
          <w:rFonts w:asciiTheme="minorHAnsi" w:hAnsiTheme="minorHAnsi" w:cs="Arial"/>
          <w:b/>
          <w:bCs/>
          <w:sz w:val="18"/>
          <w:szCs w:val="18"/>
          <w:lang w:val="en-GB"/>
        </w:rPr>
      </w:pPr>
      <w:r w:rsidRPr="00CB7CCC">
        <w:rPr>
          <w:rFonts w:asciiTheme="minorHAnsi" w:hAnsiTheme="minorHAnsi" w:cs="Arial"/>
          <w:b/>
          <w:bCs/>
          <w:sz w:val="18"/>
          <w:szCs w:val="18"/>
          <w:lang w:val="en-GB"/>
        </w:rPr>
        <w:t>Exceptional items</w:t>
      </w:r>
    </w:p>
    <w:p w14:paraId="096F5B36" w14:textId="77777777" w:rsidR="00473DCA" w:rsidRPr="00CB7CCC" w:rsidRDefault="00473DCA" w:rsidP="00473DCA">
      <w:pPr>
        <w:adjustRightInd w:val="0"/>
        <w:jc w:val="both"/>
        <w:rPr>
          <w:sz w:val="18"/>
          <w:szCs w:val="18"/>
        </w:rPr>
      </w:pPr>
      <w:r w:rsidRPr="00CB7CCC">
        <w:rPr>
          <w:sz w:val="18"/>
          <w:szCs w:val="18"/>
        </w:rPr>
        <w:t xml:space="preserve">The Group had a pre‐tax exceptional </w:t>
      </w:r>
      <w:r>
        <w:rPr>
          <w:sz w:val="18"/>
          <w:szCs w:val="18"/>
        </w:rPr>
        <w:t>gain</w:t>
      </w:r>
      <w:r w:rsidRPr="00CB7CCC">
        <w:rPr>
          <w:sz w:val="18"/>
          <w:szCs w:val="18"/>
        </w:rPr>
        <w:t xml:space="preserve"> of £</w:t>
      </w:r>
      <w:r>
        <w:rPr>
          <w:sz w:val="18"/>
          <w:szCs w:val="18"/>
        </w:rPr>
        <w:t>11.7</w:t>
      </w:r>
      <w:r w:rsidRPr="00CB7CCC">
        <w:rPr>
          <w:sz w:val="18"/>
          <w:szCs w:val="18"/>
        </w:rPr>
        <w:t>m in FY2</w:t>
      </w:r>
      <w:r>
        <w:rPr>
          <w:sz w:val="18"/>
          <w:szCs w:val="18"/>
        </w:rPr>
        <w:t>1</w:t>
      </w:r>
      <w:r w:rsidRPr="00CB7CCC">
        <w:rPr>
          <w:sz w:val="18"/>
          <w:szCs w:val="18"/>
        </w:rPr>
        <w:t xml:space="preserve">, and an after </w:t>
      </w:r>
      <w:r w:rsidRPr="00DF0D39">
        <w:rPr>
          <w:sz w:val="18"/>
          <w:szCs w:val="18"/>
        </w:rPr>
        <w:t>tax gain of £12.1m, comprised as follows:</w:t>
      </w:r>
    </w:p>
    <w:p w14:paraId="100AE9FB" w14:textId="77777777" w:rsidR="00473DCA" w:rsidRPr="00CB7CCC" w:rsidRDefault="00473DCA" w:rsidP="00473DCA">
      <w:pPr>
        <w:adjustRightInd w:val="0"/>
        <w:jc w:val="both"/>
        <w:rPr>
          <w:sz w:val="18"/>
          <w:szCs w:val="18"/>
        </w:rPr>
      </w:pPr>
    </w:p>
    <w:tbl>
      <w:tblPr>
        <w:tblStyle w:val="TableGrid"/>
        <w:tblW w:w="0" w:type="auto"/>
        <w:jc w:val="center"/>
        <w:tblLook w:val="04A0" w:firstRow="1" w:lastRow="0" w:firstColumn="1" w:lastColumn="0" w:noHBand="0" w:noVBand="1"/>
      </w:tblPr>
      <w:tblGrid>
        <w:gridCol w:w="5255"/>
        <w:gridCol w:w="1347"/>
      </w:tblGrid>
      <w:tr w:rsidR="00473DCA" w:rsidRPr="00CB7CCC" w14:paraId="3DC0A90E" w14:textId="77777777" w:rsidTr="008E46B3">
        <w:trPr>
          <w:jc w:val="center"/>
        </w:trPr>
        <w:tc>
          <w:tcPr>
            <w:tcW w:w="5255" w:type="dxa"/>
          </w:tcPr>
          <w:p w14:paraId="0DBF00FA" w14:textId="77777777" w:rsidR="00473DCA" w:rsidRPr="00CB7CCC" w:rsidRDefault="00473DCA" w:rsidP="008E46B3">
            <w:pPr>
              <w:autoSpaceDE w:val="0"/>
              <w:autoSpaceDN w:val="0"/>
              <w:adjustRightInd w:val="0"/>
              <w:rPr>
                <w:b/>
                <w:sz w:val="18"/>
                <w:szCs w:val="18"/>
              </w:rPr>
            </w:pPr>
            <w:r w:rsidRPr="00CB7CCC">
              <w:rPr>
                <w:b/>
                <w:sz w:val="18"/>
                <w:szCs w:val="18"/>
              </w:rPr>
              <w:t>Exceptional Items</w:t>
            </w:r>
          </w:p>
        </w:tc>
        <w:tc>
          <w:tcPr>
            <w:tcW w:w="1347" w:type="dxa"/>
          </w:tcPr>
          <w:p w14:paraId="73953289" w14:textId="77777777" w:rsidR="00473DCA" w:rsidRPr="00CB7CCC" w:rsidRDefault="00473DCA" w:rsidP="008E46B3">
            <w:pPr>
              <w:autoSpaceDE w:val="0"/>
              <w:autoSpaceDN w:val="0"/>
              <w:adjustRightInd w:val="0"/>
              <w:jc w:val="right"/>
              <w:rPr>
                <w:b/>
                <w:sz w:val="18"/>
                <w:szCs w:val="18"/>
              </w:rPr>
            </w:pPr>
            <w:r w:rsidRPr="00CB7CCC">
              <w:rPr>
                <w:b/>
                <w:sz w:val="18"/>
                <w:szCs w:val="18"/>
              </w:rPr>
              <w:t>£m</w:t>
            </w:r>
          </w:p>
        </w:tc>
      </w:tr>
      <w:tr w:rsidR="00473DCA" w:rsidRPr="00CB7CCC" w14:paraId="69BCF555" w14:textId="77777777" w:rsidTr="008E46B3">
        <w:trPr>
          <w:jc w:val="center"/>
        </w:trPr>
        <w:tc>
          <w:tcPr>
            <w:tcW w:w="5255" w:type="dxa"/>
          </w:tcPr>
          <w:p w14:paraId="23225E85" w14:textId="77777777" w:rsidR="00473DCA" w:rsidRPr="003A7C41" w:rsidRDefault="00473DCA" w:rsidP="008E46B3">
            <w:pPr>
              <w:adjustRightInd w:val="0"/>
              <w:rPr>
                <w:sz w:val="18"/>
                <w:szCs w:val="18"/>
              </w:rPr>
            </w:pPr>
            <w:r w:rsidRPr="003A7C41">
              <w:rPr>
                <w:sz w:val="18"/>
                <w:szCs w:val="18"/>
              </w:rPr>
              <w:t>Profit on disposal of Molasses trading businesses</w:t>
            </w:r>
          </w:p>
        </w:tc>
        <w:tc>
          <w:tcPr>
            <w:tcW w:w="1347" w:type="dxa"/>
          </w:tcPr>
          <w:p w14:paraId="7890E563" w14:textId="77777777" w:rsidR="00473DCA" w:rsidRPr="0031491D" w:rsidRDefault="00473DCA" w:rsidP="008E46B3">
            <w:pPr>
              <w:adjustRightInd w:val="0"/>
              <w:jc w:val="right"/>
              <w:rPr>
                <w:sz w:val="18"/>
                <w:szCs w:val="18"/>
                <w:highlight w:val="yellow"/>
              </w:rPr>
            </w:pPr>
            <w:r w:rsidRPr="00E53BD7">
              <w:rPr>
                <w:sz w:val="18"/>
                <w:szCs w:val="18"/>
              </w:rPr>
              <w:t>11.3</w:t>
            </w:r>
          </w:p>
        </w:tc>
      </w:tr>
      <w:tr w:rsidR="00473DCA" w:rsidRPr="00CB7CCC" w14:paraId="5E3CD112" w14:textId="77777777" w:rsidTr="008E46B3">
        <w:trPr>
          <w:jc w:val="center"/>
        </w:trPr>
        <w:tc>
          <w:tcPr>
            <w:tcW w:w="5255" w:type="dxa"/>
          </w:tcPr>
          <w:p w14:paraId="111CAD27" w14:textId="77777777" w:rsidR="00473DCA" w:rsidRPr="003A7C41" w:rsidRDefault="00473DCA" w:rsidP="008E46B3">
            <w:pPr>
              <w:adjustRightInd w:val="0"/>
              <w:rPr>
                <w:b/>
                <w:sz w:val="18"/>
                <w:szCs w:val="18"/>
              </w:rPr>
            </w:pPr>
            <w:r>
              <w:rPr>
                <w:sz w:val="18"/>
                <w:szCs w:val="18"/>
              </w:rPr>
              <w:t>L</w:t>
            </w:r>
            <w:r w:rsidRPr="003A7C41">
              <w:rPr>
                <w:sz w:val="18"/>
                <w:szCs w:val="18"/>
              </w:rPr>
              <w:t xml:space="preserve">egacy defined benefit pension schemes </w:t>
            </w:r>
            <w:r>
              <w:rPr>
                <w:sz w:val="18"/>
                <w:szCs w:val="18"/>
              </w:rPr>
              <w:t>restructuring charge</w:t>
            </w:r>
          </w:p>
        </w:tc>
        <w:tc>
          <w:tcPr>
            <w:tcW w:w="1347" w:type="dxa"/>
          </w:tcPr>
          <w:p w14:paraId="142B5A88" w14:textId="77777777" w:rsidR="00473DCA" w:rsidRPr="00E53BD7" w:rsidRDefault="00473DCA" w:rsidP="008E46B3">
            <w:pPr>
              <w:adjustRightInd w:val="0"/>
              <w:jc w:val="right"/>
              <w:rPr>
                <w:sz w:val="18"/>
                <w:szCs w:val="18"/>
              </w:rPr>
            </w:pPr>
            <w:r w:rsidRPr="00E53BD7">
              <w:rPr>
                <w:sz w:val="18"/>
                <w:szCs w:val="18"/>
              </w:rPr>
              <w:t>(4.0)</w:t>
            </w:r>
          </w:p>
        </w:tc>
      </w:tr>
      <w:tr w:rsidR="00473DCA" w:rsidRPr="00CB7CCC" w14:paraId="6D8E4997" w14:textId="77777777" w:rsidTr="008E46B3">
        <w:trPr>
          <w:jc w:val="center"/>
        </w:trPr>
        <w:tc>
          <w:tcPr>
            <w:tcW w:w="5255" w:type="dxa"/>
          </w:tcPr>
          <w:p w14:paraId="5E2D8C2F" w14:textId="77777777" w:rsidR="00473DCA" w:rsidRPr="003A7C41" w:rsidRDefault="00473DCA" w:rsidP="008E46B3">
            <w:pPr>
              <w:adjustRightInd w:val="0"/>
              <w:rPr>
                <w:sz w:val="18"/>
                <w:szCs w:val="18"/>
              </w:rPr>
            </w:pPr>
            <w:r>
              <w:rPr>
                <w:sz w:val="18"/>
                <w:szCs w:val="18"/>
              </w:rPr>
              <w:t>Non-core property related income</w:t>
            </w:r>
          </w:p>
        </w:tc>
        <w:tc>
          <w:tcPr>
            <w:tcW w:w="1347" w:type="dxa"/>
          </w:tcPr>
          <w:p w14:paraId="1467CF74" w14:textId="77777777" w:rsidR="00473DCA" w:rsidRPr="00E53BD7" w:rsidRDefault="00473DCA" w:rsidP="008E46B3">
            <w:pPr>
              <w:adjustRightInd w:val="0"/>
              <w:jc w:val="right"/>
              <w:rPr>
                <w:sz w:val="18"/>
                <w:szCs w:val="18"/>
              </w:rPr>
            </w:pPr>
            <w:r w:rsidRPr="00E53BD7">
              <w:rPr>
                <w:sz w:val="18"/>
                <w:szCs w:val="18"/>
              </w:rPr>
              <w:t>3.3</w:t>
            </w:r>
          </w:p>
        </w:tc>
      </w:tr>
      <w:tr w:rsidR="00473DCA" w:rsidRPr="00CB7CCC" w14:paraId="0FCD0932" w14:textId="77777777" w:rsidTr="008E46B3">
        <w:trPr>
          <w:jc w:val="center"/>
        </w:trPr>
        <w:tc>
          <w:tcPr>
            <w:tcW w:w="5255" w:type="dxa"/>
          </w:tcPr>
          <w:p w14:paraId="06AA0565" w14:textId="77777777" w:rsidR="00473DCA" w:rsidRPr="003A7C41" w:rsidRDefault="00473DCA" w:rsidP="008E46B3">
            <w:pPr>
              <w:adjustRightInd w:val="0"/>
              <w:rPr>
                <w:sz w:val="18"/>
                <w:szCs w:val="18"/>
              </w:rPr>
            </w:pPr>
            <w:r w:rsidRPr="003A7C41">
              <w:rPr>
                <w:sz w:val="18"/>
                <w:szCs w:val="18"/>
              </w:rPr>
              <w:t>Legacy business provisions</w:t>
            </w:r>
          </w:p>
        </w:tc>
        <w:tc>
          <w:tcPr>
            <w:tcW w:w="1347" w:type="dxa"/>
          </w:tcPr>
          <w:p w14:paraId="439D9795" w14:textId="77777777" w:rsidR="00473DCA" w:rsidRPr="00E53BD7" w:rsidRDefault="00473DCA" w:rsidP="008E46B3">
            <w:pPr>
              <w:adjustRightInd w:val="0"/>
              <w:jc w:val="right"/>
              <w:rPr>
                <w:sz w:val="18"/>
                <w:szCs w:val="18"/>
              </w:rPr>
            </w:pPr>
            <w:r w:rsidRPr="00E53BD7">
              <w:rPr>
                <w:sz w:val="18"/>
                <w:szCs w:val="18"/>
              </w:rPr>
              <w:t>1.1</w:t>
            </w:r>
          </w:p>
        </w:tc>
      </w:tr>
      <w:tr w:rsidR="00473DCA" w:rsidRPr="00CB7CCC" w14:paraId="627D190D" w14:textId="77777777" w:rsidTr="008E46B3">
        <w:trPr>
          <w:jc w:val="center"/>
        </w:trPr>
        <w:tc>
          <w:tcPr>
            <w:tcW w:w="5255" w:type="dxa"/>
          </w:tcPr>
          <w:p w14:paraId="47E68361" w14:textId="77777777" w:rsidR="00473DCA" w:rsidRPr="00CB7CCC" w:rsidRDefault="00473DCA" w:rsidP="008E46B3">
            <w:pPr>
              <w:autoSpaceDE w:val="0"/>
              <w:autoSpaceDN w:val="0"/>
              <w:adjustRightInd w:val="0"/>
              <w:rPr>
                <w:b/>
                <w:sz w:val="18"/>
                <w:szCs w:val="18"/>
              </w:rPr>
            </w:pPr>
            <w:r w:rsidRPr="00CB7CCC">
              <w:rPr>
                <w:b/>
                <w:sz w:val="18"/>
                <w:szCs w:val="18"/>
              </w:rPr>
              <w:t xml:space="preserve">Exceptional items (before tax) </w:t>
            </w:r>
          </w:p>
        </w:tc>
        <w:tc>
          <w:tcPr>
            <w:tcW w:w="1347" w:type="dxa"/>
            <w:shd w:val="clear" w:color="auto" w:fill="auto"/>
          </w:tcPr>
          <w:p w14:paraId="714AED43" w14:textId="77777777" w:rsidR="00473DCA" w:rsidRPr="00CB7CCC" w:rsidRDefault="00473DCA" w:rsidP="008E46B3">
            <w:pPr>
              <w:autoSpaceDE w:val="0"/>
              <w:autoSpaceDN w:val="0"/>
              <w:adjustRightInd w:val="0"/>
              <w:jc w:val="right"/>
              <w:rPr>
                <w:b/>
                <w:sz w:val="18"/>
                <w:szCs w:val="18"/>
              </w:rPr>
            </w:pPr>
            <w:r>
              <w:rPr>
                <w:b/>
                <w:sz w:val="18"/>
                <w:szCs w:val="18"/>
              </w:rPr>
              <w:t>11.7</w:t>
            </w:r>
          </w:p>
        </w:tc>
      </w:tr>
      <w:tr w:rsidR="00473DCA" w:rsidRPr="00CB7CCC" w14:paraId="767F12F7" w14:textId="77777777" w:rsidTr="008E46B3">
        <w:trPr>
          <w:jc w:val="center"/>
        </w:trPr>
        <w:tc>
          <w:tcPr>
            <w:tcW w:w="5255" w:type="dxa"/>
          </w:tcPr>
          <w:p w14:paraId="7436EF58" w14:textId="77777777" w:rsidR="00473DCA" w:rsidRPr="00CB7CCC" w:rsidRDefault="00473DCA" w:rsidP="008E46B3">
            <w:pPr>
              <w:autoSpaceDE w:val="0"/>
              <w:autoSpaceDN w:val="0"/>
              <w:adjustRightInd w:val="0"/>
              <w:rPr>
                <w:sz w:val="18"/>
                <w:szCs w:val="18"/>
              </w:rPr>
            </w:pPr>
            <w:r w:rsidRPr="00CB7CCC">
              <w:rPr>
                <w:sz w:val="18"/>
                <w:szCs w:val="18"/>
              </w:rPr>
              <w:t xml:space="preserve">Tax on exceptional items </w:t>
            </w:r>
          </w:p>
        </w:tc>
        <w:tc>
          <w:tcPr>
            <w:tcW w:w="1347" w:type="dxa"/>
            <w:shd w:val="clear" w:color="auto" w:fill="auto"/>
          </w:tcPr>
          <w:p w14:paraId="7A890B2F" w14:textId="77777777" w:rsidR="00473DCA" w:rsidRPr="00CB7CCC" w:rsidRDefault="00473DCA" w:rsidP="008E46B3">
            <w:pPr>
              <w:autoSpaceDE w:val="0"/>
              <w:autoSpaceDN w:val="0"/>
              <w:adjustRightInd w:val="0"/>
              <w:jc w:val="right"/>
              <w:rPr>
                <w:sz w:val="18"/>
                <w:szCs w:val="18"/>
              </w:rPr>
            </w:pPr>
            <w:r>
              <w:rPr>
                <w:sz w:val="18"/>
                <w:szCs w:val="18"/>
              </w:rPr>
              <w:t>0.4</w:t>
            </w:r>
          </w:p>
        </w:tc>
      </w:tr>
      <w:tr w:rsidR="00473DCA" w:rsidRPr="00CB7CCC" w14:paraId="20128845" w14:textId="77777777" w:rsidTr="008E46B3">
        <w:trPr>
          <w:jc w:val="center"/>
        </w:trPr>
        <w:tc>
          <w:tcPr>
            <w:tcW w:w="5255" w:type="dxa"/>
          </w:tcPr>
          <w:p w14:paraId="0407888B" w14:textId="77777777" w:rsidR="00473DCA" w:rsidRPr="00CB7CCC" w:rsidRDefault="00473DCA" w:rsidP="008E46B3">
            <w:pPr>
              <w:autoSpaceDE w:val="0"/>
              <w:autoSpaceDN w:val="0"/>
              <w:adjustRightInd w:val="0"/>
              <w:rPr>
                <w:b/>
                <w:sz w:val="18"/>
                <w:szCs w:val="18"/>
              </w:rPr>
            </w:pPr>
            <w:r w:rsidRPr="00CB7CCC">
              <w:rPr>
                <w:b/>
                <w:sz w:val="18"/>
                <w:szCs w:val="18"/>
              </w:rPr>
              <w:t xml:space="preserve">Exceptional items (after tax) </w:t>
            </w:r>
          </w:p>
        </w:tc>
        <w:tc>
          <w:tcPr>
            <w:tcW w:w="1347" w:type="dxa"/>
            <w:shd w:val="clear" w:color="auto" w:fill="auto"/>
          </w:tcPr>
          <w:p w14:paraId="300DE4E2" w14:textId="77777777" w:rsidR="00473DCA" w:rsidRPr="00CB7CCC" w:rsidRDefault="00473DCA" w:rsidP="008E46B3">
            <w:pPr>
              <w:autoSpaceDE w:val="0"/>
              <w:autoSpaceDN w:val="0"/>
              <w:adjustRightInd w:val="0"/>
              <w:jc w:val="right"/>
              <w:rPr>
                <w:b/>
                <w:sz w:val="18"/>
                <w:szCs w:val="18"/>
              </w:rPr>
            </w:pPr>
            <w:r>
              <w:rPr>
                <w:b/>
                <w:sz w:val="18"/>
                <w:szCs w:val="18"/>
              </w:rPr>
              <w:t>12.1</w:t>
            </w:r>
          </w:p>
        </w:tc>
      </w:tr>
    </w:tbl>
    <w:p w14:paraId="6FE75CC4" w14:textId="77777777" w:rsidR="009B1C1E" w:rsidRDefault="009B1C1E" w:rsidP="00473DCA">
      <w:pPr>
        <w:pStyle w:val="Default"/>
        <w:spacing w:after="120"/>
        <w:jc w:val="both"/>
        <w:rPr>
          <w:rFonts w:asciiTheme="minorHAnsi" w:hAnsiTheme="minorHAnsi" w:cs="Arial"/>
          <w:b/>
          <w:bCs/>
          <w:sz w:val="18"/>
          <w:szCs w:val="18"/>
          <w:lang w:val="en-GB"/>
        </w:rPr>
      </w:pPr>
    </w:p>
    <w:p w14:paraId="380A1574" w14:textId="77777777" w:rsidR="00473DCA" w:rsidRPr="00CB7CCC" w:rsidRDefault="00473DCA" w:rsidP="00473DCA">
      <w:pPr>
        <w:pStyle w:val="Default"/>
        <w:spacing w:after="120"/>
        <w:jc w:val="both"/>
        <w:rPr>
          <w:rFonts w:asciiTheme="minorHAnsi" w:hAnsiTheme="minorHAnsi" w:cs="Arial"/>
          <w:sz w:val="18"/>
          <w:szCs w:val="18"/>
          <w:lang w:val="en-GB"/>
        </w:rPr>
      </w:pPr>
      <w:r w:rsidRPr="00CB7CCC">
        <w:rPr>
          <w:rFonts w:asciiTheme="minorHAnsi" w:hAnsiTheme="minorHAnsi" w:cs="Arial"/>
          <w:b/>
          <w:bCs/>
          <w:sz w:val="18"/>
          <w:szCs w:val="18"/>
          <w:lang w:val="en-GB"/>
        </w:rPr>
        <w:t xml:space="preserve">Earnings per share </w:t>
      </w:r>
    </w:p>
    <w:p w14:paraId="75E5E55F" w14:textId="77777777" w:rsidR="00473DCA" w:rsidRPr="00CB7CCC" w:rsidRDefault="00473DCA" w:rsidP="00473DCA">
      <w:pPr>
        <w:adjustRightInd w:val="0"/>
        <w:jc w:val="both"/>
        <w:rPr>
          <w:sz w:val="18"/>
          <w:szCs w:val="18"/>
        </w:rPr>
      </w:pPr>
      <w:r w:rsidRPr="00CB7CCC">
        <w:rPr>
          <w:sz w:val="18"/>
          <w:szCs w:val="18"/>
        </w:rPr>
        <w:t xml:space="preserve">The Group’s basic </w:t>
      </w:r>
      <w:r>
        <w:rPr>
          <w:sz w:val="18"/>
          <w:szCs w:val="18"/>
        </w:rPr>
        <w:t xml:space="preserve">earnings </w:t>
      </w:r>
      <w:r w:rsidRPr="00CB7CCC">
        <w:rPr>
          <w:sz w:val="18"/>
          <w:szCs w:val="18"/>
        </w:rPr>
        <w:t xml:space="preserve">per share for </w:t>
      </w:r>
      <w:r>
        <w:rPr>
          <w:sz w:val="18"/>
          <w:szCs w:val="18"/>
        </w:rPr>
        <w:t xml:space="preserve">FY21 </w:t>
      </w:r>
      <w:r w:rsidRPr="00CB7CCC">
        <w:rPr>
          <w:sz w:val="18"/>
          <w:szCs w:val="18"/>
        </w:rPr>
        <w:t xml:space="preserve">was </w:t>
      </w:r>
      <w:r>
        <w:rPr>
          <w:sz w:val="18"/>
          <w:szCs w:val="18"/>
        </w:rPr>
        <w:t>5.0</w:t>
      </w:r>
      <w:r w:rsidRPr="00CB7CCC">
        <w:rPr>
          <w:sz w:val="18"/>
          <w:szCs w:val="18"/>
        </w:rPr>
        <w:t xml:space="preserve"> pence compared to basic </w:t>
      </w:r>
      <w:r>
        <w:rPr>
          <w:sz w:val="18"/>
          <w:szCs w:val="18"/>
        </w:rPr>
        <w:t>loss</w:t>
      </w:r>
      <w:r w:rsidRPr="00CB7CCC">
        <w:rPr>
          <w:sz w:val="18"/>
          <w:szCs w:val="18"/>
        </w:rPr>
        <w:t xml:space="preserve"> per share in FY</w:t>
      </w:r>
      <w:r>
        <w:rPr>
          <w:sz w:val="18"/>
          <w:szCs w:val="18"/>
        </w:rPr>
        <w:t>20</w:t>
      </w:r>
      <w:r w:rsidRPr="00CB7CCC">
        <w:rPr>
          <w:sz w:val="18"/>
          <w:szCs w:val="18"/>
        </w:rPr>
        <w:t xml:space="preserve"> of </w:t>
      </w:r>
      <w:r>
        <w:rPr>
          <w:sz w:val="18"/>
          <w:szCs w:val="18"/>
        </w:rPr>
        <w:t>2.6</w:t>
      </w:r>
      <w:r w:rsidRPr="00CB7CCC">
        <w:rPr>
          <w:sz w:val="18"/>
          <w:szCs w:val="18"/>
        </w:rPr>
        <w:t xml:space="preserve"> pence. This was driven by a £</w:t>
      </w:r>
      <w:r>
        <w:rPr>
          <w:rFonts w:cs="Arial"/>
          <w:sz w:val="18"/>
          <w:szCs w:val="18"/>
        </w:rPr>
        <w:t>36.9</w:t>
      </w:r>
      <w:r w:rsidRPr="00CB7CCC">
        <w:rPr>
          <w:sz w:val="18"/>
          <w:szCs w:val="18"/>
        </w:rPr>
        <w:t xml:space="preserve">m </w:t>
      </w:r>
      <w:r>
        <w:rPr>
          <w:sz w:val="18"/>
          <w:szCs w:val="18"/>
        </w:rPr>
        <w:t xml:space="preserve">increase </w:t>
      </w:r>
      <w:r w:rsidRPr="00CB7CCC">
        <w:rPr>
          <w:sz w:val="18"/>
          <w:szCs w:val="18"/>
        </w:rPr>
        <w:t>in Earnings</w:t>
      </w:r>
      <w:r>
        <w:rPr>
          <w:sz w:val="18"/>
          <w:szCs w:val="18"/>
        </w:rPr>
        <w:t xml:space="preserve"> in FY21, partially offset by an increase in the </w:t>
      </w:r>
      <w:r w:rsidRPr="00CB7CCC">
        <w:rPr>
          <w:sz w:val="18"/>
          <w:szCs w:val="18"/>
        </w:rPr>
        <w:t>weighted average number of shares in issue in FY2</w:t>
      </w:r>
      <w:r>
        <w:rPr>
          <w:sz w:val="18"/>
          <w:szCs w:val="18"/>
        </w:rPr>
        <w:t>1</w:t>
      </w:r>
      <w:r w:rsidRPr="00CB7CCC">
        <w:rPr>
          <w:sz w:val="18"/>
          <w:szCs w:val="18"/>
        </w:rPr>
        <w:t xml:space="preserve"> </w:t>
      </w:r>
      <w:r>
        <w:rPr>
          <w:sz w:val="18"/>
          <w:szCs w:val="18"/>
        </w:rPr>
        <w:t>to 511.8</w:t>
      </w:r>
      <w:r w:rsidRPr="00CB7CCC">
        <w:rPr>
          <w:sz w:val="18"/>
          <w:szCs w:val="18"/>
        </w:rPr>
        <w:t>m (FY</w:t>
      </w:r>
      <w:r>
        <w:rPr>
          <w:sz w:val="18"/>
          <w:szCs w:val="18"/>
        </w:rPr>
        <w:t>20</w:t>
      </w:r>
      <w:r w:rsidRPr="00CB7CCC">
        <w:rPr>
          <w:sz w:val="18"/>
          <w:szCs w:val="18"/>
        </w:rPr>
        <w:t xml:space="preserve">: </w:t>
      </w:r>
      <w:r>
        <w:rPr>
          <w:sz w:val="18"/>
          <w:szCs w:val="18"/>
        </w:rPr>
        <w:t>443.9</w:t>
      </w:r>
      <w:r w:rsidRPr="00CB7CCC">
        <w:rPr>
          <w:sz w:val="18"/>
          <w:szCs w:val="18"/>
        </w:rPr>
        <w:t>m).</w:t>
      </w:r>
    </w:p>
    <w:p w14:paraId="0F9D6361" w14:textId="77777777" w:rsidR="00473DCA" w:rsidRPr="00CB7CCC" w:rsidRDefault="00473DCA" w:rsidP="00473DCA">
      <w:pPr>
        <w:adjustRightInd w:val="0"/>
        <w:jc w:val="both"/>
        <w:rPr>
          <w:sz w:val="18"/>
          <w:szCs w:val="18"/>
        </w:rPr>
      </w:pPr>
    </w:p>
    <w:p w14:paraId="23FA2914" w14:textId="77777777" w:rsidR="00473DCA" w:rsidRPr="00CB7CCC" w:rsidRDefault="00473DCA" w:rsidP="00473DCA">
      <w:pPr>
        <w:adjustRightInd w:val="0"/>
        <w:jc w:val="both"/>
        <w:rPr>
          <w:sz w:val="18"/>
          <w:szCs w:val="18"/>
        </w:rPr>
      </w:pPr>
      <w:r w:rsidRPr="00CB7CCC">
        <w:rPr>
          <w:sz w:val="18"/>
          <w:szCs w:val="18"/>
        </w:rPr>
        <w:t xml:space="preserve">Adjusted Earnings were </w:t>
      </w:r>
      <w:r w:rsidRPr="00CB7CCC">
        <w:rPr>
          <w:rFonts w:cs="Arial"/>
          <w:sz w:val="18"/>
          <w:szCs w:val="18"/>
        </w:rPr>
        <w:t>£</w:t>
      </w:r>
      <w:r>
        <w:rPr>
          <w:rFonts w:cs="Arial"/>
          <w:sz w:val="18"/>
          <w:szCs w:val="18"/>
        </w:rPr>
        <w:t>18.8</w:t>
      </w:r>
      <w:r w:rsidRPr="00CB7CCC">
        <w:rPr>
          <w:rFonts w:cs="Arial"/>
          <w:sz w:val="18"/>
          <w:szCs w:val="18"/>
        </w:rPr>
        <w:t>m</w:t>
      </w:r>
      <w:r w:rsidRPr="00CB7CCC">
        <w:rPr>
          <w:sz w:val="18"/>
          <w:szCs w:val="18"/>
        </w:rPr>
        <w:t xml:space="preserve"> in the period, £</w:t>
      </w:r>
      <w:r>
        <w:rPr>
          <w:sz w:val="18"/>
          <w:szCs w:val="18"/>
        </w:rPr>
        <w:t>5.8</w:t>
      </w:r>
      <w:r w:rsidRPr="00CB7CCC">
        <w:rPr>
          <w:sz w:val="18"/>
          <w:szCs w:val="18"/>
        </w:rPr>
        <w:t xml:space="preserve">m </w:t>
      </w:r>
      <w:r>
        <w:rPr>
          <w:sz w:val="18"/>
          <w:szCs w:val="18"/>
        </w:rPr>
        <w:t xml:space="preserve">ahead of </w:t>
      </w:r>
      <w:r w:rsidRPr="00CB7CCC">
        <w:rPr>
          <w:sz w:val="18"/>
          <w:szCs w:val="18"/>
        </w:rPr>
        <w:t>prior year levels largely due to a</w:t>
      </w:r>
      <w:r>
        <w:rPr>
          <w:sz w:val="18"/>
          <w:szCs w:val="18"/>
        </w:rPr>
        <w:t>n</w:t>
      </w:r>
      <w:r w:rsidRPr="00CB7CCC">
        <w:rPr>
          <w:sz w:val="18"/>
          <w:szCs w:val="18"/>
        </w:rPr>
        <w:t xml:space="preserve"> </w:t>
      </w:r>
      <w:r>
        <w:rPr>
          <w:sz w:val="18"/>
          <w:szCs w:val="18"/>
        </w:rPr>
        <w:t xml:space="preserve">increase </w:t>
      </w:r>
      <w:r w:rsidRPr="00CB7CCC">
        <w:rPr>
          <w:sz w:val="18"/>
          <w:szCs w:val="18"/>
        </w:rPr>
        <w:t xml:space="preserve">in Adjusted Operating Profit. Adjusted earnings per share of </w:t>
      </w:r>
      <w:r>
        <w:rPr>
          <w:sz w:val="18"/>
          <w:szCs w:val="18"/>
        </w:rPr>
        <w:t>3.7</w:t>
      </w:r>
      <w:r w:rsidRPr="00CB7CCC">
        <w:rPr>
          <w:sz w:val="18"/>
          <w:szCs w:val="18"/>
        </w:rPr>
        <w:t xml:space="preserve"> pence was </w:t>
      </w:r>
      <w:r>
        <w:rPr>
          <w:sz w:val="18"/>
          <w:szCs w:val="18"/>
        </w:rPr>
        <w:t>27.6</w:t>
      </w:r>
      <w:r w:rsidRPr="00CB7CCC">
        <w:rPr>
          <w:sz w:val="18"/>
          <w:szCs w:val="18"/>
        </w:rPr>
        <w:t xml:space="preserve">% </w:t>
      </w:r>
      <w:r>
        <w:rPr>
          <w:sz w:val="18"/>
          <w:szCs w:val="18"/>
        </w:rPr>
        <w:t xml:space="preserve">ahead of </w:t>
      </w:r>
      <w:r w:rsidRPr="00CB7CCC">
        <w:rPr>
          <w:sz w:val="18"/>
          <w:szCs w:val="18"/>
        </w:rPr>
        <w:t>FY</w:t>
      </w:r>
      <w:r>
        <w:rPr>
          <w:sz w:val="18"/>
          <w:szCs w:val="18"/>
        </w:rPr>
        <w:t>20 levels</w:t>
      </w:r>
      <w:r w:rsidRPr="00CB7CCC">
        <w:rPr>
          <w:sz w:val="18"/>
          <w:szCs w:val="18"/>
        </w:rPr>
        <w:t xml:space="preserve">. </w:t>
      </w:r>
    </w:p>
    <w:p w14:paraId="4F069784" w14:textId="77777777" w:rsidR="00473DCA" w:rsidRPr="00CB7CCC" w:rsidRDefault="00473DCA" w:rsidP="00473DCA">
      <w:pPr>
        <w:adjustRightInd w:val="0"/>
        <w:jc w:val="both"/>
        <w:rPr>
          <w:sz w:val="18"/>
          <w:szCs w:val="18"/>
        </w:rPr>
      </w:pPr>
    </w:p>
    <w:p w14:paraId="4AEF8615" w14:textId="77777777" w:rsidR="00473DCA" w:rsidRPr="00CB7CCC" w:rsidRDefault="00473DCA" w:rsidP="00473DCA">
      <w:pPr>
        <w:pStyle w:val="Default"/>
        <w:spacing w:after="120"/>
        <w:jc w:val="both"/>
        <w:rPr>
          <w:rFonts w:asciiTheme="minorHAnsi" w:hAnsiTheme="minorHAnsi" w:cs="Arial"/>
          <w:b/>
          <w:bCs/>
          <w:sz w:val="18"/>
          <w:szCs w:val="18"/>
          <w:lang w:val="en-GB"/>
        </w:rPr>
      </w:pPr>
      <w:r w:rsidRPr="00CB7CCC">
        <w:rPr>
          <w:rFonts w:asciiTheme="minorHAnsi" w:hAnsiTheme="minorHAnsi" w:cs="Arial"/>
          <w:b/>
          <w:bCs/>
          <w:sz w:val="18"/>
          <w:szCs w:val="18"/>
          <w:lang w:val="en-GB"/>
        </w:rPr>
        <w:t>Cash Flow and Net Debt</w:t>
      </w:r>
    </w:p>
    <w:p w14:paraId="61F7B961" w14:textId="77777777" w:rsidR="00473DCA" w:rsidRPr="00CB7CCC" w:rsidRDefault="00473DCA" w:rsidP="00473DCA">
      <w:pPr>
        <w:adjustRightInd w:val="0"/>
        <w:jc w:val="both"/>
        <w:rPr>
          <w:sz w:val="18"/>
          <w:szCs w:val="18"/>
        </w:rPr>
      </w:pPr>
      <w:r w:rsidRPr="00CB7CCC">
        <w:rPr>
          <w:sz w:val="18"/>
          <w:szCs w:val="18"/>
        </w:rPr>
        <w:t>Adjusted EBITDA was £</w:t>
      </w:r>
      <w:r>
        <w:rPr>
          <w:sz w:val="18"/>
          <w:szCs w:val="18"/>
        </w:rPr>
        <w:t>7.3</w:t>
      </w:r>
      <w:r w:rsidRPr="00CB7CCC">
        <w:rPr>
          <w:sz w:val="18"/>
          <w:szCs w:val="18"/>
        </w:rPr>
        <w:t xml:space="preserve">m </w:t>
      </w:r>
      <w:r>
        <w:rPr>
          <w:sz w:val="18"/>
          <w:szCs w:val="18"/>
        </w:rPr>
        <w:t xml:space="preserve">higher </w:t>
      </w:r>
      <w:r w:rsidRPr="00CB7CCC">
        <w:rPr>
          <w:sz w:val="18"/>
          <w:szCs w:val="18"/>
        </w:rPr>
        <w:t>in FY2</w:t>
      </w:r>
      <w:r>
        <w:rPr>
          <w:sz w:val="18"/>
          <w:szCs w:val="18"/>
        </w:rPr>
        <w:t>1</w:t>
      </w:r>
      <w:r w:rsidRPr="00CB7CCC">
        <w:rPr>
          <w:sz w:val="18"/>
          <w:szCs w:val="18"/>
        </w:rPr>
        <w:t xml:space="preserve"> at £</w:t>
      </w:r>
      <w:r>
        <w:rPr>
          <w:sz w:val="18"/>
          <w:szCs w:val="18"/>
        </w:rPr>
        <w:t>92.3</w:t>
      </w:r>
      <w:r w:rsidRPr="00CB7CCC">
        <w:rPr>
          <w:sz w:val="18"/>
          <w:szCs w:val="18"/>
        </w:rPr>
        <w:t xml:space="preserve">m. The Group incurred a net working capital </w:t>
      </w:r>
      <w:r>
        <w:rPr>
          <w:sz w:val="18"/>
          <w:szCs w:val="18"/>
        </w:rPr>
        <w:t xml:space="preserve">inflow </w:t>
      </w:r>
      <w:r w:rsidRPr="00CB7CCC">
        <w:rPr>
          <w:sz w:val="18"/>
          <w:szCs w:val="18"/>
        </w:rPr>
        <w:t>of £</w:t>
      </w:r>
      <w:r>
        <w:rPr>
          <w:sz w:val="18"/>
          <w:szCs w:val="18"/>
        </w:rPr>
        <w:t>33.2</w:t>
      </w:r>
      <w:r w:rsidRPr="00CB7CCC">
        <w:rPr>
          <w:sz w:val="18"/>
          <w:szCs w:val="18"/>
        </w:rPr>
        <w:t>m. Maintenance capital expenditure of £</w:t>
      </w:r>
      <w:r>
        <w:rPr>
          <w:sz w:val="18"/>
          <w:szCs w:val="18"/>
        </w:rPr>
        <w:t>16.2</w:t>
      </w:r>
      <w:r w:rsidRPr="00CB7CCC">
        <w:rPr>
          <w:sz w:val="18"/>
          <w:szCs w:val="18"/>
        </w:rPr>
        <w:t>m was incurred in the period (FY</w:t>
      </w:r>
      <w:r>
        <w:rPr>
          <w:sz w:val="18"/>
          <w:szCs w:val="18"/>
        </w:rPr>
        <w:t>20</w:t>
      </w:r>
      <w:r w:rsidRPr="00CB7CCC">
        <w:rPr>
          <w:sz w:val="18"/>
          <w:szCs w:val="18"/>
        </w:rPr>
        <w:t>: £</w:t>
      </w:r>
      <w:r>
        <w:rPr>
          <w:sz w:val="18"/>
          <w:szCs w:val="18"/>
        </w:rPr>
        <w:t>18.9</w:t>
      </w:r>
      <w:r w:rsidRPr="00CB7CCC">
        <w:rPr>
          <w:sz w:val="18"/>
          <w:szCs w:val="18"/>
        </w:rPr>
        <w:t>m). The cash outflow in respect of exceptional charges was £</w:t>
      </w:r>
      <w:r>
        <w:rPr>
          <w:sz w:val="18"/>
          <w:szCs w:val="18"/>
        </w:rPr>
        <w:t>3.3</w:t>
      </w:r>
      <w:r w:rsidRPr="00CB7CCC">
        <w:rPr>
          <w:sz w:val="18"/>
          <w:szCs w:val="18"/>
        </w:rPr>
        <w:t>m (FY</w:t>
      </w:r>
      <w:r>
        <w:rPr>
          <w:sz w:val="18"/>
          <w:szCs w:val="18"/>
        </w:rPr>
        <w:t>20</w:t>
      </w:r>
      <w:r w:rsidRPr="00CB7CCC">
        <w:rPr>
          <w:sz w:val="18"/>
          <w:szCs w:val="18"/>
        </w:rPr>
        <w:t>: £</w:t>
      </w:r>
      <w:r>
        <w:rPr>
          <w:sz w:val="18"/>
          <w:szCs w:val="18"/>
        </w:rPr>
        <w:t>10.1</w:t>
      </w:r>
      <w:r w:rsidRPr="00CB7CCC">
        <w:rPr>
          <w:sz w:val="18"/>
          <w:szCs w:val="18"/>
        </w:rPr>
        <w:t>m), of which £</w:t>
      </w:r>
      <w:r>
        <w:rPr>
          <w:sz w:val="18"/>
          <w:szCs w:val="18"/>
        </w:rPr>
        <w:t>2.9</w:t>
      </w:r>
      <w:r w:rsidRPr="00CB7CCC">
        <w:rPr>
          <w:sz w:val="18"/>
          <w:szCs w:val="18"/>
        </w:rPr>
        <w:t>m related to prior year exceptional charges.</w:t>
      </w:r>
    </w:p>
    <w:p w14:paraId="65D72F2F" w14:textId="77777777" w:rsidR="002E2086" w:rsidRDefault="002E2086" w:rsidP="00473DCA">
      <w:pPr>
        <w:adjustRightInd w:val="0"/>
        <w:jc w:val="both"/>
        <w:rPr>
          <w:sz w:val="18"/>
          <w:szCs w:val="18"/>
        </w:rPr>
      </w:pPr>
    </w:p>
    <w:p w14:paraId="4A1F3B39" w14:textId="254F93C2" w:rsidR="00473DCA" w:rsidRPr="00CB7CCC" w:rsidRDefault="009B1C1E" w:rsidP="00473DCA">
      <w:pPr>
        <w:adjustRightInd w:val="0"/>
        <w:jc w:val="both"/>
        <w:rPr>
          <w:sz w:val="18"/>
          <w:szCs w:val="18"/>
        </w:rPr>
      </w:pPr>
      <w:r>
        <w:rPr>
          <w:sz w:val="18"/>
          <w:szCs w:val="18"/>
        </w:rPr>
        <w:t>I</w:t>
      </w:r>
      <w:r w:rsidR="00473DCA" w:rsidRPr="00CB7CCC">
        <w:rPr>
          <w:sz w:val="18"/>
          <w:szCs w:val="18"/>
        </w:rPr>
        <w:t>nterest paid in the period was £</w:t>
      </w:r>
      <w:r w:rsidR="00473DCA">
        <w:rPr>
          <w:sz w:val="18"/>
          <w:szCs w:val="18"/>
        </w:rPr>
        <w:t>18.8</w:t>
      </w:r>
      <w:r w:rsidR="00473DCA" w:rsidRPr="00CB7CCC">
        <w:rPr>
          <w:sz w:val="18"/>
          <w:szCs w:val="18"/>
        </w:rPr>
        <w:t>m</w:t>
      </w:r>
      <w:r w:rsidR="001848F1">
        <w:rPr>
          <w:sz w:val="18"/>
          <w:szCs w:val="18"/>
        </w:rPr>
        <w:t xml:space="preserve"> </w:t>
      </w:r>
      <w:r w:rsidR="001848F1" w:rsidRPr="00CB7CCC">
        <w:rPr>
          <w:sz w:val="18"/>
          <w:szCs w:val="18"/>
        </w:rPr>
        <w:t>(FY</w:t>
      </w:r>
      <w:r w:rsidR="001848F1">
        <w:rPr>
          <w:sz w:val="18"/>
          <w:szCs w:val="18"/>
        </w:rPr>
        <w:t>20</w:t>
      </w:r>
      <w:r w:rsidR="001848F1" w:rsidRPr="00CB7CCC">
        <w:rPr>
          <w:sz w:val="18"/>
          <w:szCs w:val="18"/>
        </w:rPr>
        <w:t>: £1</w:t>
      </w:r>
      <w:r w:rsidR="001848F1">
        <w:rPr>
          <w:sz w:val="18"/>
          <w:szCs w:val="18"/>
        </w:rPr>
        <w:t>4.3</w:t>
      </w:r>
      <w:r w:rsidR="001848F1" w:rsidRPr="00CB7CCC">
        <w:rPr>
          <w:sz w:val="18"/>
          <w:szCs w:val="18"/>
        </w:rPr>
        <w:t>m)</w:t>
      </w:r>
      <w:r w:rsidR="00473DCA" w:rsidRPr="00CB7CCC">
        <w:rPr>
          <w:sz w:val="18"/>
          <w:szCs w:val="18"/>
        </w:rPr>
        <w:t xml:space="preserve">, including interest </w:t>
      </w:r>
      <w:r w:rsidR="001848F1">
        <w:rPr>
          <w:sz w:val="18"/>
          <w:szCs w:val="18"/>
        </w:rPr>
        <w:t xml:space="preserve">of £1.3m </w:t>
      </w:r>
      <w:r w:rsidR="00473DCA" w:rsidRPr="00CB7CCC">
        <w:rPr>
          <w:sz w:val="18"/>
          <w:szCs w:val="18"/>
        </w:rPr>
        <w:t>on lease liabilities, a</w:t>
      </w:r>
      <w:r w:rsidR="00473DCA">
        <w:rPr>
          <w:sz w:val="18"/>
          <w:szCs w:val="18"/>
        </w:rPr>
        <w:t>n</w:t>
      </w:r>
      <w:r w:rsidR="00473DCA" w:rsidRPr="00CB7CCC">
        <w:rPr>
          <w:sz w:val="18"/>
          <w:szCs w:val="18"/>
        </w:rPr>
        <w:t xml:space="preserve"> </w:t>
      </w:r>
      <w:r w:rsidR="00473DCA">
        <w:rPr>
          <w:sz w:val="18"/>
          <w:szCs w:val="18"/>
        </w:rPr>
        <w:t xml:space="preserve">increase </w:t>
      </w:r>
      <w:r w:rsidR="00473DCA" w:rsidRPr="00CB7CCC">
        <w:rPr>
          <w:sz w:val="18"/>
          <w:szCs w:val="18"/>
        </w:rPr>
        <w:t>on FY</w:t>
      </w:r>
      <w:r w:rsidR="00473DCA">
        <w:rPr>
          <w:sz w:val="18"/>
          <w:szCs w:val="18"/>
        </w:rPr>
        <w:t>20</w:t>
      </w:r>
      <w:r w:rsidR="00473DCA" w:rsidRPr="00CB7CCC">
        <w:rPr>
          <w:sz w:val="18"/>
          <w:szCs w:val="18"/>
        </w:rPr>
        <w:t xml:space="preserve"> primarily reflecting the impact of </w:t>
      </w:r>
      <w:r w:rsidR="00473DCA">
        <w:rPr>
          <w:sz w:val="18"/>
          <w:szCs w:val="18"/>
        </w:rPr>
        <w:t>higher debt costs associated with higher leverage during the year</w:t>
      </w:r>
      <w:r w:rsidR="00473DCA" w:rsidRPr="00CB7CCC">
        <w:rPr>
          <w:sz w:val="18"/>
          <w:szCs w:val="18"/>
        </w:rPr>
        <w:t xml:space="preserve">. Cash tax </w:t>
      </w:r>
      <w:r w:rsidR="00473DCA">
        <w:rPr>
          <w:sz w:val="18"/>
          <w:szCs w:val="18"/>
        </w:rPr>
        <w:t xml:space="preserve">fell </w:t>
      </w:r>
      <w:r w:rsidR="00473DCA" w:rsidRPr="00CB7CCC">
        <w:rPr>
          <w:sz w:val="18"/>
          <w:szCs w:val="18"/>
        </w:rPr>
        <w:t>by £</w:t>
      </w:r>
      <w:r w:rsidR="00473DCA">
        <w:rPr>
          <w:sz w:val="18"/>
          <w:szCs w:val="18"/>
        </w:rPr>
        <w:t>4.4</w:t>
      </w:r>
      <w:r w:rsidR="00473DCA" w:rsidRPr="00CB7CCC">
        <w:rPr>
          <w:sz w:val="18"/>
          <w:szCs w:val="18"/>
        </w:rPr>
        <w:t>m to £</w:t>
      </w:r>
      <w:r w:rsidR="00473DCA">
        <w:rPr>
          <w:sz w:val="18"/>
          <w:szCs w:val="18"/>
        </w:rPr>
        <w:t>0.2</w:t>
      </w:r>
      <w:r w:rsidR="00473DCA" w:rsidRPr="00CB7CCC">
        <w:rPr>
          <w:sz w:val="18"/>
          <w:szCs w:val="18"/>
        </w:rPr>
        <w:t xml:space="preserve">m </w:t>
      </w:r>
      <w:r w:rsidR="00473DCA">
        <w:rPr>
          <w:sz w:val="18"/>
          <w:szCs w:val="18"/>
        </w:rPr>
        <w:t xml:space="preserve">reflecting a higher FY20 charge relating to </w:t>
      </w:r>
      <w:r w:rsidR="00473DCA" w:rsidRPr="00CB7CCC">
        <w:rPr>
          <w:sz w:val="18"/>
          <w:szCs w:val="18"/>
        </w:rPr>
        <w:t>a one-off change in rules for the timing of UK corporation tax payments impacting FY20. The cash tax rate for the Group is expected to rise towards the Group’s effective rate in the medium term as a result of increased profitability and a reduction in the degree to which UK losses may be utilised in any one year.</w:t>
      </w:r>
      <w:r w:rsidR="00473DCA">
        <w:rPr>
          <w:sz w:val="18"/>
          <w:szCs w:val="18"/>
        </w:rPr>
        <w:t xml:space="preserve"> Cash repayments on lease liabilities increased to £14.3m (FY20: £11.2m). </w:t>
      </w:r>
      <w:r w:rsidR="00473DCA" w:rsidRPr="00CB7CCC">
        <w:rPr>
          <w:sz w:val="18"/>
          <w:szCs w:val="18"/>
        </w:rPr>
        <w:t>The Group’s cash funding for defined benefit pension schemes was £</w:t>
      </w:r>
      <w:r w:rsidR="00473DCA">
        <w:rPr>
          <w:sz w:val="18"/>
          <w:szCs w:val="18"/>
        </w:rPr>
        <w:t>7.0</w:t>
      </w:r>
      <w:r w:rsidR="00473DCA" w:rsidRPr="00CB7CCC">
        <w:rPr>
          <w:sz w:val="18"/>
          <w:szCs w:val="18"/>
        </w:rPr>
        <w:t>m (FY</w:t>
      </w:r>
      <w:r w:rsidR="00473DCA">
        <w:rPr>
          <w:sz w:val="18"/>
          <w:szCs w:val="18"/>
        </w:rPr>
        <w:t>20</w:t>
      </w:r>
      <w:r w:rsidR="00473DCA" w:rsidRPr="00CB7CCC">
        <w:rPr>
          <w:sz w:val="18"/>
          <w:szCs w:val="18"/>
        </w:rPr>
        <w:t>: £</w:t>
      </w:r>
      <w:r w:rsidR="00473DCA">
        <w:rPr>
          <w:sz w:val="18"/>
          <w:szCs w:val="18"/>
        </w:rPr>
        <w:t>9.4</w:t>
      </w:r>
      <w:r w:rsidR="00473DCA" w:rsidRPr="00CB7CCC">
        <w:rPr>
          <w:sz w:val="18"/>
          <w:szCs w:val="18"/>
        </w:rPr>
        <w:t xml:space="preserve">m), reflecting the </w:t>
      </w:r>
      <w:r w:rsidR="00473DCA">
        <w:rPr>
          <w:sz w:val="18"/>
          <w:szCs w:val="18"/>
        </w:rPr>
        <w:t>agreement with Trustees</w:t>
      </w:r>
      <w:r w:rsidR="00473DCA" w:rsidRPr="00CB7CCC">
        <w:rPr>
          <w:sz w:val="18"/>
          <w:szCs w:val="18"/>
        </w:rPr>
        <w:t xml:space="preserve"> to defer cash contributions in the </w:t>
      </w:r>
      <w:r w:rsidR="00473DCA">
        <w:rPr>
          <w:sz w:val="18"/>
          <w:szCs w:val="18"/>
        </w:rPr>
        <w:t>first</w:t>
      </w:r>
      <w:r w:rsidR="00473DCA" w:rsidRPr="00CB7CCC">
        <w:rPr>
          <w:sz w:val="18"/>
          <w:szCs w:val="18"/>
        </w:rPr>
        <w:t xml:space="preserve"> half of the year.</w:t>
      </w:r>
    </w:p>
    <w:p w14:paraId="2B2FD186" w14:textId="77777777" w:rsidR="00473DCA" w:rsidRPr="00CB7CCC" w:rsidRDefault="00473DCA" w:rsidP="00473DCA">
      <w:pPr>
        <w:adjustRightInd w:val="0"/>
        <w:jc w:val="both"/>
        <w:rPr>
          <w:sz w:val="18"/>
          <w:szCs w:val="18"/>
        </w:rPr>
      </w:pPr>
    </w:p>
    <w:p w14:paraId="6485D705" w14:textId="77777777" w:rsidR="00473DCA" w:rsidRPr="00CB7CCC" w:rsidRDefault="00473DCA" w:rsidP="00473DCA">
      <w:pPr>
        <w:adjustRightInd w:val="0"/>
        <w:jc w:val="both"/>
        <w:rPr>
          <w:sz w:val="18"/>
          <w:szCs w:val="18"/>
        </w:rPr>
      </w:pPr>
      <w:r w:rsidRPr="00CB7CCC">
        <w:rPr>
          <w:sz w:val="18"/>
          <w:szCs w:val="18"/>
        </w:rPr>
        <w:t xml:space="preserve">These movements resulted in Free Cash </w:t>
      </w:r>
      <w:r>
        <w:rPr>
          <w:sz w:val="18"/>
          <w:szCs w:val="18"/>
        </w:rPr>
        <w:t xml:space="preserve">Flow </w:t>
      </w:r>
      <w:r w:rsidRPr="00CB7CCC">
        <w:rPr>
          <w:sz w:val="18"/>
          <w:szCs w:val="18"/>
        </w:rPr>
        <w:t>of £</w:t>
      </w:r>
      <w:r>
        <w:rPr>
          <w:sz w:val="18"/>
          <w:szCs w:val="18"/>
        </w:rPr>
        <w:t>72.2</w:t>
      </w:r>
      <w:r w:rsidRPr="00CB7CCC">
        <w:rPr>
          <w:sz w:val="18"/>
          <w:szCs w:val="18"/>
        </w:rPr>
        <w:t xml:space="preserve">m compared to an </w:t>
      </w:r>
      <w:r>
        <w:rPr>
          <w:sz w:val="18"/>
          <w:szCs w:val="18"/>
        </w:rPr>
        <w:t>outflow</w:t>
      </w:r>
      <w:r w:rsidRPr="00CB7CCC">
        <w:rPr>
          <w:sz w:val="18"/>
          <w:szCs w:val="18"/>
        </w:rPr>
        <w:t xml:space="preserve"> of £</w:t>
      </w:r>
      <w:r>
        <w:rPr>
          <w:sz w:val="18"/>
          <w:szCs w:val="18"/>
        </w:rPr>
        <w:t>29.7</w:t>
      </w:r>
      <w:r w:rsidRPr="00CB7CCC">
        <w:rPr>
          <w:sz w:val="18"/>
          <w:szCs w:val="18"/>
        </w:rPr>
        <w:t>m in FY</w:t>
      </w:r>
      <w:r>
        <w:rPr>
          <w:sz w:val="18"/>
          <w:szCs w:val="18"/>
        </w:rPr>
        <w:t>20</w:t>
      </w:r>
      <w:r w:rsidRPr="00CB7CCC">
        <w:rPr>
          <w:sz w:val="18"/>
          <w:szCs w:val="18"/>
        </w:rPr>
        <w:t xml:space="preserve"> driven </w:t>
      </w:r>
      <w:r>
        <w:rPr>
          <w:sz w:val="18"/>
          <w:szCs w:val="18"/>
        </w:rPr>
        <w:t xml:space="preserve">primarily </w:t>
      </w:r>
      <w:r w:rsidRPr="00CB7CCC">
        <w:rPr>
          <w:sz w:val="18"/>
          <w:szCs w:val="18"/>
        </w:rPr>
        <w:t xml:space="preserve">by </w:t>
      </w:r>
      <w:r>
        <w:rPr>
          <w:sz w:val="18"/>
          <w:szCs w:val="18"/>
        </w:rPr>
        <w:t xml:space="preserve">higher </w:t>
      </w:r>
      <w:r w:rsidRPr="00CB7CCC">
        <w:rPr>
          <w:sz w:val="18"/>
          <w:szCs w:val="18"/>
        </w:rPr>
        <w:t>profitability</w:t>
      </w:r>
      <w:r>
        <w:rPr>
          <w:sz w:val="18"/>
          <w:szCs w:val="18"/>
        </w:rPr>
        <w:t xml:space="preserve"> and the substantial unwinding of </w:t>
      </w:r>
      <w:r w:rsidRPr="00CB7CCC">
        <w:rPr>
          <w:sz w:val="18"/>
          <w:szCs w:val="18"/>
        </w:rPr>
        <w:t xml:space="preserve">working capital </w:t>
      </w:r>
      <w:r>
        <w:rPr>
          <w:sz w:val="18"/>
          <w:szCs w:val="18"/>
        </w:rPr>
        <w:t>outflows incurred in FY20</w:t>
      </w:r>
      <w:r w:rsidRPr="00CB7CCC">
        <w:rPr>
          <w:sz w:val="18"/>
          <w:szCs w:val="18"/>
        </w:rPr>
        <w:t>.</w:t>
      </w:r>
    </w:p>
    <w:p w14:paraId="7D96D6BF" w14:textId="77777777" w:rsidR="00473DCA" w:rsidRPr="00CB7CCC" w:rsidRDefault="00473DCA" w:rsidP="00473DCA">
      <w:pPr>
        <w:adjustRightInd w:val="0"/>
        <w:jc w:val="both"/>
        <w:rPr>
          <w:sz w:val="18"/>
          <w:szCs w:val="18"/>
        </w:rPr>
      </w:pPr>
    </w:p>
    <w:p w14:paraId="1EB947DD" w14:textId="77777777" w:rsidR="00473DCA" w:rsidRPr="00CB7CCC" w:rsidRDefault="00473DCA" w:rsidP="00473DCA">
      <w:pPr>
        <w:adjustRightInd w:val="0"/>
        <w:jc w:val="both"/>
        <w:rPr>
          <w:sz w:val="18"/>
          <w:szCs w:val="18"/>
        </w:rPr>
      </w:pPr>
      <w:r w:rsidRPr="00CB7CCC">
        <w:rPr>
          <w:sz w:val="18"/>
          <w:szCs w:val="18"/>
        </w:rPr>
        <w:t>In FY2</w:t>
      </w:r>
      <w:r>
        <w:rPr>
          <w:sz w:val="18"/>
          <w:szCs w:val="18"/>
        </w:rPr>
        <w:t>1</w:t>
      </w:r>
      <w:r w:rsidRPr="00CB7CCC">
        <w:rPr>
          <w:sz w:val="18"/>
          <w:szCs w:val="18"/>
        </w:rPr>
        <w:t>, the Group incurred strategic capital expenditure of £</w:t>
      </w:r>
      <w:r>
        <w:rPr>
          <w:sz w:val="18"/>
          <w:szCs w:val="18"/>
        </w:rPr>
        <w:t>24.0</w:t>
      </w:r>
      <w:r w:rsidRPr="00CB7CCC">
        <w:rPr>
          <w:sz w:val="18"/>
          <w:szCs w:val="18"/>
        </w:rPr>
        <w:t>m (FY</w:t>
      </w:r>
      <w:r>
        <w:rPr>
          <w:sz w:val="18"/>
          <w:szCs w:val="18"/>
        </w:rPr>
        <w:t>20</w:t>
      </w:r>
      <w:r w:rsidRPr="00CB7CCC">
        <w:rPr>
          <w:sz w:val="18"/>
          <w:szCs w:val="18"/>
        </w:rPr>
        <w:t>: £13.</w:t>
      </w:r>
      <w:r>
        <w:rPr>
          <w:sz w:val="18"/>
          <w:szCs w:val="18"/>
        </w:rPr>
        <w:t>0</w:t>
      </w:r>
      <w:r w:rsidRPr="00CB7CCC">
        <w:rPr>
          <w:sz w:val="18"/>
          <w:szCs w:val="18"/>
        </w:rPr>
        <w:t>m).</w:t>
      </w:r>
    </w:p>
    <w:p w14:paraId="4506A11B" w14:textId="77777777" w:rsidR="00473DCA" w:rsidRPr="00CB7CCC" w:rsidRDefault="00473DCA" w:rsidP="00473DCA">
      <w:pPr>
        <w:adjustRightInd w:val="0"/>
        <w:jc w:val="both"/>
        <w:rPr>
          <w:sz w:val="18"/>
          <w:szCs w:val="18"/>
        </w:rPr>
      </w:pPr>
    </w:p>
    <w:p w14:paraId="2A5F6F03" w14:textId="77777777" w:rsidR="00473DCA" w:rsidRDefault="00473DCA" w:rsidP="00473DCA">
      <w:pPr>
        <w:adjustRightInd w:val="0"/>
        <w:jc w:val="both"/>
        <w:rPr>
          <w:sz w:val="18"/>
          <w:szCs w:val="18"/>
        </w:rPr>
      </w:pPr>
      <w:r>
        <w:rPr>
          <w:sz w:val="18"/>
          <w:szCs w:val="18"/>
        </w:rPr>
        <w:t>The Group did not make any e</w:t>
      </w:r>
      <w:r w:rsidRPr="00CB7CCC">
        <w:rPr>
          <w:sz w:val="18"/>
          <w:szCs w:val="18"/>
        </w:rPr>
        <w:t xml:space="preserve">quity dividend cash payments </w:t>
      </w:r>
      <w:r>
        <w:rPr>
          <w:sz w:val="18"/>
          <w:szCs w:val="18"/>
        </w:rPr>
        <w:t xml:space="preserve">in FY21 </w:t>
      </w:r>
      <w:r w:rsidRPr="00CB7CCC">
        <w:rPr>
          <w:sz w:val="18"/>
          <w:szCs w:val="18"/>
        </w:rPr>
        <w:t>(FY</w:t>
      </w:r>
      <w:r>
        <w:rPr>
          <w:sz w:val="18"/>
          <w:szCs w:val="18"/>
        </w:rPr>
        <w:t>20</w:t>
      </w:r>
      <w:r w:rsidRPr="00CB7CCC">
        <w:rPr>
          <w:sz w:val="18"/>
          <w:szCs w:val="18"/>
        </w:rPr>
        <w:t>: £</w:t>
      </w:r>
      <w:r>
        <w:rPr>
          <w:sz w:val="18"/>
          <w:szCs w:val="18"/>
        </w:rPr>
        <w:t>16.7</w:t>
      </w:r>
      <w:r w:rsidRPr="00CB7CCC">
        <w:rPr>
          <w:sz w:val="18"/>
          <w:szCs w:val="18"/>
        </w:rPr>
        <w:t>m</w:t>
      </w:r>
      <w:r>
        <w:rPr>
          <w:sz w:val="18"/>
          <w:szCs w:val="18"/>
        </w:rPr>
        <w:t xml:space="preserve"> in respect of final dividend in FY19</w:t>
      </w:r>
      <w:r w:rsidRPr="00CB7CCC">
        <w:rPr>
          <w:sz w:val="18"/>
          <w:szCs w:val="18"/>
        </w:rPr>
        <w:t>)</w:t>
      </w:r>
      <w:r>
        <w:rPr>
          <w:sz w:val="18"/>
          <w:szCs w:val="18"/>
        </w:rPr>
        <w:t xml:space="preserve"> </w:t>
      </w:r>
      <w:r w:rsidRPr="00107BF2">
        <w:rPr>
          <w:sz w:val="18"/>
          <w:szCs w:val="18"/>
        </w:rPr>
        <w:t>and in November 2020 the Group completed an equity placing of 80,357,142 new ordinary shares at 112 pence per share, to raise net proceeds of £</w:t>
      </w:r>
      <w:r>
        <w:rPr>
          <w:sz w:val="18"/>
          <w:szCs w:val="18"/>
        </w:rPr>
        <w:t>87.0</w:t>
      </w:r>
      <w:r w:rsidRPr="00107BF2">
        <w:rPr>
          <w:sz w:val="18"/>
          <w:szCs w:val="18"/>
        </w:rPr>
        <w:t>m. In December 2020 the Group also completed the sale of its interests in its molasses trading businesses for a final cash consideration of £16.3m.</w:t>
      </w:r>
      <w:r>
        <w:rPr>
          <w:sz w:val="18"/>
          <w:szCs w:val="18"/>
        </w:rPr>
        <w:t xml:space="preserve"> In September 2021 the Group completed the sale of an investment property for cash consideration of </w:t>
      </w:r>
      <w:r w:rsidRPr="003031B8">
        <w:rPr>
          <w:sz w:val="18"/>
          <w:szCs w:val="18"/>
        </w:rPr>
        <w:t>£6.3m</w:t>
      </w:r>
      <w:r>
        <w:rPr>
          <w:sz w:val="18"/>
          <w:szCs w:val="18"/>
        </w:rPr>
        <w:t>.</w:t>
      </w:r>
    </w:p>
    <w:p w14:paraId="2A3296A4" w14:textId="77777777" w:rsidR="00473DCA" w:rsidRPr="00CB7CCC" w:rsidRDefault="00473DCA" w:rsidP="00473DCA">
      <w:pPr>
        <w:adjustRightInd w:val="0"/>
        <w:jc w:val="both"/>
        <w:rPr>
          <w:sz w:val="18"/>
          <w:szCs w:val="18"/>
        </w:rPr>
      </w:pPr>
    </w:p>
    <w:p w14:paraId="71C9CF2B" w14:textId="77777777" w:rsidR="00473DCA" w:rsidRDefault="00473DCA" w:rsidP="00473DCA">
      <w:pPr>
        <w:adjustRightInd w:val="0"/>
        <w:jc w:val="both"/>
        <w:rPr>
          <w:sz w:val="18"/>
          <w:szCs w:val="18"/>
        </w:rPr>
      </w:pPr>
      <w:r w:rsidRPr="00CB7CCC">
        <w:rPr>
          <w:sz w:val="18"/>
          <w:szCs w:val="18"/>
        </w:rPr>
        <w:lastRenderedPageBreak/>
        <w:t>The Group’s Net Debt at 2</w:t>
      </w:r>
      <w:r>
        <w:rPr>
          <w:sz w:val="18"/>
          <w:szCs w:val="18"/>
        </w:rPr>
        <w:t>4</w:t>
      </w:r>
      <w:r w:rsidRPr="00CB7CCC">
        <w:rPr>
          <w:sz w:val="18"/>
          <w:szCs w:val="18"/>
        </w:rPr>
        <w:t xml:space="preserve"> September 202</w:t>
      </w:r>
      <w:r>
        <w:rPr>
          <w:sz w:val="18"/>
          <w:szCs w:val="18"/>
        </w:rPr>
        <w:t>1</w:t>
      </w:r>
      <w:r w:rsidRPr="00CB7CCC">
        <w:rPr>
          <w:sz w:val="18"/>
          <w:szCs w:val="18"/>
        </w:rPr>
        <w:t xml:space="preserve"> was £</w:t>
      </w:r>
      <w:r>
        <w:rPr>
          <w:sz w:val="18"/>
          <w:szCs w:val="18"/>
        </w:rPr>
        <w:t>242.7</w:t>
      </w:r>
      <w:r w:rsidRPr="00CB7CCC">
        <w:rPr>
          <w:sz w:val="18"/>
          <w:szCs w:val="18"/>
        </w:rPr>
        <w:t xml:space="preserve">m, a </w:t>
      </w:r>
      <w:r>
        <w:rPr>
          <w:sz w:val="18"/>
          <w:szCs w:val="18"/>
        </w:rPr>
        <w:t xml:space="preserve">decrease </w:t>
      </w:r>
      <w:r w:rsidRPr="00CB7CCC">
        <w:rPr>
          <w:sz w:val="18"/>
          <w:szCs w:val="18"/>
        </w:rPr>
        <w:t>of £1</w:t>
      </w:r>
      <w:r>
        <w:rPr>
          <w:sz w:val="18"/>
          <w:szCs w:val="18"/>
        </w:rPr>
        <w:t>68.5</w:t>
      </w:r>
      <w:r w:rsidRPr="00CB7CCC">
        <w:rPr>
          <w:sz w:val="18"/>
          <w:szCs w:val="18"/>
        </w:rPr>
        <w:t xml:space="preserve">m compared to the prior year period, </w:t>
      </w:r>
      <w:r w:rsidRPr="00EF4D85">
        <w:rPr>
          <w:sz w:val="18"/>
          <w:szCs w:val="18"/>
        </w:rPr>
        <w:t xml:space="preserve">driven primarily by the free cash outflows as described previously </w:t>
      </w:r>
      <w:r>
        <w:rPr>
          <w:sz w:val="18"/>
          <w:szCs w:val="18"/>
        </w:rPr>
        <w:t xml:space="preserve">and the </w:t>
      </w:r>
      <w:r w:rsidRPr="00EF4D85">
        <w:rPr>
          <w:sz w:val="18"/>
          <w:szCs w:val="18"/>
        </w:rPr>
        <w:t>cash proceeds from the equity placing in November 2020 and the sale of the Group’s molasses businesses in December 2020.</w:t>
      </w:r>
    </w:p>
    <w:p w14:paraId="661D8A4C" w14:textId="77777777" w:rsidR="00473DCA" w:rsidRPr="00CB7CCC" w:rsidRDefault="00473DCA" w:rsidP="00473DCA">
      <w:pPr>
        <w:adjustRightInd w:val="0"/>
        <w:jc w:val="both"/>
        <w:rPr>
          <w:sz w:val="18"/>
          <w:szCs w:val="18"/>
        </w:rPr>
      </w:pPr>
    </w:p>
    <w:p w14:paraId="164F722F" w14:textId="77777777" w:rsidR="00473DCA" w:rsidRPr="00CB7CCC" w:rsidRDefault="00473DCA" w:rsidP="00473DCA">
      <w:pPr>
        <w:pStyle w:val="Default"/>
        <w:spacing w:after="120"/>
        <w:jc w:val="both"/>
        <w:rPr>
          <w:rFonts w:asciiTheme="minorHAnsi" w:hAnsiTheme="minorHAnsi" w:cs="Arial"/>
          <w:b/>
          <w:bCs/>
          <w:sz w:val="18"/>
          <w:szCs w:val="18"/>
          <w:lang w:val="en-GB"/>
        </w:rPr>
      </w:pPr>
      <w:bookmarkStart w:id="8" w:name="_Hlk86223438"/>
      <w:r w:rsidRPr="00CB7CCC">
        <w:rPr>
          <w:rFonts w:asciiTheme="minorHAnsi" w:hAnsiTheme="minorHAnsi" w:cs="Arial"/>
          <w:b/>
          <w:bCs/>
          <w:sz w:val="18"/>
          <w:szCs w:val="18"/>
          <w:lang w:val="en-GB"/>
        </w:rPr>
        <w:t xml:space="preserve">Financing </w:t>
      </w:r>
    </w:p>
    <w:p w14:paraId="00DC301F" w14:textId="77777777" w:rsidR="00473DCA" w:rsidRPr="00515FAD" w:rsidRDefault="00473DCA" w:rsidP="00473DCA">
      <w:pPr>
        <w:adjustRightInd w:val="0"/>
        <w:jc w:val="both"/>
        <w:rPr>
          <w:sz w:val="18"/>
          <w:szCs w:val="18"/>
        </w:rPr>
      </w:pPr>
      <w:r w:rsidRPr="00515FAD">
        <w:rPr>
          <w:sz w:val="18"/>
          <w:szCs w:val="18"/>
        </w:rPr>
        <w:t xml:space="preserve">As </w:t>
      </w:r>
      <w:r>
        <w:rPr>
          <w:sz w:val="18"/>
          <w:szCs w:val="18"/>
        </w:rPr>
        <w:t>previously announced</w:t>
      </w:r>
      <w:r w:rsidRPr="00515FAD">
        <w:rPr>
          <w:sz w:val="18"/>
          <w:szCs w:val="18"/>
        </w:rPr>
        <w:t xml:space="preserve">, the Group secured agreement with its bank lending syndicate in May 2020 and its Private Placement Note Holders in July 2020 to waive the Net Debt: EBITDA covenant condition for the September 2020 and March 2021 test periods. </w:t>
      </w:r>
    </w:p>
    <w:p w14:paraId="1A2ECDD6" w14:textId="77777777" w:rsidR="00473DCA" w:rsidRPr="00515FAD" w:rsidRDefault="00473DCA" w:rsidP="00473DCA">
      <w:pPr>
        <w:adjustRightInd w:val="0"/>
        <w:jc w:val="both"/>
        <w:rPr>
          <w:sz w:val="18"/>
          <w:szCs w:val="18"/>
        </w:rPr>
      </w:pPr>
    </w:p>
    <w:p w14:paraId="109B438B" w14:textId="77777777" w:rsidR="00473DCA" w:rsidRPr="00515FAD" w:rsidRDefault="00473DCA" w:rsidP="00473DCA">
      <w:pPr>
        <w:adjustRightInd w:val="0"/>
        <w:jc w:val="both"/>
        <w:rPr>
          <w:sz w:val="18"/>
          <w:szCs w:val="18"/>
        </w:rPr>
      </w:pPr>
      <w:r w:rsidRPr="00515FAD">
        <w:rPr>
          <w:sz w:val="18"/>
          <w:szCs w:val="18"/>
        </w:rPr>
        <w:t>In November 2020 the Group secured further support from its bank lending syndicate and its Private Placement Note holders. Of the key features, the Group:</w:t>
      </w:r>
    </w:p>
    <w:p w14:paraId="2F7ADE56" w14:textId="77777777" w:rsidR="00473DCA" w:rsidRPr="00515FAD" w:rsidRDefault="00473DCA" w:rsidP="00473DCA">
      <w:pPr>
        <w:adjustRightInd w:val="0"/>
        <w:jc w:val="both"/>
        <w:rPr>
          <w:sz w:val="18"/>
          <w:szCs w:val="18"/>
        </w:rPr>
      </w:pPr>
    </w:p>
    <w:p w14:paraId="17B0593B" w14:textId="77777777" w:rsidR="00473DCA" w:rsidRPr="00515FAD" w:rsidRDefault="00473DCA" w:rsidP="00473DCA">
      <w:pPr>
        <w:pStyle w:val="ListParagraph"/>
        <w:widowControl/>
        <w:numPr>
          <w:ilvl w:val="0"/>
          <w:numId w:val="59"/>
        </w:numPr>
        <w:adjustRightInd w:val="0"/>
        <w:spacing w:after="10"/>
        <w:ind w:left="709"/>
        <w:rPr>
          <w:rFonts w:eastAsiaTheme="minorHAnsi"/>
          <w:color w:val="000000"/>
          <w:sz w:val="18"/>
          <w:szCs w:val="18"/>
          <w:lang w:eastAsia="en-US"/>
        </w:rPr>
      </w:pPr>
      <w:r w:rsidRPr="00515FAD">
        <w:rPr>
          <w:rFonts w:eastAsiaTheme="minorHAnsi"/>
          <w:color w:val="000000"/>
          <w:sz w:val="18"/>
          <w:szCs w:val="18"/>
          <w:lang w:eastAsia="en-US"/>
        </w:rPr>
        <w:t>Extended the maturity of its £75m revolving credit bank facility by two years to March 2023;</w:t>
      </w:r>
    </w:p>
    <w:p w14:paraId="635BEF4E" w14:textId="77777777" w:rsidR="00473DCA" w:rsidRPr="00515FAD" w:rsidRDefault="00473DCA" w:rsidP="00473DCA">
      <w:pPr>
        <w:pStyle w:val="ListParagraph"/>
        <w:widowControl/>
        <w:numPr>
          <w:ilvl w:val="0"/>
          <w:numId w:val="59"/>
        </w:numPr>
        <w:adjustRightInd w:val="0"/>
        <w:spacing w:after="10"/>
        <w:ind w:left="709"/>
        <w:rPr>
          <w:rFonts w:eastAsiaTheme="minorHAnsi"/>
          <w:color w:val="000000"/>
          <w:sz w:val="18"/>
          <w:szCs w:val="18"/>
          <w:lang w:eastAsia="en-US"/>
        </w:rPr>
      </w:pPr>
      <w:r w:rsidRPr="00515FAD">
        <w:rPr>
          <w:rFonts w:eastAsiaTheme="minorHAnsi"/>
          <w:color w:val="000000"/>
          <w:sz w:val="18"/>
          <w:szCs w:val="18"/>
          <w:lang w:eastAsia="en-US"/>
        </w:rPr>
        <w:t>Refinanced the Group’s £50m bilateral loan for a new three year term maturing in January 2024;</w:t>
      </w:r>
    </w:p>
    <w:p w14:paraId="58F874BD" w14:textId="77777777" w:rsidR="00473DCA" w:rsidRPr="00515FAD" w:rsidRDefault="00473DCA" w:rsidP="00473DCA">
      <w:pPr>
        <w:pStyle w:val="ListParagraph"/>
        <w:widowControl/>
        <w:numPr>
          <w:ilvl w:val="0"/>
          <w:numId w:val="59"/>
        </w:numPr>
        <w:adjustRightInd w:val="0"/>
        <w:spacing w:after="10"/>
        <w:ind w:left="709"/>
        <w:rPr>
          <w:rFonts w:eastAsiaTheme="minorHAnsi"/>
          <w:color w:val="000000"/>
          <w:sz w:val="18"/>
          <w:szCs w:val="18"/>
          <w:lang w:eastAsia="en-US"/>
        </w:rPr>
      </w:pPr>
      <w:r w:rsidRPr="00515FAD">
        <w:rPr>
          <w:rFonts w:eastAsiaTheme="minorHAnsi"/>
          <w:color w:val="000000"/>
          <w:sz w:val="18"/>
          <w:szCs w:val="18"/>
          <w:lang w:eastAsia="en-US"/>
        </w:rPr>
        <w:t>Amended the EBITDA: Interest covenant condition for the March 2021 test period from 3.0x to 2.0x;</w:t>
      </w:r>
    </w:p>
    <w:p w14:paraId="4EA3604F" w14:textId="77777777" w:rsidR="00473DCA" w:rsidRPr="00515FAD" w:rsidRDefault="00473DCA" w:rsidP="00473DCA">
      <w:pPr>
        <w:pStyle w:val="ListParagraph"/>
        <w:widowControl/>
        <w:numPr>
          <w:ilvl w:val="0"/>
          <w:numId w:val="59"/>
        </w:numPr>
        <w:adjustRightInd w:val="0"/>
        <w:spacing w:after="10"/>
        <w:ind w:left="709"/>
        <w:rPr>
          <w:rFonts w:eastAsiaTheme="minorHAnsi"/>
          <w:color w:val="000000"/>
          <w:sz w:val="18"/>
          <w:szCs w:val="18"/>
          <w:lang w:eastAsia="en-US"/>
        </w:rPr>
      </w:pPr>
      <w:r w:rsidRPr="00515FAD">
        <w:rPr>
          <w:rFonts w:eastAsiaTheme="minorHAnsi"/>
          <w:color w:val="000000"/>
          <w:sz w:val="18"/>
          <w:szCs w:val="18"/>
          <w:lang w:eastAsia="en-US"/>
        </w:rPr>
        <w:t xml:space="preserve">Amended the Net Debt: EBITDA covenant test at June 2021 from 4.25x to 5.0x </w:t>
      </w:r>
    </w:p>
    <w:p w14:paraId="6CB294E2" w14:textId="77777777" w:rsidR="00473DCA" w:rsidRPr="00515FAD" w:rsidRDefault="00473DCA" w:rsidP="00473DCA">
      <w:pPr>
        <w:pStyle w:val="ListParagraph"/>
        <w:widowControl/>
        <w:numPr>
          <w:ilvl w:val="0"/>
          <w:numId w:val="59"/>
        </w:numPr>
        <w:adjustRightInd w:val="0"/>
        <w:spacing w:after="10"/>
        <w:ind w:left="709"/>
        <w:rPr>
          <w:rFonts w:eastAsiaTheme="minorHAnsi"/>
          <w:color w:val="000000"/>
          <w:sz w:val="18"/>
          <w:szCs w:val="18"/>
          <w:lang w:eastAsia="en-US"/>
        </w:rPr>
      </w:pPr>
      <w:r w:rsidRPr="00515FAD">
        <w:rPr>
          <w:rFonts w:eastAsiaTheme="minorHAnsi"/>
          <w:color w:val="000000"/>
          <w:sz w:val="18"/>
          <w:szCs w:val="18"/>
          <w:lang w:eastAsia="en-US"/>
        </w:rPr>
        <w:t xml:space="preserve">Reduced the minimum liquidity requirement on cash and undrawn facilities to £70m for FY21, from a range of £100m-£125m; </w:t>
      </w:r>
    </w:p>
    <w:p w14:paraId="1A06884E" w14:textId="77777777" w:rsidR="00473DCA" w:rsidRPr="00515FAD" w:rsidRDefault="00473DCA" w:rsidP="00473DCA">
      <w:pPr>
        <w:pStyle w:val="ListParagraph"/>
        <w:widowControl/>
        <w:adjustRightInd w:val="0"/>
        <w:spacing w:after="10"/>
        <w:ind w:left="709" w:firstLine="0"/>
        <w:rPr>
          <w:rFonts w:eastAsiaTheme="minorHAnsi"/>
          <w:color w:val="000000"/>
          <w:sz w:val="18"/>
          <w:szCs w:val="18"/>
          <w:lang w:eastAsia="en-US"/>
        </w:rPr>
      </w:pPr>
      <w:r w:rsidRPr="00515FAD">
        <w:rPr>
          <w:rFonts w:eastAsiaTheme="minorHAnsi"/>
          <w:color w:val="000000"/>
          <w:sz w:val="18"/>
          <w:szCs w:val="18"/>
          <w:lang w:eastAsia="en-US"/>
        </w:rPr>
        <w:t>and</w:t>
      </w:r>
    </w:p>
    <w:p w14:paraId="07A7E8E3" w14:textId="77777777" w:rsidR="00473DCA" w:rsidRPr="00515FAD" w:rsidRDefault="00473DCA" w:rsidP="00473DCA">
      <w:pPr>
        <w:pStyle w:val="ListParagraph"/>
        <w:widowControl/>
        <w:numPr>
          <w:ilvl w:val="0"/>
          <w:numId w:val="59"/>
        </w:numPr>
        <w:adjustRightInd w:val="0"/>
        <w:spacing w:after="10"/>
        <w:ind w:left="709"/>
        <w:rPr>
          <w:rFonts w:eastAsiaTheme="minorHAnsi"/>
          <w:color w:val="000000"/>
          <w:sz w:val="18"/>
          <w:szCs w:val="18"/>
          <w:lang w:eastAsia="en-US"/>
        </w:rPr>
      </w:pPr>
      <w:r w:rsidRPr="00515FAD">
        <w:rPr>
          <w:rFonts w:eastAsiaTheme="minorHAnsi"/>
          <w:color w:val="000000"/>
          <w:sz w:val="18"/>
          <w:szCs w:val="18"/>
          <w:lang w:eastAsia="en-US"/>
        </w:rPr>
        <w:t>Increased the maximum net debt requirement to £550m to May 2021, and £500m to September 2021, from a range of £450m-</w:t>
      </w:r>
    </w:p>
    <w:p w14:paraId="4F9E0A0E" w14:textId="77777777" w:rsidR="00473DCA" w:rsidRPr="00515FAD" w:rsidRDefault="00473DCA" w:rsidP="00473DCA">
      <w:pPr>
        <w:pStyle w:val="ListParagraph"/>
        <w:widowControl/>
        <w:adjustRightInd w:val="0"/>
        <w:spacing w:after="10"/>
        <w:ind w:left="709" w:firstLine="0"/>
        <w:rPr>
          <w:rFonts w:eastAsiaTheme="minorHAnsi"/>
          <w:color w:val="000000"/>
          <w:sz w:val="18"/>
          <w:szCs w:val="18"/>
          <w:lang w:eastAsia="en-US"/>
        </w:rPr>
      </w:pPr>
      <w:r w:rsidRPr="00515FAD">
        <w:rPr>
          <w:rFonts w:eastAsiaTheme="minorHAnsi"/>
          <w:color w:val="000000"/>
          <w:sz w:val="18"/>
          <w:szCs w:val="18"/>
          <w:lang w:eastAsia="en-US"/>
        </w:rPr>
        <w:t>£550m</w:t>
      </w:r>
    </w:p>
    <w:p w14:paraId="7CF4A0C3" w14:textId="77777777" w:rsidR="00473DCA" w:rsidRPr="00515FAD" w:rsidRDefault="00473DCA" w:rsidP="00473DCA">
      <w:pPr>
        <w:adjustRightInd w:val="0"/>
        <w:jc w:val="both"/>
        <w:rPr>
          <w:sz w:val="18"/>
          <w:szCs w:val="18"/>
        </w:rPr>
      </w:pPr>
    </w:p>
    <w:p w14:paraId="4FC84556" w14:textId="77777777" w:rsidR="00473DCA" w:rsidRPr="00515FAD" w:rsidRDefault="00473DCA" w:rsidP="00473DCA">
      <w:pPr>
        <w:adjustRightInd w:val="0"/>
        <w:jc w:val="both"/>
        <w:rPr>
          <w:sz w:val="18"/>
          <w:szCs w:val="18"/>
        </w:rPr>
      </w:pPr>
      <w:r w:rsidRPr="00515FAD">
        <w:rPr>
          <w:sz w:val="18"/>
          <w:szCs w:val="18"/>
        </w:rPr>
        <w:t>In July 2021, the Group successfully completed a refinancing of its near-term debt with its lending syndicate that improves the maturity profile of the Group's debt and lowers annual interest costs. The Private Placement Notes of $65m, which matured in October 2021, were replaced by a new three-year term loan facility of £45m, maturing in June 2024.</w:t>
      </w:r>
      <w:r w:rsidRPr="00515FAD">
        <w:rPr>
          <w:sz w:val="18"/>
          <w:szCs w:val="18"/>
        </w:rPr>
        <w:cr/>
      </w:r>
    </w:p>
    <w:p w14:paraId="5118CEAE" w14:textId="77777777" w:rsidR="00473DCA" w:rsidRPr="00515FAD" w:rsidRDefault="00473DCA" w:rsidP="00473DCA">
      <w:pPr>
        <w:adjustRightInd w:val="0"/>
        <w:jc w:val="both"/>
        <w:rPr>
          <w:sz w:val="18"/>
          <w:szCs w:val="18"/>
        </w:rPr>
      </w:pPr>
      <w:r w:rsidRPr="00515FAD">
        <w:rPr>
          <w:sz w:val="18"/>
          <w:szCs w:val="18"/>
        </w:rPr>
        <w:t>In November 2021</w:t>
      </w:r>
      <w:r>
        <w:rPr>
          <w:sz w:val="18"/>
          <w:szCs w:val="18"/>
        </w:rPr>
        <w:t>,</w:t>
      </w:r>
      <w:r w:rsidRPr="00515FAD">
        <w:rPr>
          <w:sz w:val="18"/>
          <w:szCs w:val="18"/>
        </w:rPr>
        <w:t xml:space="preserve"> the Group also extended the maturity on its £340m revolving credit facility by one year to January 2026.</w:t>
      </w:r>
    </w:p>
    <w:p w14:paraId="3FBDCC44" w14:textId="77777777" w:rsidR="00473DCA" w:rsidRPr="00515FAD" w:rsidRDefault="00473DCA" w:rsidP="00473DCA">
      <w:pPr>
        <w:adjustRightInd w:val="0"/>
        <w:jc w:val="both"/>
        <w:rPr>
          <w:sz w:val="18"/>
          <w:szCs w:val="18"/>
        </w:rPr>
      </w:pPr>
    </w:p>
    <w:p w14:paraId="6F522B7C" w14:textId="77777777" w:rsidR="00473DCA" w:rsidRPr="00893BAD" w:rsidRDefault="00473DCA" w:rsidP="00473DCA">
      <w:pPr>
        <w:adjustRightInd w:val="0"/>
        <w:jc w:val="both"/>
        <w:rPr>
          <w:sz w:val="18"/>
          <w:szCs w:val="18"/>
        </w:rPr>
      </w:pPr>
      <w:r w:rsidRPr="00893BAD">
        <w:rPr>
          <w:sz w:val="18"/>
          <w:szCs w:val="18"/>
        </w:rPr>
        <w:t xml:space="preserve">The Group had total committed debt facilities of £616.4m at 24 September 2021 and a weighted average maturity of 2.7 years. Following the refinancing activities completed after year end, </w:t>
      </w:r>
      <w:r>
        <w:rPr>
          <w:sz w:val="18"/>
          <w:szCs w:val="18"/>
        </w:rPr>
        <w:t xml:space="preserve">the Group has total committed debt facilities of £568.8m with a </w:t>
      </w:r>
      <w:r w:rsidRPr="00893BAD">
        <w:rPr>
          <w:sz w:val="18"/>
          <w:szCs w:val="18"/>
        </w:rPr>
        <w:t>weighted average maturity of 3.4 years. The</w:t>
      </w:r>
      <w:r>
        <w:rPr>
          <w:sz w:val="18"/>
          <w:szCs w:val="18"/>
        </w:rPr>
        <w:t>se</w:t>
      </w:r>
      <w:r w:rsidRPr="00893BAD">
        <w:rPr>
          <w:sz w:val="18"/>
          <w:szCs w:val="18"/>
        </w:rPr>
        <w:t xml:space="preserve"> facilities comprise: </w:t>
      </w:r>
    </w:p>
    <w:p w14:paraId="3E5B2BA2" w14:textId="77777777" w:rsidR="00473DCA" w:rsidRPr="00893BAD" w:rsidRDefault="00473DCA" w:rsidP="00473DCA">
      <w:pPr>
        <w:adjustRightInd w:val="0"/>
        <w:jc w:val="both"/>
        <w:rPr>
          <w:sz w:val="18"/>
          <w:szCs w:val="18"/>
        </w:rPr>
      </w:pPr>
    </w:p>
    <w:p w14:paraId="4AA5BBCB" w14:textId="77777777" w:rsidR="00473DCA" w:rsidRPr="00893BAD" w:rsidRDefault="00473DCA" w:rsidP="00473DCA">
      <w:pPr>
        <w:pStyle w:val="ListParagraph"/>
        <w:widowControl/>
        <w:numPr>
          <w:ilvl w:val="0"/>
          <w:numId w:val="59"/>
        </w:numPr>
        <w:adjustRightInd w:val="0"/>
        <w:spacing w:after="10"/>
        <w:ind w:left="709"/>
        <w:rPr>
          <w:rFonts w:eastAsiaTheme="minorHAnsi"/>
          <w:color w:val="000000"/>
          <w:sz w:val="18"/>
          <w:szCs w:val="18"/>
          <w:lang w:eastAsia="en-US"/>
        </w:rPr>
      </w:pPr>
      <w:r w:rsidRPr="00893BAD">
        <w:rPr>
          <w:rFonts w:eastAsiaTheme="minorHAnsi"/>
          <w:color w:val="000000"/>
          <w:sz w:val="18"/>
          <w:szCs w:val="18"/>
          <w:lang w:eastAsia="en-US"/>
        </w:rPr>
        <w:t>A £340m revolving credit bank facility with a maturity date of January 2026</w:t>
      </w:r>
    </w:p>
    <w:p w14:paraId="532241B2" w14:textId="77777777" w:rsidR="00473DCA" w:rsidRPr="00893BAD" w:rsidRDefault="00473DCA" w:rsidP="00473DCA">
      <w:pPr>
        <w:pStyle w:val="ListParagraph"/>
        <w:widowControl/>
        <w:numPr>
          <w:ilvl w:val="0"/>
          <w:numId w:val="59"/>
        </w:numPr>
        <w:adjustRightInd w:val="0"/>
        <w:spacing w:after="10"/>
        <w:ind w:left="709"/>
        <w:rPr>
          <w:rFonts w:eastAsiaTheme="minorHAnsi"/>
          <w:color w:val="000000"/>
          <w:sz w:val="18"/>
          <w:szCs w:val="18"/>
          <w:lang w:eastAsia="en-US"/>
        </w:rPr>
      </w:pPr>
      <w:r w:rsidRPr="00893BAD">
        <w:rPr>
          <w:rFonts w:eastAsiaTheme="minorHAnsi"/>
          <w:color w:val="000000"/>
          <w:sz w:val="18"/>
          <w:szCs w:val="18"/>
          <w:lang w:eastAsia="en-US"/>
        </w:rPr>
        <w:t>A £75m revolving credit bank facility with a maturity date of March 2023</w:t>
      </w:r>
    </w:p>
    <w:p w14:paraId="643F3988" w14:textId="77777777" w:rsidR="00473DCA" w:rsidRPr="00893BAD" w:rsidRDefault="00473DCA" w:rsidP="00473DCA">
      <w:pPr>
        <w:pStyle w:val="ListParagraph"/>
        <w:widowControl/>
        <w:numPr>
          <w:ilvl w:val="0"/>
          <w:numId w:val="59"/>
        </w:numPr>
        <w:adjustRightInd w:val="0"/>
        <w:spacing w:after="10"/>
        <w:ind w:left="709"/>
        <w:rPr>
          <w:rFonts w:eastAsiaTheme="minorHAnsi"/>
          <w:color w:val="000000"/>
          <w:sz w:val="18"/>
          <w:szCs w:val="18"/>
          <w:lang w:eastAsia="en-US"/>
        </w:rPr>
      </w:pPr>
      <w:r w:rsidRPr="00893BAD">
        <w:rPr>
          <w:rFonts w:eastAsiaTheme="minorHAnsi"/>
          <w:color w:val="000000"/>
          <w:sz w:val="18"/>
          <w:szCs w:val="18"/>
          <w:lang w:eastAsia="en-US"/>
        </w:rPr>
        <w:t xml:space="preserve">A £50m bilateral bank facility with a maturity date of January 2024 </w:t>
      </w:r>
    </w:p>
    <w:p w14:paraId="688EF783" w14:textId="77777777" w:rsidR="00473DCA" w:rsidRPr="00893BAD" w:rsidRDefault="00473DCA" w:rsidP="00473DCA">
      <w:pPr>
        <w:pStyle w:val="ListParagraph"/>
        <w:widowControl/>
        <w:numPr>
          <w:ilvl w:val="0"/>
          <w:numId w:val="59"/>
        </w:numPr>
        <w:adjustRightInd w:val="0"/>
        <w:spacing w:after="10"/>
        <w:ind w:left="709"/>
        <w:rPr>
          <w:rFonts w:eastAsiaTheme="minorHAnsi"/>
          <w:color w:val="000000"/>
          <w:sz w:val="18"/>
          <w:szCs w:val="18"/>
          <w:lang w:eastAsia="en-US"/>
        </w:rPr>
      </w:pPr>
      <w:r w:rsidRPr="00893BAD">
        <w:rPr>
          <w:rFonts w:eastAsiaTheme="minorHAnsi"/>
          <w:color w:val="000000"/>
          <w:sz w:val="18"/>
          <w:szCs w:val="18"/>
          <w:lang w:eastAsia="en-US"/>
        </w:rPr>
        <w:t xml:space="preserve">A £45m bank term loan facility with a maturity date of June 2024 </w:t>
      </w:r>
    </w:p>
    <w:p w14:paraId="4FBA4603" w14:textId="77777777" w:rsidR="00473DCA" w:rsidRPr="00893BAD" w:rsidRDefault="00473DCA" w:rsidP="00473DCA">
      <w:pPr>
        <w:pStyle w:val="ListParagraph"/>
        <w:widowControl/>
        <w:numPr>
          <w:ilvl w:val="0"/>
          <w:numId w:val="59"/>
        </w:numPr>
        <w:adjustRightInd w:val="0"/>
        <w:spacing w:after="10"/>
        <w:ind w:left="709"/>
        <w:rPr>
          <w:rFonts w:eastAsiaTheme="minorHAnsi"/>
          <w:color w:val="000000"/>
          <w:sz w:val="18"/>
          <w:szCs w:val="18"/>
          <w:lang w:eastAsia="en-US"/>
        </w:rPr>
      </w:pPr>
      <w:r w:rsidRPr="00893BAD">
        <w:rPr>
          <w:rFonts w:eastAsiaTheme="minorHAnsi"/>
          <w:color w:val="000000"/>
          <w:sz w:val="18"/>
          <w:szCs w:val="18"/>
          <w:lang w:eastAsia="en-US"/>
        </w:rPr>
        <w:t xml:space="preserve">£18m and $55.9m of outstanding Private Placement notes with maturities ranging between June 2024 and June 2026 </w:t>
      </w:r>
    </w:p>
    <w:p w14:paraId="381CD0BC" w14:textId="77777777" w:rsidR="00473DCA" w:rsidRPr="00893BAD" w:rsidRDefault="00473DCA" w:rsidP="00473DCA">
      <w:pPr>
        <w:adjustRightInd w:val="0"/>
        <w:jc w:val="both"/>
        <w:rPr>
          <w:sz w:val="18"/>
          <w:szCs w:val="18"/>
        </w:rPr>
      </w:pPr>
    </w:p>
    <w:p w14:paraId="44808880" w14:textId="77777777" w:rsidR="00473DCA" w:rsidRPr="00893BAD" w:rsidRDefault="00473DCA" w:rsidP="00473DCA">
      <w:pPr>
        <w:adjustRightInd w:val="0"/>
        <w:jc w:val="both"/>
        <w:rPr>
          <w:sz w:val="18"/>
          <w:szCs w:val="18"/>
        </w:rPr>
      </w:pPr>
      <w:r w:rsidRPr="00893BAD">
        <w:rPr>
          <w:sz w:val="18"/>
          <w:szCs w:val="18"/>
        </w:rPr>
        <w:t>The Group had cash and undrawn committed facilities of £433.6m at 24 September 2021, compared to £232.0m as at 25 September 2020.</w:t>
      </w:r>
    </w:p>
    <w:bookmarkEnd w:id="8"/>
    <w:p w14:paraId="78E44719" w14:textId="77777777" w:rsidR="009B1C1E" w:rsidRDefault="009B1C1E" w:rsidP="00473DCA">
      <w:pPr>
        <w:pStyle w:val="Default"/>
        <w:spacing w:after="120"/>
        <w:jc w:val="both"/>
        <w:rPr>
          <w:rFonts w:asciiTheme="minorHAnsi" w:hAnsiTheme="minorHAnsi" w:cs="Arial"/>
          <w:b/>
          <w:bCs/>
          <w:sz w:val="18"/>
          <w:szCs w:val="18"/>
          <w:lang w:val="en-GB"/>
        </w:rPr>
      </w:pPr>
    </w:p>
    <w:p w14:paraId="313DD91E" w14:textId="77777777" w:rsidR="00473DCA" w:rsidRPr="00CB7CCC" w:rsidRDefault="00473DCA" w:rsidP="00473DCA">
      <w:pPr>
        <w:pStyle w:val="Default"/>
        <w:spacing w:after="120"/>
        <w:jc w:val="both"/>
        <w:rPr>
          <w:rFonts w:asciiTheme="minorHAnsi" w:hAnsiTheme="minorHAnsi" w:cs="Arial"/>
          <w:b/>
          <w:bCs/>
          <w:sz w:val="18"/>
          <w:szCs w:val="18"/>
          <w:lang w:val="en-GB"/>
        </w:rPr>
      </w:pPr>
      <w:r w:rsidRPr="0070139A">
        <w:rPr>
          <w:rFonts w:asciiTheme="minorHAnsi" w:hAnsiTheme="minorHAnsi" w:cs="Arial"/>
          <w:b/>
          <w:bCs/>
          <w:sz w:val="18"/>
          <w:szCs w:val="18"/>
          <w:lang w:val="en-GB"/>
        </w:rPr>
        <w:t>Pensions</w:t>
      </w:r>
    </w:p>
    <w:p w14:paraId="2CBF1670" w14:textId="3822B49B" w:rsidR="00473DCA" w:rsidRDefault="00473DCA" w:rsidP="00473DCA">
      <w:pPr>
        <w:adjustRightInd w:val="0"/>
        <w:jc w:val="both"/>
        <w:rPr>
          <w:sz w:val="18"/>
          <w:szCs w:val="18"/>
        </w:rPr>
      </w:pPr>
      <w:r w:rsidRPr="00CB7CCC">
        <w:rPr>
          <w:sz w:val="18"/>
          <w:szCs w:val="18"/>
        </w:rPr>
        <w:t xml:space="preserve">All </w:t>
      </w:r>
      <w:r w:rsidR="00C03EC1">
        <w:rPr>
          <w:sz w:val="18"/>
          <w:szCs w:val="18"/>
        </w:rPr>
        <w:t xml:space="preserve">of </w:t>
      </w:r>
      <w:r>
        <w:rPr>
          <w:sz w:val="18"/>
          <w:szCs w:val="18"/>
        </w:rPr>
        <w:t xml:space="preserve">the Group’s </w:t>
      </w:r>
      <w:r w:rsidRPr="00CB7CCC">
        <w:rPr>
          <w:sz w:val="18"/>
          <w:szCs w:val="18"/>
        </w:rPr>
        <w:t>legacy defined benefit pension schemes are closed to future accrual. The net pension deficit relating to legacy defined pension schemes, before related deferred tax, at 2</w:t>
      </w:r>
      <w:r>
        <w:rPr>
          <w:sz w:val="18"/>
          <w:szCs w:val="18"/>
        </w:rPr>
        <w:t>4</w:t>
      </w:r>
      <w:r w:rsidRPr="00CB7CCC">
        <w:rPr>
          <w:sz w:val="18"/>
          <w:szCs w:val="18"/>
        </w:rPr>
        <w:t xml:space="preserve"> September 202</w:t>
      </w:r>
      <w:r>
        <w:rPr>
          <w:sz w:val="18"/>
          <w:szCs w:val="18"/>
        </w:rPr>
        <w:t>1</w:t>
      </w:r>
      <w:r w:rsidRPr="00CB7CCC">
        <w:rPr>
          <w:sz w:val="18"/>
          <w:szCs w:val="18"/>
        </w:rPr>
        <w:t xml:space="preserve"> was £</w:t>
      </w:r>
      <w:r>
        <w:rPr>
          <w:sz w:val="18"/>
          <w:szCs w:val="18"/>
        </w:rPr>
        <w:t>46.0</w:t>
      </w:r>
      <w:r w:rsidRPr="00CB7CCC">
        <w:rPr>
          <w:sz w:val="18"/>
          <w:szCs w:val="18"/>
        </w:rPr>
        <w:t>m, £</w:t>
      </w:r>
      <w:r>
        <w:rPr>
          <w:sz w:val="18"/>
          <w:szCs w:val="18"/>
        </w:rPr>
        <w:t>36.1</w:t>
      </w:r>
      <w:r w:rsidRPr="00CB7CCC">
        <w:rPr>
          <w:sz w:val="18"/>
          <w:szCs w:val="18"/>
        </w:rPr>
        <w:t>m lower than the position at 2</w:t>
      </w:r>
      <w:r>
        <w:rPr>
          <w:sz w:val="18"/>
          <w:szCs w:val="18"/>
        </w:rPr>
        <w:t>5</w:t>
      </w:r>
      <w:r w:rsidRPr="00CB7CCC">
        <w:rPr>
          <w:sz w:val="18"/>
          <w:szCs w:val="18"/>
        </w:rPr>
        <w:t xml:space="preserve"> September 20</w:t>
      </w:r>
      <w:r>
        <w:rPr>
          <w:sz w:val="18"/>
          <w:szCs w:val="18"/>
        </w:rPr>
        <w:t>20</w:t>
      </w:r>
      <w:r w:rsidRPr="00CB7CCC">
        <w:rPr>
          <w:sz w:val="18"/>
          <w:szCs w:val="18"/>
        </w:rPr>
        <w:t>. The net pension deficit after related deferred tax was £</w:t>
      </w:r>
      <w:r>
        <w:rPr>
          <w:sz w:val="18"/>
          <w:szCs w:val="18"/>
        </w:rPr>
        <w:t>29.3</w:t>
      </w:r>
      <w:r w:rsidRPr="00CB7CCC">
        <w:rPr>
          <w:sz w:val="18"/>
          <w:szCs w:val="18"/>
        </w:rPr>
        <w:t>m (FY</w:t>
      </w:r>
      <w:r>
        <w:rPr>
          <w:sz w:val="18"/>
          <w:szCs w:val="18"/>
        </w:rPr>
        <w:t>20</w:t>
      </w:r>
      <w:r w:rsidRPr="00CB7CCC">
        <w:rPr>
          <w:sz w:val="18"/>
          <w:szCs w:val="18"/>
        </w:rPr>
        <w:t>: £</w:t>
      </w:r>
      <w:r>
        <w:rPr>
          <w:sz w:val="18"/>
          <w:szCs w:val="18"/>
        </w:rPr>
        <w:t>63.</w:t>
      </w:r>
      <w:r w:rsidRPr="00CB7CCC">
        <w:rPr>
          <w:sz w:val="18"/>
          <w:szCs w:val="18"/>
        </w:rPr>
        <w:t>8m</w:t>
      </w:r>
      <w:r w:rsidRPr="00880F61">
        <w:rPr>
          <w:sz w:val="18"/>
          <w:szCs w:val="18"/>
        </w:rPr>
        <w:t>). The decrease in net pension deficit was driven principally by</w:t>
      </w:r>
      <w:r>
        <w:rPr>
          <w:sz w:val="18"/>
          <w:szCs w:val="18"/>
        </w:rPr>
        <w:t xml:space="preserve"> </w:t>
      </w:r>
      <w:r w:rsidRPr="0070139A">
        <w:rPr>
          <w:sz w:val="18"/>
          <w:szCs w:val="18"/>
        </w:rPr>
        <w:t xml:space="preserve">an actuarial gain on </w:t>
      </w:r>
      <w:r>
        <w:rPr>
          <w:sz w:val="18"/>
          <w:szCs w:val="18"/>
        </w:rPr>
        <w:t xml:space="preserve">assets and on </w:t>
      </w:r>
      <w:r w:rsidRPr="0070139A">
        <w:rPr>
          <w:sz w:val="18"/>
          <w:szCs w:val="18"/>
        </w:rPr>
        <w:t xml:space="preserve">liabilities arising from an increase in the discount rates used to value these </w:t>
      </w:r>
      <w:r>
        <w:rPr>
          <w:sz w:val="18"/>
          <w:szCs w:val="18"/>
        </w:rPr>
        <w:t xml:space="preserve">assets and </w:t>
      </w:r>
      <w:r w:rsidRPr="0070139A">
        <w:rPr>
          <w:sz w:val="18"/>
          <w:szCs w:val="18"/>
        </w:rPr>
        <w:t>liabilities. The movement in the discount rate is driven by the corporate bond rate.</w:t>
      </w:r>
    </w:p>
    <w:p w14:paraId="39CC858E" w14:textId="77777777" w:rsidR="00473DCA" w:rsidRPr="00CB7CCC" w:rsidRDefault="00473DCA" w:rsidP="00473DCA">
      <w:pPr>
        <w:adjustRightInd w:val="0"/>
        <w:jc w:val="both"/>
        <w:rPr>
          <w:sz w:val="18"/>
          <w:szCs w:val="18"/>
        </w:rPr>
      </w:pPr>
    </w:p>
    <w:p w14:paraId="762C5B45" w14:textId="77777777" w:rsidR="00473DCA" w:rsidRDefault="00473DCA" w:rsidP="00473DCA">
      <w:pPr>
        <w:adjustRightInd w:val="0"/>
        <w:jc w:val="both"/>
        <w:rPr>
          <w:sz w:val="18"/>
          <w:szCs w:val="18"/>
        </w:rPr>
      </w:pPr>
      <w:r w:rsidRPr="0070139A">
        <w:rPr>
          <w:sz w:val="18"/>
          <w:szCs w:val="18"/>
        </w:rPr>
        <w:t xml:space="preserve">In H1 21 the Group entered a formal agreement with the Trustees of the legacy defined benefit pension scheme in the UK to defer cash contributions to the pension for a further period of six months which resulted in a reduction of cash contributions in </w:t>
      </w:r>
      <w:r>
        <w:rPr>
          <w:sz w:val="18"/>
          <w:szCs w:val="18"/>
        </w:rPr>
        <w:t>FY</w:t>
      </w:r>
      <w:r w:rsidRPr="0070139A">
        <w:rPr>
          <w:sz w:val="18"/>
          <w:szCs w:val="18"/>
        </w:rPr>
        <w:t>21 of £</w:t>
      </w:r>
      <w:r>
        <w:rPr>
          <w:sz w:val="18"/>
          <w:szCs w:val="18"/>
        </w:rPr>
        <w:t>5.1</w:t>
      </w:r>
      <w:r w:rsidRPr="0070139A">
        <w:rPr>
          <w:sz w:val="18"/>
          <w:szCs w:val="18"/>
        </w:rPr>
        <w:t>m. Since the beginning of the pandemic to the date of this announcement, the Group has deferred cash contributions totalling £</w:t>
      </w:r>
      <w:r>
        <w:rPr>
          <w:sz w:val="18"/>
          <w:szCs w:val="18"/>
        </w:rPr>
        <w:t>10.0</w:t>
      </w:r>
      <w:r w:rsidRPr="0070139A">
        <w:rPr>
          <w:sz w:val="18"/>
          <w:szCs w:val="18"/>
        </w:rPr>
        <w:t xml:space="preserve">m. </w:t>
      </w:r>
    </w:p>
    <w:p w14:paraId="1EB6593C" w14:textId="77777777" w:rsidR="00473DCA" w:rsidRDefault="00473DCA" w:rsidP="008E46B3">
      <w:pPr>
        <w:adjustRightInd w:val="0"/>
        <w:jc w:val="both"/>
        <w:rPr>
          <w:sz w:val="18"/>
          <w:szCs w:val="18"/>
        </w:rPr>
      </w:pPr>
    </w:p>
    <w:p w14:paraId="548A0D51" w14:textId="6FE85463" w:rsidR="00473DCA" w:rsidRDefault="00473DCA" w:rsidP="008E46B3">
      <w:pPr>
        <w:adjustRightInd w:val="0"/>
        <w:jc w:val="both"/>
        <w:rPr>
          <w:sz w:val="18"/>
          <w:szCs w:val="18"/>
        </w:rPr>
      </w:pPr>
      <w:r w:rsidRPr="0070139A">
        <w:rPr>
          <w:sz w:val="18"/>
          <w:szCs w:val="18"/>
        </w:rPr>
        <w:t xml:space="preserve">The valuations and funding obligations of the Group’s legacy defined benefit pension schemes are assessed on a triennial basis with the relevant </w:t>
      </w:r>
      <w:r w:rsidR="005834A6">
        <w:rPr>
          <w:sz w:val="18"/>
          <w:szCs w:val="18"/>
        </w:rPr>
        <w:t>T</w:t>
      </w:r>
      <w:r w:rsidRPr="0070139A">
        <w:rPr>
          <w:sz w:val="18"/>
          <w:szCs w:val="18"/>
        </w:rPr>
        <w:t xml:space="preserve">rustees. During </w:t>
      </w:r>
      <w:r>
        <w:rPr>
          <w:sz w:val="18"/>
          <w:szCs w:val="18"/>
        </w:rPr>
        <w:t>H2 21</w:t>
      </w:r>
      <w:r w:rsidRPr="0070139A">
        <w:rPr>
          <w:sz w:val="18"/>
          <w:szCs w:val="18"/>
        </w:rPr>
        <w:t xml:space="preserve"> the Group concluded the latest assessment of the valuation and funding plan for its principal UK legacy defined benefit pension scheme. The Group expects the annual cash funding requirement for all schemes to be modestly below previously guided levels of £15m, inclusive of the cash contributions that were deferred over the course of the pandemic.</w:t>
      </w:r>
    </w:p>
    <w:p w14:paraId="4F2DB0F2" w14:textId="77777777" w:rsidR="00473DCA" w:rsidRDefault="00473DCA" w:rsidP="008E46B3">
      <w:pPr>
        <w:adjustRightInd w:val="0"/>
        <w:jc w:val="both"/>
        <w:rPr>
          <w:sz w:val="18"/>
          <w:szCs w:val="18"/>
        </w:rPr>
      </w:pPr>
    </w:p>
    <w:p w14:paraId="26EA098F" w14:textId="3EFA4018" w:rsidR="00473DCA" w:rsidRDefault="00473DCA" w:rsidP="008E46B3">
      <w:pPr>
        <w:adjustRightInd w:val="0"/>
        <w:jc w:val="both"/>
        <w:rPr>
          <w:sz w:val="18"/>
          <w:szCs w:val="18"/>
        </w:rPr>
      </w:pPr>
      <w:r w:rsidRPr="0070139A">
        <w:rPr>
          <w:sz w:val="18"/>
          <w:szCs w:val="18"/>
        </w:rPr>
        <w:t xml:space="preserve">In </w:t>
      </w:r>
      <w:r>
        <w:rPr>
          <w:sz w:val="18"/>
          <w:szCs w:val="18"/>
        </w:rPr>
        <w:t xml:space="preserve">FY21 </w:t>
      </w:r>
      <w:r w:rsidRPr="0070139A">
        <w:rPr>
          <w:sz w:val="18"/>
          <w:szCs w:val="18"/>
        </w:rPr>
        <w:t xml:space="preserve">the Group and </w:t>
      </w:r>
      <w:r w:rsidR="005834A6">
        <w:rPr>
          <w:sz w:val="18"/>
          <w:szCs w:val="18"/>
        </w:rPr>
        <w:t>T</w:t>
      </w:r>
      <w:r w:rsidRPr="0070139A">
        <w:rPr>
          <w:sz w:val="18"/>
          <w:szCs w:val="18"/>
        </w:rPr>
        <w:t xml:space="preserve">rustees of all three Irish </w:t>
      </w:r>
      <w:r>
        <w:rPr>
          <w:sz w:val="18"/>
          <w:szCs w:val="18"/>
        </w:rPr>
        <w:t xml:space="preserve">defined benefit </w:t>
      </w:r>
      <w:r w:rsidRPr="0070139A">
        <w:rPr>
          <w:sz w:val="18"/>
          <w:szCs w:val="18"/>
        </w:rPr>
        <w:t xml:space="preserve">schemes agreed a restructuring of its Irish pension schemes which included the agreement to wind up the two smaller schemes and to transfer certain assets and liabilities from those schemes to the principal scheme. Details of the restructuring are detailed in Note </w:t>
      </w:r>
      <w:r w:rsidR="00AD6E4F">
        <w:rPr>
          <w:sz w:val="18"/>
          <w:szCs w:val="18"/>
        </w:rPr>
        <w:t>9</w:t>
      </w:r>
      <w:r w:rsidR="00AD6E4F" w:rsidRPr="0070139A">
        <w:rPr>
          <w:sz w:val="18"/>
          <w:szCs w:val="18"/>
        </w:rPr>
        <w:t xml:space="preserve"> </w:t>
      </w:r>
      <w:r w:rsidRPr="0070139A">
        <w:rPr>
          <w:sz w:val="18"/>
          <w:szCs w:val="18"/>
        </w:rPr>
        <w:t xml:space="preserve">to the </w:t>
      </w:r>
      <w:r>
        <w:rPr>
          <w:sz w:val="18"/>
          <w:szCs w:val="18"/>
        </w:rPr>
        <w:t>Full Year Results Statement</w:t>
      </w:r>
      <w:r w:rsidRPr="0070139A">
        <w:rPr>
          <w:sz w:val="18"/>
          <w:szCs w:val="18"/>
        </w:rPr>
        <w:t>.</w:t>
      </w:r>
    </w:p>
    <w:p w14:paraId="7B7D7E06" w14:textId="77777777" w:rsidR="00473DCA" w:rsidRPr="00CB7CCC" w:rsidRDefault="00473DCA" w:rsidP="008E46B3">
      <w:pPr>
        <w:adjustRightInd w:val="0"/>
        <w:jc w:val="both"/>
        <w:rPr>
          <w:sz w:val="18"/>
          <w:szCs w:val="18"/>
        </w:rPr>
      </w:pPr>
    </w:p>
    <w:p w14:paraId="1858AC89" w14:textId="77777777" w:rsidR="00473DCA" w:rsidRPr="00CB7CCC" w:rsidRDefault="00473DCA" w:rsidP="008E46B3">
      <w:pPr>
        <w:spacing w:after="120"/>
        <w:jc w:val="both"/>
        <w:rPr>
          <w:rFonts w:cs="Arial"/>
          <w:b/>
          <w:sz w:val="18"/>
          <w:szCs w:val="18"/>
        </w:rPr>
      </w:pPr>
      <w:r w:rsidRPr="00CB7CCC">
        <w:rPr>
          <w:rFonts w:cs="Arial"/>
          <w:b/>
          <w:sz w:val="18"/>
          <w:szCs w:val="18"/>
        </w:rPr>
        <w:t>Dividends</w:t>
      </w:r>
    </w:p>
    <w:p w14:paraId="1CDFBD18" w14:textId="77777777" w:rsidR="00473DCA" w:rsidRDefault="00473DCA" w:rsidP="008E46B3">
      <w:pPr>
        <w:adjustRightInd w:val="0"/>
        <w:jc w:val="both"/>
        <w:rPr>
          <w:sz w:val="18"/>
          <w:szCs w:val="18"/>
        </w:rPr>
      </w:pPr>
      <w:r>
        <w:rPr>
          <w:sz w:val="18"/>
          <w:szCs w:val="18"/>
        </w:rPr>
        <w:t>The Group did not pay dividends to shareholders in the period.</w:t>
      </w:r>
    </w:p>
    <w:p w14:paraId="4E65F378" w14:textId="77777777" w:rsidR="002E2086" w:rsidRPr="00002662" w:rsidRDefault="002E2086" w:rsidP="008E46B3">
      <w:pPr>
        <w:adjustRightInd w:val="0"/>
        <w:jc w:val="both"/>
        <w:rPr>
          <w:sz w:val="18"/>
          <w:szCs w:val="18"/>
        </w:rPr>
      </w:pPr>
    </w:p>
    <w:p w14:paraId="383A33D0" w14:textId="77777777" w:rsidR="00473DCA" w:rsidRPr="003A653B" w:rsidRDefault="00473DCA" w:rsidP="008E46B3">
      <w:pPr>
        <w:spacing w:after="120"/>
        <w:jc w:val="both"/>
        <w:rPr>
          <w:rFonts w:cs="Arial"/>
          <w:b/>
          <w:sz w:val="18"/>
          <w:szCs w:val="18"/>
        </w:rPr>
      </w:pPr>
      <w:bookmarkStart w:id="9" w:name="_Hlk86313599"/>
      <w:r w:rsidRPr="003A653B">
        <w:rPr>
          <w:rFonts w:cs="Arial"/>
          <w:b/>
          <w:sz w:val="18"/>
          <w:szCs w:val="18"/>
        </w:rPr>
        <w:t>Principal risks and uncertainties</w:t>
      </w:r>
    </w:p>
    <w:p w14:paraId="2BE277A6" w14:textId="77777777" w:rsidR="00473DCA" w:rsidRPr="00347F14" w:rsidRDefault="00473DCA" w:rsidP="008E46B3">
      <w:pPr>
        <w:spacing w:after="120"/>
        <w:jc w:val="both"/>
        <w:rPr>
          <w:sz w:val="18"/>
          <w:szCs w:val="18"/>
          <w:lang w:val="en-IE"/>
        </w:rPr>
      </w:pPr>
      <w:r w:rsidRPr="00484EEE">
        <w:rPr>
          <w:sz w:val="18"/>
          <w:szCs w:val="18"/>
        </w:rPr>
        <w:t xml:space="preserve">There are a number of potential risks and uncertainties which could have a material impact on future Group performance and could cause actual results to differ materially from expected and historical results. The risks and uncertainties are described in detail in the section Risks and Risk Management in the Annual Report and Financial Statements for the year ended 24 September 2021 issued on 30 November 2021. </w:t>
      </w:r>
    </w:p>
    <w:bookmarkEnd w:id="9"/>
    <w:p w14:paraId="2A14E0EA" w14:textId="77777777" w:rsidR="000B6831" w:rsidRDefault="000B6831" w:rsidP="000B6831">
      <w:pPr>
        <w:spacing w:before="160"/>
        <w:rPr>
          <w:sz w:val="18"/>
          <w:szCs w:val="18"/>
        </w:rPr>
      </w:pPr>
      <w:r w:rsidRPr="00CB7CCC">
        <w:rPr>
          <w:b/>
          <w:sz w:val="18"/>
          <w:szCs w:val="18"/>
        </w:rPr>
        <w:lastRenderedPageBreak/>
        <w:t>P.G. Kennedy</w:t>
      </w:r>
      <w:r w:rsidRPr="00CB7CCC">
        <w:rPr>
          <w:sz w:val="18"/>
          <w:szCs w:val="18"/>
        </w:rPr>
        <w:br/>
        <w:t>Chair</w:t>
      </w:r>
      <w:r w:rsidRPr="00CB7CCC">
        <w:rPr>
          <w:sz w:val="18"/>
          <w:szCs w:val="18"/>
        </w:rPr>
        <w:br/>
        <w:t>Date</w:t>
      </w:r>
      <w:r>
        <w:rPr>
          <w:sz w:val="18"/>
          <w:szCs w:val="18"/>
        </w:rPr>
        <w:t>: 29</w:t>
      </w:r>
      <w:r w:rsidRPr="00CB7CCC">
        <w:rPr>
          <w:sz w:val="18"/>
          <w:szCs w:val="18"/>
        </w:rPr>
        <w:t xml:space="preserve"> November 202</w:t>
      </w:r>
      <w:r>
        <w:rPr>
          <w:sz w:val="18"/>
          <w:szCs w:val="18"/>
        </w:rPr>
        <w:t>1</w:t>
      </w:r>
    </w:p>
    <w:p w14:paraId="7E054107" w14:textId="77777777" w:rsidR="000B6831" w:rsidRDefault="000B6831" w:rsidP="00CB7CCC">
      <w:pPr>
        <w:rPr>
          <w:sz w:val="16"/>
          <w:szCs w:val="16"/>
        </w:rPr>
      </w:pPr>
    </w:p>
    <w:p w14:paraId="4A9E06AC" w14:textId="77777777" w:rsidR="009B1C1E" w:rsidRPr="00D72351" w:rsidRDefault="009B1C1E" w:rsidP="009B1C1E">
      <w:pPr>
        <w:spacing w:before="27"/>
        <w:ind w:left="20"/>
        <w:rPr>
          <w:b/>
          <w:color w:val="001F5F"/>
          <w:sz w:val="20"/>
          <w:szCs w:val="20"/>
        </w:rPr>
      </w:pPr>
      <w:r w:rsidRPr="00D72351">
        <w:rPr>
          <w:b/>
          <w:color w:val="001F5F"/>
          <w:sz w:val="20"/>
          <w:szCs w:val="20"/>
        </w:rPr>
        <w:t>GROUP INCOME STATEMENT</w:t>
      </w:r>
    </w:p>
    <w:p w14:paraId="2B72C808" w14:textId="77777777" w:rsidR="009B1C1E" w:rsidRPr="00D72351" w:rsidRDefault="009B1C1E" w:rsidP="009B1C1E">
      <w:pPr>
        <w:spacing w:before="27"/>
        <w:ind w:left="20"/>
        <w:rPr>
          <w:b/>
          <w:color w:val="001F5F"/>
          <w:sz w:val="20"/>
          <w:szCs w:val="20"/>
        </w:rPr>
      </w:pPr>
      <w:r>
        <w:rPr>
          <w:b/>
          <w:color w:val="001F5F"/>
          <w:sz w:val="20"/>
          <w:szCs w:val="20"/>
        </w:rPr>
        <w:t>For year ended 24 September 2021</w:t>
      </w:r>
    </w:p>
    <w:p w14:paraId="7B535937" w14:textId="77777777" w:rsidR="009B1C1E" w:rsidRDefault="009B1C1E" w:rsidP="006B1CD2">
      <w:pPr>
        <w:rPr>
          <w:sz w:val="16"/>
          <w:szCs w:val="16"/>
        </w:rPr>
      </w:pPr>
    </w:p>
    <w:tbl>
      <w:tblPr>
        <w:tblW w:w="10348" w:type="dxa"/>
        <w:tblLayout w:type="fixed"/>
        <w:tblLook w:val="04A0" w:firstRow="1" w:lastRow="0" w:firstColumn="1" w:lastColumn="0" w:noHBand="0" w:noVBand="1"/>
      </w:tblPr>
      <w:tblGrid>
        <w:gridCol w:w="2835"/>
        <w:gridCol w:w="681"/>
        <w:gridCol w:w="1138"/>
        <w:gridCol w:w="1139"/>
        <w:gridCol w:w="1139"/>
        <w:gridCol w:w="14"/>
        <w:gridCol w:w="1124"/>
        <w:gridCol w:w="1139"/>
        <w:gridCol w:w="1139"/>
      </w:tblGrid>
      <w:tr w:rsidR="005B36AA" w14:paraId="20E72A93" w14:textId="77777777" w:rsidTr="005B36AA">
        <w:tc>
          <w:tcPr>
            <w:tcW w:w="2835" w:type="dxa"/>
            <w:tcBorders>
              <w:top w:val="nil"/>
              <w:left w:val="nil"/>
              <w:bottom w:val="nil"/>
              <w:right w:val="nil"/>
            </w:tcBorders>
            <w:vAlign w:val="bottom"/>
          </w:tcPr>
          <w:p w14:paraId="571D56A6" w14:textId="77777777" w:rsidR="005B36AA" w:rsidRPr="00E8718C" w:rsidRDefault="005B36AA" w:rsidP="005B36AA">
            <w:pPr>
              <w:rPr>
                <w:sz w:val="18"/>
                <w:szCs w:val="18"/>
              </w:rPr>
            </w:pPr>
          </w:p>
        </w:tc>
        <w:tc>
          <w:tcPr>
            <w:tcW w:w="681" w:type="dxa"/>
            <w:tcBorders>
              <w:top w:val="nil"/>
              <w:left w:val="nil"/>
              <w:bottom w:val="nil"/>
              <w:right w:val="nil"/>
            </w:tcBorders>
            <w:vAlign w:val="bottom"/>
          </w:tcPr>
          <w:p w14:paraId="1B920F26" w14:textId="77777777" w:rsidR="005B36AA" w:rsidRPr="00D90904" w:rsidRDefault="005B36AA" w:rsidP="005B36AA">
            <w:pPr>
              <w:pStyle w:val="Subtitle"/>
            </w:pPr>
          </w:p>
        </w:tc>
        <w:tc>
          <w:tcPr>
            <w:tcW w:w="3430" w:type="dxa"/>
            <w:gridSpan w:val="4"/>
            <w:tcBorders>
              <w:top w:val="nil"/>
              <w:left w:val="nil"/>
              <w:bottom w:val="nil"/>
              <w:right w:val="nil"/>
            </w:tcBorders>
            <w:vAlign w:val="bottom"/>
          </w:tcPr>
          <w:p w14:paraId="4D5BED69" w14:textId="77777777" w:rsidR="005B36AA" w:rsidRPr="00E310CE" w:rsidRDefault="00416253" w:rsidP="005B36AA">
            <w:pPr>
              <w:pStyle w:val="Subtitle"/>
              <w:jc w:val="center"/>
            </w:pPr>
            <w:r>
              <w:t>2021</w:t>
            </w:r>
          </w:p>
        </w:tc>
        <w:tc>
          <w:tcPr>
            <w:tcW w:w="3402" w:type="dxa"/>
            <w:gridSpan w:val="3"/>
            <w:tcBorders>
              <w:top w:val="nil"/>
              <w:left w:val="nil"/>
              <w:bottom w:val="nil"/>
              <w:right w:val="nil"/>
            </w:tcBorders>
            <w:vAlign w:val="bottom"/>
          </w:tcPr>
          <w:p w14:paraId="5AAFAF5B" w14:textId="77777777" w:rsidR="005B36AA" w:rsidRPr="00D90904" w:rsidRDefault="00416253" w:rsidP="005B36AA">
            <w:pPr>
              <w:pStyle w:val="Subtitle"/>
              <w:tabs>
                <w:tab w:val="left" w:pos="2729"/>
                <w:tab w:val="left" w:pos="2940"/>
                <w:tab w:val="left" w:pos="3120"/>
              </w:tabs>
              <w:ind w:left="36"/>
              <w:jc w:val="center"/>
              <w:rPr>
                <w:b w:val="0"/>
              </w:rPr>
            </w:pPr>
            <w:r>
              <w:rPr>
                <w:b w:val="0"/>
              </w:rPr>
              <w:t xml:space="preserve"> 2020</w:t>
            </w:r>
          </w:p>
        </w:tc>
      </w:tr>
      <w:tr w:rsidR="005B36AA" w14:paraId="260CD899" w14:textId="77777777" w:rsidTr="005B36AA">
        <w:tc>
          <w:tcPr>
            <w:tcW w:w="2835" w:type="dxa"/>
            <w:tcBorders>
              <w:top w:val="nil"/>
              <w:left w:val="nil"/>
              <w:bottom w:val="nil"/>
              <w:right w:val="nil"/>
            </w:tcBorders>
            <w:vAlign w:val="bottom"/>
          </w:tcPr>
          <w:p w14:paraId="5F590E2F" w14:textId="77777777" w:rsidR="005B36AA" w:rsidRPr="00E8718C" w:rsidRDefault="005B36AA" w:rsidP="005B36AA">
            <w:pPr>
              <w:rPr>
                <w:sz w:val="18"/>
                <w:szCs w:val="18"/>
              </w:rPr>
            </w:pPr>
          </w:p>
        </w:tc>
        <w:tc>
          <w:tcPr>
            <w:tcW w:w="681" w:type="dxa"/>
            <w:tcBorders>
              <w:top w:val="nil"/>
              <w:left w:val="nil"/>
              <w:bottom w:val="nil"/>
              <w:right w:val="nil"/>
            </w:tcBorders>
            <w:vAlign w:val="bottom"/>
          </w:tcPr>
          <w:p w14:paraId="76821788" w14:textId="77777777" w:rsidR="005B36AA" w:rsidRPr="00D90904" w:rsidRDefault="005B36AA" w:rsidP="005B36AA">
            <w:pPr>
              <w:pStyle w:val="Subtitle"/>
            </w:pPr>
            <w:r w:rsidRPr="00D90904">
              <w:t>Notes</w:t>
            </w:r>
          </w:p>
        </w:tc>
        <w:tc>
          <w:tcPr>
            <w:tcW w:w="1138" w:type="dxa"/>
            <w:tcBorders>
              <w:top w:val="nil"/>
              <w:left w:val="nil"/>
              <w:bottom w:val="nil"/>
              <w:right w:val="nil"/>
            </w:tcBorders>
            <w:vAlign w:val="bottom"/>
          </w:tcPr>
          <w:p w14:paraId="77CDC346" w14:textId="77777777" w:rsidR="005B36AA" w:rsidRPr="00E310CE" w:rsidRDefault="005B36AA" w:rsidP="005B36AA">
            <w:pPr>
              <w:pStyle w:val="Subtitle"/>
            </w:pPr>
            <w:r w:rsidRPr="00E310CE">
              <w:t>Pre - exceptional</w:t>
            </w:r>
          </w:p>
        </w:tc>
        <w:tc>
          <w:tcPr>
            <w:tcW w:w="1139" w:type="dxa"/>
            <w:tcBorders>
              <w:top w:val="nil"/>
              <w:left w:val="nil"/>
              <w:bottom w:val="nil"/>
              <w:right w:val="nil"/>
            </w:tcBorders>
            <w:vAlign w:val="bottom"/>
          </w:tcPr>
          <w:p w14:paraId="2BC952D6" w14:textId="77777777" w:rsidR="005B36AA" w:rsidRPr="00E310CE" w:rsidRDefault="005B36AA" w:rsidP="005B36AA">
            <w:pPr>
              <w:pStyle w:val="Subtitle"/>
            </w:pPr>
            <w:r w:rsidRPr="00E310CE">
              <w:t>Exceptional</w:t>
            </w:r>
            <w:r w:rsidRPr="00E310CE">
              <w:br/>
              <w:t xml:space="preserve">(Note </w:t>
            </w:r>
            <w:r w:rsidR="003F4CA8">
              <w:t>4</w:t>
            </w:r>
            <w:r w:rsidRPr="00E310CE">
              <w:t>)</w:t>
            </w:r>
          </w:p>
        </w:tc>
        <w:tc>
          <w:tcPr>
            <w:tcW w:w="1139" w:type="dxa"/>
            <w:tcBorders>
              <w:top w:val="nil"/>
              <w:left w:val="nil"/>
              <w:bottom w:val="nil"/>
              <w:right w:val="nil"/>
            </w:tcBorders>
            <w:vAlign w:val="bottom"/>
          </w:tcPr>
          <w:p w14:paraId="657B9FB3" w14:textId="77777777" w:rsidR="005B36AA" w:rsidRPr="00E310CE" w:rsidRDefault="005B36AA" w:rsidP="005B36AA">
            <w:pPr>
              <w:pStyle w:val="Subtitle"/>
              <w:ind w:left="206"/>
            </w:pPr>
            <w:r w:rsidRPr="00E310CE">
              <w:t>Total</w:t>
            </w:r>
          </w:p>
        </w:tc>
        <w:tc>
          <w:tcPr>
            <w:tcW w:w="1138" w:type="dxa"/>
            <w:gridSpan w:val="2"/>
            <w:tcBorders>
              <w:top w:val="nil"/>
              <w:left w:val="nil"/>
              <w:bottom w:val="nil"/>
              <w:right w:val="nil"/>
            </w:tcBorders>
            <w:vAlign w:val="bottom"/>
          </w:tcPr>
          <w:p w14:paraId="52AA8C90" w14:textId="77777777" w:rsidR="005B36AA" w:rsidRPr="00D90904" w:rsidRDefault="005B36AA" w:rsidP="005B36AA">
            <w:pPr>
              <w:pStyle w:val="Subtitle"/>
              <w:rPr>
                <w:b w:val="0"/>
              </w:rPr>
            </w:pPr>
            <w:r>
              <w:rPr>
                <w:b w:val="0"/>
              </w:rPr>
              <w:t>Pre - exceptional</w:t>
            </w:r>
          </w:p>
        </w:tc>
        <w:tc>
          <w:tcPr>
            <w:tcW w:w="1139" w:type="dxa"/>
            <w:tcBorders>
              <w:top w:val="nil"/>
              <w:left w:val="nil"/>
              <w:bottom w:val="nil"/>
              <w:right w:val="nil"/>
            </w:tcBorders>
            <w:vAlign w:val="bottom"/>
          </w:tcPr>
          <w:p w14:paraId="73DF57C9" w14:textId="77777777" w:rsidR="005B36AA" w:rsidRPr="00D90904" w:rsidRDefault="005B36AA" w:rsidP="005B36AA">
            <w:pPr>
              <w:pStyle w:val="Subtitle"/>
              <w:rPr>
                <w:b w:val="0"/>
              </w:rPr>
            </w:pPr>
            <w:r>
              <w:rPr>
                <w:b w:val="0"/>
              </w:rPr>
              <w:t>Exceptional</w:t>
            </w:r>
            <w:r>
              <w:rPr>
                <w:b w:val="0"/>
              </w:rPr>
              <w:br/>
              <w:t xml:space="preserve">(Note </w:t>
            </w:r>
            <w:r w:rsidR="003F4CA8">
              <w:rPr>
                <w:b w:val="0"/>
              </w:rPr>
              <w:t>4</w:t>
            </w:r>
            <w:r>
              <w:rPr>
                <w:b w:val="0"/>
              </w:rPr>
              <w:t xml:space="preserve">) </w:t>
            </w:r>
          </w:p>
        </w:tc>
        <w:tc>
          <w:tcPr>
            <w:tcW w:w="1139" w:type="dxa"/>
            <w:tcBorders>
              <w:top w:val="nil"/>
              <w:left w:val="nil"/>
              <w:bottom w:val="nil"/>
              <w:right w:val="nil"/>
            </w:tcBorders>
            <w:vAlign w:val="bottom"/>
          </w:tcPr>
          <w:p w14:paraId="5A37B44D" w14:textId="77777777" w:rsidR="005B36AA" w:rsidRPr="00D90904" w:rsidRDefault="005B36AA" w:rsidP="005B36AA">
            <w:pPr>
              <w:pStyle w:val="Subtitle"/>
              <w:rPr>
                <w:b w:val="0"/>
              </w:rPr>
            </w:pPr>
            <w:r>
              <w:rPr>
                <w:b w:val="0"/>
              </w:rPr>
              <w:t>Total</w:t>
            </w:r>
          </w:p>
        </w:tc>
      </w:tr>
      <w:tr w:rsidR="005B36AA" w14:paraId="6988B99E" w14:textId="77777777" w:rsidTr="005B36AA">
        <w:tc>
          <w:tcPr>
            <w:tcW w:w="2835" w:type="dxa"/>
            <w:tcBorders>
              <w:top w:val="nil"/>
              <w:left w:val="nil"/>
              <w:bottom w:val="single" w:sz="4" w:space="0" w:color="auto"/>
              <w:right w:val="nil"/>
            </w:tcBorders>
            <w:shd w:val="clear" w:color="auto" w:fill="auto"/>
            <w:vAlign w:val="bottom"/>
          </w:tcPr>
          <w:p w14:paraId="55DE2B44" w14:textId="77777777" w:rsidR="005B36AA" w:rsidRPr="00E8718C" w:rsidRDefault="005B36AA" w:rsidP="005B36AA">
            <w:pPr>
              <w:rPr>
                <w:sz w:val="18"/>
                <w:szCs w:val="18"/>
              </w:rPr>
            </w:pPr>
          </w:p>
        </w:tc>
        <w:tc>
          <w:tcPr>
            <w:tcW w:w="681" w:type="dxa"/>
            <w:tcBorders>
              <w:top w:val="nil"/>
              <w:left w:val="nil"/>
              <w:bottom w:val="single" w:sz="4" w:space="0" w:color="auto"/>
              <w:right w:val="nil"/>
            </w:tcBorders>
            <w:shd w:val="clear" w:color="auto" w:fill="auto"/>
            <w:vAlign w:val="bottom"/>
          </w:tcPr>
          <w:p w14:paraId="472EA6B2" w14:textId="77777777" w:rsidR="005B36AA" w:rsidRPr="00E8718C" w:rsidRDefault="005B36AA" w:rsidP="005B36AA">
            <w:pPr>
              <w:pStyle w:val="Subtitle"/>
            </w:pPr>
          </w:p>
        </w:tc>
        <w:tc>
          <w:tcPr>
            <w:tcW w:w="1138" w:type="dxa"/>
            <w:tcBorders>
              <w:top w:val="nil"/>
              <w:left w:val="nil"/>
              <w:bottom w:val="single" w:sz="4" w:space="0" w:color="auto"/>
              <w:right w:val="nil"/>
            </w:tcBorders>
            <w:shd w:val="clear" w:color="auto" w:fill="auto"/>
            <w:vAlign w:val="bottom"/>
          </w:tcPr>
          <w:p w14:paraId="63BDD015" w14:textId="77777777" w:rsidR="005B36AA" w:rsidRPr="00E310CE" w:rsidRDefault="005B36AA" w:rsidP="005B36AA">
            <w:pPr>
              <w:pStyle w:val="Subtitle"/>
            </w:pPr>
            <w:r w:rsidRPr="00E310CE">
              <w:t>£m</w:t>
            </w:r>
          </w:p>
        </w:tc>
        <w:tc>
          <w:tcPr>
            <w:tcW w:w="1139" w:type="dxa"/>
            <w:tcBorders>
              <w:top w:val="nil"/>
              <w:left w:val="nil"/>
              <w:bottom w:val="single" w:sz="4" w:space="0" w:color="auto"/>
              <w:right w:val="nil"/>
            </w:tcBorders>
            <w:shd w:val="clear" w:color="auto" w:fill="auto"/>
            <w:vAlign w:val="bottom"/>
          </w:tcPr>
          <w:p w14:paraId="03E4922B" w14:textId="77777777" w:rsidR="005B36AA" w:rsidRPr="00E310CE" w:rsidRDefault="005B36AA" w:rsidP="005B36AA">
            <w:pPr>
              <w:pStyle w:val="Subtitle"/>
            </w:pPr>
            <w:r w:rsidRPr="00E310CE">
              <w:t>£m</w:t>
            </w:r>
          </w:p>
        </w:tc>
        <w:tc>
          <w:tcPr>
            <w:tcW w:w="1139" w:type="dxa"/>
            <w:tcBorders>
              <w:top w:val="nil"/>
              <w:left w:val="nil"/>
              <w:bottom w:val="single" w:sz="4" w:space="0" w:color="auto"/>
              <w:right w:val="nil"/>
            </w:tcBorders>
            <w:shd w:val="clear" w:color="auto" w:fill="auto"/>
            <w:vAlign w:val="bottom"/>
          </w:tcPr>
          <w:p w14:paraId="72C83B9B" w14:textId="77777777" w:rsidR="005B36AA" w:rsidRPr="00E310CE" w:rsidRDefault="005B36AA" w:rsidP="005B36AA">
            <w:pPr>
              <w:pStyle w:val="Subtitle"/>
            </w:pPr>
            <w:r w:rsidRPr="00E310CE">
              <w:t>£m</w:t>
            </w:r>
          </w:p>
        </w:tc>
        <w:tc>
          <w:tcPr>
            <w:tcW w:w="1138" w:type="dxa"/>
            <w:gridSpan w:val="2"/>
            <w:tcBorders>
              <w:top w:val="nil"/>
              <w:left w:val="nil"/>
              <w:bottom w:val="single" w:sz="4" w:space="0" w:color="auto"/>
              <w:right w:val="nil"/>
            </w:tcBorders>
            <w:shd w:val="clear" w:color="auto" w:fill="auto"/>
            <w:vAlign w:val="bottom"/>
          </w:tcPr>
          <w:p w14:paraId="06A3AE29" w14:textId="77777777" w:rsidR="005B36AA" w:rsidRPr="00D90904" w:rsidRDefault="005B36AA" w:rsidP="005B36AA">
            <w:pPr>
              <w:pStyle w:val="Subtitle"/>
              <w:rPr>
                <w:b w:val="0"/>
              </w:rPr>
            </w:pPr>
            <w:r w:rsidRPr="00D90904">
              <w:rPr>
                <w:b w:val="0"/>
              </w:rPr>
              <w:t>£m</w:t>
            </w:r>
          </w:p>
        </w:tc>
        <w:tc>
          <w:tcPr>
            <w:tcW w:w="1139" w:type="dxa"/>
            <w:tcBorders>
              <w:top w:val="nil"/>
              <w:left w:val="nil"/>
              <w:bottom w:val="single" w:sz="4" w:space="0" w:color="auto"/>
              <w:right w:val="nil"/>
            </w:tcBorders>
            <w:shd w:val="clear" w:color="auto" w:fill="auto"/>
            <w:vAlign w:val="bottom"/>
          </w:tcPr>
          <w:p w14:paraId="505D1051" w14:textId="77777777" w:rsidR="005B36AA" w:rsidRPr="00D90904" w:rsidRDefault="005B36AA" w:rsidP="005B36AA">
            <w:pPr>
              <w:pStyle w:val="Subtitle"/>
              <w:rPr>
                <w:b w:val="0"/>
              </w:rPr>
            </w:pPr>
            <w:r w:rsidRPr="00D90904">
              <w:rPr>
                <w:b w:val="0"/>
              </w:rPr>
              <w:t>£m</w:t>
            </w:r>
          </w:p>
        </w:tc>
        <w:tc>
          <w:tcPr>
            <w:tcW w:w="1139" w:type="dxa"/>
            <w:tcBorders>
              <w:top w:val="nil"/>
              <w:left w:val="nil"/>
              <w:bottom w:val="single" w:sz="4" w:space="0" w:color="auto"/>
              <w:right w:val="nil"/>
            </w:tcBorders>
            <w:shd w:val="clear" w:color="auto" w:fill="auto"/>
            <w:vAlign w:val="bottom"/>
          </w:tcPr>
          <w:p w14:paraId="1D47E0D3" w14:textId="77777777" w:rsidR="005B36AA" w:rsidRPr="00D90904" w:rsidRDefault="005B36AA" w:rsidP="005B36AA">
            <w:pPr>
              <w:pStyle w:val="Subtitle"/>
              <w:rPr>
                <w:b w:val="0"/>
              </w:rPr>
            </w:pPr>
            <w:r w:rsidRPr="00D90904">
              <w:rPr>
                <w:b w:val="0"/>
              </w:rPr>
              <w:t>£m</w:t>
            </w:r>
          </w:p>
        </w:tc>
      </w:tr>
      <w:tr w:rsidR="005B36AA" w14:paraId="3CCB22DA" w14:textId="77777777" w:rsidTr="005B36AA">
        <w:tc>
          <w:tcPr>
            <w:tcW w:w="10348" w:type="dxa"/>
            <w:gridSpan w:val="9"/>
            <w:tcBorders>
              <w:top w:val="single" w:sz="4" w:space="0" w:color="auto"/>
              <w:left w:val="nil"/>
              <w:bottom w:val="nil"/>
              <w:right w:val="nil"/>
            </w:tcBorders>
            <w:vAlign w:val="bottom"/>
          </w:tcPr>
          <w:p w14:paraId="3D45E0BA" w14:textId="77777777" w:rsidR="005B36AA" w:rsidRPr="008C0A7B" w:rsidRDefault="005B36AA" w:rsidP="005B36AA">
            <w:pPr>
              <w:pStyle w:val="TableRowHead"/>
              <w:rPr>
                <w:b/>
              </w:rPr>
            </w:pPr>
          </w:p>
        </w:tc>
      </w:tr>
      <w:tr w:rsidR="00416253" w:rsidRPr="00CD4C0F" w14:paraId="21D1B8ED" w14:textId="77777777" w:rsidTr="00416253">
        <w:tc>
          <w:tcPr>
            <w:tcW w:w="2835" w:type="dxa"/>
            <w:tcBorders>
              <w:top w:val="nil"/>
              <w:left w:val="nil"/>
              <w:bottom w:val="nil"/>
              <w:right w:val="nil"/>
            </w:tcBorders>
            <w:vAlign w:val="bottom"/>
          </w:tcPr>
          <w:p w14:paraId="5804D285" w14:textId="77777777" w:rsidR="00416253" w:rsidRPr="00C65534" w:rsidRDefault="00416253" w:rsidP="00416253">
            <w:pPr>
              <w:pStyle w:val="TableRowHead"/>
            </w:pPr>
            <w:r w:rsidRPr="00C65534">
              <w:t>Revenue</w:t>
            </w:r>
          </w:p>
        </w:tc>
        <w:tc>
          <w:tcPr>
            <w:tcW w:w="681" w:type="dxa"/>
            <w:tcBorders>
              <w:top w:val="nil"/>
              <w:left w:val="nil"/>
              <w:bottom w:val="nil"/>
              <w:right w:val="nil"/>
            </w:tcBorders>
            <w:vAlign w:val="bottom"/>
          </w:tcPr>
          <w:p w14:paraId="4C0D238A" w14:textId="77777777" w:rsidR="00416253" w:rsidRPr="00211290" w:rsidRDefault="00416253" w:rsidP="00416253">
            <w:pPr>
              <w:pStyle w:val="T2"/>
            </w:pPr>
            <w:r w:rsidRPr="00211290">
              <w:t>2</w:t>
            </w:r>
          </w:p>
        </w:tc>
        <w:tc>
          <w:tcPr>
            <w:tcW w:w="1138" w:type="dxa"/>
            <w:tcBorders>
              <w:top w:val="nil"/>
              <w:left w:val="nil"/>
              <w:bottom w:val="nil"/>
              <w:right w:val="nil"/>
            </w:tcBorders>
            <w:vAlign w:val="bottom"/>
          </w:tcPr>
          <w:p w14:paraId="2F193C33" w14:textId="77777777" w:rsidR="00416253" w:rsidRPr="00E310CE" w:rsidRDefault="0022291E" w:rsidP="00416253">
            <w:pPr>
              <w:pStyle w:val="T2"/>
              <w:rPr>
                <w:b/>
              </w:rPr>
            </w:pPr>
            <w:r>
              <w:rPr>
                <w:b/>
              </w:rPr>
              <w:t>1,324.8</w:t>
            </w:r>
          </w:p>
        </w:tc>
        <w:tc>
          <w:tcPr>
            <w:tcW w:w="1139" w:type="dxa"/>
            <w:tcBorders>
              <w:top w:val="nil"/>
              <w:left w:val="nil"/>
              <w:bottom w:val="nil"/>
              <w:right w:val="nil"/>
            </w:tcBorders>
            <w:vAlign w:val="bottom"/>
          </w:tcPr>
          <w:p w14:paraId="76274CE9" w14:textId="77777777" w:rsidR="00416253" w:rsidRPr="0022291E" w:rsidRDefault="0022291E" w:rsidP="00416253">
            <w:pPr>
              <w:pStyle w:val="T2"/>
              <w:rPr>
                <w:b/>
              </w:rPr>
            </w:pPr>
            <w:r w:rsidRPr="0022291E">
              <w:rPr>
                <w:rFonts w:cstheme="minorHAnsi"/>
                <w:b/>
              </w:rPr>
              <w:t>–</w:t>
            </w:r>
          </w:p>
        </w:tc>
        <w:tc>
          <w:tcPr>
            <w:tcW w:w="1139" w:type="dxa"/>
            <w:tcBorders>
              <w:top w:val="nil"/>
              <w:left w:val="nil"/>
              <w:bottom w:val="nil"/>
              <w:right w:val="nil"/>
            </w:tcBorders>
            <w:vAlign w:val="bottom"/>
          </w:tcPr>
          <w:p w14:paraId="5CBE856C" w14:textId="77777777" w:rsidR="00416253" w:rsidRPr="00E310CE" w:rsidRDefault="0022291E" w:rsidP="00416253">
            <w:pPr>
              <w:pStyle w:val="T2"/>
              <w:rPr>
                <w:b/>
              </w:rPr>
            </w:pPr>
            <w:r>
              <w:rPr>
                <w:b/>
              </w:rPr>
              <w:t>1,324.8</w:t>
            </w:r>
          </w:p>
        </w:tc>
        <w:tc>
          <w:tcPr>
            <w:tcW w:w="1138" w:type="dxa"/>
            <w:gridSpan w:val="2"/>
            <w:tcBorders>
              <w:top w:val="nil"/>
              <w:left w:val="nil"/>
              <w:bottom w:val="nil"/>
              <w:right w:val="nil"/>
            </w:tcBorders>
            <w:vAlign w:val="bottom"/>
          </w:tcPr>
          <w:p w14:paraId="141166F7" w14:textId="77777777" w:rsidR="00416253" w:rsidRPr="00416253" w:rsidRDefault="00416253" w:rsidP="00416253">
            <w:pPr>
              <w:jc w:val="right"/>
              <w:rPr>
                <w:rFonts w:asciiTheme="minorHAnsi" w:hAnsiTheme="minorHAnsi" w:cstheme="minorHAnsi"/>
                <w:sz w:val="18"/>
                <w:szCs w:val="18"/>
              </w:rPr>
            </w:pPr>
            <w:r w:rsidRPr="00416253">
              <w:rPr>
                <w:rFonts w:asciiTheme="minorHAnsi" w:hAnsiTheme="minorHAnsi" w:cstheme="minorHAnsi"/>
                <w:sz w:val="18"/>
                <w:szCs w:val="18"/>
              </w:rPr>
              <w:t>1,264.7</w:t>
            </w:r>
          </w:p>
        </w:tc>
        <w:tc>
          <w:tcPr>
            <w:tcW w:w="1139" w:type="dxa"/>
            <w:tcBorders>
              <w:top w:val="nil"/>
              <w:left w:val="nil"/>
              <w:bottom w:val="nil"/>
              <w:right w:val="nil"/>
            </w:tcBorders>
            <w:vAlign w:val="bottom"/>
          </w:tcPr>
          <w:p w14:paraId="7AA7C654" w14:textId="77777777" w:rsidR="00416253" w:rsidRPr="00416253" w:rsidRDefault="00416253" w:rsidP="00416253">
            <w:pPr>
              <w:jc w:val="right"/>
              <w:rPr>
                <w:rFonts w:asciiTheme="minorHAnsi" w:hAnsiTheme="minorHAnsi" w:cstheme="minorHAnsi"/>
                <w:sz w:val="18"/>
                <w:szCs w:val="18"/>
              </w:rPr>
            </w:pPr>
            <w:r w:rsidRPr="00416253">
              <w:rPr>
                <w:rFonts w:asciiTheme="minorHAnsi" w:hAnsiTheme="minorHAnsi" w:cstheme="minorHAnsi"/>
                <w:sz w:val="18"/>
                <w:szCs w:val="18"/>
              </w:rPr>
              <w:t>–</w:t>
            </w:r>
          </w:p>
        </w:tc>
        <w:tc>
          <w:tcPr>
            <w:tcW w:w="1139" w:type="dxa"/>
            <w:tcBorders>
              <w:top w:val="nil"/>
              <w:left w:val="nil"/>
              <w:bottom w:val="nil"/>
              <w:right w:val="nil"/>
            </w:tcBorders>
            <w:vAlign w:val="bottom"/>
          </w:tcPr>
          <w:p w14:paraId="117071FD" w14:textId="77777777" w:rsidR="00416253" w:rsidRPr="00416253" w:rsidRDefault="00416253" w:rsidP="00416253">
            <w:pPr>
              <w:jc w:val="right"/>
              <w:rPr>
                <w:rFonts w:asciiTheme="minorHAnsi" w:hAnsiTheme="minorHAnsi" w:cstheme="minorHAnsi"/>
                <w:sz w:val="18"/>
                <w:szCs w:val="18"/>
              </w:rPr>
            </w:pPr>
            <w:r w:rsidRPr="00416253">
              <w:rPr>
                <w:rFonts w:asciiTheme="minorHAnsi" w:hAnsiTheme="minorHAnsi" w:cstheme="minorHAnsi"/>
                <w:sz w:val="18"/>
                <w:szCs w:val="18"/>
              </w:rPr>
              <w:t>1,264.7</w:t>
            </w:r>
          </w:p>
        </w:tc>
      </w:tr>
      <w:tr w:rsidR="00416253" w14:paraId="7101C423" w14:textId="77777777" w:rsidTr="00416253">
        <w:tc>
          <w:tcPr>
            <w:tcW w:w="2835" w:type="dxa"/>
            <w:tcBorders>
              <w:top w:val="nil"/>
              <w:left w:val="nil"/>
              <w:bottom w:val="single" w:sz="4" w:space="0" w:color="auto"/>
              <w:right w:val="nil"/>
            </w:tcBorders>
            <w:vAlign w:val="bottom"/>
          </w:tcPr>
          <w:p w14:paraId="05B0108D" w14:textId="77777777" w:rsidR="00416253" w:rsidRPr="00C65534" w:rsidRDefault="00416253" w:rsidP="00416253">
            <w:pPr>
              <w:pStyle w:val="TableRowHead"/>
            </w:pPr>
            <w:r w:rsidRPr="00C65534">
              <w:t>Cost of sales</w:t>
            </w:r>
          </w:p>
        </w:tc>
        <w:tc>
          <w:tcPr>
            <w:tcW w:w="681" w:type="dxa"/>
            <w:tcBorders>
              <w:top w:val="nil"/>
              <w:left w:val="nil"/>
              <w:bottom w:val="single" w:sz="4" w:space="0" w:color="auto"/>
              <w:right w:val="nil"/>
            </w:tcBorders>
            <w:vAlign w:val="bottom"/>
          </w:tcPr>
          <w:p w14:paraId="4E77AA64" w14:textId="77777777" w:rsidR="00416253" w:rsidRPr="00211290" w:rsidRDefault="00416253" w:rsidP="00416253">
            <w:pPr>
              <w:jc w:val="right"/>
              <w:rPr>
                <w:sz w:val="18"/>
                <w:szCs w:val="18"/>
              </w:rPr>
            </w:pPr>
          </w:p>
        </w:tc>
        <w:tc>
          <w:tcPr>
            <w:tcW w:w="1138" w:type="dxa"/>
            <w:tcBorders>
              <w:top w:val="nil"/>
              <w:left w:val="nil"/>
              <w:bottom w:val="single" w:sz="4" w:space="0" w:color="auto"/>
              <w:right w:val="nil"/>
            </w:tcBorders>
            <w:vAlign w:val="bottom"/>
          </w:tcPr>
          <w:p w14:paraId="5FD0AEDE" w14:textId="77777777" w:rsidR="00416253" w:rsidRPr="00E310CE" w:rsidRDefault="0022291E" w:rsidP="008F1237">
            <w:pPr>
              <w:pStyle w:val="T2"/>
              <w:rPr>
                <w:b/>
              </w:rPr>
            </w:pPr>
            <w:r>
              <w:rPr>
                <w:b/>
              </w:rPr>
              <w:t>(90</w:t>
            </w:r>
            <w:r w:rsidR="008F1237">
              <w:rPr>
                <w:b/>
              </w:rPr>
              <w:t>1.9</w:t>
            </w:r>
            <w:r>
              <w:rPr>
                <w:b/>
              </w:rPr>
              <w:t>)</w:t>
            </w:r>
          </w:p>
        </w:tc>
        <w:tc>
          <w:tcPr>
            <w:tcW w:w="1139" w:type="dxa"/>
            <w:tcBorders>
              <w:top w:val="nil"/>
              <w:left w:val="nil"/>
              <w:bottom w:val="single" w:sz="4" w:space="0" w:color="auto"/>
              <w:right w:val="nil"/>
            </w:tcBorders>
            <w:vAlign w:val="bottom"/>
          </w:tcPr>
          <w:p w14:paraId="63D1741B" w14:textId="77777777" w:rsidR="00416253" w:rsidRPr="00E310CE" w:rsidRDefault="0022291E" w:rsidP="00416253">
            <w:pPr>
              <w:pStyle w:val="T2"/>
              <w:rPr>
                <w:b/>
              </w:rPr>
            </w:pPr>
            <w:r w:rsidRPr="0022291E">
              <w:rPr>
                <w:rFonts w:cstheme="minorHAnsi"/>
                <w:b/>
              </w:rPr>
              <w:t>–</w:t>
            </w:r>
          </w:p>
        </w:tc>
        <w:tc>
          <w:tcPr>
            <w:tcW w:w="1139" w:type="dxa"/>
            <w:tcBorders>
              <w:top w:val="nil"/>
              <w:left w:val="nil"/>
              <w:bottom w:val="single" w:sz="4" w:space="0" w:color="auto"/>
              <w:right w:val="nil"/>
            </w:tcBorders>
            <w:vAlign w:val="bottom"/>
          </w:tcPr>
          <w:p w14:paraId="75601A81" w14:textId="77777777" w:rsidR="00416253" w:rsidRPr="00E310CE" w:rsidRDefault="0022291E" w:rsidP="008F1237">
            <w:pPr>
              <w:pStyle w:val="T2"/>
              <w:rPr>
                <w:b/>
              </w:rPr>
            </w:pPr>
            <w:r>
              <w:rPr>
                <w:b/>
              </w:rPr>
              <w:t>(90</w:t>
            </w:r>
            <w:r w:rsidR="008F1237">
              <w:rPr>
                <w:b/>
              </w:rPr>
              <w:t>1.9</w:t>
            </w:r>
            <w:r>
              <w:rPr>
                <w:b/>
              </w:rPr>
              <w:t>)</w:t>
            </w:r>
          </w:p>
        </w:tc>
        <w:tc>
          <w:tcPr>
            <w:tcW w:w="1138" w:type="dxa"/>
            <w:gridSpan w:val="2"/>
            <w:tcBorders>
              <w:top w:val="nil"/>
              <w:left w:val="nil"/>
              <w:bottom w:val="single" w:sz="4" w:space="0" w:color="auto"/>
              <w:right w:val="nil"/>
            </w:tcBorders>
            <w:vAlign w:val="bottom"/>
          </w:tcPr>
          <w:p w14:paraId="02E5B9E2" w14:textId="77777777" w:rsidR="00416253" w:rsidRPr="00416253" w:rsidRDefault="00416253" w:rsidP="00416253">
            <w:pPr>
              <w:jc w:val="right"/>
              <w:rPr>
                <w:rFonts w:asciiTheme="minorHAnsi" w:hAnsiTheme="minorHAnsi" w:cstheme="minorHAnsi"/>
                <w:sz w:val="18"/>
                <w:szCs w:val="18"/>
              </w:rPr>
            </w:pPr>
            <w:r w:rsidRPr="00416253">
              <w:rPr>
                <w:rFonts w:asciiTheme="minorHAnsi" w:hAnsiTheme="minorHAnsi" w:cstheme="minorHAnsi"/>
                <w:sz w:val="18"/>
                <w:szCs w:val="18"/>
              </w:rPr>
              <w:t>(859.5)</w:t>
            </w:r>
          </w:p>
        </w:tc>
        <w:tc>
          <w:tcPr>
            <w:tcW w:w="1139" w:type="dxa"/>
            <w:tcBorders>
              <w:top w:val="nil"/>
              <w:left w:val="nil"/>
              <w:bottom w:val="single" w:sz="4" w:space="0" w:color="auto"/>
              <w:right w:val="nil"/>
            </w:tcBorders>
            <w:vAlign w:val="bottom"/>
          </w:tcPr>
          <w:p w14:paraId="4218BFAF" w14:textId="77777777" w:rsidR="00416253" w:rsidRPr="00416253" w:rsidRDefault="00416253" w:rsidP="00416253">
            <w:pPr>
              <w:jc w:val="right"/>
              <w:rPr>
                <w:rFonts w:asciiTheme="minorHAnsi" w:hAnsiTheme="minorHAnsi" w:cstheme="minorHAnsi"/>
                <w:sz w:val="18"/>
                <w:szCs w:val="18"/>
              </w:rPr>
            </w:pPr>
            <w:r w:rsidRPr="00416253">
              <w:rPr>
                <w:rFonts w:asciiTheme="minorHAnsi" w:hAnsiTheme="minorHAnsi" w:cstheme="minorHAnsi"/>
                <w:sz w:val="18"/>
                <w:szCs w:val="18"/>
              </w:rPr>
              <w:t>(2.9)</w:t>
            </w:r>
          </w:p>
        </w:tc>
        <w:tc>
          <w:tcPr>
            <w:tcW w:w="1139" w:type="dxa"/>
            <w:tcBorders>
              <w:top w:val="nil"/>
              <w:left w:val="nil"/>
              <w:bottom w:val="single" w:sz="4" w:space="0" w:color="auto"/>
              <w:right w:val="nil"/>
            </w:tcBorders>
            <w:vAlign w:val="bottom"/>
          </w:tcPr>
          <w:p w14:paraId="4A7E7956" w14:textId="77777777" w:rsidR="00416253" w:rsidRPr="00416253" w:rsidRDefault="00416253" w:rsidP="00416253">
            <w:pPr>
              <w:jc w:val="right"/>
              <w:rPr>
                <w:rFonts w:asciiTheme="minorHAnsi" w:hAnsiTheme="minorHAnsi" w:cstheme="minorHAnsi"/>
                <w:sz w:val="18"/>
                <w:szCs w:val="18"/>
              </w:rPr>
            </w:pPr>
            <w:r w:rsidRPr="00416253">
              <w:rPr>
                <w:rFonts w:asciiTheme="minorHAnsi" w:hAnsiTheme="minorHAnsi" w:cstheme="minorHAnsi"/>
                <w:sz w:val="18"/>
                <w:szCs w:val="18"/>
              </w:rPr>
              <w:t>(862.4)</w:t>
            </w:r>
          </w:p>
        </w:tc>
      </w:tr>
      <w:tr w:rsidR="00416253" w14:paraId="07D6A905" w14:textId="77777777" w:rsidTr="008E46B3">
        <w:tc>
          <w:tcPr>
            <w:tcW w:w="2835" w:type="dxa"/>
            <w:tcBorders>
              <w:top w:val="single" w:sz="4" w:space="0" w:color="auto"/>
              <w:left w:val="nil"/>
              <w:right w:val="nil"/>
            </w:tcBorders>
            <w:vAlign w:val="bottom"/>
          </w:tcPr>
          <w:p w14:paraId="6BCE6222" w14:textId="77777777" w:rsidR="00416253" w:rsidRPr="008C0A7B" w:rsidRDefault="00416253" w:rsidP="00416253">
            <w:pPr>
              <w:pStyle w:val="TableRowHead"/>
              <w:rPr>
                <w:b/>
              </w:rPr>
            </w:pPr>
            <w:r w:rsidRPr="008C0A7B">
              <w:rPr>
                <w:b/>
              </w:rPr>
              <w:t>Gross profit</w:t>
            </w:r>
          </w:p>
        </w:tc>
        <w:tc>
          <w:tcPr>
            <w:tcW w:w="681" w:type="dxa"/>
            <w:tcBorders>
              <w:top w:val="single" w:sz="4" w:space="0" w:color="auto"/>
              <w:left w:val="nil"/>
              <w:right w:val="nil"/>
            </w:tcBorders>
            <w:vAlign w:val="bottom"/>
          </w:tcPr>
          <w:p w14:paraId="67979016" w14:textId="77777777" w:rsidR="00416253" w:rsidRPr="00211290" w:rsidRDefault="00416253" w:rsidP="00416253">
            <w:pPr>
              <w:jc w:val="right"/>
              <w:rPr>
                <w:sz w:val="18"/>
                <w:szCs w:val="18"/>
              </w:rPr>
            </w:pPr>
          </w:p>
        </w:tc>
        <w:tc>
          <w:tcPr>
            <w:tcW w:w="1138" w:type="dxa"/>
            <w:tcBorders>
              <w:top w:val="single" w:sz="4" w:space="0" w:color="auto"/>
              <w:left w:val="nil"/>
              <w:right w:val="nil"/>
            </w:tcBorders>
            <w:vAlign w:val="bottom"/>
          </w:tcPr>
          <w:p w14:paraId="3C7F7ED3" w14:textId="77777777" w:rsidR="00416253" w:rsidRPr="00E310CE" w:rsidRDefault="0022291E" w:rsidP="008F1237">
            <w:pPr>
              <w:pStyle w:val="T2"/>
              <w:rPr>
                <w:b/>
              </w:rPr>
            </w:pPr>
            <w:r>
              <w:rPr>
                <w:b/>
              </w:rPr>
              <w:t>4</w:t>
            </w:r>
            <w:r w:rsidR="008F1237">
              <w:rPr>
                <w:b/>
              </w:rPr>
              <w:t>22.9</w:t>
            </w:r>
          </w:p>
        </w:tc>
        <w:tc>
          <w:tcPr>
            <w:tcW w:w="1139" w:type="dxa"/>
            <w:tcBorders>
              <w:top w:val="single" w:sz="4" w:space="0" w:color="auto"/>
              <w:left w:val="nil"/>
              <w:right w:val="nil"/>
            </w:tcBorders>
            <w:vAlign w:val="bottom"/>
          </w:tcPr>
          <w:p w14:paraId="02312E89" w14:textId="77777777" w:rsidR="00416253" w:rsidRPr="00E310CE" w:rsidRDefault="0022291E" w:rsidP="00416253">
            <w:pPr>
              <w:pStyle w:val="T2"/>
              <w:rPr>
                <w:b/>
              </w:rPr>
            </w:pPr>
            <w:r w:rsidRPr="0022291E">
              <w:rPr>
                <w:rFonts w:cstheme="minorHAnsi"/>
                <w:b/>
              </w:rPr>
              <w:t>–</w:t>
            </w:r>
          </w:p>
        </w:tc>
        <w:tc>
          <w:tcPr>
            <w:tcW w:w="1139" w:type="dxa"/>
            <w:tcBorders>
              <w:top w:val="single" w:sz="4" w:space="0" w:color="auto"/>
              <w:left w:val="nil"/>
              <w:right w:val="nil"/>
            </w:tcBorders>
            <w:vAlign w:val="bottom"/>
          </w:tcPr>
          <w:p w14:paraId="33D2F4FE" w14:textId="77777777" w:rsidR="00416253" w:rsidRPr="00E310CE" w:rsidRDefault="0022291E" w:rsidP="008F1237">
            <w:pPr>
              <w:pStyle w:val="T2"/>
              <w:rPr>
                <w:b/>
              </w:rPr>
            </w:pPr>
            <w:r>
              <w:rPr>
                <w:b/>
              </w:rPr>
              <w:t>4</w:t>
            </w:r>
            <w:r w:rsidR="008F1237">
              <w:rPr>
                <w:b/>
              </w:rPr>
              <w:t>22.9</w:t>
            </w:r>
          </w:p>
        </w:tc>
        <w:tc>
          <w:tcPr>
            <w:tcW w:w="1138" w:type="dxa"/>
            <w:gridSpan w:val="2"/>
            <w:tcBorders>
              <w:top w:val="single" w:sz="4" w:space="0" w:color="auto"/>
              <w:left w:val="nil"/>
              <w:right w:val="nil"/>
            </w:tcBorders>
            <w:vAlign w:val="bottom"/>
          </w:tcPr>
          <w:p w14:paraId="3F0D8918" w14:textId="77777777" w:rsidR="00416253" w:rsidRPr="00416253" w:rsidRDefault="00416253" w:rsidP="00416253">
            <w:pPr>
              <w:jc w:val="right"/>
              <w:rPr>
                <w:rFonts w:asciiTheme="minorHAnsi" w:hAnsiTheme="minorHAnsi" w:cstheme="minorHAnsi"/>
                <w:sz w:val="18"/>
                <w:szCs w:val="18"/>
              </w:rPr>
            </w:pPr>
            <w:r w:rsidRPr="00416253">
              <w:rPr>
                <w:rFonts w:asciiTheme="minorHAnsi" w:hAnsiTheme="minorHAnsi" w:cstheme="minorHAnsi"/>
                <w:sz w:val="18"/>
                <w:szCs w:val="18"/>
              </w:rPr>
              <w:t>405.2</w:t>
            </w:r>
          </w:p>
        </w:tc>
        <w:tc>
          <w:tcPr>
            <w:tcW w:w="1139" w:type="dxa"/>
            <w:tcBorders>
              <w:top w:val="single" w:sz="4" w:space="0" w:color="auto"/>
              <w:left w:val="nil"/>
              <w:right w:val="nil"/>
            </w:tcBorders>
            <w:vAlign w:val="bottom"/>
          </w:tcPr>
          <w:p w14:paraId="05513FE1" w14:textId="77777777" w:rsidR="00416253" w:rsidRPr="00416253" w:rsidRDefault="00416253" w:rsidP="00416253">
            <w:pPr>
              <w:jc w:val="right"/>
              <w:rPr>
                <w:rFonts w:asciiTheme="minorHAnsi" w:hAnsiTheme="minorHAnsi" w:cstheme="minorHAnsi"/>
                <w:sz w:val="18"/>
                <w:szCs w:val="18"/>
              </w:rPr>
            </w:pPr>
            <w:r w:rsidRPr="00416253">
              <w:rPr>
                <w:rFonts w:asciiTheme="minorHAnsi" w:hAnsiTheme="minorHAnsi" w:cstheme="minorHAnsi"/>
                <w:sz w:val="18"/>
                <w:szCs w:val="18"/>
              </w:rPr>
              <w:t>(2.9)</w:t>
            </w:r>
          </w:p>
        </w:tc>
        <w:tc>
          <w:tcPr>
            <w:tcW w:w="1139" w:type="dxa"/>
            <w:tcBorders>
              <w:top w:val="single" w:sz="4" w:space="0" w:color="auto"/>
              <w:left w:val="nil"/>
              <w:right w:val="nil"/>
            </w:tcBorders>
            <w:vAlign w:val="bottom"/>
          </w:tcPr>
          <w:p w14:paraId="190C4C45" w14:textId="77777777" w:rsidR="00416253" w:rsidRPr="00416253" w:rsidRDefault="00416253" w:rsidP="00416253">
            <w:pPr>
              <w:jc w:val="right"/>
              <w:rPr>
                <w:rFonts w:asciiTheme="minorHAnsi" w:hAnsiTheme="minorHAnsi" w:cstheme="minorHAnsi"/>
                <w:sz w:val="18"/>
                <w:szCs w:val="18"/>
              </w:rPr>
            </w:pPr>
            <w:r w:rsidRPr="00416253">
              <w:rPr>
                <w:rFonts w:asciiTheme="minorHAnsi" w:hAnsiTheme="minorHAnsi" w:cstheme="minorHAnsi"/>
                <w:sz w:val="18"/>
                <w:szCs w:val="18"/>
              </w:rPr>
              <w:t>402.3</w:t>
            </w:r>
          </w:p>
        </w:tc>
      </w:tr>
      <w:tr w:rsidR="00416253" w14:paraId="17616A2F" w14:textId="77777777" w:rsidTr="008E46B3">
        <w:tc>
          <w:tcPr>
            <w:tcW w:w="2835" w:type="dxa"/>
            <w:tcBorders>
              <w:top w:val="nil"/>
              <w:left w:val="nil"/>
              <w:right w:val="nil"/>
            </w:tcBorders>
            <w:vAlign w:val="bottom"/>
          </w:tcPr>
          <w:p w14:paraId="511ECFE6" w14:textId="77777777" w:rsidR="00416253" w:rsidRPr="00C65534" w:rsidRDefault="00416253" w:rsidP="00416253">
            <w:pPr>
              <w:pStyle w:val="TableRowHead"/>
            </w:pPr>
            <w:r w:rsidRPr="00C65534">
              <w:t>Operating costs, net</w:t>
            </w:r>
          </w:p>
        </w:tc>
        <w:tc>
          <w:tcPr>
            <w:tcW w:w="681" w:type="dxa"/>
            <w:tcBorders>
              <w:top w:val="nil"/>
              <w:left w:val="nil"/>
              <w:right w:val="nil"/>
            </w:tcBorders>
            <w:vAlign w:val="bottom"/>
          </w:tcPr>
          <w:p w14:paraId="261A9568" w14:textId="77777777" w:rsidR="00416253" w:rsidRPr="00211290" w:rsidRDefault="00416253" w:rsidP="00416253">
            <w:pPr>
              <w:jc w:val="right"/>
              <w:rPr>
                <w:sz w:val="18"/>
                <w:szCs w:val="18"/>
              </w:rPr>
            </w:pPr>
          </w:p>
        </w:tc>
        <w:tc>
          <w:tcPr>
            <w:tcW w:w="1138" w:type="dxa"/>
            <w:tcBorders>
              <w:top w:val="nil"/>
              <w:left w:val="nil"/>
              <w:right w:val="nil"/>
            </w:tcBorders>
            <w:vAlign w:val="bottom"/>
          </w:tcPr>
          <w:p w14:paraId="64E26B01" w14:textId="77777777" w:rsidR="00416253" w:rsidRPr="00E310CE" w:rsidRDefault="0022291E" w:rsidP="008F1237">
            <w:pPr>
              <w:pStyle w:val="T2"/>
              <w:rPr>
                <w:b/>
              </w:rPr>
            </w:pPr>
            <w:r>
              <w:rPr>
                <w:b/>
              </w:rPr>
              <w:t>(38</w:t>
            </w:r>
            <w:r w:rsidR="008F1237">
              <w:rPr>
                <w:b/>
              </w:rPr>
              <w:t>3.</w:t>
            </w:r>
            <w:r w:rsidR="000B70CA">
              <w:rPr>
                <w:b/>
              </w:rPr>
              <w:t>3</w:t>
            </w:r>
            <w:r>
              <w:rPr>
                <w:b/>
              </w:rPr>
              <w:t>)</w:t>
            </w:r>
          </w:p>
        </w:tc>
        <w:tc>
          <w:tcPr>
            <w:tcW w:w="1139" w:type="dxa"/>
            <w:tcBorders>
              <w:top w:val="nil"/>
              <w:left w:val="nil"/>
              <w:right w:val="nil"/>
            </w:tcBorders>
            <w:vAlign w:val="bottom"/>
          </w:tcPr>
          <w:p w14:paraId="5D2FF65B" w14:textId="77777777" w:rsidR="00416253" w:rsidRPr="00E310CE" w:rsidRDefault="0022291E" w:rsidP="00416253">
            <w:pPr>
              <w:pStyle w:val="T2"/>
              <w:rPr>
                <w:b/>
              </w:rPr>
            </w:pPr>
            <w:r>
              <w:rPr>
                <w:b/>
              </w:rPr>
              <w:t>7.7</w:t>
            </w:r>
          </w:p>
        </w:tc>
        <w:tc>
          <w:tcPr>
            <w:tcW w:w="1139" w:type="dxa"/>
            <w:tcBorders>
              <w:top w:val="nil"/>
              <w:left w:val="nil"/>
              <w:right w:val="nil"/>
            </w:tcBorders>
            <w:vAlign w:val="bottom"/>
          </w:tcPr>
          <w:p w14:paraId="140AD79B" w14:textId="77777777" w:rsidR="00416253" w:rsidRPr="00E310CE" w:rsidRDefault="0022291E" w:rsidP="008F1237">
            <w:pPr>
              <w:pStyle w:val="T2"/>
              <w:rPr>
                <w:b/>
              </w:rPr>
            </w:pPr>
            <w:r>
              <w:rPr>
                <w:b/>
              </w:rPr>
              <w:t>(</w:t>
            </w:r>
            <w:r w:rsidR="000B70CA">
              <w:rPr>
                <w:b/>
              </w:rPr>
              <w:t>375</w:t>
            </w:r>
            <w:r w:rsidR="008F1237">
              <w:rPr>
                <w:b/>
              </w:rPr>
              <w:t>.</w:t>
            </w:r>
            <w:r w:rsidR="000B70CA">
              <w:rPr>
                <w:b/>
              </w:rPr>
              <w:t>6</w:t>
            </w:r>
            <w:r>
              <w:rPr>
                <w:b/>
              </w:rPr>
              <w:t>)</w:t>
            </w:r>
          </w:p>
        </w:tc>
        <w:tc>
          <w:tcPr>
            <w:tcW w:w="1138" w:type="dxa"/>
            <w:gridSpan w:val="2"/>
            <w:tcBorders>
              <w:top w:val="nil"/>
              <w:left w:val="nil"/>
              <w:right w:val="nil"/>
            </w:tcBorders>
            <w:vAlign w:val="bottom"/>
          </w:tcPr>
          <w:p w14:paraId="7EFE00EA" w14:textId="77777777" w:rsidR="00416253" w:rsidRPr="00416253" w:rsidRDefault="00416253">
            <w:pPr>
              <w:jc w:val="right"/>
              <w:rPr>
                <w:rFonts w:asciiTheme="minorHAnsi" w:hAnsiTheme="minorHAnsi" w:cstheme="minorHAnsi"/>
                <w:sz w:val="18"/>
                <w:szCs w:val="18"/>
              </w:rPr>
            </w:pPr>
            <w:r w:rsidRPr="00416253">
              <w:rPr>
                <w:rFonts w:asciiTheme="minorHAnsi" w:hAnsiTheme="minorHAnsi" w:cstheme="minorHAnsi"/>
                <w:sz w:val="18"/>
                <w:szCs w:val="18"/>
              </w:rPr>
              <w:t>(372.</w:t>
            </w:r>
            <w:r w:rsidR="007D4120">
              <w:rPr>
                <w:rFonts w:asciiTheme="minorHAnsi" w:hAnsiTheme="minorHAnsi" w:cstheme="minorHAnsi"/>
                <w:sz w:val="18"/>
                <w:szCs w:val="18"/>
              </w:rPr>
              <w:t>2</w:t>
            </w:r>
            <w:r w:rsidRPr="00416253">
              <w:rPr>
                <w:rFonts w:asciiTheme="minorHAnsi" w:hAnsiTheme="minorHAnsi" w:cstheme="minorHAnsi"/>
                <w:sz w:val="18"/>
                <w:szCs w:val="18"/>
              </w:rPr>
              <w:t>)</w:t>
            </w:r>
          </w:p>
        </w:tc>
        <w:tc>
          <w:tcPr>
            <w:tcW w:w="1139" w:type="dxa"/>
            <w:tcBorders>
              <w:top w:val="nil"/>
              <w:left w:val="nil"/>
              <w:right w:val="nil"/>
            </w:tcBorders>
            <w:vAlign w:val="bottom"/>
          </w:tcPr>
          <w:p w14:paraId="71760645" w14:textId="77777777" w:rsidR="00416253" w:rsidRPr="00416253" w:rsidRDefault="00416253" w:rsidP="00416253">
            <w:pPr>
              <w:jc w:val="right"/>
              <w:rPr>
                <w:rFonts w:asciiTheme="minorHAnsi" w:hAnsiTheme="minorHAnsi" w:cstheme="minorHAnsi"/>
                <w:sz w:val="18"/>
                <w:szCs w:val="18"/>
              </w:rPr>
            </w:pPr>
            <w:r w:rsidRPr="00416253">
              <w:rPr>
                <w:rFonts w:asciiTheme="minorHAnsi" w:hAnsiTheme="minorHAnsi" w:cstheme="minorHAnsi"/>
                <w:sz w:val="18"/>
                <w:szCs w:val="18"/>
              </w:rPr>
              <w:t>(12.8)</w:t>
            </w:r>
          </w:p>
        </w:tc>
        <w:tc>
          <w:tcPr>
            <w:tcW w:w="1139" w:type="dxa"/>
            <w:tcBorders>
              <w:top w:val="nil"/>
              <w:left w:val="nil"/>
              <w:right w:val="nil"/>
            </w:tcBorders>
            <w:vAlign w:val="bottom"/>
          </w:tcPr>
          <w:p w14:paraId="57DB693F" w14:textId="77777777" w:rsidR="00416253" w:rsidRPr="00416253" w:rsidRDefault="00416253">
            <w:pPr>
              <w:jc w:val="right"/>
              <w:rPr>
                <w:rFonts w:asciiTheme="minorHAnsi" w:hAnsiTheme="minorHAnsi" w:cstheme="minorHAnsi"/>
                <w:sz w:val="18"/>
                <w:szCs w:val="18"/>
              </w:rPr>
            </w:pPr>
            <w:r w:rsidRPr="00416253">
              <w:rPr>
                <w:rFonts w:asciiTheme="minorHAnsi" w:hAnsiTheme="minorHAnsi" w:cstheme="minorHAnsi"/>
                <w:sz w:val="18"/>
                <w:szCs w:val="18"/>
              </w:rPr>
              <w:t>(385.</w:t>
            </w:r>
            <w:r w:rsidR="007D4120">
              <w:rPr>
                <w:rFonts w:asciiTheme="minorHAnsi" w:hAnsiTheme="minorHAnsi" w:cstheme="minorHAnsi"/>
                <w:sz w:val="18"/>
                <w:szCs w:val="18"/>
              </w:rPr>
              <w:t>0</w:t>
            </w:r>
            <w:r w:rsidRPr="00416253">
              <w:rPr>
                <w:rFonts w:asciiTheme="minorHAnsi" w:hAnsiTheme="minorHAnsi" w:cstheme="minorHAnsi"/>
                <w:sz w:val="18"/>
                <w:szCs w:val="18"/>
              </w:rPr>
              <w:t>)</w:t>
            </w:r>
          </w:p>
        </w:tc>
      </w:tr>
      <w:tr w:rsidR="000B70CA" w14:paraId="17FD3752" w14:textId="77777777" w:rsidTr="008E46B3">
        <w:tc>
          <w:tcPr>
            <w:tcW w:w="2835" w:type="dxa"/>
            <w:tcBorders>
              <w:left w:val="nil"/>
              <w:bottom w:val="single" w:sz="4" w:space="0" w:color="auto"/>
              <w:right w:val="nil"/>
            </w:tcBorders>
            <w:vAlign w:val="bottom"/>
          </w:tcPr>
          <w:p w14:paraId="0F334DD1" w14:textId="77777777" w:rsidR="000B70CA" w:rsidRPr="00C65534" w:rsidRDefault="000B70CA" w:rsidP="00416253">
            <w:pPr>
              <w:pStyle w:val="TableRowHead"/>
            </w:pPr>
            <w:r>
              <w:t>Impairment of trade receivables</w:t>
            </w:r>
          </w:p>
        </w:tc>
        <w:tc>
          <w:tcPr>
            <w:tcW w:w="681" w:type="dxa"/>
            <w:tcBorders>
              <w:left w:val="nil"/>
              <w:bottom w:val="single" w:sz="4" w:space="0" w:color="auto"/>
              <w:right w:val="nil"/>
            </w:tcBorders>
            <w:vAlign w:val="bottom"/>
          </w:tcPr>
          <w:p w14:paraId="3E3CFC01" w14:textId="77777777" w:rsidR="000B70CA" w:rsidRPr="00211290" w:rsidRDefault="000B70CA" w:rsidP="00416253">
            <w:pPr>
              <w:jc w:val="right"/>
              <w:rPr>
                <w:sz w:val="18"/>
                <w:szCs w:val="18"/>
              </w:rPr>
            </w:pPr>
          </w:p>
        </w:tc>
        <w:tc>
          <w:tcPr>
            <w:tcW w:w="1138" w:type="dxa"/>
            <w:tcBorders>
              <w:left w:val="nil"/>
              <w:bottom w:val="single" w:sz="4" w:space="0" w:color="auto"/>
              <w:right w:val="nil"/>
            </w:tcBorders>
            <w:vAlign w:val="bottom"/>
          </w:tcPr>
          <w:p w14:paraId="449C8B3A" w14:textId="77777777" w:rsidR="000B70CA" w:rsidRDefault="000B70CA" w:rsidP="008F1237">
            <w:pPr>
              <w:pStyle w:val="T2"/>
              <w:rPr>
                <w:b/>
              </w:rPr>
            </w:pPr>
            <w:r>
              <w:rPr>
                <w:b/>
              </w:rPr>
              <w:t>(0.6)</w:t>
            </w:r>
          </w:p>
        </w:tc>
        <w:tc>
          <w:tcPr>
            <w:tcW w:w="1139" w:type="dxa"/>
            <w:tcBorders>
              <w:left w:val="nil"/>
              <w:bottom w:val="single" w:sz="4" w:space="0" w:color="auto"/>
              <w:right w:val="nil"/>
            </w:tcBorders>
            <w:vAlign w:val="bottom"/>
          </w:tcPr>
          <w:p w14:paraId="44961A3E" w14:textId="77777777" w:rsidR="000B70CA" w:rsidRDefault="000B70CA" w:rsidP="00416253">
            <w:pPr>
              <w:pStyle w:val="T2"/>
              <w:rPr>
                <w:b/>
              </w:rPr>
            </w:pPr>
            <w:r>
              <w:rPr>
                <w:b/>
              </w:rPr>
              <w:t>-</w:t>
            </w:r>
          </w:p>
        </w:tc>
        <w:tc>
          <w:tcPr>
            <w:tcW w:w="1139" w:type="dxa"/>
            <w:tcBorders>
              <w:left w:val="nil"/>
              <w:bottom w:val="single" w:sz="4" w:space="0" w:color="auto"/>
              <w:right w:val="nil"/>
            </w:tcBorders>
            <w:vAlign w:val="bottom"/>
          </w:tcPr>
          <w:p w14:paraId="4D79A51F" w14:textId="77777777" w:rsidR="000B70CA" w:rsidRDefault="000B70CA" w:rsidP="008F1237">
            <w:pPr>
              <w:pStyle w:val="T2"/>
              <w:rPr>
                <w:b/>
              </w:rPr>
            </w:pPr>
            <w:r>
              <w:rPr>
                <w:b/>
              </w:rPr>
              <w:t>(0.6)</w:t>
            </w:r>
          </w:p>
        </w:tc>
        <w:tc>
          <w:tcPr>
            <w:tcW w:w="1138" w:type="dxa"/>
            <w:gridSpan w:val="2"/>
            <w:tcBorders>
              <w:left w:val="nil"/>
              <w:bottom w:val="single" w:sz="4" w:space="0" w:color="auto"/>
              <w:right w:val="nil"/>
            </w:tcBorders>
            <w:vAlign w:val="bottom"/>
          </w:tcPr>
          <w:p w14:paraId="4EC085FB" w14:textId="77777777" w:rsidR="000B70CA" w:rsidRPr="00416253" w:rsidRDefault="000B70CA">
            <w:pPr>
              <w:jc w:val="right"/>
              <w:rPr>
                <w:rFonts w:asciiTheme="minorHAnsi" w:hAnsiTheme="minorHAnsi" w:cstheme="minorHAnsi"/>
                <w:sz w:val="18"/>
                <w:szCs w:val="18"/>
              </w:rPr>
            </w:pPr>
            <w:r>
              <w:rPr>
                <w:rFonts w:asciiTheme="minorHAnsi" w:hAnsiTheme="minorHAnsi" w:cstheme="minorHAnsi"/>
                <w:sz w:val="18"/>
                <w:szCs w:val="18"/>
              </w:rPr>
              <w:t>(0.</w:t>
            </w:r>
            <w:r w:rsidR="007D4120">
              <w:rPr>
                <w:rFonts w:asciiTheme="minorHAnsi" w:hAnsiTheme="minorHAnsi" w:cstheme="minorHAnsi"/>
                <w:sz w:val="18"/>
                <w:szCs w:val="18"/>
              </w:rPr>
              <w:t>5</w:t>
            </w:r>
            <w:r>
              <w:rPr>
                <w:rFonts w:asciiTheme="minorHAnsi" w:hAnsiTheme="minorHAnsi" w:cstheme="minorHAnsi"/>
                <w:sz w:val="18"/>
                <w:szCs w:val="18"/>
              </w:rPr>
              <w:t>)</w:t>
            </w:r>
          </w:p>
        </w:tc>
        <w:tc>
          <w:tcPr>
            <w:tcW w:w="1139" w:type="dxa"/>
            <w:tcBorders>
              <w:left w:val="nil"/>
              <w:bottom w:val="single" w:sz="4" w:space="0" w:color="auto"/>
              <w:right w:val="nil"/>
            </w:tcBorders>
            <w:vAlign w:val="bottom"/>
          </w:tcPr>
          <w:p w14:paraId="4AE0C15B" w14:textId="3843E29F" w:rsidR="000B70CA" w:rsidRPr="00416253" w:rsidRDefault="002D3D01" w:rsidP="00416253">
            <w:pPr>
              <w:jc w:val="right"/>
              <w:rPr>
                <w:rFonts w:asciiTheme="minorHAnsi" w:hAnsiTheme="minorHAnsi" w:cstheme="minorHAnsi"/>
                <w:sz w:val="18"/>
                <w:szCs w:val="18"/>
              </w:rPr>
            </w:pPr>
            <w:r w:rsidRPr="00416253">
              <w:rPr>
                <w:rFonts w:asciiTheme="minorHAnsi" w:hAnsiTheme="minorHAnsi" w:cstheme="minorHAnsi"/>
                <w:sz w:val="18"/>
                <w:szCs w:val="18"/>
              </w:rPr>
              <w:t>–</w:t>
            </w:r>
          </w:p>
        </w:tc>
        <w:tc>
          <w:tcPr>
            <w:tcW w:w="1139" w:type="dxa"/>
            <w:tcBorders>
              <w:left w:val="nil"/>
              <w:bottom w:val="single" w:sz="4" w:space="0" w:color="auto"/>
              <w:right w:val="nil"/>
            </w:tcBorders>
            <w:vAlign w:val="bottom"/>
          </w:tcPr>
          <w:p w14:paraId="2B668B5D" w14:textId="77777777" w:rsidR="000B70CA" w:rsidRPr="00416253" w:rsidRDefault="000B70CA">
            <w:pPr>
              <w:jc w:val="right"/>
              <w:rPr>
                <w:rFonts w:asciiTheme="minorHAnsi" w:hAnsiTheme="minorHAnsi" w:cstheme="minorHAnsi"/>
                <w:sz w:val="18"/>
                <w:szCs w:val="18"/>
              </w:rPr>
            </w:pPr>
            <w:r>
              <w:rPr>
                <w:rFonts w:asciiTheme="minorHAnsi" w:hAnsiTheme="minorHAnsi" w:cstheme="minorHAnsi"/>
                <w:sz w:val="18"/>
                <w:szCs w:val="18"/>
              </w:rPr>
              <w:t>(0.</w:t>
            </w:r>
            <w:r w:rsidR="007D4120">
              <w:rPr>
                <w:rFonts w:asciiTheme="minorHAnsi" w:hAnsiTheme="minorHAnsi" w:cstheme="minorHAnsi"/>
                <w:sz w:val="18"/>
                <w:szCs w:val="18"/>
              </w:rPr>
              <w:t>5</w:t>
            </w:r>
            <w:r>
              <w:rPr>
                <w:rFonts w:asciiTheme="minorHAnsi" w:hAnsiTheme="minorHAnsi" w:cstheme="minorHAnsi"/>
                <w:sz w:val="18"/>
                <w:szCs w:val="18"/>
              </w:rPr>
              <w:t>)</w:t>
            </w:r>
          </w:p>
        </w:tc>
      </w:tr>
      <w:tr w:rsidR="00416253" w14:paraId="6BDA8BE3" w14:textId="77777777" w:rsidTr="005B36AA">
        <w:tc>
          <w:tcPr>
            <w:tcW w:w="2835" w:type="dxa"/>
            <w:tcBorders>
              <w:top w:val="single" w:sz="4" w:space="0" w:color="auto"/>
              <w:left w:val="nil"/>
              <w:bottom w:val="nil"/>
              <w:right w:val="nil"/>
            </w:tcBorders>
            <w:vAlign w:val="bottom"/>
          </w:tcPr>
          <w:p w14:paraId="683FF1AB" w14:textId="77777777" w:rsidR="00416253" w:rsidRPr="008C0A7B" w:rsidRDefault="00416253" w:rsidP="00416253">
            <w:pPr>
              <w:pStyle w:val="TableRowHead"/>
              <w:rPr>
                <w:b/>
              </w:rPr>
            </w:pPr>
            <w:r w:rsidRPr="008C0A7B">
              <w:rPr>
                <w:b/>
              </w:rPr>
              <w:t xml:space="preserve">Group </w:t>
            </w:r>
            <w:r w:rsidR="00F94C58">
              <w:rPr>
                <w:b/>
              </w:rPr>
              <w:t>o</w:t>
            </w:r>
            <w:r w:rsidR="00F94C58" w:rsidRPr="008C0A7B">
              <w:rPr>
                <w:b/>
              </w:rPr>
              <w:t xml:space="preserve">perating </w:t>
            </w:r>
            <w:r w:rsidR="00F94C58">
              <w:rPr>
                <w:b/>
              </w:rPr>
              <w:t>p</w:t>
            </w:r>
            <w:r w:rsidRPr="008C0A7B">
              <w:rPr>
                <w:b/>
              </w:rPr>
              <w:t>rofit before acquisition related amortisation</w:t>
            </w:r>
          </w:p>
        </w:tc>
        <w:tc>
          <w:tcPr>
            <w:tcW w:w="681" w:type="dxa"/>
            <w:tcBorders>
              <w:top w:val="single" w:sz="4" w:space="0" w:color="auto"/>
              <w:left w:val="nil"/>
              <w:bottom w:val="nil"/>
              <w:right w:val="nil"/>
            </w:tcBorders>
            <w:vAlign w:val="bottom"/>
          </w:tcPr>
          <w:p w14:paraId="782725C1" w14:textId="77777777" w:rsidR="00416253" w:rsidRPr="00211290" w:rsidRDefault="00416253" w:rsidP="00416253">
            <w:pPr>
              <w:jc w:val="right"/>
              <w:rPr>
                <w:sz w:val="18"/>
                <w:szCs w:val="18"/>
              </w:rPr>
            </w:pPr>
          </w:p>
        </w:tc>
        <w:tc>
          <w:tcPr>
            <w:tcW w:w="1138" w:type="dxa"/>
            <w:tcBorders>
              <w:top w:val="single" w:sz="4" w:space="0" w:color="auto"/>
              <w:left w:val="nil"/>
              <w:bottom w:val="nil"/>
              <w:right w:val="nil"/>
            </w:tcBorders>
            <w:vAlign w:val="bottom"/>
          </w:tcPr>
          <w:p w14:paraId="10E047E4" w14:textId="77777777" w:rsidR="00416253" w:rsidRPr="00E310CE" w:rsidRDefault="0022291E" w:rsidP="00416253">
            <w:pPr>
              <w:pStyle w:val="T2"/>
              <w:rPr>
                <w:b/>
              </w:rPr>
            </w:pPr>
            <w:r>
              <w:rPr>
                <w:b/>
              </w:rPr>
              <w:t>39.0</w:t>
            </w:r>
          </w:p>
        </w:tc>
        <w:tc>
          <w:tcPr>
            <w:tcW w:w="1139" w:type="dxa"/>
            <w:tcBorders>
              <w:top w:val="single" w:sz="4" w:space="0" w:color="auto"/>
              <w:left w:val="nil"/>
              <w:bottom w:val="nil"/>
              <w:right w:val="nil"/>
            </w:tcBorders>
            <w:vAlign w:val="bottom"/>
          </w:tcPr>
          <w:p w14:paraId="0732A32A" w14:textId="77777777" w:rsidR="00416253" w:rsidRPr="00E310CE" w:rsidRDefault="0022291E" w:rsidP="00416253">
            <w:pPr>
              <w:pStyle w:val="T2"/>
              <w:rPr>
                <w:b/>
              </w:rPr>
            </w:pPr>
            <w:r>
              <w:rPr>
                <w:b/>
              </w:rPr>
              <w:t>7.7</w:t>
            </w:r>
          </w:p>
        </w:tc>
        <w:tc>
          <w:tcPr>
            <w:tcW w:w="1139" w:type="dxa"/>
            <w:tcBorders>
              <w:top w:val="single" w:sz="4" w:space="0" w:color="auto"/>
              <w:left w:val="nil"/>
              <w:bottom w:val="nil"/>
              <w:right w:val="nil"/>
            </w:tcBorders>
            <w:vAlign w:val="bottom"/>
          </w:tcPr>
          <w:p w14:paraId="3CAA319D" w14:textId="77777777" w:rsidR="00416253" w:rsidRPr="00E310CE" w:rsidRDefault="0022291E" w:rsidP="00416253">
            <w:pPr>
              <w:pStyle w:val="T2"/>
              <w:rPr>
                <w:b/>
              </w:rPr>
            </w:pPr>
            <w:r>
              <w:rPr>
                <w:b/>
              </w:rPr>
              <w:t>46.7</w:t>
            </w:r>
          </w:p>
        </w:tc>
        <w:tc>
          <w:tcPr>
            <w:tcW w:w="1138" w:type="dxa"/>
            <w:gridSpan w:val="2"/>
            <w:tcBorders>
              <w:top w:val="single" w:sz="4" w:space="0" w:color="auto"/>
              <w:left w:val="nil"/>
              <w:bottom w:val="nil"/>
              <w:right w:val="nil"/>
            </w:tcBorders>
            <w:vAlign w:val="bottom"/>
          </w:tcPr>
          <w:p w14:paraId="683E2614" w14:textId="77777777" w:rsidR="00416253" w:rsidRPr="00416253" w:rsidRDefault="00416253" w:rsidP="00416253">
            <w:pPr>
              <w:jc w:val="right"/>
              <w:rPr>
                <w:rFonts w:asciiTheme="minorHAnsi" w:hAnsiTheme="minorHAnsi" w:cstheme="minorHAnsi"/>
                <w:sz w:val="18"/>
                <w:szCs w:val="18"/>
              </w:rPr>
            </w:pPr>
            <w:r w:rsidRPr="00416253">
              <w:rPr>
                <w:rFonts w:asciiTheme="minorHAnsi" w:hAnsiTheme="minorHAnsi" w:cstheme="minorHAnsi"/>
                <w:sz w:val="18"/>
                <w:szCs w:val="18"/>
              </w:rPr>
              <w:t>32.5</w:t>
            </w:r>
          </w:p>
        </w:tc>
        <w:tc>
          <w:tcPr>
            <w:tcW w:w="1139" w:type="dxa"/>
            <w:tcBorders>
              <w:top w:val="single" w:sz="4" w:space="0" w:color="auto"/>
              <w:left w:val="nil"/>
              <w:bottom w:val="nil"/>
              <w:right w:val="nil"/>
            </w:tcBorders>
            <w:vAlign w:val="bottom"/>
          </w:tcPr>
          <w:p w14:paraId="3347C97F" w14:textId="77777777" w:rsidR="00416253" w:rsidRPr="00416253" w:rsidRDefault="00416253" w:rsidP="00416253">
            <w:pPr>
              <w:jc w:val="right"/>
              <w:rPr>
                <w:rFonts w:asciiTheme="minorHAnsi" w:hAnsiTheme="minorHAnsi" w:cstheme="minorHAnsi"/>
                <w:sz w:val="18"/>
                <w:szCs w:val="18"/>
              </w:rPr>
            </w:pPr>
            <w:r w:rsidRPr="00416253">
              <w:rPr>
                <w:rFonts w:asciiTheme="minorHAnsi" w:hAnsiTheme="minorHAnsi" w:cstheme="minorHAnsi"/>
                <w:sz w:val="18"/>
                <w:szCs w:val="18"/>
              </w:rPr>
              <w:t>(15.7)</w:t>
            </w:r>
          </w:p>
        </w:tc>
        <w:tc>
          <w:tcPr>
            <w:tcW w:w="1139" w:type="dxa"/>
            <w:tcBorders>
              <w:top w:val="single" w:sz="4" w:space="0" w:color="auto"/>
              <w:left w:val="nil"/>
              <w:bottom w:val="nil"/>
              <w:right w:val="nil"/>
            </w:tcBorders>
            <w:vAlign w:val="bottom"/>
          </w:tcPr>
          <w:p w14:paraId="6409ED1E" w14:textId="77777777" w:rsidR="00416253" w:rsidRPr="00416253" w:rsidRDefault="00416253" w:rsidP="00416253">
            <w:pPr>
              <w:jc w:val="right"/>
              <w:rPr>
                <w:rFonts w:asciiTheme="minorHAnsi" w:hAnsiTheme="minorHAnsi" w:cstheme="minorHAnsi"/>
                <w:sz w:val="18"/>
                <w:szCs w:val="18"/>
              </w:rPr>
            </w:pPr>
            <w:r w:rsidRPr="00416253">
              <w:rPr>
                <w:rFonts w:asciiTheme="minorHAnsi" w:hAnsiTheme="minorHAnsi" w:cstheme="minorHAnsi"/>
                <w:sz w:val="18"/>
                <w:szCs w:val="18"/>
              </w:rPr>
              <w:t>16.8</w:t>
            </w:r>
          </w:p>
        </w:tc>
      </w:tr>
      <w:tr w:rsidR="00416253" w14:paraId="7EE484CC" w14:textId="77777777" w:rsidTr="005B36AA">
        <w:tc>
          <w:tcPr>
            <w:tcW w:w="2835" w:type="dxa"/>
            <w:tcBorders>
              <w:top w:val="nil"/>
              <w:left w:val="nil"/>
              <w:bottom w:val="single" w:sz="4" w:space="0" w:color="auto"/>
              <w:right w:val="nil"/>
            </w:tcBorders>
            <w:vAlign w:val="bottom"/>
          </w:tcPr>
          <w:p w14:paraId="3A356433" w14:textId="77777777" w:rsidR="00416253" w:rsidRPr="00C65534" w:rsidRDefault="00416253" w:rsidP="00416253">
            <w:pPr>
              <w:pStyle w:val="TableRowHead"/>
            </w:pPr>
            <w:r w:rsidRPr="00C65534">
              <w:t>Amortisation of acquisition related intangibles</w:t>
            </w:r>
          </w:p>
        </w:tc>
        <w:tc>
          <w:tcPr>
            <w:tcW w:w="681" w:type="dxa"/>
            <w:tcBorders>
              <w:top w:val="nil"/>
              <w:left w:val="nil"/>
              <w:bottom w:val="single" w:sz="4" w:space="0" w:color="auto"/>
              <w:right w:val="nil"/>
            </w:tcBorders>
            <w:vAlign w:val="bottom"/>
          </w:tcPr>
          <w:p w14:paraId="2D51BF30" w14:textId="77777777" w:rsidR="00416253" w:rsidRPr="00211290" w:rsidRDefault="00416253" w:rsidP="00416253">
            <w:pPr>
              <w:jc w:val="right"/>
              <w:rPr>
                <w:sz w:val="18"/>
                <w:szCs w:val="18"/>
              </w:rPr>
            </w:pPr>
          </w:p>
        </w:tc>
        <w:tc>
          <w:tcPr>
            <w:tcW w:w="1138" w:type="dxa"/>
            <w:tcBorders>
              <w:top w:val="nil"/>
              <w:left w:val="nil"/>
              <w:bottom w:val="single" w:sz="4" w:space="0" w:color="auto"/>
              <w:right w:val="nil"/>
            </w:tcBorders>
            <w:vAlign w:val="bottom"/>
          </w:tcPr>
          <w:p w14:paraId="342052EE" w14:textId="77777777" w:rsidR="00416253" w:rsidRPr="00E310CE" w:rsidRDefault="0022291E" w:rsidP="00416253">
            <w:pPr>
              <w:pStyle w:val="T2"/>
              <w:rPr>
                <w:b/>
              </w:rPr>
            </w:pPr>
            <w:r>
              <w:rPr>
                <w:b/>
              </w:rPr>
              <w:t>(3.9)</w:t>
            </w:r>
          </w:p>
        </w:tc>
        <w:tc>
          <w:tcPr>
            <w:tcW w:w="1139" w:type="dxa"/>
            <w:tcBorders>
              <w:top w:val="nil"/>
              <w:left w:val="nil"/>
              <w:bottom w:val="single" w:sz="4" w:space="0" w:color="auto"/>
              <w:right w:val="nil"/>
            </w:tcBorders>
            <w:vAlign w:val="bottom"/>
          </w:tcPr>
          <w:p w14:paraId="571A3AAB" w14:textId="77777777" w:rsidR="00416253" w:rsidRPr="00E310CE" w:rsidRDefault="0022291E" w:rsidP="00416253">
            <w:pPr>
              <w:pStyle w:val="T2"/>
              <w:rPr>
                <w:b/>
              </w:rPr>
            </w:pPr>
            <w:r w:rsidRPr="0022291E">
              <w:rPr>
                <w:rFonts w:cstheme="minorHAnsi"/>
                <w:b/>
              </w:rPr>
              <w:t>–</w:t>
            </w:r>
          </w:p>
        </w:tc>
        <w:tc>
          <w:tcPr>
            <w:tcW w:w="1139" w:type="dxa"/>
            <w:tcBorders>
              <w:top w:val="nil"/>
              <w:left w:val="nil"/>
              <w:bottom w:val="single" w:sz="4" w:space="0" w:color="auto"/>
              <w:right w:val="nil"/>
            </w:tcBorders>
            <w:vAlign w:val="bottom"/>
          </w:tcPr>
          <w:p w14:paraId="24499388" w14:textId="77777777" w:rsidR="00416253" w:rsidRPr="00E310CE" w:rsidRDefault="0022291E" w:rsidP="00416253">
            <w:pPr>
              <w:pStyle w:val="T2"/>
              <w:rPr>
                <w:b/>
              </w:rPr>
            </w:pPr>
            <w:r>
              <w:rPr>
                <w:b/>
              </w:rPr>
              <w:t>(3.9)</w:t>
            </w:r>
          </w:p>
        </w:tc>
        <w:tc>
          <w:tcPr>
            <w:tcW w:w="1138" w:type="dxa"/>
            <w:gridSpan w:val="2"/>
            <w:tcBorders>
              <w:top w:val="nil"/>
              <w:left w:val="nil"/>
              <w:bottom w:val="single" w:sz="4" w:space="0" w:color="auto"/>
              <w:right w:val="nil"/>
            </w:tcBorders>
            <w:vAlign w:val="bottom"/>
          </w:tcPr>
          <w:p w14:paraId="35AD80FA" w14:textId="77777777" w:rsidR="00416253" w:rsidRPr="00416253" w:rsidRDefault="00416253" w:rsidP="00416253">
            <w:pPr>
              <w:jc w:val="right"/>
              <w:rPr>
                <w:rFonts w:asciiTheme="minorHAnsi" w:hAnsiTheme="minorHAnsi" w:cstheme="minorHAnsi"/>
                <w:sz w:val="18"/>
                <w:szCs w:val="18"/>
              </w:rPr>
            </w:pPr>
            <w:r w:rsidRPr="00416253">
              <w:rPr>
                <w:rFonts w:asciiTheme="minorHAnsi" w:hAnsiTheme="minorHAnsi" w:cstheme="minorHAnsi"/>
                <w:sz w:val="18"/>
                <w:szCs w:val="18"/>
              </w:rPr>
              <w:t>(3.9)</w:t>
            </w:r>
          </w:p>
        </w:tc>
        <w:tc>
          <w:tcPr>
            <w:tcW w:w="1139" w:type="dxa"/>
            <w:tcBorders>
              <w:top w:val="nil"/>
              <w:left w:val="nil"/>
              <w:bottom w:val="single" w:sz="4" w:space="0" w:color="auto"/>
              <w:right w:val="nil"/>
            </w:tcBorders>
            <w:vAlign w:val="bottom"/>
          </w:tcPr>
          <w:p w14:paraId="5C39D5FA" w14:textId="77777777" w:rsidR="00416253" w:rsidRPr="00416253" w:rsidRDefault="00416253" w:rsidP="00416253">
            <w:pPr>
              <w:jc w:val="right"/>
              <w:rPr>
                <w:rFonts w:asciiTheme="minorHAnsi" w:hAnsiTheme="minorHAnsi" w:cstheme="minorHAnsi"/>
                <w:sz w:val="18"/>
                <w:szCs w:val="18"/>
              </w:rPr>
            </w:pPr>
            <w:r w:rsidRPr="00416253">
              <w:rPr>
                <w:rFonts w:asciiTheme="minorHAnsi" w:hAnsiTheme="minorHAnsi" w:cstheme="minorHAnsi"/>
                <w:sz w:val="18"/>
                <w:szCs w:val="18"/>
              </w:rPr>
              <w:t>–</w:t>
            </w:r>
          </w:p>
        </w:tc>
        <w:tc>
          <w:tcPr>
            <w:tcW w:w="1139" w:type="dxa"/>
            <w:tcBorders>
              <w:top w:val="nil"/>
              <w:left w:val="nil"/>
              <w:bottom w:val="single" w:sz="4" w:space="0" w:color="auto"/>
              <w:right w:val="nil"/>
            </w:tcBorders>
            <w:vAlign w:val="bottom"/>
          </w:tcPr>
          <w:p w14:paraId="31D2CBE3" w14:textId="77777777" w:rsidR="00416253" w:rsidRPr="00416253" w:rsidRDefault="00416253" w:rsidP="00416253">
            <w:pPr>
              <w:jc w:val="right"/>
              <w:rPr>
                <w:rFonts w:asciiTheme="minorHAnsi" w:hAnsiTheme="minorHAnsi" w:cstheme="minorHAnsi"/>
                <w:sz w:val="18"/>
                <w:szCs w:val="18"/>
              </w:rPr>
            </w:pPr>
            <w:r w:rsidRPr="00416253">
              <w:rPr>
                <w:rFonts w:asciiTheme="minorHAnsi" w:hAnsiTheme="minorHAnsi" w:cstheme="minorHAnsi"/>
                <w:sz w:val="18"/>
                <w:szCs w:val="18"/>
              </w:rPr>
              <w:t>(3.9)</w:t>
            </w:r>
          </w:p>
        </w:tc>
      </w:tr>
      <w:tr w:rsidR="00416253" w14:paraId="67936694" w14:textId="77777777" w:rsidTr="00416253">
        <w:tc>
          <w:tcPr>
            <w:tcW w:w="2835" w:type="dxa"/>
            <w:tcBorders>
              <w:top w:val="single" w:sz="4" w:space="0" w:color="auto"/>
              <w:left w:val="nil"/>
              <w:bottom w:val="nil"/>
              <w:right w:val="nil"/>
            </w:tcBorders>
            <w:vAlign w:val="bottom"/>
          </w:tcPr>
          <w:p w14:paraId="1FC7954D" w14:textId="77777777" w:rsidR="00416253" w:rsidRPr="008C0A7B" w:rsidRDefault="00416253" w:rsidP="00416253">
            <w:pPr>
              <w:pStyle w:val="TableRowHead"/>
              <w:rPr>
                <w:b/>
              </w:rPr>
            </w:pPr>
            <w:r w:rsidRPr="008C0A7B">
              <w:rPr>
                <w:b/>
              </w:rPr>
              <w:t xml:space="preserve">Group </w:t>
            </w:r>
            <w:r w:rsidR="00F94C58">
              <w:rPr>
                <w:b/>
              </w:rPr>
              <w:t>o</w:t>
            </w:r>
            <w:r w:rsidR="00F94C58" w:rsidRPr="008C0A7B">
              <w:rPr>
                <w:b/>
              </w:rPr>
              <w:t xml:space="preserve">perating </w:t>
            </w:r>
            <w:r w:rsidR="00F94C58">
              <w:rPr>
                <w:b/>
              </w:rPr>
              <w:t>p</w:t>
            </w:r>
            <w:r w:rsidRPr="008C0A7B">
              <w:rPr>
                <w:b/>
              </w:rPr>
              <w:t>rofit</w:t>
            </w:r>
          </w:p>
        </w:tc>
        <w:tc>
          <w:tcPr>
            <w:tcW w:w="681" w:type="dxa"/>
            <w:tcBorders>
              <w:top w:val="single" w:sz="4" w:space="0" w:color="auto"/>
              <w:left w:val="nil"/>
              <w:bottom w:val="nil"/>
              <w:right w:val="nil"/>
            </w:tcBorders>
            <w:vAlign w:val="bottom"/>
          </w:tcPr>
          <w:p w14:paraId="46B762F2" w14:textId="77777777" w:rsidR="00416253" w:rsidRPr="00211290" w:rsidRDefault="00416253" w:rsidP="00416253">
            <w:pPr>
              <w:jc w:val="right"/>
              <w:rPr>
                <w:sz w:val="18"/>
                <w:szCs w:val="18"/>
              </w:rPr>
            </w:pPr>
          </w:p>
        </w:tc>
        <w:tc>
          <w:tcPr>
            <w:tcW w:w="1138" w:type="dxa"/>
            <w:tcBorders>
              <w:top w:val="single" w:sz="4" w:space="0" w:color="auto"/>
              <w:left w:val="nil"/>
              <w:bottom w:val="nil"/>
              <w:right w:val="nil"/>
            </w:tcBorders>
            <w:vAlign w:val="bottom"/>
          </w:tcPr>
          <w:p w14:paraId="045BABB2" w14:textId="77777777" w:rsidR="00416253" w:rsidRPr="00E310CE" w:rsidRDefault="0022291E" w:rsidP="00416253">
            <w:pPr>
              <w:pStyle w:val="T2"/>
              <w:rPr>
                <w:b/>
              </w:rPr>
            </w:pPr>
            <w:r>
              <w:rPr>
                <w:b/>
              </w:rPr>
              <w:t>35.1</w:t>
            </w:r>
          </w:p>
        </w:tc>
        <w:tc>
          <w:tcPr>
            <w:tcW w:w="1139" w:type="dxa"/>
            <w:tcBorders>
              <w:top w:val="single" w:sz="4" w:space="0" w:color="auto"/>
              <w:left w:val="nil"/>
              <w:bottom w:val="nil"/>
              <w:right w:val="nil"/>
            </w:tcBorders>
            <w:vAlign w:val="bottom"/>
          </w:tcPr>
          <w:p w14:paraId="4BD66D9B" w14:textId="77777777" w:rsidR="00416253" w:rsidRPr="00E310CE" w:rsidRDefault="0022291E" w:rsidP="00416253">
            <w:pPr>
              <w:pStyle w:val="T2"/>
              <w:rPr>
                <w:b/>
              </w:rPr>
            </w:pPr>
            <w:r>
              <w:rPr>
                <w:b/>
              </w:rPr>
              <w:t>7.7</w:t>
            </w:r>
          </w:p>
        </w:tc>
        <w:tc>
          <w:tcPr>
            <w:tcW w:w="1139" w:type="dxa"/>
            <w:tcBorders>
              <w:top w:val="single" w:sz="4" w:space="0" w:color="auto"/>
              <w:left w:val="nil"/>
              <w:bottom w:val="nil"/>
              <w:right w:val="nil"/>
            </w:tcBorders>
            <w:vAlign w:val="bottom"/>
          </w:tcPr>
          <w:p w14:paraId="7C37B802" w14:textId="77777777" w:rsidR="00416253" w:rsidRPr="00E310CE" w:rsidRDefault="0022291E" w:rsidP="00416253">
            <w:pPr>
              <w:pStyle w:val="T2"/>
              <w:rPr>
                <w:b/>
              </w:rPr>
            </w:pPr>
            <w:r>
              <w:rPr>
                <w:b/>
              </w:rPr>
              <w:t>42.8</w:t>
            </w:r>
          </w:p>
        </w:tc>
        <w:tc>
          <w:tcPr>
            <w:tcW w:w="1138" w:type="dxa"/>
            <w:gridSpan w:val="2"/>
            <w:tcBorders>
              <w:top w:val="single" w:sz="4" w:space="0" w:color="auto"/>
              <w:left w:val="nil"/>
              <w:bottom w:val="nil"/>
              <w:right w:val="nil"/>
            </w:tcBorders>
            <w:vAlign w:val="bottom"/>
          </w:tcPr>
          <w:p w14:paraId="009B29BA" w14:textId="77777777" w:rsidR="00416253" w:rsidRPr="00416253" w:rsidRDefault="00416253" w:rsidP="00416253">
            <w:pPr>
              <w:jc w:val="right"/>
              <w:rPr>
                <w:rFonts w:asciiTheme="minorHAnsi" w:hAnsiTheme="minorHAnsi" w:cstheme="minorHAnsi"/>
                <w:sz w:val="18"/>
                <w:szCs w:val="18"/>
              </w:rPr>
            </w:pPr>
            <w:r w:rsidRPr="00416253">
              <w:rPr>
                <w:rFonts w:asciiTheme="minorHAnsi" w:hAnsiTheme="minorHAnsi" w:cstheme="minorHAnsi"/>
                <w:sz w:val="18"/>
                <w:szCs w:val="18"/>
              </w:rPr>
              <w:t>28.6</w:t>
            </w:r>
          </w:p>
        </w:tc>
        <w:tc>
          <w:tcPr>
            <w:tcW w:w="1139" w:type="dxa"/>
            <w:tcBorders>
              <w:top w:val="single" w:sz="4" w:space="0" w:color="auto"/>
              <w:left w:val="nil"/>
              <w:bottom w:val="nil"/>
              <w:right w:val="nil"/>
            </w:tcBorders>
            <w:vAlign w:val="bottom"/>
          </w:tcPr>
          <w:p w14:paraId="5B9C87EE" w14:textId="77777777" w:rsidR="00416253" w:rsidRPr="00416253" w:rsidRDefault="00416253" w:rsidP="00416253">
            <w:pPr>
              <w:jc w:val="right"/>
              <w:rPr>
                <w:rFonts w:asciiTheme="minorHAnsi" w:hAnsiTheme="minorHAnsi" w:cstheme="minorHAnsi"/>
                <w:sz w:val="18"/>
                <w:szCs w:val="18"/>
              </w:rPr>
            </w:pPr>
            <w:r w:rsidRPr="00416253">
              <w:rPr>
                <w:rFonts w:asciiTheme="minorHAnsi" w:hAnsiTheme="minorHAnsi" w:cstheme="minorHAnsi"/>
                <w:sz w:val="18"/>
                <w:szCs w:val="18"/>
              </w:rPr>
              <w:t>(15.7)</w:t>
            </w:r>
          </w:p>
        </w:tc>
        <w:tc>
          <w:tcPr>
            <w:tcW w:w="1139" w:type="dxa"/>
            <w:tcBorders>
              <w:top w:val="single" w:sz="4" w:space="0" w:color="auto"/>
              <w:left w:val="nil"/>
              <w:bottom w:val="nil"/>
              <w:right w:val="nil"/>
            </w:tcBorders>
            <w:vAlign w:val="bottom"/>
          </w:tcPr>
          <w:p w14:paraId="1F179A9E" w14:textId="77777777" w:rsidR="00416253" w:rsidRPr="00416253" w:rsidRDefault="00416253" w:rsidP="00416253">
            <w:pPr>
              <w:jc w:val="right"/>
              <w:rPr>
                <w:rFonts w:asciiTheme="minorHAnsi" w:hAnsiTheme="minorHAnsi" w:cstheme="minorHAnsi"/>
                <w:sz w:val="18"/>
                <w:szCs w:val="18"/>
              </w:rPr>
            </w:pPr>
            <w:r w:rsidRPr="00416253">
              <w:rPr>
                <w:rFonts w:asciiTheme="minorHAnsi" w:hAnsiTheme="minorHAnsi" w:cstheme="minorHAnsi"/>
                <w:sz w:val="18"/>
                <w:szCs w:val="18"/>
              </w:rPr>
              <w:t>12.9</w:t>
            </w:r>
          </w:p>
        </w:tc>
      </w:tr>
      <w:tr w:rsidR="00416253" w14:paraId="71181FFD" w14:textId="77777777" w:rsidTr="00416253">
        <w:tc>
          <w:tcPr>
            <w:tcW w:w="2835" w:type="dxa"/>
            <w:tcBorders>
              <w:top w:val="nil"/>
              <w:left w:val="nil"/>
              <w:bottom w:val="nil"/>
              <w:right w:val="nil"/>
            </w:tcBorders>
            <w:vAlign w:val="bottom"/>
          </w:tcPr>
          <w:p w14:paraId="1CD32B09" w14:textId="77777777" w:rsidR="00416253" w:rsidRPr="00C65534" w:rsidRDefault="00416253" w:rsidP="00416253">
            <w:pPr>
              <w:pStyle w:val="TableRowHead"/>
            </w:pPr>
            <w:r w:rsidRPr="00C65534">
              <w:t>Finance income</w:t>
            </w:r>
          </w:p>
        </w:tc>
        <w:tc>
          <w:tcPr>
            <w:tcW w:w="681" w:type="dxa"/>
            <w:tcBorders>
              <w:top w:val="nil"/>
              <w:left w:val="nil"/>
              <w:bottom w:val="nil"/>
              <w:right w:val="nil"/>
            </w:tcBorders>
            <w:vAlign w:val="bottom"/>
          </w:tcPr>
          <w:p w14:paraId="6C26C7FE" w14:textId="77777777" w:rsidR="00416253" w:rsidRPr="00211290" w:rsidRDefault="00550751" w:rsidP="00416253">
            <w:pPr>
              <w:jc w:val="right"/>
              <w:rPr>
                <w:sz w:val="18"/>
                <w:szCs w:val="18"/>
              </w:rPr>
            </w:pPr>
            <w:r>
              <w:rPr>
                <w:sz w:val="18"/>
                <w:szCs w:val="18"/>
              </w:rPr>
              <w:t>5</w:t>
            </w:r>
          </w:p>
        </w:tc>
        <w:tc>
          <w:tcPr>
            <w:tcW w:w="1138" w:type="dxa"/>
            <w:tcBorders>
              <w:top w:val="nil"/>
              <w:left w:val="nil"/>
              <w:bottom w:val="nil"/>
              <w:right w:val="nil"/>
            </w:tcBorders>
            <w:vAlign w:val="bottom"/>
          </w:tcPr>
          <w:p w14:paraId="26D33F4E" w14:textId="77777777" w:rsidR="00416253" w:rsidRPr="00E310CE" w:rsidRDefault="0022291E" w:rsidP="00416253">
            <w:pPr>
              <w:pStyle w:val="T2"/>
              <w:rPr>
                <w:b/>
              </w:rPr>
            </w:pPr>
            <w:r>
              <w:rPr>
                <w:b/>
              </w:rPr>
              <w:t>0.1</w:t>
            </w:r>
          </w:p>
        </w:tc>
        <w:tc>
          <w:tcPr>
            <w:tcW w:w="1139" w:type="dxa"/>
            <w:tcBorders>
              <w:top w:val="nil"/>
              <w:left w:val="nil"/>
              <w:bottom w:val="nil"/>
              <w:right w:val="nil"/>
            </w:tcBorders>
            <w:vAlign w:val="bottom"/>
          </w:tcPr>
          <w:p w14:paraId="113059B2" w14:textId="77777777" w:rsidR="00416253" w:rsidRPr="00E310CE" w:rsidRDefault="0022291E" w:rsidP="00416253">
            <w:pPr>
              <w:pStyle w:val="T2"/>
              <w:rPr>
                <w:b/>
              </w:rPr>
            </w:pPr>
            <w:r w:rsidRPr="0022291E">
              <w:rPr>
                <w:rFonts w:cstheme="minorHAnsi"/>
                <w:b/>
              </w:rPr>
              <w:t>–</w:t>
            </w:r>
          </w:p>
        </w:tc>
        <w:tc>
          <w:tcPr>
            <w:tcW w:w="1139" w:type="dxa"/>
            <w:tcBorders>
              <w:top w:val="nil"/>
              <w:left w:val="nil"/>
              <w:bottom w:val="nil"/>
              <w:right w:val="nil"/>
            </w:tcBorders>
            <w:vAlign w:val="bottom"/>
          </w:tcPr>
          <w:p w14:paraId="06EDCAA6" w14:textId="77777777" w:rsidR="00416253" w:rsidRPr="00E310CE" w:rsidRDefault="0022291E" w:rsidP="00416253">
            <w:pPr>
              <w:pStyle w:val="T2"/>
              <w:rPr>
                <w:b/>
              </w:rPr>
            </w:pPr>
            <w:r>
              <w:rPr>
                <w:b/>
              </w:rPr>
              <w:t>0.1</w:t>
            </w:r>
          </w:p>
        </w:tc>
        <w:tc>
          <w:tcPr>
            <w:tcW w:w="1138" w:type="dxa"/>
            <w:gridSpan w:val="2"/>
            <w:tcBorders>
              <w:top w:val="nil"/>
              <w:left w:val="nil"/>
              <w:bottom w:val="nil"/>
              <w:right w:val="nil"/>
            </w:tcBorders>
            <w:vAlign w:val="bottom"/>
          </w:tcPr>
          <w:p w14:paraId="6B83F2A2" w14:textId="77777777" w:rsidR="00416253" w:rsidRPr="00416253" w:rsidRDefault="00416253" w:rsidP="00416253">
            <w:pPr>
              <w:jc w:val="right"/>
              <w:rPr>
                <w:rFonts w:asciiTheme="minorHAnsi" w:hAnsiTheme="minorHAnsi" w:cstheme="minorHAnsi"/>
                <w:sz w:val="18"/>
                <w:szCs w:val="18"/>
              </w:rPr>
            </w:pPr>
            <w:r w:rsidRPr="00416253">
              <w:rPr>
                <w:rFonts w:asciiTheme="minorHAnsi" w:hAnsiTheme="minorHAnsi" w:cstheme="minorHAnsi"/>
                <w:sz w:val="18"/>
                <w:szCs w:val="18"/>
              </w:rPr>
              <w:t>0.1</w:t>
            </w:r>
          </w:p>
        </w:tc>
        <w:tc>
          <w:tcPr>
            <w:tcW w:w="1139" w:type="dxa"/>
            <w:tcBorders>
              <w:top w:val="nil"/>
              <w:left w:val="nil"/>
              <w:bottom w:val="nil"/>
              <w:right w:val="nil"/>
            </w:tcBorders>
            <w:vAlign w:val="bottom"/>
          </w:tcPr>
          <w:p w14:paraId="400010C3" w14:textId="77777777" w:rsidR="00416253" w:rsidRPr="00416253" w:rsidRDefault="00416253" w:rsidP="00416253">
            <w:pPr>
              <w:jc w:val="right"/>
              <w:rPr>
                <w:rFonts w:asciiTheme="minorHAnsi" w:hAnsiTheme="minorHAnsi" w:cstheme="minorHAnsi"/>
                <w:sz w:val="18"/>
                <w:szCs w:val="18"/>
              </w:rPr>
            </w:pPr>
            <w:r w:rsidRPr="00416253">
              <w:rPr>
                <w:rFonts w:asciiTheme="minorHAnsi" w:hAnsiTheme="minorHAnsi" w:cstheme="minorHAnsi"/>
                <w:sz w:val="18"/>
                <w:szCs w:val="18"/>
              </w:rPr>
              <w:t>–</w:t>
            </w:r>
          </w:p>
        </w:tc>
        <w:tc>
          <w:tcPr>
            <w:tcW w:w="1139" w:type="dxa"/>
            <w:tcBorders>
              <w:top w:val="nil"/>
              <w:left w:val="nil"/>
              <w:bottom w:val="nil"/>
              <w:right w:val="nil"/>
            </w:tcBorders>
            <w:vAlign w:val="bottom"/>
          </w:tcPr>
          <w:p w14:paraId="5D8FCF7F" w14:textId="77777777" w:rsidR="00416253" w:rsidRPr="00416253" w:rsidRDefault="00416253" w:rsidP="00416253">
            <w:pPr>
              <w:jc w:val="right"/>
              <w:rPr>
                <w:rFonts w:asciiTheme="minorHAnsi" w:hAnsiTheme="minorHAnsi" w:cstheme="minorHAnsi"/>
                <w:sz w:val="18"/>
                <w:szCs w:val="18"/>
              </w:rPr>
            </w:pPr>
            <w:r w:rsidRPr="00416253">
              <w:rPr>
                <w:rFonts w:asciiTheme="minorHAnsi" w:hAnsiTheme="minorHAnsi" w:cstheme="minorHAnsi"/>
                <w:sz w:val="18"/>
                <w:szCs w:val="18"/>
              </w:rPr>
              <w:t>0.1</w:t>
            </w:r>
          </w:p>
        </w:tc>
      </w:tr>
      <w:tr w:rsidR="00416253" w14:paraId="6871BA08" w14:textId="77777777" w:rsidTr="0022291E">
        <w:tc>
          <w:tcPr>
            <w:tcW w:w="2835" w:type="dxa"/>
            <w:tcBorders>
              <w:top w:val="nil"/>
              <w:left w:val="nil"/>
              <w:right w:val="nil"/>
            </w:tcBorders>
            <w:vAlign w:val="bottom"/>
          </w:tcPr>
          <w:p w14:paraId="4590197B" w14:textId="77777777" w:rsidR="00416253" w:rsidRPr="00C65534" w:rsidRDefault="00416253" w:rsidP="00416253">
            <w:pPr>
              <w:pStyle w:val="TableRowHead"/>
            </w:pPr>
            <w:r w:rsidRPr="00C65534">
              <w:t>Finance costs</w:t>
            </w:r>
          </w:p>
        </w:tc>
        <w:tc>
          <w:tcPr>
            <w:tcW w:w="681" w:type="dxa"/>
            <w:tcBorders>
              <w:top w:val="nil"/>
              <w:left w:val="nil"/>
              <w:right w:val="nil"/>
            </w:tcBorders>
            <w:vAlign w:val="bottom"/>
          </w:tcPr>
          <w:p w14:paraId="442E652A" w14:textId="77777777" w:rsidR="00416253" w:rsidRPr="00211290" w:rsidRDefault="00550751" w:rsidP="00416253">
            <w:pPr>
              <w:jc w:val="right"/>
              <w:rPr>
                <w:sz w:val="18"/>
                <w:szCs w:val="18"/>
              </w:rPr>
            </w:pPr>
            <w:r>
              <w:rPr>
                <w:sz w:val="18"/>
                <w:szCs w:val="18"/>
              </w:rPr>
              <w:t>5</w:t>
            </w:r>
          </w:p>
        </w:tc>
        <w:tc>
          <w:tcPr>
            <w:tcW w:w="1138" w:type="dxa"/>
            <w:tcBorders>
              <w:top w:val="nil"/>
              <w:left w:val="nil"/>
              <w:right w:val="nil"/>
            </w:tcBorders>
            <w:vAlign w:val="bottom"/>
          </w:tcPr>
          <w:p w14:paraId="42EBE229" w14:textId="77777777" w:rsidR="00416253" w:rsidRPr="00E310CE" w:rsidRDefault="0022291E" w:rsidP="00416253">
            <w:pPr>
              <w:pStyle w:val="T2"/>
              <w:rPr>
                <w:b/>
              </w:rPr>
            </w:pPr>
            <w:r>
              <w:rPr>
                <w:b/>
              </w:rPr>
              <w:t>(19.1)</w:t>
            </w:r>
          </w:p>
        </w:tc>
        <w:tc>
          <w:tcPr>
            <w:tcW w:w="1139" w:type="dxa"/>
            <w:tcBorders>
              <w:top w:val="nil"/>
              <w:left w:val="nil"/>
              <w:right w:val="nil"/>
            </w:tcBorders>
            <w:vAlign w:val="bottom"/>
          </w:tcPr>
          <w:p w14:paraId="6E5019EE" w14:textId="77777777" w:rsidR="00416253" w:rsidRPr="00E310CE" w:rsidRDefault="0022291E" w:rsidP="00416253">
            <w:pPr>
              <w:pStyle w:val="T2"/>
              <w:rPr>
                <w:b/>
              </w:rPr>
            </w:pPr>
            <w:r w:rsidRPr="0022291E">
              <w:rPr>
                <w:rFonts w:cstheme="minorHAnsi"/>
                <w:b/>
              </w:rPr>
              <w:t>–</w:t>
            </w:r>
          </w:p>
        </w:tc>
        <w:tc>
          <w:tcPr>
            <w:tcW w:w="1139" w:type="dxa"/>
            <w:tcBorders>
              <w:top w:val="nil"/>
              <w:left w:val="nil"/>
              <w:right w:val="nil"/>
            </w:tcBorders>
            <w:vAlign w:val="bottom"/>
          </w:tcPr>
          <w:p w14:paraId="11FFB3E7" w14:textId="77777777" w:rsidR="00416253" w:rsidRPr="00E310CE" w:rsidRDefault="0022291E" w:rsidP="00416253">
            <w:pPr>
              <w:pStyle w:val="T2"/>
              <w:rPr>
                <w:b/>
              </w:rPr>
            </w:pPr>
            <w:r>
              <w:rPr>
                <w:b/>
              </w:rPr>
              <w:t>(19.1)</w:t>
            </w:r>
          </w:p>
        </w:tc>
        <w:tc>
          <w:tcPr>
            <w:tcW w:w="1138" w:type="dxa"/>
            <w:gridSpan w:val="2"/>
            <w:tcBorders>
              <w:top w:val="nil"/>
              <w:left w:val="nil"/>
              <w:right w:val="nil"/>
            </w:tcBorders>
            <w:vAlign w:val="bottom"/>
          </w:tcPr>
          <w:p w14:paraId="19A562E3" w14:textId="77777777" w:rsidR="00416253" w:rsidRPr="00416253" w:rsidRDefault="00416253" w:rsidP="00416253">
            <w:pPr>
              <w:jc w:val="right"/>
              <w:rPr>
                <w:rFonts w:asciiTheme="minorHAnsi" w:hAnsiTheme="minorHAnsi" w:cstheme="minorHAnsi"/>
                <w:sz w:val="18"/>
                <w:szCs w:val="18"/>
              </w:rPr>
            </w:pPr>
            <w:r w:rsidRPr="00416253">
              <w:rPr>
                <w:rFonts w:asciiTheme="minorHAnsi" w:hAnsiTheme="minorHAnsi" w:cstheme="minorHAnsi"/>
                <w:sz w:val="18"/>
                <w:szCs w:val="18"/>
              </w:rPr>
              <w:t>(17.3)</w:t>
            </w:r>
          </w:p>
        </w:tc>
        <w:tc>
          <w:tcPr>
            <w:tcW w:w="1139" w:type="dxa"/>
            <w:tcBorders>
              <w:top w:val="nil"/>
              <w:left w:val="nil"/>
              <w:right w:val="nil"/>
            </w:tcBorders>
            <w:vAlign w:val="bottom"/>
          </w:tcPr>
          <w:p w14:paraId="78CF5A41" w14:textId="77777777" w:rsidR="00416253" w:rsidRPr="00416253" w:rsidRDefault="00416253" w:rsidP="00416253">
            <w:pPr>
              <w:jc w:val="right"/>
              <w:rPr>
                <w:rFonts w:asciiTheme="minorHAnsi" w:hAnsiTheme="minorHAnsi" w:cstheme="minorHAnsi"/>
                <w:sz w:val="18"/>
                <w:szCs w:val="18"/>
              </w:rPr>
            </w:pPr>
            <w:r w:rsidRPr="00416253">
              <w:rPr>
                <w:rFonts w:asciiTheme="minorHAnsi" w:hAnsiTheme="minorHAnsi" w:cstheme="minorHAnsi"/>
                <w:sz w:val="18"/>
                <w:szCs w:val="18"/>
              </w:rPr>
              <w:t>(7.1)</w:t>
            </w:r>
          </w:p>
        </w:tc>
        <w:tc>
          <w:tcPr>
            <w:tcW w:w="1139" w:type="dxa"/>
            <w:tcBorders>
              <w:top w:val="nil"/>
              <w:left w:val="nil"/>
              <w:right w:val="nil"/>
            </w:tcBorders>
            <w:vAlign w:val="bottom"/>
          </w:tcPr>
          <w:p w14:paraId="45C66DDE" w14:textId="77777777" w:rsidR="00416253" w:rsidRPr="00416253" w:rsidRDefault="00416253" w:rsidP="00416253">
            <w:pPr>
              <w:jc w:val="right"/>
              <w:rPr>
                <w:rFonts w:asciiTheme="minorHAnsi" w:hAnsiTheme="minorHAnsi" w:cstheme="minorHAnsi"/>
                <w:sz w:val="18"/>
                <w:szCs w:val="18"/>
              </w:rPr>
            </w:pPr>
            <w:r w:rsidRPr="00416253">
              <w:rPr>
                <w:rFonts w:asciiTheme="minorHAnsi" w:hAnsiTheme="minorHAnsi" w:cstheme="minorHAnsi"/>
                <w:sz w:val="18"/>
                <w:szCs w:val="18"/>
              </w:rPr>
              <w:t>(24.4)</w:t>
            </w:r>
          </w:p>
        </w:tc>
      </w:tr>
      <w:tr w:rsidR="00416253" w14:paraId="49485D3B" w14:textId="77777777" w:rsidTr="0022291E">
        <w:tc>
          <w:tcPr>
            <w:tcW w:w="2835" w:type="dxa"/>
            <w:tcBorders>
              <w:top w:val="nil"/>
              <w:left w:val="nil"/>
              <w:right w:val="nil"/>
            </w:tcBorders>
            <w:vAlign w:val="bottom"/>
          </w:tcPr>
          <w:p w14:paraId="6DFAC3AF" w14:textId="77777777" w:rsidR="00416253" w:rsidRPr="00C65534" w:rsidRDefault="00416253" w:rsidP="00416253">
            <w:pPr>
              <w:pStyle w:val="TableRowHead"/>
              <w:ind w:right="-225"/>
            </w:pPr>
            <w:r w:rsidRPr="00C65534">
              <w:t>Share of profit of associates after</w:t>
            </w:r>
            <w:r>
              <w:t xml:space="preserve"> </w:t>
            </w:r>
            <w:r w:rsidRPr="00C65534">
              <w:t>tax</w:t>
            </w:r>
          </w:p>
        </w:tc>
        <w:tc>
          <w:tcPr>
            <w:tcW w:w="681" w:type="dxa"/>
            <w:tcBorders>
              <w:top w:val="nil"/>
              <w:left w:val="nil"/>
              <w:right w:val="nil"/>
            </w:tcBorders>
            <w:vAlign w:val="bottom"/>
          </w:tcPr>
          <w:p w14:paraId="4831F74D" w14:textId="77777777" w:rsidR="00416253" w:rsidRPr="00211290" w:rsidRDefault="00416253" w:rsidP="00416253">
            <w:pPr>
              <w:jc w:val="right"/>
              <w:rPr>
                <w:sz w:val="18"/>
                <w:szCs w:val="18"/>
              </w:rPr>
            </w:pPr>
          </w:p>
        </w:tc>
        <w:tc>
          <w:tcPr>
            <w:tcW w:w="1138" w:type="dxa"/>
            <w:tcBorders>
              <w:top w:val="nil"/>
              <w:left w:val="nil"/>
              <w:right w:val="nil"/>
            </w:tcBorders>
            <w:vAlign w:val="bottom"/>
          </w:tcPr>
          <w:p w14:paraId="3FE92003" w14:textId="77777777" w:rsidR="00416253" w:rsidRPr="00E310CE" w:rsidRDefault="0022291E" w:rsidP="00416253">
            <w:pPr>
              <w:pStyle w:val="T2"/>
              <w:rPr>
                <w:b/>
              </w:rPr>
            </w:pPr>
            <w:r w:rsidRPr="0022291E">
              <w:rPr>
                <w:rFonts w:cstheme="minorHAnsi"/>
                <w:b/>
              </w:rPr>
              <w:t>–</w:t>
            </w:r>
          </w:p>
        </w:tc>
        <w:tc>
          <w:tcPr>
            <w:tcW w:w="1139" w:type="dxa"/>
            <w:tcBorders>
              <w:top w:val="nil"/>
              <w:left w:val="nil"/>
              <w:right w:val="nil"/>
            </w:tcBorders>
            <w:vAlign w:val="bottom"/>
          </w:tcPr>
          <w:p w14:paraId="6D7DE12A" w14:textId="77777777" w:rsidR="00416253" w:rsidRPr="00E310CE" w:rsidRDefault="0022291E" w:rsidP="00416253">
            <w:pPr>
              <w:pStyle w:val="T2"/>
              <w:rPr>
                <w:b/>
              </w:rPr>
            </w:pPr>
            <w:r w:rsidRPr="0022291E">
              <w:rPr>
                <w:rFonts w:cstheme="minorHAnsi"/>
                <w:b/>
              </w:rPr>
              <w:t>–</w:t>
            </w:r>
          </w:p>
        </w:tc>
        <w:tc>
          <w:tcPr>
            <w:tcW w:w="1139" w:type="dxa"/>
            <w:tcBorders>
              <w:top w:val="nil"/>
              <w:left w:val="nil"/>
              <w:right w:val="nil"/>
            </w:tcBorders>
            <w:vAlign w:val="bottom"/>
          </w:tcPr>
          <w:p w14:paraId="1133EC71" w14:textId="77777777" w:rsidR="00416253" w:rsidRPr="00E310CE" w:rsidRDefault="0022291E" w:rsidP="00416253">
            <w:pPr>
              <w:pStyle w:val="T2"/>
              <w:rPr>
                <w:b/>
              </w:rPr>
            </w:pPr>
            <w:r w:rsidRPr="0022291E">
              <w:rPr>
                <w:rFonts w:cstheme="minorHAnsi"/>
                <w:b/>
              </w:rPr>
              <w:t>–</w:t>
            </w:r>
          </w:p>
        </w:tc>
        <w:tc>
          <w:tcPr>
            <w:tcW w:w="1138" w:type="dxa"/>
            <w:gridSpan w:val="2"/>
            <w:tcBorders>
              <w:top w:val="nil"/>
              <w:left w:val="nil"/>
              <w:right w:val="nil"/>
            </w:tcBorders>
            <w:vAlign w:val="bottom"/>
          </w:tcPr>
          <w:p w14:paraId="100258FC" w14:textId="77777777" w:rsidR="00416253" w:rsidRPr="00416253" w:rsidRDefault="00416253" w:rsidP="00416253">
            <w:pPr>
              <w:jc w:val="right"/>
              <w:rPr>
                <w:rFonts w:asciiTheme="minorHAnsi" w:hAnsiTheme="minorHAnsi" w:cstheme="minorHAnsi"/>
                <w:sz w:val="18"/>
                <w:szCs w:val="18"/>
              </w:rPr>
            </w:pPr>
            <w:r w:rsidRPr="00416253">
              <w:rPr>
                <w:rFonts w:asciiTheme="minorHAnsi" w:hAnsiTheme="minorHAnsi" w:cstheme="minorHAnsi"/>
                <w:sz w:val="18"/>
                <w:szCs w:val="18"/>
              </w:rPr>
              <w:t>0.6</w:t>
            </w:r>
          </w:p>
        </w:tc>
        <w:tc>
          <w:tcPr>
            <w:tcW w:w="1139" w:type="dxa"/>
            <w:tcBorders>
              <w:top w:val="nil"/>
              <w:left w:val="nil"/>
              <w:right w:val="nil"/>
            </w:tcBorders>
            <w:vAlign w:val="bottom"/>
          </w:tcPr>
          <w:p w14:paraId="451C7C49" w14:textId="77777777" w:rsidR="00416253" w:rsidRPr="00416253" w:rsidRDefault="00416253" w:rsidP="00416253">
            <w:pPr>
              <w:jc w:val="right"/>
              <w:rPr>
                <w:rFonts w:asciiTheme="minorHAnsi" w:hAnsiTheme="minorHAnsi" w:cstheme="minorHAnsi"/>
                <w:sz w:val="18"/>
                <w:szCs w:val="18"/>
              </w:rPr>
            </w:pPr>
            <w:r w:rsidRPr="00416253">
              <w:rPr>
                <w:rFonts w:asciiTheme="minorHAnsi" w:hAnsiTheme="minorHAnsi" w:cstheme="minorHAnsi"/>
                <w:sz w:val="18"/>
                <w:szCs w:val="18"/>
              </w:rPr>
              <w:t>–</w:t>
            </w:r>
          </w:p>
        </w:tc>
        <w:tc>
          <w:tcPr>
            <w:tcW w:w="1139" w:type="dxa"/>
            <w:tcBorders>
              <w:top w:val="nil"/>
              <w:left w:val="nil"/>
              <w:right w:val="nil"/>
            </w:tcBorders>
            <w:vAlign w:val="bottom"/>
          </w:tcPr>
          <w:p w14:paraId="70D8D3F5" w14:textId="77777777" w:rsidR="00416253" w:rsidRPr="00416253" w:rsidRDefault="00416253" w:rsidP="00416253">
            <w:pPr>
              <w:jc w:val="right"/>
              <w:rPr>
                <w:rFonts w:asciiTheme="minorHAnsi" w:hAnsiTheme="minorHAnsi" w:cstheme="minorHAnsi"/>
                <w:sz w:val="18"/>
                <w:szCs w:val="18"/>
              </w:rPr>
            </w:pPr>
            <w:r w:rsidRPr="00416253">
              <w:rPr>
                <w:rFonts w:asciiTheme="minorHAnsi" w:hAnsiTheme="minorHAnsi" w:cstheme="minorHAnsi"/>
                <w:sz w:val="18"/>
                <w:szCs w:val="18"/>
              </w:rPr>
              <w:t>0.6</w:t>
            </w:r>
          </w:p>
        </w:tc>
      </w:tr>
      <w:tr w:rsidR="0022291E" w14:paraId="4424B66E" w14:textId="77777777" w:rsidTr="0022291E">
        <w:tc>
          <w:tcPr>
            <w:tcW w:w="2835" w:type="dxa"/>
            <w:tcBorders>
              <w:left w:val="nil"/>
              <w:bottom w:val="single" w:sz="4" w:space="0" w:color="auto"/>
              <w:right w:val="nil"/>
            </w:tcBorders>
            <w:vAlign w:val="bottom"/>
          </w:tcPr>
          <w:p w14:paraId="782D8AC1" w14:textId="77777777" w:rsidR="0022291E" w:rsidRPr="0022291E" w:rsidRDefault="0022291E" w:rsidP="00416253">
            <w:pPr>
              <w:pStyle w:val="TableRowHead"/>
            </w:pPr>
            <w:r w:rsidRPr="0022291E">
              <w:t>Profit on disposal of associates</w:t>
            </w:r>
          </w:p>
        </w:tc>
        <w:tc>
          <w:tcPr>
            <w:tcW w:w="681" w:type="dxa"/>
            <w:tcBorders>
              <w:left w:val="nil"/>
              <w:bottom w:val="single" w:sz="4" w:space="0" w:color="auto"/>
              <w:right w:val="nil"/>
            </w:tcBorders>
            <w:vAlign w:val="bottom"/>
          </w:tcPr>
          <w:p w14:paraId="063104A7" w14:textId="77777777" w:rsidR="0022291E" w:rsidRPr="00211290" w:rsidRDefault="0022291E" w:rsidP="00416253">
            <w:pPr>
              <w:jc w:val="right"/>
              <w:rPr>
                <w:sz w:val="18"/>
                <w:szCs w:val="18"/>
              </w:rPr>
            </w:pPr>
          </w:p>
        </w:tc>
        <w:tc>
          <w:tcPr>
            <w:tcW w:w="1138" w:type="dxa"/>
            <w:tcBorders>
              <w:left w:val="nil"/>
              <w:bottom w:val="single" w:sz="4" w:space="0" w:color="auto"/>
              <w:right w:val="nil"/>
            </w:tcBorders>
            <w:vAlign w:val="bottom"/>
          </w:tcPr>
          <w:p w14:paraId="218C3BEF" w14:textId="77777777" w:rsidR="0022291E" w:rsidRPr="00E310CE" w:rsidRDefault="0022291E" w:rsidP="00416253">
            <w:pPr>
              <w:pStyle w:val="T2"/>
              <w:rPr>
                <w:b/>
              </w:rPr>
            </w:pPr>
            <w:r w:rsidRPr="0022291E">
              <w:rPr>
                <w:rFonts w:cstheme="minorHAnsi"/>
                <w:b/>
              </w:rPr>
              <w:t>–</w:t>
            </w:r>
          </w:p>
        </w:tc>
        <w:tc>
          <w:tcPr>
            <w:tcW w:w="1139" w:type="dxa"/>
            <w:tcBorders>
              <w:left w:val="nil"/>
              <w:bottom w:val="single" w:sz="4" w:space="0" w:color="auto"/>
              <w:right w:val="nil"/>
            </w:tcBorders>
            <w:vAlign w:val="bottom"/>
          </w:tcPr>
          <w:p w14:paraId="1BE3FB52" w14:textId="77777777" w:rsidR="0022291E" w:rsidRPr="00E310CE" w:rsidRDefault="0022291E" w:rsidP="00416253">
            <w:pPr>
              <w:pStyle w:val="T2"/>
              <w:rPr>
                <w:b/>
              </w:rPr>
            </w:pPr>
            <w:r>
              <w:rPr>
                <w:b/>
              </w:rPr>
              <w:t>4.0</w:t>
            </w:r>
          </w:p>
        </w:tc>
        <w:tc>
          <w:tcPr>
            <w:tcW w:w="1139" w:type="dxa"/>
            <w:tcBorders>
              <w:left w:val="nil"/>
              <w:bottom w:val="single" w:sz="4" w:space="0" w:color="auto"/>
              <w:right w:val="nil"/>
            </w:tcBorders>
            <w:vAlign w:val="bottom"/>
          </w:tcPr>
          <w:p w14:paraId="142D34CF" w14:textId="77777777" w:rsidR="0022291E" w:rsidRPr="00E310CE" w:rsidRDefault="0022291E" w:rsidP="00416253">
            <w:pPr>
              <w:pStyle w:val="T2"/>
              <w:rPr>
                <w:b/>
              </w:rPr>
            </w:pPr>
            <w:r>
              <w:rPr>
                <w:b/>
              </w:rPr>
              <w:t>4.0</w:t>
            </w:r>
          </w:p>
        </w:tc>
        <w:tc>
          <w:tcPr>
            <w:tcW w:w="1138" w:type="dxa"/>
            <w:gridSpan w:val="2"/>
            <w:tcBorders>
              <w:left w:val="nil"/>
              <w:bottom w:val="single" w:sz="4" w:space="0" w:color="auto"/>
              <w:right w:val="nil"/>
            </w:tcBorders>
            <w:vAlign w:val="bottom"/>
          </w:tcPr>
          <w:p w14:paraId="254FAFA2" w14:textId="12E18BB7" w:rsidR="0022291E" w:rsidRPr="00416253" w:rsidRDefault="002D3D01" w:rsidP="00416253">
            <w:pPr>
              <w:jc w:val="right"/>
              <w:rPr>
                <w:rFonts w:asciiTheme="minorHAnsi" w:hAnsiTheme="minorHAnsi" w:cstheme="minorHAnsi"/>
                <w:sz w:val="18"/>
                <w:szCs w:val="18"/>
              </w:rPr>
            </w:pPr>
            <w:r w:rsidRPr="00416253">
              <w:rPr>
                <w:rFonts w:asciiTheme="minorHAnsi" w:hAnsiTheme="minorHAnsi" w:cstheme="minorHAnsi"/>
                <w:sz w:val="18"/>
                <w:szCs w:val="18"/>
              </w:rPr>
              <w:t>–</w:t>
            </w:r>
          </w:p>
        </w:tc>
        <w:tc>
          <w:tcPr>
            <w:tcW w:w="1139" w:type="dxa"/>
            <w:tcBorders>
              <w:left w:val="nil"/>
              <w:bottom w:val="single" w:sz="4" w:space="0" w:color="auto"/>
              <w:right w:val="nil"/>
            </w:tcBorders>
            <w:vAlign w:val="bottom"/>
          </w:tcPr>
          <w:p w14:paraId="7D11A9CC" w14:textId="71B9961D" w:rsidR="0022291E" w:rsidRPr="00416253" w:rsidRDefault="002D3D01" w:rsidP="00416253">
            <w:pPr>
              <w:jc w:val="right"/>
              <w:rPr>
                <w:rFonts w:asciiTheme="minorHAnsi" w:hAnsiTheme="minorHAnsi" w:cstheme="minorHAnsi"/>
                <w:sz w:val="18"/>
                <w:szCs w:val="18"/>
              </w:rPr>
            </w:pPr>
            <w:r w:rsidRPr="00416253">
              <w:rPr>
                <w:rFonts w:asciiTheme="minorHAnsi" w:hAnsiTheme="minorHAnsi" w:cstheme="minorHAnsi"/>
                <w:sz w:val="18"/>
                <w:szCs w:val="18"/>
              </w:rPr>
              <w:t>–</w:t>
            </w:r>
          </w:p>
        </w:tc>
        <w:tc>
          <w:tcPr>
            <w:tcW w:w="1139" w:type="dxa"/>
            <w:tcBorders>
              <w:left w:val="nil"/>
              <w:bottom w:val="single" w:sz="4" w:space="0" w:color="auto"/>
              <w:right w:val="nil"/>
            </w:tcBorders>
            <w:vAlign w:val="bottom"/>
          </w:tcPr>
          <w:p w14:paraId="29ABF00C" w14:textId="77C0BDEF" w:rsidR="0022291E" w:rsidRPr="00416253" w:rsidRDefault="002D3D01" w:rsidP="00416253">
            <w:pPr>
              <w:jc w:val="right"/>
              <w:rPr>
                <w:rFonts w:asciiTheme="minorHAnsi" w:hAnsiTheme="minorHAnsi" w:cstheme="minorHAnsi"/>
                <w:sz w:val="18"/>
                <w:szCs w:val="18"/>
              </w:rPr>
            </w:pPr>
            <w:r w:rsidRPr="00416253">
              <w:rPr>
                <w:rFonts w:asciiTheme="minorHAnsi" w:hAnsiTheme="minorHAnsi" w:cstheme="minorHAnsi"/>
                <w:sz w:val="18"/>
                <w:szCs w:val="18"/>
              </w:rPr>
              <w:t>–</w:t>
            </w:r>
          </w:p>
        </w:tc>
      </w:tr>
      <w:tr w:rsidR="00416253" w14:paraId="2B506160" w14:textId="77777777" w:rsidTr="0022291E">
        <w:tc>
          <w:tcPr>
            <w:tcW w:w="2835" w:type="dxa"/>
            <w:tcBorders>
              <w:top w:val="single" w:sz="4" w:space="0" w:color="auto"/>
              <w:left w:val="nil"/>
              <w:bottom w:val="nil"/>
              <w:right w:val="nil"/>
            </w:tcBorders>
            <w:vAlign w:val="bottom"/>
          </w:tcPr>
          <w:p w14:paraId="4F776B08" w14:textId="77777777" w:rsidR="00416253" w:rsidRPr="008C0A7B" w:rsidRDefault="00416253" w:rsidP="00416253">
            <w:pPr>
              <w:pStyle w:val="TableRowHead"/>
              <w:rPr>
                <w:b/>
              </w:rPr>
            </w:pPr>
            <w:r w:rsidRPr="008C0A7B">
              <w:rPr>
                <w:b/>
              </w:rPr>
              <w:t>Profit</w:t>
            </w:r>
            <w:r>
              <w:rPr>
                <w:b/>
              </w:rPr>
              <w:t>/(loss)</w:t>
            </w:r>
            <w:r w:rsidRPr="008C0A7B">
              <w:rPr>
                <w:b/>
              </w:rPr>
              <w:t xml:space="preserve"> before taxation</w:t>
            </w:r>
          </w:p>
        </w:tc>
        <w:tc>
          <w:tcPr>
            <w:tcW w:w="681" w:type="dxa"/>
            <w:tcBorders>
              <w:top w:val="single" w:sz="4" w:space="0" w:color="auto"/>
              <w:left w:val="nil"/>
              <w:bottom w:val="nil"/>
              <w:right w:val="nil"/>
            </w:tcBorders>
            <w:vAlign w:val="bottom"/>
          </w:tcPr>
          <w:p w14:paraId="33520047" w14:textId="77777777" w:rsidR="00416253" w:rsidRPr="00211290" w:rsidRDefault="00416253" w:rsidP="00416253">
            <w:pPr>
              <w:jc w:val="right"/>
              <w:rPr>
                <w:sz w:val="18"/>
                <w:szCs w:val="18"/>
              </w:rPr>
            </w:pPr>
          </w:p>
        </w:tc>
        <w:tc>
          <w:tcPr>
            <w:tcW w:w="1138" w:type="dxa"/>
            <w:tcBorders>
              <w:top w:val="single" w:sz="4" w:space="0" w:color="auto"/>
              <w:left w:val="nil"/>
              <w:bottom w:val="nil"/>
              <w:right w:val="nil"/>
            </w:tcBorders>
            <w:vAlign w:val="bottom"/>
          </w:tcPr>
          <w:p w14:paraId="6BE16C9F" w14:textId="77777777" w:rsidR="00416253" w:rsidRPr="00E310CE" w:rsidRDefault="0022291E" w:rsidP="00416253">
            <w:pPr>
              <w:pStyle w:val="T2"/>
              <w:rPr>
                <w:b/>
              </w:rPr>
            </w:pPr>
            <w:r>
              <w:rPr>
                <w:b/>
              </w:rPr>
              <w:t>16.1</w:t>
            </w:r>
          </w:p>
        </w:tc>
        <w:tc>
          <w:tcPr>
            <w:tcW w:w="1139" w:type="dxa"/>
            <w:tcBorders>
              <w:top w:val="single" w:sz="4" w:space="0" w:color="auto"/>
              <w:left w:val="nil"/>
              <w:bottom w:val="nil"/>
              <w:right w:val="nil"/>
            </w:tcBorders>
            <w:vAlign w:val="bottom"/>
          </w:tcPr>
          <w:p w14:paraId="4210FEE1" w14:textId="77777777" w:rsidR="00416253" w:rsidRPr="00E310CE" w:rsidRDefault="0022291E" w:rsidP="00416253">
            <w:pPr>
              <w:pStyle w:val="T2"/>
              <w:rPr>
                <w:b/>
              </w:rPr>
            </w:pPr>
            <w:r>
              <w:rPr>
                <w:b/>
              </w:rPr>
              <w:t>11.7</w:t>
            </w:r>
          </w:p>
        </w:tc>
        <w:tc>
          <w:tcPr>
            <w:tcW w:w="1139" w:type="dxa"/>
            <w:tcBorders>
              <w:top w:val="single" w:sz="4" w:space="0" w:color="auto"/>
              <w:left w:val="nil"/>
              <w:bottom w:val="nil"/>
              <w:right w:val="nil"/>
            </w:tcBorders>
            <w:vAlign w:val="bottom"/>
          </w:tcPr>
          <w:p w14:paraId="210EE5F7" w14:textId="77777777" w:rsidR="00416253" w:rsidRPr="00E310CE" w:rsidRDefault="0022291E" w:rsidP="00416253">
            <w:pPr>
              <w:pStyle w:val="T2"/>
              <w:rPr>
                <w:b/>
              </w:rPr>
            </w:pPr>
            <w:r>
              <w:rPr>
                <w:b/>
              </w:rPr>
              <w:t>27.8</w:t>
            </w:r>
          </w:p>
        </w:tc>
        <w:tc>
          <w:tcPr>
            <w:tcW w:w="1138" w:type="dxa"/>
            <w:gridSpan w:val="2"/>
            <w:tcBorders>
              <w:top w:val="single" w:sz="4" w:space="0" w:color="auto"/>
              <w:left w:val="nil"/>
              <w:bottom w:val="nil"/>
              <w:right w:val="nil"/>
            </w:tcBorders>
            <w:vAlign w:val="bottom"/>
          </w:tcPr>
          <w:p w14:paraId="5399019B" w14:textId="77777777" w:rsidR="00416253" w:rsidRPr="00416253" w:rsidRDefault="00416253" w:rsidP="00416253">
            <w:pPr>
              <w:jc w:val="right"/>
              <w:rPr>
                <w:rFonts w:asciiTheme="minorHAnsi" w:hAnsiTheme="minorHAnsi" w:cstheme="minorHAnsi"/>
                <w:sz w:val="18"/>
                <w:szCs w:val="18"/>
              </w:rPr>
            </w:pPr>
            <w:r w:rsidRPr="00416253">
              <w:rPr>
                <w:rFonts w:asciiTheme="minorHAnsi" w:hAnsiTheme="minorHAnsi" w:cstheme="minorHAnsi"/>
                <w:sz w:val="18"/>
                <w:szCs w:val="18"/>
              </w:rPr>
              <w:t>12.0</w:t>
            </w:r>
          </w:p>
        </w:tc>
        <w:tc>
          <w:tcPr>
            <w:tcW w:w="1139" w:type="dxa"/>
            <w:tcBorders>
              <w:top w:val="single" w:sz="4" w:space="0" w:color="auto"/>
              <w:left w:val="nil"/>
              <w:bottom w:val="nil"/>
              <w:right w:val="nil"/>
            </w:tcBorders>
            <w:vAlign w:val="bottom"/>
          </w:tcPr>
          <w:p w14:paraId="2FDF7F16" w14:textId="77777777" w:rsidR="00416253" w:rsidRPr="00416253" w:rsidRDefault="00416253" w:rsidP="00416253">
            <w:pPr>
              <w:jc w:val="right"/>
              <w:rPr>
                <w:rFonts w:asciiTheme="minorHAnsi" w:hAnsiTheme="minorHAnsi" w:cstheme="minorHAnsi"/>
                <w:sz w:val="18"/>
                <w:szCs w:val="18"/>
              </w:rPr>
            </w:pPr>
            <w:r w:rsidRPr="00416253">
              <w:rPr>
                <w:rFonts w:asciiTheme="minorHAnsi" w:hAnsiTheme="minorHAnsi" w:cstheme="minorHAnsi"/>
                <w:sz w:val="18"/>
                <w:szCs w:val="18"/>
              </w:rPr>
              <w:t>(22.8)</w:t>
            </w:r>
          </w:p>
        </w:tc>
        <w:tc>
          <w:tcPr>
            <w:tcW w:w="1139" w:type="dxa"/>
            <w:tcBorders>
              <w:top w:val="single" w:sz="4" w:space="0" w:color="auto"/>
              <w:left w:val="nil"/>
              <w:bottom w:val="nil"/>
              <w:right w:val="nil"/>
            </w:tcBorders>
            <w:vAlign w:val="bottom"/>
          </w:tcPr>
          <w:p w14:paraId="2C1B386C" w14:textId="77777777" w:rsidR="00416253" w:rsidRPr="00416253" w:rsidRDefault="00416253" w:rsidP="00416253">
            <w:pPr>
              <w:jc w:val="right"/>
              <w:rPr>
                <w:rFonts w:asciiTheme="minorHAnsi" w:hAnsiTheme="minorHAnsi" w:cstheme="minorHAnsi"/>
                <w:sz w:val="18"/>
                <w:szCs w:val="18"/>
              </w:rPr>
            </w:pPr>
            <w:r w:rsidRPr="00416253">
              <w:rPr>
                <w:rFonts w:asciiTheme="minorHAnsi" w:hAnsiTheme="minorHAnsi" w:cstheme="minorHAnsi"/>
                <w:sz w:val="18"/>
                <w:szCs w:val="18"/>
              </w:rPr>
              <w:t>(10.8)</w:t>
            </w:r>
          </w:p>
        </w:tc>
      </w:tr>
      <w:tr w:rsidR="00416253" w14:paraId="35AEE002" w14:textId="77777777" w:rsidTr="00416253">
        <w:tc>
          <w:tcPr>
            <w:tcW w:w="2835" w:type="dxa"/>
            <w:tcBorders>
              <w:top w:val="nil"/>
              <w:left w:val="nil"/>
              <w:bottom w:val="single" w:sz="4" w:space="0" w:color="auto"/>
              <w:right w:val="nil"/>
            </w:tcBorders>
            <w:vAlign w:val="bottom"/>
          </w:tcPr>
          <w:p w14:paraId="45B4670F" w14:textId="77777777" w:rsidR="00416253" w:rsidRPr="00C65534" w:rsidRDefault="00416253" w:rsidP="00416253">
            <w:pPr>
              <w:pStyle w:val="TableRowHead"/>
            </w:pPr>
            <w:r w:rsidRPr="00C65534">
              <w:t>Taxation</w:t>
            </w:r>
          </w:p>
        </w:tc>
        <w:tc>
          <w:tcPr>
            <w:tcW w:w="681" w:type="dxa"/>
            <w:tcBorders>
              <w:top w:val="nil"/>
              <w:left w:val="nil"/>
              <w:bottom w:val="single" w:sz="4" w:space="0" w:color="auto"/>
              <w:right w:val="nil"/>
            </w:tcBorders>
            <w:vAlign w:val="bottom"/>
          </w:tcPr>
          <w:p w14:paraId="34E2735B" w14:textId="77777777" w:rsidR="00416253" w:rsidRPr="00211290" w:rsidRDefault="00416253" w:rsidP="00416253">
            <w:pPr>
              <w:jc w:val="right"/>
              <w:rPr>
                <w:sz w:val="18"/>
                <w:szCs w:val="18"/>
              </w:rPr>
            </w:pPr>
          </w:p>
        </w:tc>
        <w:tc>
          <w:tcPr>
            <w:tcW w:w="1138" w:type="dxa"/>
            <w:tcBorders>
              <w:top w:val="nil"/>
              <w:left w:val="nil"/>
              <w:bottom w:val="single" w:sz="4" w:space="0" w:color="auto"/>
              <w:right w:val="nil"/>
            </w:tcBorders>
            <w:vAlign w:val="bottom"/>
          </w:tcPr>
          <w:p w14:paraId="6E7039C8" w14:textId="77777777" w:rsidR="00416253" w:rsidRPr="00E310CE" w:rsidRDefault="0022291E" w:rsidP="00416253">
            <w:pPr>
              <w:pStyle w:val="T2"/>
              <w:rPr>
                <w:b/>
              </w:rPr>
            </w:pPr>
            <w:r>
              <w:rPr>
                <w:b/>
              </w:rPr>
              <w:t>(2.5)</w:t>
            </w:r>
          </w:p>
        </w:tc>
        <w:tc>
          <w:tcPr>
            <w:tcW w:w="1139" w:type="dxa"/>
            <w:tcBorders>
              <w:top w:val="nil"/>
              <w:left w:val="nil"/>
              <w:bottom w:val="single" w:sz="4" w:space="0" w:color="auto"/>
              <w:right w:val="nil"/>
            </w:tcBorders>
            <w:vAlign w:val="bottom"/>
          </w:tcPr>
          <w:p w14:paraId="626591AF" w14:textId="77777777" w:rsidR="00416253" w:rsidRPr="00E310CE" w:rsidRDefault="0022291E" w:rsidP="00416253">
            <w:pPr>
              <w:pStyle w:val="T2"/>
              <w:rPr>
                <w:b/>
              </w:rPr>
            </w:pPr>
            <w:r>
              <w:rPr>
                <w:b/>
              </w:rPr>
              <w:t>0.4</w:t>
            </w:r>
          </w:p>
        </w:tc>
        <w:tc>
          <w:tcPr>
            <w:tcW w:w="1139" w:type="dxa"/>
            <w:tcBorders>
              <w:top w:val="nil"/>
              <w:left w:val="nil"/>
              <w:bottom w:val="single" w:sz="4" w:space="0" w:color="auto"/>
              <w:right w:val="nil"/>
            </w:tcBorders>
            <w:vAlign w:val="bottom"/>
          </w:tcPr>
          <w:p w14:paraId="6D92D34B" w14:textId="77777777" w:rsidR="00416253" w:rsidRPr="00E310CE" w:rsidRDefault="0022291E" w:rsidP="00416253">
            <w:pPr>
              <w:pStyle w:val="T2"/>
              <w:rPr>
                <w:b/>
              </w:rPr>
            </w:pPr>
            <w:r>
              <w:rPr>
                <w:b/>
              </w:rPr>
              <w:t>(2.1)</w:t>
            </w:r>
          </w:p>
        </w:tc>
        <w:tc>
          <w:tcPr>
            <w:tcW w:w="1138" w:type="dxa"/>
            <w:gridSpan w:val="2"/>
            <w:tcBorders>
              <w:top w:val="nil"/>
              <w:left w:val="nil"/>
              <w:bottom w:val="single" w:sz="4" w:space="0" w:color="auto"/>
              <w:right w:val="nil"/>
            </w:tcBorders>
            <w:vAlign w:val="bottom"/>
          </w:tcPr>
          <w:p w14:paraId="34C0D397" w14:textId="77777777" w:rsidR="00416253" w:rsidRPr="00416253" w:rsidRDefault="00416253" w:rsidP="00416253">
            <w:pPr>
              <w:jc w:val="right"/>
              <w:rPr>
                <w:rFonts w:asciiTheme="minorHAnsi" w:hAnsiTheme="minorHAnsi" w:cstheme="minorHAnsi"/>
                <w:sz w:val="18"/>
                <w:szCs w:val="18"/>
              </w:rPr>
            </w:pPr>
            <w:r w:rsidRPr="00416253">
              <w:rPr>
                <w:rFonts w:asciiTheme="minorHAnsi" w:hAnsiTheme="minorHAnsi" w:cstheme="minorHAnsi"/>
                <w:sz w:val="18"/>
                <w:szCs w:val="18"/>
              </w:rPr>
              <w:t>(1.4)</w:t>
            </w:r>
          </w:p>
        </w:tc>
        <w:tc>
          <w:tcPr>
            <w:tcW w:w="1139" w:type="dxa"/>
            <w:tcBorders>
              <w:top w:val="nil"/>
              <w:left w:val="nil"/>
              <w:bottom w:val="single" w:sz="4" w:space="0" w:color="auto"/>
              <w:right w:val="nil"/>
            </w:tcBorders>
            <w:vAlign w:val="bottom"/>
          </w:tcPr>
          <w:p w14:paraId="64821EB2" w14:textId="77777777" w:rsidR="00416253" w:rsidRPr="00416253" w:rsidRDefault="00416253" w:rsidP="00416253">
            <w:pPr>
              <w:jc w:val="right"/>
              <w:rPr>
                <w:rFonts w:asciiTheme="minorHAnsi" w:hAnsiTheme="minorHAnsi" w:cstheme="minorHAnsi"/>
                <w:sz w:val="18"/>
                <w:szCs w:val="18"/>
              </w:rPr>
            </w:pPr>
            <w:r w:rsidRPr="00416253">
              <w:rPr>
                <w:rFonts w:asciiTheme="minorHAnsi" w:hAnsiTheme="minorHAnsi" w:cstheme="minorHAnsi"/>
                <w:sz w:val="18"/>
                <w:szCs w:val="18"/>
              </w:rPr>
              <w:t>2.3</w:t>
            </w:r>
          </w:p>
        </w:tc>
        <w:tc>
          <w:tcPr>
            <w:tcW w:w="1139" w:type="dxa"/>
            <w:tcBorders>
              <w:top w:val="nil"/>
              <w:left w:val="nil"/>
              <w:bottom w:val="single" w:sz="4" w:space="0" w:color="auto"/>
              <w:right w:val="nil"/>
            </w:tcBorders>
            <w:vAlign w:val="bottom"/>
          </w:tcPr>
          <w:p w14:paraId="6EE08082" w14:textId="77777777" w:rsidR="00416253" w:rsidRPr="00416253" w:rsidRDefault="00416253" w:rsidP="00416253">
            <w:pPr>
              <w:jc w:val="right"/>
              <w:rPr>
                <w:rFonts w:asciiTheme="minorHAnsi" w:hAnsiTheme="minorHAnsi" w:cstheme="minorHAnsi"/>
                <w:sz w:val="18"/>
                <w:szCs w:val="18"/>
              </w:rPr>
            </w:pPr>
            <w:r w:rsidRPr="00416253">
              <w:rPr>
                <w:rFonts w:asciiTheme="minorHAnsi" w:hAnsiTheme="minorHAnsi" w:cstheme="minorHAnsi"/>
                <w:sz w:val="18"/>
                <w:szCs w:val="18"/>
              </w:rPr>
              <w:t>0.9</w:t>
            </w:r>
          </w:p>
        </w:tc>
      </w:tr>
      <w:tr w:rsidR="00416253" w14:paraId="7C30F92E" w14:textId="77777777" w:rsidTr="00416253">
        <w:tc>
          <w:tcPr>
            <w:tcW w:w="2835" w:type="dxa"/>
            <w:tcBorders>
              <w:top w:val="single" w:sz="4" w:space="0" w:color="auto"/>
              <w:left w:val="nil"/>
              <w:bottom w:val="single" w:sz="8" w:space="0" w:color="auto"/>
              <w:right w:val="nil"/>
            </w:tcBorders>
            <w:vAlign w:val="bottom"/>
          </w:tcPr>
          <w:p w14:paraId="10D46C0B" w14:textId="77777777" w:rsidR="00416253" w:rsidRPr="008C0A7B" w:rsidRDefault="00416253" w:rsidP="00416253">
            <w:pPr>
              <w:pStyle w:val="TableRowHead"/>
              <w:rPr>
                <w:b/>
              </w:rPr>
            </w:pPr>
            <w:r>
              <w:rPr>
                <w:b/>
              </w:rPr>
              <w:t>P</w:t>
            </w:r>
            <w:r w:rsidRPr="008C0A7B">
              <w:rPr>
                <w:b/>
              </w:rPr>
              <w:t>rofit</w:t>
            </w:r>
            <w:r>
              <w:rPr>
                <w:b/>
              </w:rPr>
              <w:t>/(loss)</w:t>
            </w:r>
            <w:r w:rsidRPr="008C0A7B">
              <w:rPr>
                <w:b/>
              </w:rPr>
              <w:t xml:space="preserve"> for the financial year</w:t>
            </w:r>
          </w:p>
        </w:tc>
        <w:tc>
          <w:tcPr>
            <w:tcW w:w="681" w:type="dxa"/>
            <w:tcBorders>
              <w:top w:val="single" w:sz="4" w:space="0" w:color="auto"/>
              <w:left w:val="nil"/>
              <w:bottom w:val="single" w:sz="8" w:space="0" w:color="auto"/>
              <w:right w:val="nil"/>
            </w:tcBorders>
            <w:vAlign w:val="bottom"/>
          </w:tcPr>
          <w:p w14:paraId="4041A821" w14:textId="77777777" w:rsidR="00416253" w:rsidRPr="00635D3B" w:rsidRDefault="00416253" w:rsidP="00416253">
            <w:pPr>
              <w:jc w:val="right"/>
              <w:rPr>
                <w:sz w:val="18"/>
                <w:szCs w:val="18"/>
                <w:highlight w:val="yellow"/>
              </w:rPr>
            </w:pPr>
          </w:p>
        </w:tc>
        <w:tc>
          <w:tcPr>
            <w:tcW w:w="1138" w:type="dxa"/>
            <w:tcBorders>
              <w:top w:val="single" w:sz="4" w:space="0" w:color="auto"/>
              <w:left w:val="nil"/>
              <w:bottom w:val="single" w:sz="8" w:space="0" w:color="auto"/>
              <w:right w:val="nil"/>
            </w:tcBorders>
            <w:vAlign w:val="bottom"/>
          </w:tcPr>
          <w:p w14:paraId="31DBD46E" w14:textId="77777777" w:rsidR="00416253" w:rsidRPr="00E310CE" w:rsidRDefault="0022291E" w:rsidP="00416253">
            <w:pPr>
              <w:pStyle w:val="T2"/>
              <w:rPr>
                <w:b/>
              </w:rPr>
            </w:pPr>
            <w:r>
              <w:rPr>
                <w:b/>
              </w:rPr>
              <w:t>13.6</w:t>
            </w:r>
          </w:p>
        </w:tc>
        <w:tc>
          <w:tcPr>
            <w:tcW w:w="1139" w:type="dxa"/>
            <w:tcBorders>
              <w:top w:val="single" w:sz="4" w:space="0" w:color="auto"/>
              <w:left w:val="nil"/>
              <w:bottom w:val="single" w:sz="8" w:space="0" w:color="auto"/>
              <w:right w:val="nil"/>
            </w:tcBorders>
            <w:vAlign w:val="bottom"/>
          </w:tcPr>
          <w:p w14:paraId="59713CA7" w14:textId="77777777" w:rsidR="00416253" w:rsidRPr="00E310CE" w:rsidRDefault="0022291E" w:rsidP="00416253">
            <w:pPr>
              <w:pStyle w:val="T2"/>
              <w:rPr>
                <w:b/>
              </w:rPr>
            </w:pPr>
            <w:r>
              <w:rPr>
                <w:b/>
              </w:rPr>
              <w:t>12.1</w:t>
            </w:r>
          </w:p>
        </w:tc>
        <w:tc>
          <w:tcPr>
            <w:tcW w:w="1139" w:type="dxa"/>
            <w:tcBorders>
              <w:top w:val="single" w:sz="4" w:space="0" w:color="auto"/>
              <w:left w:val="nil"/>
              <w:bottom w:val="single" w:sz="8" w:space="0" w:color="auto"/>
              <w:right w:val="nil"/>
            </w:tcBorders>
            <w:vAlign w:val="bottom"/>
          </w:tcPr>
          <w:p w14:paraId="6830B173" w14:textId="77777777" w:rsidR="00416253" w:rsidRPr="00E310CE" w:rsidRDefault="0022291E" w:rsidP="00416253">
            <w:pPr>
              <w:pStyle w:val="T2"/>
              <w:rPr>
                <w:b/>
              </w:rPr>
            </w:pPr>
            <w:r>
              <w:rPr>
                <w:b/>
              </w:rPr>
              <w:t>25.7</w:t>
            </w:r>
          </w:p>
        </w:tc>
        <w:tc>
          <w:tcPr>
            <w:tcW w:w="1138" w:type="dxa"/>
            <w:gridSpan w:val="2"/>
            <w:tcBorders>
              <w:top w:val="single" w:sz="4" w:space="0" w:color="auto"/>
              <w:left w:val="nil"/>
              <w:bottom w:val="single" w:sz="8" w:space="0" w:color="auto"/>
              <w:right w:val="nil"/>
            </w:tcBorders>
            <w:vAlign w:val="bottom"/>
          </w:tcPr>
          <w:p w14:paraId="2F14805D" w14:textId="77777777" w:rsidR="00416253" w:rsidRPr="00416253" w:rsidRDefault="00416253" w:rsidP="00416253">
            <w:pPr>
              <w:jc w:val="right"/>
              <w:rPr>
                <w:rFonts w:asciiTheme="minorHAnsi" w:hAnsiTheme="minorHAnsi" w:cstheme="minorHAnsi"/>
                <w:sz w:val="18"/>
                <w:szCs w:val="18"/>
              </w:rPr>
            </w:pPr>
            <w:r w:rsidRPr="00416253">
              <w:rPr>
                <w:rFonts w:asciiTheme="minorHAnsi" w:hAnsiTheme="minorHAnsi" w:cstheme="minorHAnsi"/>
                <w:sz w:val="18"/>
                <w:szCs w:val="18"/>
              </w:rPr>
              <w:t>10.6</w:t>
            </w:r>
          </w:p>
        </w:tc>
        <w:tc>
          <w:tcPr>
            <w:tcW w:w="1139" w:type="dxa"/>
            <w:tcBorders>
              <w:top w:val="single" w:sz="4" w:space="0" w:color="auto"/>
              <w:left w:val="nil"/>
              <w:bottom w:val="single" w:sz="8" w:space="0" w:color="auto"/>
              <w:right w:val="nil"/>
            </w:tcBorders>
            <w:vAlign w:val="bottom"/>
          </w:tcPr>
          <w:p w14:paraId="408D45BA" w14:textId="77777777" w:rsidR="00416253" w:rsidRPr="00416253" w:rsidRDefault="00416253" w:rsidP="00416253">
            <w:pPr>
              <w:jc w:val="right"/>
              <w:rPr>
                <w:rFonts w:asciiTheme="minorHAnsi" w:hAnsiTheme="minorHAnsi" w:cstheme="minorHAnsi"/>
                <w:sz w:val="18"/>
                <w:szCs w:val="18"/>
              </w:rPr>
            </w:pPr>
            <w:r w:rsidRPr="00416253">
              <w:rPr>
                <w:rFonts w:asciiTheme="minorHAnsi" w:hAnsiTheme="minorHAnsi" w:cstheme="minorHAnsi"/>
                <w:sz w:val="18"/>
                <w:szCs w:val="18"/>
              </w:rPr>
              <w:t>(20.5)</w:t>
            </w:r>
          </w:p>
        </w:tc>
        <w:tc>
          <w:tcPr>
            <w:tcW w:w="1139" w:type="dxa"/>
            <w:tcBorders>
              <w:top w:val="single" w:sz="4" w:space="0" w:color="auto"/>
              <w:left w:val="nil"/>
              <w:bottom w:val="single" w:sz="8" w:space="0" w:color="auto"/>
              <w:right w:val="nil"/>
            </w:tcBorders>
            <w:vAlign w:val="bottom"/>
          </w:tcPr>
          <w:p w14:paraId="06B8D787" w14:textId="77777777" w:rsidR="00416253" w:rsidRPr="00416253" w:rsidRDefault="00416253" w:rsidP="00416253">
            <w:pPr>
              <w:jc w:val="right"/>
              <w:rPr>
                <w:rFonts w:asciiTheme="minorHAnsi" w:hAnsiTheme="minorHAnsi" w:cstheme="minorHAnsi"/>
                <w:sz w:val="18"/>
                <w:szCs w:val="18"/>
              </w:rPr>
            </w:pPr>
            <w:r w:rsidRPr="00416253">
              <w:rPr>
                <w:rFonts w:asciiTheme="minorHAnsi" w:hAnsiTheme="minorHAnsi" w:cstheme="minorHAnsi"/>
                <w:sz w:val="18"/>
                <w:szCs w:val="18"/>
              </w:rPr>
              <w:t>(9.9)</w:t>
            </w:r>
          </w:p>
        </w:tc>
      </w:tr>
      <w:tr w:rsidR="00416253" w14:paraId="0B169323" w14:textId="77777777" w:rsidTr="00416253">
        <w:tc>
          <w:tcPr>
            <w:tcW w:w="2835" w:type="dxa"/>
            <w:tcBorders>
              <w:top w:val="single" w:sz="8" w:space="0" w:color="auto"/>
              <w:left w:val="nil"/>
              <w:bottom w:val="nil"/>
              <w:right w:val="nil"/>
            </w:tcBorders>
            <w:vAlign w:val="bottom"/>
          </w:tcPr>
          <w:p w14:paraId="7DD4612E" w14:textId="77777777" w:rsidR="00416253" w:rsidRPr="00323878" w:rsidRDefault="00416253" w:rsidP="00416253">
            <w:pPr>
              <w:pStyle w:val="TableRowHead"/>
            </w:pPr>
          </w:p>
        </w:tc>
        <w:tc>
          <w:tcPr>
            <w:tcW w:w="681" w:type="dxa"/>
            <w:tcBorders>
              <w:top w:val="single" w:sz="8" w:space="0" w:color="auto"/>
              <w:left w:val="nil"/>
              <w:bottom w:val="nil"/>
              <w:right w:val="nil"/>
            </w:tcBorders>
            <w:vAlign w:val="bottom"/>
          </w:tcPr>
          <w:p w14:paraId="57A10B22" w14:textId="77777777" w:rsidR="00416253" w:rsidRPr="00635D3B" w:rsidRDefault="00416253" w:rsidP="00416253">
            <w:pPr>
              <w:jc w:val="right"/>
              <w:rPr>
                <w:sz w:val="18"/>
                <w:szCs w:val="18"/>
                <w:highlight w:val="yellow"/>
              </w:rPr>
            </w:pPr>
          </w:p>
        </w:tc>
        <w:tc>
          <w:tcPr>
            <w:tcW w:w="1138" w:type="dxa"/>
            <w:tcBorders>
              <w:top w:val="single" w:sz="8" w:space="0" w:color="auto"/>
              <w:left w:val="nil"/>
              <w:bottom w:val="nil"/>
              <w:right w:val="nil"/>
            </w:tcBorders>
            <w:vAlign w:val="bottom"/>
          </w:tcPr>
          <w:p w14:paraId="58350712" w14:textId="77777777" w:rsidR="00416253" w:rsidRPr="00E310CE" w:rsidRDefault="00416253" w:rsidP="00416253">
            <w:pPr>
              <w:pStyle w:val="T2"/>
              <w:rPr>
                <w:b/>
              </w:rPr>
            </w:pPr>
          </w:p>
        </w:tc>
        <w:tc>
          <w:tcPr>
            <w:tcW w:w="1139" w:type="dxa"/>
            <w:tcBorders>
              <w:top w:val="single" w:sz="8" w:space="0" w:color="auto"/>
              <w:left w:val="nil"/>
              <w:bottom w:val="nil"/>
              <w:right w:val="nil"/>
            </w:tcBorders>
            <w:vAlign w:val="bottom"/>
          </w:tcPr>
          <w:p w14:paraId="055D10B7" w14:textId="77777777" w:rsidR="00416253" w:rsidRPr="00E310CE" w:rsidRDefault="00416253" w:rsidP="00416253">
            <w:pPr>
              <w:pStyle w:val="T2"/>
              <w:rPr>
                <w:b/>
              </w:rPr>
            </w:pPr>
          </w:p>
        </w:tc>
        <w:tc>
          <w:tcPr>
            <w:tcW w:w="1139" w:type="dxa"/>
            <w:tcBorders>
              <w:top w:val="single" w:sz="8" w:space="0" w:color="auto"/>
              <w:left w:val="nil"/>
              <w:bottom w:val="nil"/>
              <w:right w:val="nil"/>
            </w:tcBorders>
            <w:vAlign w:val="bottom"/>
          </w:tcPr>
          <w:p w14:paraId="5E56E16B" w14:textId="77777777" w:rsidR="00416253" w:rsidRPr="00E310CE" w:rsidRDefault="00416253" w:rsidP="00416253">
            <w:pPr>
              <w:pStyle w:val="T2"/>
              <w:rPr>
                <w:b/>
              </w:rPr>
            </w:pPr>
          </w:p>
        </w:tc>
        <w:tc>
          <w:tcPr>
            <w:tcW w:w="1138" w:type="dxa"/>
            <w:gridSpan w:val="2"/>
            <w:tcBorders>
              <w:top w:val="single" w:sz="8" w:space="0" w:color="auto"/>
              <w:left w:val="nil"/>
              <w:bottom w:val="nil"/>
              <w:right w:val="nil"/>
            </w:tcBorders>
            <w:vAlign w:val="bottom"/>
          </w:tcPr>
          <w:p w14:paraId="4612B4C4" w14:textId="77777777" w:rsidR="00416253" w:rsidRPr="00416253" w:rsidRDefault="00416253" w:rsidP="00416253">
            <w:pPr>
              <w:jc w:val="right"/>
              <w:rPr>
                <w:rFonts w:asciiTheme="minorHAnsi" w:hAnsiTheme="minorHAnsi" w:cstheme="minorHAnsi"/>
                <w:sz w:val="18"/>
                <w:szCs w:val="18"/>
              </w:rPr>
            </w:pPr>
          </w:p>
        </w:tc>
        <w:tc>
          <w:tcPr>
            <w:tcW w:w="1139" w:type="dxa"/>
            <w:tcBorders>
              <w:top w:val="single" w:sz="8" w:space="0" w:color="auto"/>
              <w:left w:val="nil"/>
              <w:bottom w:val="nil"/>
              <w:right w:val="nil"/>
            </w:tcBorders>
            <w:vAlign w:val="bottom"/>
          </w:tcPr>
          <w:p w14:paraId="56AD9673" w14:textId="77777777" w:rsidR="00416253" w:rsidRPr="00416253" w:rsidRDefault="00416253" w:rsidP="00416253">
            <w:pPr>
              <w:jc w:val="right"/>
              <w:rPr>
                <w:rFonts w:asciiTheme="minorHAnsi" w:hAnsiTheme="minorHAnsi" w:cstheme="minorHAnsi"/>
                <w:sz w:val="18"/>
                <w:szCs w:val="18"/>
              </w:rPr>
            </w:pPr>
          </w:p>
        </w:tc>
        <w:tc>
          <w:tcPr>
            <w:tcW w:w="1139" w:type="dxa"/>
            <w:tcBorders>
              <w:top w:val="single" w:sz="8" w:space="0" w:color="auto"/>
              <w:left w:val="nil"/>
              <w:bottom w:val="nil"/>
              <w:right w:val="nil"/>
            </w:tcBorders>
            <w:vAlign w:val="bottom"/>
          </w:tcPr>
          <w:p w14:paraId="5C718C0C" w14:textId="77777777" w:rsidR="00416253" w:rsidRPr="00416253" w:rsidRDefault="00416253" w:rsidP="00416253">
            <w:pPr>
              <w:jc w:val="right"/>
              <w:rPr>
                <w:rFonts w:asciiTheme="minorHAnsi" w:hAnsiTheme="minorHAnsi" w:cstheme="minorHAnsi"/>
                <w:sz w:val="18"/>
                <w:szCs w:val="18"/>
              </w:rPr>
            </w:pPr>
          </w:p>
        </w:tc>
      </w:tr>
      <w:tr w:rsidR="00416253" w14:paraId="31FD530C" w14:textId="77777777" w:rsidTr="00416253">
        <w:tc>
          <w:tcPr>
            <w:tcW w:w="2835" w:type="dxa"/>
            <w:tcBorders>
              <w:top w:val="nil"/>
              <w:left w:val="nil"/>
              <w:bottom w:val="nil"/>
              <w:right w:val="nil"/>
            </w:tcBorders>
            <w:vAlign w:val="bottom"/>
          </w:tcPr>
          <w:p w14:paraId="7C1752F8" w14:textId="77777777" w:rsidR="00416253" w:rsidRPr="008C0A7B" w:rsidRDefault="00416253" w:rsidP="00416253">
            <w:pPr>
              <w:pStyle w:val="TableRowHead"/>
              <w:rPr>
                <w:b/>
              </w:rPr>
            </w:pPr>
            <w:r w:rsidRPr="008C0A7B">
              <w:rPr>
                <w:b/>
              </w:rPr>
              <w:t>Attributable to:</w:t>
            </w:r>
          </w:p>
        </w:tc>
        <w:tc>
          <w:tcPr>
            <w:tcW w:w="681" w:type="dxa"/>
            <w:tcBorders>
              <w:top w:val="nil"/>
              <w:left w:val="nil"/>
              <w:bottom w:val="nil"/>
              <w:right w:val="nil"/>
            </w:tcBorders>
            <w:vAlign w:val="bottom"/>
          </w:tcPr>
          <w:p w14:paraId="25D6E935" w14:textId="77777777" w:rsidR="00416253" w:rsidRPr="00635D3B" w:rsidRDefault="00416253" w:rsidP="00416253">
            <w:pPr>
              <w:jc w:val="right"/>
              <w:rPr>
                <w:sz w:val="18"/>
                <w:szCs w:val="18"/>
                <w:highlight w:val="yellow"/>
              </w:rPr>
            </w:pPr>
          </w:p>
        </w:tc>
        <w:tc>
          <w:tcPr>
            <w:tcW w:w="1138" w:type="dxa"/>
            <w:tcBorders>
              <w:top w:val="nil"/>
              <w:left w:val="nil"/>
              <w:bottom w:val="nil"/>
              <w:right w:val="nil"/>
            </w:tcBorders>
            <w:vAlign w:val="bottom"/>
          </w:tcPr>
          <w:p w14:paraId="40BD6C7F" w14:textId="77777777" w:rsidR="00416253" w:rsidRPr="00E310CE" w:rsidRDefault="00416253" w:rsidP="00416253">
            <w:pPr>
              <w:pStyle w:val="T2"/>
              <w:rPr>
                <w:b/>
              </w:rPr>
            </w:pPr>
          </w:p>
        </w:tc>
        <w:tc>
          <w:tcPr>
            <w:tcW w:w="1139" w:type="dxa"/>
            <w:tcBorders>
              <w:top w:val="nil"/>
              <w:left w:val="nil"/>
              <w:bottom w:val="nil"/>
              <w:right w:val="nil"/>
            </w:tcBorders>
            <w:vAlign w:val="bottom"/>
          </w:tcPr>
          <w:p w14:paraId="3DF82099" w14:textId="77777777" w:rsidR="00416253" w:rsidRPr="00E310CE" w:rsidRDefault="00416253" w:rsidP="00416253">
            <w:pPr>
              <w:pStyle w:val="T2"/>
              <w:rPr>
                <w:b/>
              </w:rPr>
            </w:pPr>
          </w:p>
        </w:tc>
        <w:tc>
          <w:tcPr>
            <w:tcW w:w="1139" w:type="dxa"/>
            <w:tcBorders>
              <w:top w:val="nil"/>
              <w:left w:val="nil"/>
              <w:bottom w:val="nil"/>
              <w:right w:val="nil"/>
            </w:tcBorders>
            <w:vAlign w:val="bottom"/>
          </w:tcPr>
          <w:p w14:paraId="73076CF7" w14:textId="77777777" w:rsidR="00416253" w:rsidRPr="00E310CE" w:rsidRDefault="00416253" w:rsidP="00416253">
            <w:pPr>
              <w:pStyle w:val="T2"/>
              <w:rPr>
                <w:b/>
              </w:rPr>
            </w:pPr>
          </w:p>
        </w:tc>
        <w:tc>
          <w:tcPr>
            <w:tcW w:w="1138" w:type="dxa"/>
            <w:gridSpan w:val="2"/>
            <w:tcBorders>
              <w:top w:val="nil"/>
              <w:left w:val="nil"/>
              <w:bottom w:val="nil"/>
              <w:right w:val="nil"/>
            </w:tcBorders>
            <w:vAlign w:val="bottom"/>
          </w:tcPr>
          <w:p w14:paraId="7EEC2255" w14:textId="77777777" w:rsidR="00416253" w:rsidRPr="00416253" w:rsidRDefault="00416253" w:rsidP="00416253">
            <w:pPr>
              <w:jc w:val="right"/>
              <w:rPr>
                <w:rFonts w:asciiTheme="minorHAnsi" w:hAnsiTheme="minorHAnsi" w:cstheme="minorHAnsi"/>
                <w:sz w:val="18"/>
                <w:szCs w:val="18"/>
              </w:rPr>
            </w:pPr>
          </w:p>
        </w:tc>
        <w:tc>
          <w:tcPr>
            <w:tcW w:w="1139" w:type="dxa"/>
            <w:tcBorders>
              <w:top w:val="nil"/>
              <w:left w:val="nil"/>
              <w:bottom w:val="nil"/>
              <w:right w:val="nil"/>
            </w:tcBorders>
            <w:vAlign w:val="bottom"/>
          </w:tcPr>
          <w:p w14:paraId="43EE1894" w14:textId="77777777" w:rsidR="00416253" w:rsidRPr="00416253" w:rsidRDefault="00416253" w:rsidP="00416253">
            <w:pPr>
              <w:jc w:val="right"/>
              <w:rPr>
                <w:rFonts w:asciiTheme="minorHAnsi" w:hAnsiTheme="minorHAnsi" w:cstheme="minorHAnsi"/>
                <w:sz w:val="18"/>
                <w:szCs w:val="18"/>
              </w:rPr>
            </w:pPr>
          </w:p>
        </w:tc>
        <w:tc>
          <w:tcPr>
            <w:tcW w:w="1139" w:type="dxa"/>
            <w:tcBorders>
              <w:top w:val="nil"/>
              <w:left w:val="nil"/>
              <w:bottom w:val="nil"/>
              <w:right w:val="nil"/>
            </w:tcBorders>
            <w:vAlign w:val="bottom"/>
          </w:tcPr>
          <w:p w14:paraId="2031CFCB" w14:textId="77777777" w:rsidR="00416253" w:rsidRPr="00416253" w:rsidRDefault="00416253" w:rsidP="00416253">
            <w:pPr>
              <w:jc w:val="right"/>
              <w:rPr>
                <w:rFonts w:asciiTheme="minorHAnsi" w:hAnsiTheme="minorHAnsi" w:cstheme="minorHAnsi"/>
                <w:sz w:val="18"/>
                <w:szCs w:val="18"/>
              </w:rPr>
            </w:pPr>
          </w:p>
        </w:tc>
      </w:tr>
      <w:tr w:rsidR="00416253" w14:paraId="6E461BBC" w14:textId="77777777" w:rsidTr="00416253">
        <w:tc>
          <w:tcPr>
            <w:tcW w:w="2835" w:type="dxa"/>
            <w:tcBorders>
              <w:top w:val="nil"/>
              <w:left w:val="nil"/>
              <w:right w:val="nil"/>
            </w:tcBorders>
            <w:vAlign w:val="bottom"/>
          </w:tcPr>
          <w:p w14:paraId="5E67C4F4" w14:textId="77777777" w:rsidR="00416253" w:rsidRPr="00196A88" w:rsidRDefault="00416253" w:rsidP="00416253">
            <w:pPr>
              <w:pStyle w:val="TableRowHead"/>
            </w:pPr>
            <w:r w:rsidRPr="00196A88">
              <w:t>Equity shareholders</w:t>
            </w:r>
          </w:p>
        </w:tc>
        <w:tc>
          <w:tcPr>
            <w:tcW w:w="681" w:type="dxa"/>
            <w:tcBorders>
              <w:top w:val="nil"/>
              <w:left w:val="nil"/>
              <w:right w:val="nil"/>
            </w:tcBorders>
            <w:vAlign w:val="bottom"/>
          </w:tcPr>
          <w:p w14:paraId="4DFBBD6D" w14:textId="77777777" w:rsidR="00416253" w:rsidRPr="00635D3B" w:rsidRDefault="00416253" w:rsidP="00416253">
            <w:pPr>
              <w:jc w:val="right"/>
              <w:rPr>
                <w:sz w:val="18"/>
                <w:szCs w:val="18"/>
                <w:highlight w:val="yellow"/>
              </w:rPr>
            </w:pPr>
          </w:p>
        </w:tc>
        <w:tc>
          <w:tcPr>
            <w:tcW w:w="1138" w:type="dxa"/>
            <w:tcBorders>
              <w:top w:val="nil"/>
              <w:left w:val="nil"/>
              <w:right w:val="nil"/>
            </w:tcBorders>
            <w:vAlign w:val="bottom"/>
          </w:tcPr>
          <w:p w14:paraId="4D9ED0F1" w14:textId="77777777" w:rsidR="00416253" w:rsidRPr="00E310CE" w:rsidRDefault="0022291E" w:rsidP="00416253">
            <w:pPr>
              <w:pStyle w:val="T2"/>
              <w:rPr>
                <w:b/>
              </w:rPr>
            </w:pPr>
            <w:r>
              <w:rPr>
                <w:b/>
              </w:rPr>
              <w:t>13.3</w:t>
            </w:r>
          </w:p>
        </w:tc>
        <w:tc>
          <w:tcPr>
            <w:tcW w:w="1139" w:type="dxa"/>
            <w:tcBorders>
              <w:top w:val="nil"/>
              <w:left w:val="nil"/>
              <w:right w:val="nil"/>
            </w:tcBorders>
            <w:vAlign w:val="bottom"/>
          </w:tcPr>
          <w:p w14:paraId="60C29F4A" w14:textId="77777777" w:rsidR="00416253" w:rsidRPr="00E310CE" w:rsidRDefault="0022291E" w:rsidP="00416253">
            <w:pPr>
              <w:pStyle w:val="T2"/>
              <w:rPr>
                <w:b/>
              </w:rPr>
            </w:pPr>
            <w:r>
              <w:rPr>
                <w:b/>
              </w:rPr>
              <w:t>12.1</w:t>
            </w:r>
          </w:p>
        </w:tc>
        <w:tc>
          <w:tcPr>
            <w:tcW w:w="1139" w:type="dxa"/>
            <w:tcBorders>
              <w:top w:val="nil"/>
              <w:left w:val="nil"/>
              <w:right w:val="nil"/>
            </w:tcBorders>
            <w:vAlign w:val="bottom"/>
          </w:tcPr>
          <w:p w14:paraId="2565CFBF" w14:textId="77777777" w:rsidR="00416253" w:rsidRPr="00E310CE" w:rsidRDefault="0022291E" w:rsidP="00416253">
            <w:pPr>
              <w:pStyle w:val="T2"/>
              <w:rPr>
                <w:b/>
              </w:rPr>
            </w:pPr>
            <w:r>
              <w:rPr>
                <w:b/>
              </w:rPr>
              <w:t>25.4</w:t>
            </w:r>
          </w:p>
        </w:tc>
        <w:tc>
          <w:tcPr>
            <w:tcW w:w="1138" w:type="dxa"/>
            <w:gridSpan w:val="2"/>
            <w:tcBorders>
              <w:top w:val="nil"/>
              <w:left w:val="nil"/>
              <w:right w:val="nil"/>
            </w:tcBorders>
            <w:vAlign w:val="bottom"/>
          </w:tcPr>
          <w:p w14:paraId="4DDFA183" w14:textId="77777777" w:rsidR="00416253" w:rsidRPr="00416253" w:rsidRDefault="00416253" w:rsidP="00416253">
            <w:pPr>
              <w:jc w:val="right"/>
              <w:rPr>
                <w:rFonts w:asciiTheme="minorHAnsi" w:hAnsiTheme="minorHAnsi" w:cstheme="minorHAnsi"/>
                <w:sz w:val="18"/>
                <w:szCs w:val="18"/>
              </w:rPr>
            </w:pPr>
            <w:r w:rsidRPr="00416253">
              <w:rPr>
                <w:rFonts w:asciiTheme="minorHAnsi" w:hAnsiTheme="minorHAnsi" w:cstheme="minorHAnsi"/>
                <w:sz w:val="18"/>
                <w:szCs w:val="18"/>
              </w:rPr>
              <w:t>9.0</w:t>
            </w:r>
          </w:p>
        </w:tc>
        <w:tc>
          <w:tcPr>
            <w:tcW w:w="1139" w:type="dxa"/>
            <w:tcBorders>
              <w:top w:val="nil"/>
              <w:left w:val="nil"/>
              <w:right w:val="nil"/>
            </w:tcBorders>
            <w:vAlign w:val="bottom"/>
          </w:tcPr>
          <w:p w14:paraId="1743F13D" w14:textId="77777777" w:rsidR="00416253" w:rsidRPr="00416253" w:rsidRDefault="00416253" w:rsidP="00416253">
            <w:pPr>
              <w:jc w:val="right"/>
              <w:rPr>
                <w:rFonts w:asciiTheme="minorHAnsi" w:hAnsiTheme="minorHAnsi" w:cstheme="minorHAnsi"/>
                <w:sz w:val="18"/>
                <w:szCs w:val="18"/>
              </w:rPr>
            </w:pPr>
            <w:r w:rsidRPr="00416253">
              <w:rPr>
                <w:rFonts w:asciiTheme="minorHAnsi" w:hAnsiTheme="minorHAnsi" w:cstheme="minorHAnsi"/>
                <w:sz w:val="18"/>
                <w:szCs w:val="18"/>
              </w:rPr>
              <w:t>(20.5)</w:t>
            </w:r>
          </w:p>
        </w:tc>
        <w:tc>
          <w:tcPr>
            <w:tcW w:w="1139" w:type="dxa"/>
            <w:tcBorders>
              <w:top w:val="nil"/>
              <w:left w:val="nil"/>
              <w:right w:val="nil"/>
            </w:tcBorders>
            <w:vAlign w:val="bottom"/>
          </w:tcPr>
          <w:p w14:paraId="248A720D" w14:textId="77777777" w:rsidR="00416253" w:rsidRPr="00416253" w:rsidRDefault="00416253" w:rsidP="00416253">
            <w:pPr>
              <w:jc w:val="right"/>
              <w:rPr>
                <w:rFonts w:asciiTheme="minorHAnsi" w:hAnsiTheme="minorHAnsi" w:cstheme="minorHAnsi"/>
                <w:sz w:val="18"/>
                <w:szCs w:val="18"/>
              </w:rPr>
            </w:pPr>
            <w:r w:rsidRPr="00416253">
              <w:rPr>
                <w:rFonts w:asciiTheme="minorHAnsi" w:hAnsiTheme="minorHAnsi" w:cstheme="minorHAnsi"/>
                <w:sz w:val="18"/>
                <w:szCs w:val="18"/>
              </w:rPr>
              <w:t>(11.5)</w:t>
            </w:r>
          </w:p>
        </w:tc>
      </w:tr>
      <w:tr w:rsidR="00416253" w14:paraId="6C403E07" w14:textId="77777777" w:rsidTr="00416253">
        <w:tc>
          <w:tcPr>
            <w:tcW w:w="2835" w:type="dxa"/>
            <w:tcBorders>
              <w:top w:val="nil"/>
              <w:left w:val="nil"/>
              <w:bottom w:val="single" w:sz="4" w:space="0" w:color="auto"/>
              <w:right w:val="nil"/>
            </w:tcBorders>
            <w:vAlign w:val="bottom"/>
          </w:tcPr>
          <w:p w14:paraId="12A2F249" w14:textId="77777777" w:rsidR="00416253" w:rsidRDefault="00416253" w:rsidP="00416253">
            <w:pPr>
              <w:pStyle w:val="TableRowHead"/>
            </w:pPr>
            <w:r w:rsidRPr="00196A88">
              <w:t>Non-controlling interests</w:t>
            </w:r>
          </w:p>
        </w:tc>
        <w:tc>
          <w:tcPr>
            <w:tcW w:w="681" w:type="dxa"/>
            <w:tcBorders>
              <w:top w:val="nil"/>
              <w:left w:val="nil"/>
              <w:bottom w:val="single" w:sz="4" w:space="0" w:color="auto"/>
              <w:right w:val="nil"/>
            </w:tcBorders>
            <w:vAlign w:val="bottom"/>
          </w:tcPr>
          <w:p w14:paraId="10359F15" w14:textId="77777777" w:rsidR="00416253" w:rsidRPr="00635D3B" w:rsidRDefault="00416253" w:rsidP="00416253">
            <w:pPr>
              <w:jc w:val="right"/>
              <w:rPr>
                <w:sz w:val="18"/>
                <w:szCs w:val="18"/>
                <w:highlight w:val="yellow"/>
              </w:rPr>
            </w:pPr>
          </w:p>
        </w:tc>
        <w:tc>
          <w:tcPr>
            <w:tcW w:w="1138" w:type="dxa"/>
            <w:tcBorders>
              <w:top w:val="nil"/>
              <w:left w:val="nil"/>
              <w:bottom w:val="single" w:sz="4" w:space="0" w:color="auto"/>
              <w:right w:val="nil"/>
            </w:tcBorders>
            <w:vAlign w:val="bottom"/>
          </w:tcPr>
          <w:p w14:paraId="7424A3D2" w14:textId="77777777" w:rsidR="00416253" w:rsidRPr="00E310CE" w:rsidRDefault="0022291E" w:rsidP="00416253">
            <w:pPr>
              <w:pStyle w:val="T2"/>
              <w:rPr>
                <w:b/>
              </w:rPr>
            </w:pPr>
            <w:r>
              <w:rPr>
                <w:b/>
              </w:rPr>
              <w:t>0.3</w:t>
            </w:r>
          </w:p>
        </w:tc>
        <w:tc>
          <w:tcPr>
            <w:tcW w:w="1139" w:type="dxa"/>
            <w:tcBorders>
              <w:top w:val="nil"/>
              <w:left w:val="nil"/>
              <w:bottom w:val="single" w:sz="4" w:space="0" w:color="auto"/>
              <w:right w:val="nil"/>
            </w:tcBorders>
            <w:vAlign w:val="bottom"/>
          </w:tcPr>
          <w:p w14:paraId="3CAD9C29" w14:textId="77777777" w:rsidR="00416253" w:rsidRPr="00E310CE" w:rsidRDefault="0022291E" w:rsidP="00416253">
            <w:pPr>
              <w:pStyle w:val="T2"/>
              <w:rPr>
                <w:b/>
              </w:rPr>
            </w:pPr>
            <w:r w:rsidRPr="0022291E">
              <w:rPr>
                <w:rFonts w:cstheme="minorHAnsi"/>
                <w:b/>
              </w:rPr>
              <w:t>–</w:t>
            </w:r>
          </w:p>
        </w:tc>
        <w:tc>
          <w:tcPr>
            <w:tcW w:w="1139" w:type="dxa"/>
            <w:tcBorders>
              <w:top w:val="nil"/>
              <w:left w:val="nil"/>
              <w:bottom w:val="single" w:sz="4" w:space="0" w:color="auto"/>
              <w:right w:val="nil"/>
            </w:tcBorders>
            <w:vAlign w:val="bottom"/>
          </w:tcPr>
          <w:p w14:paraId="6B4CA7E2" w14:textId="77777777" w:rsidR="00416253" w:rsidRPr="00E310CE" w:rsidRDefault="0022291E" w:rsidP="00416253">
            <w:pPr>
              <w:pStyle w:val="T2"/>
              <w:rPr>
                <w:b/>
              </w:rPr>
            </w:pPr>
            <w:r>
              <w:rPr>
                <w:b/>
              </w:rPr>
              <w:t>0.3</w:t>
            </w:r>
          </w:p>
        </w:tc>
        <w:tc>
          <w:tcPr>
            <w:tcW w:w="1138" w:type="dxa"/>
            <w:gridSpan w:val="2"/>
            <w:tcBorders>
              <w:top w:val="nil"/>
              <w:left w:val="nil"/>
              <w:bottom w:val="single" w:sz="4" w:space="0" w:color="auto"/>
              <w:right w:val="nil"/>
            </w:tcBorders>
            <w:vAlign w:val="bottom"/>
          </w:tcPr>
          <w:p w14:paraId="76D184E1" w14:textId="77777777" w:rsidR="00416253" w:rsidRPr="00416253" w:rsidRDefault="00416253" w:rsidP="00416253">
            <w:pPr>
              <w:jc w:val="right"/>
              <w:rPr>
                <w:rFonts w:asciiTheme="minorHAnsi" w:hAnsiTheme="minorHAnsi" w:cstheme="minorHAnsi"/>
                <w:sz w:val="18"/>
                <w:szCs w:val="18"/>
              </w:rPr>
            </w:pPr>
            <w:r w:rsidRPr="00416253">
              <w:rPr>
                <w:rFonts w:asciiTheme="minorHAnsi" w:hAnsiTheme="minorHAnsi" w:cstheme="minorHAnsi"/>
                <w:sz w:val="18"/>
                <w:szCs w:val="18"/>
              </w:rPr>
              <w:t>1.6</w:t>
            </w:r>
          </w:p>
        </w:tc>
        <w:tc>
          <w:tcPr>
            <w:tcW w:w="1139" w:type="dxa"/>
            <w:tcBorders>
              <w:top w:val="nil"/>
              <w:left w:val="nil"/>
              <w:bottom w:val="single" w:sz="4" w:space="0" w:color="auto"/>
              <w:right w:val="nil"/>
            </w:tcBorders>
            <w:vAlign w:val="bottom"/>
          </w:tcPr>
          <w:p w14:paraId="5EE3AEA3" w14:textId="77777777" w:rsidR="00416253" w:rsidRPr="00416253" w:rsidRDefault="00416253" w:rsidP="00416253">
            <w:pPr>
              <w:jc w:val="right"/>
              <w:rPr>
                <w:rFonts w:asciiTheme="minorHAnsi" w:hAnsiTheme="minorHAnsi" w:cstheme="minorHAnsi"/>
                <w:sz w:val="18"/>
                <w:szCs w:val="18"/>
              </w:rPr>
            </w:pPr>
            <w:r w:rsidRPr="00416253">
              <w:rPr>
                <w:rFonts w:asciiTheme="minorHAnsi" w:hAnsiTheme="minorHAnsi" w:cstheme="minorHAnsi"/>
                <w:sz w:val="18"/>
                <w:szCs w:val="18"/>
              </w:rPr>
              <w:t>–</w:t>
            </w:r>
          </w:p>
        </w:tc>
        <w:tc>
          <w:tcPr>
            <w:tcW w:w="1139" w:type="dxa"/>
            <w:tcBorders>
              <w:top w:val="nil"/>
              <w:left w:val="nil"/>
              <w:bottom w:val="single" w:sz="4" w:space="0" w:color="auto"/>
              <w:right w:val="nil"/>
            </w:tcBorders>
            <w:vAlign w:val="bottom"/>
          </w:tcPr>
          <w:p w14:paraId="5FAF89A4" w14:textId="77777777" w:rsidR="00416253" w:rsidRPr="00416253" w:rsidRDefault="00416253" w:rsidP="00416253">
            <w:pPr>
              <w:jc w:val="right"/>
              <w:rPr>
                <w:rFonts w:asciiTheme="minorHAnsi" w:hAnsiTheme="minorHAnsi" w:cstheme="minorHAnsi"/>
                <w:sz w:val="18"/>
                <w:szCs w:val="18"/>
              </w:rPr>
            </w:pPr>
            <w:r w:rsidRPr="00416253">
              <w:rPr>
                <w:rFonts w:asciiTheme="minorHAnsi" w:hAnsiTheme="minorHAnsi" w:cstheme="minorHAnsi"/>
                <w:sz w:val="18"/>
                <w:szCs w:val="18"/>
              </w:rPr>
              <w:t>1.6</w:t>
            </w:r>
          </w:p>
        </w:tc>
      </w:tr>
      <w:tr w:rsidR="00416253" w14:paraId="4E086957" w14:textId="77777777" w:rsidTr="00416253">
        <w:tc>
          <w:tcPr>
            <w:tcW w:w="2835" w:type="dxa"/>
            <w:tcBorders>
              <w:top w:val="single" w:sz="4" w:space="0" w:color="auto"/>
              <w:left w:val="nil"/>
              <w:bottom w:val="single" w:sz="8" w:space="0" w:color="auto"/>
              <w:right w:val="nil"/>
            </w:tcBorders>
            <w:vAlign w:val="bottom"/>
          </w:tcPr>
          <w:p w14:paraId="7798907F" w14:textId="77777777" w:rsidR="00416253" w:rsidRPr="00196A88" w:rsidRDefault="00416253" w:rsidP="00416253">
            <w:pPr>
              <w:pStyle w:val="TableRowHead"/>
            </w:pPr>
          </w:p>
        </w:tc>
        <w:tc>
          <w:tcPr>
            <w:tcW w:w="681" w:type="dxa"/>
            <w:tcBorders>
              <w:top w:val="single" w:sz="4" w:space="0" w:color="auto"/>
              <w:left w:val="nil"/>
              <w:bottom w:val="single" w:sz="8" w:space="0" w:color="auto"/>
              <w:right w:val="nil"/>
            </w:tcBorders>
            <w:vAlign w:val="bottom"/>
          </w:tcPr>
          <w:p w14:paraId="32EC3F04" w14:textId="77777777" w:rsidR="00416253" w:rsidRPr="00E8718C" w:rsidRDefault="00416253" w:rsidP="00416253">
            <w:pPr>
              <w:jc w:val="right"/>
              <w:rPr>
                <w:sz w:val="18"/>
                <w:szCs w:val="18"/>
              </w:rPr>
            </w:pPr>
          </w:p>
        </w:tc>
        <w:tc>
          <w:tcPr>
            <w:tcW w:w="1138" w:type="dxa"/>
            <w:tcBorders>
              <w:top w:val="single" w:sz="4" w:space="0" w:color="auto"/>
              <w:left w:val="nil"/>
              <w:bottom w:val="single" w:sz="8" w:space="0" w:color="auto"/>
              <w:right w:val="nil"/>
            </w:tcBorders>
            <w:vAlign w:val="bottom"/>
          </w:tcPr>
          <w:p w14:paraId="2C3A3F11" w14:textId="77777777" w:rsidR="00416253" w:rsidRPr="00E310CE" w:rsidRDefault="0022291E" w:rsidP="00416253">
            <w:pPr>
              <w:pStyle w:val="T2"/>
              <w:rPr>
                <w:b/>
              </w:rPr>
            </w:pPr>
            <w:r>
              <w:rPr>
                <w:b/>
              </w:rPr>
              <w:t>13.6</w:t>
            </w:r>
          </w:p>
        </w:tc>
        <w:tc>
          <w:tcPr>
            <w:tcW w:w="1139" w:type="dxa"/>
            <w:tcBorders>
              <w:top w:val="single" w:sz="4" w:space="0" w:color="auto"/>
              <w:left w:val="nil"/>
              <w:bottom w:val="single" w:sz="8" w:space="0" w:color="auto"/>
              <w:right w:val="nil"/>
            </w:tcBorders>
            <w:vAlign w:val="bottom"/>
          </w:tcPr>
          <w:p w14:paraId="51923502" w14:textId="77777777" w:rsidR="00416253" w:rsidRPr="00E310CE" w:rsidRDefault="0022291E" w:rsidP="00416253">
            <w:pPr>
              <w:pStyle w:val="T2"/>
              <w:rPr>
                <w:b/>
              </w:rPr>
            </w:pPr>
            <w:r>
              <w:rPr>
                <w:b/>
              </w:rPr>
              <w:t>12.1</w:t>
            </w:r>
          </w:p>
        </w:tc>
        <w:tc>
          <w:tcPr>
            <w:tcW w:w="1139" w:type="dxa"/>
            <w:tcBorders>
              <w:top w:val="single" w:sz="4" w:space="0" w:color="auto"/>
              <w:left w:val="nil"/>
              <w:bottom w:val="single" w:sz="8" w:space="0" w:color="auto"/>
              <w:right w:val="nil"/>
            </w:tcBorders>
            <w:vAlign w:val="bottom"/>
          </w:tcPr>
          <w:p w14:paraId="710872A7" w14:textId="77777777" w:rsidR="00416253" w:rsidRPr="00E310CE" w:rsidRDefault="0022291E" w:rsidP="00416253">
            <w:pPr>
              <w:pStyle w:val="T2"/>
              <w:rPr>
                <w:b/>
              </w:rPr>
            </w:pPr>
            <w:r>
              <w:rPr>
                <w:b/>
              </w:rPr>
              <w:t>25.7</w:t>
            </w:r>
          </w:p>
        </w:tc>
        <w:tc>
          <w:tcPr>
            <w:tcW w:w="1138" w:type="dxa"/>
            <w:gridSpan w:val="2"/>
            <w:tcBorders>
              <w:top w:val="single" w:sz="4" w:space="0" w:color="auto"/>
              <w:left w:val="nil"/>
              <w:bottom w:val="single" w:sz="8" w:space="0" w:color="auto"/>
              <w:right w:val="nil"/>
            </w:tcBorders>
            <w:vAlign w:val="bottom"/>
          </w:tcPr>
          <w:p w14:paraId="6C236434" w14:textId="77777777" w:rsidR="00416253" w:rsidRPr="00416253" w:rsidRDefault="00416253" w:rsidP="00416253">
            <w:pPr>
              <w:jc w:val="right"/>
              <w:rPr>
                <w:rFonts w:asciiTheme="minorHAnsi" w:hAnsiTheme="minorHAnsi" w:cstheme="minorHAnsi"/>
                <w:sz w:val="18"/>
                <w:szCs w:val="18"/>
              </w:rPr>
            </w:pPr>
            <w:r w:rsidRPr="00416253">
              <w:rPr>
                <w:rFonts w:asciiTheme="minorHAnsi" w:hAnsiTheme="minorHAnsi" w:cstheme="minorHAnsi"/>
                <w:sz w:val="18"/>
                <w:szCs w:val="18"/>
              </w:rPr>
              <w:t>10.6</w:t>
            </w:r>
          </w:p>
        </w:tc>
        <w:tc>
          <w:tcPr>
            <w:tcW w:w="1139" w:type="dxa"/>
            <w:tcBorders>
              <w:top w:val="single" w:sz="4" w:space="0" w:color="auto"/>
              <w:left w:val="nil"/>
              <w:bottom w:val="single" w:sz="8" w:space="0" w:color="auto"/>
              <w:right w:val="nil"/>
            </w:tcBorders>
            <w:vAlign w:val="bottom"/>
          </w:tcPr>
          <w:p w14:paraId="24C822B1" w14:textId="77777777" w:rsidR="00416253" w:rsidRPr="00416253" w:rsidRDefault="00416253" w:rsidP="00416253">
            <w:pPr>
              <w:jc w:val="right"/>
              <w:rPr>
                <w:rFonts w:asciiTheme="minorHAnsi" w:hAnsiTheme="minorHAnsi" w:cstheme="minorHAnsi"/>
                <w:sz w:val="18"/>
                <w:szCs w:val="18"/>
              </w:rPr>
            </w:pPr>
            <w:r w:rsidRPr="00416253">
              <w:rPr>
                <w:rFonts w:asciiTheme="minorHAnsi" w:hAnsiTheme="minorHAnsi" w:cstheme="minorHAnsi"/>
                <w:sz w:val="18"/>
                <w:szCs w:val="18"/>
              </w:rPr>
              <w:t>(20.5)</w:t>
            </w:r>
          </w:p>
        </w:tc>
        <w:tc>
          <w:tcPr>
            <w:tcW w:w="1139" w:type="dxa"/>
            <w:tcBorders>
              <w:top w:val="single" w:sz="4" w:space="0" w:color="auto"/>
              <w:left w:val="nil"/>
              <w:bottom w:val="single" w:sz="8" w:space="0" w:color="auto"/>
              <w:right w:val="nil"/>
            </w:tcBorders>
            <w:vAlign w:val="bottom"/>
          </w:tcPr>
          <w:p w14:paraId="2CE7A742" w14:textId="77777777" w:rsidR="00416253" w:rsidRPr="00416253" w:rsidRDefault="00416253" w:rsidP="00416253">
            <w:pPr>
              <w:jc w:val="right"/>
              <w:rPr>
                <w:rFonts w:asciiTheme="minorHAnsi" w:hAnsiTheme="minorHAnsi" w:cstheme="minorHAnsi"/>
                <w:sz w:val="18"/>
                <w:szCs w:val="18"/>
              </w:rPr>
            </w:pPr>
            <w:r w:rsidRPr="00416253">
              <w:rPr>
                <w:rFonts w:asciiTheme="minorHAnsi" w:hAnsiTheme="minorHAnsi" w:cstheme="minorHAnsi"/>
                <w:sz w:val="18"/>
                <w:szCs w:val="18"/>
              </w:rPr>
              <w:t>(9.9)</w:t>
            </w:r>
          </w:p>
        </w:tc>
      </w:tr>
      <w:tr w:rsidR="005B36AA" w14:paraId="0171BA90" w14:textId="77777777" w:rsidTr="005B36AA">
        <w:tc>
          <w:tcPr>
            <w:tcW w:w="2835" w:type="dxa"/>
            <w:tcBorders>
              <w:top w:val="single" w:sz="8" w:space="0" w:color="auto"/>
              <w:left w:val="nil"/>
              <w:right w:val="nil"/>
            </w:tcBorders>
            <w:vAlign w:val="bottom"/>
          </w:tcPr>
          <w:p w14:paraId="33BE0AB2" w14:textId="77777777" w:rsidR="005B36AA" w:rsidRPr="00DA5C62" w:rsidRDefault="005B36AA" w:rsidP="005B36AA">
            <w:pPr>
              <w:pStyle w:val="TableRowHead"/>
            </w:pPr>
          </w:p>
        </w:tc>
        <w:tc>
          <w:tcPr>
            <w:tcW w:w="681" w:type="dxa"/>
            <w:tcBorders>
              <w:top w:val="single" w:sz="8" w:space="0" w:color="auto"/>
              <w:left w:val="nil"/>
              <w:right w:val="nil"/>
            </w:tcBorders>
            <w:vAlign w:val="bottom"/>
          </w:tcPr>
          <w:p w14:paraId="1CAD0B35" w14:textId="77777777" w:rsidR="005B36AA" w:rsidRPr="00E8718C" w:rsidRDefault="005B36AA" w:rsidP="005B36AA">
            <w:pPr>
              <w:jc w:val="right"/>
              <w:rPr>
                <w:sz w:val="18"/>
                <w:szCs w:val="18"/>
              </w:rPr>
            </w:pPr>
          </w:p>
        </w:tc>
        <w:tc>
          <w:tcPr>
            <w:tcW w:w="1138" w:type="dxa"/>
            <w:tcBorders>
              <w:top w:val="single" w:sz="8" w:space="0" w:color="auto"/>
              <w:left w:val="nil"/>
              <w:right w:val="nil"/>
            </w:tcBorders>
            <w:vAlign w:val="bottom"/>
          </w:tcPr>
          <w:p w14:paraId="3593C11A" w14:textId="77777777" w:rsidR="005B36AA" w:rsidRPr="00E310CE" w:rsidRDefault="005B36AA" w:rsidP="005B36AA">
            <w:pPr>
              <w:pStyle w:val="T2"/>
              <w:rPr>
                <w:b/>
              </w:rPr>
            </w:pPr>
          </w:p>
        </w:tc>
        <w:tc>
          <w:tcPr>
            <w:tcW w:w="1139" w:type="dxa"/>
            <w:tcBorders>
              <w:top w:val="single" w:sz="8" w:space="0" w:color="auto"/>
              <w:left w:val="nil"/>
              <w:right w:val="nil"/>
            </w:tcBorders>
            <w:vAlign w:val="bottom"/>
          </w:tcPr>
          <w:p w14:paraId="0063DBEA" w14:textId="77777777" w:rsidR="005B36AA" w:rsidRPr="00E310CE" w:rsidRDefault="005B36AA" w:rsidP="005B36AA">
            <w:pPr>
              <w:pStyle w:val="T2"/>
              <w:rPr>
                <w:b/>
              </w:rPr>
            </w:pPr>
          </w:p>
        </w:tc>
        <w:tc>
          <w:tcPr>
            <w:tcW w:w="1139" w:type="dxa"/>
            <w:tcBorders>
              <w:top w:val="single" w:sz="8" w:space="0" w:color="auto"/>
              <w:left w:val="nil"/>
              <w:right w:val="nil"/>
            </w:tcBorders>
            <w:vAlign w:val="bottom"/>
          </w:tcPr>
          <w:p w14:paraId="11F84ED7" w14:textId="77777777" w:rsidR="005B36AA" w:rsidRPr="00E310CE" w:rsidRDefault="005B36AA" w:rsidP="005B36AA">
            <w:pPr>
              <w:pStyle w:val="T2"/>
              <w:rPr>
                <w:b/>
              </w:rPr>
            </w:pPr>
          </w:p>
        </w:tc>
        <w:tc>
          <w:tcPr>
            <w:tcW w:w="1138" w:type="dxa"/>
            <w:gridSpan w:val="2"/>
            <w:tcBorders>
              <w:top w:val="single" w:sz="8" w:space="0" w:color="auto"/>
              <w:left w:val="nil"/>
              <w:right w:val="nil"/>
            </w:tcBorders>
            <w:vAlign w:val="bottom"/>
          </w:tcPr>
          <w:p w14:paraId="7DF555BC" w14:textId="77777777" w:rsidR="005B36AA" w:rsidRPr="00D90904" w:rsidRDefault="005B36AA" w:rsidP="005B36AA">
            <w:pPr>
              <w:pStyle w:val="T2"/>
            </w:pPr>
          </w:p>
        </w:tc>
        <w:tc>
          <w:tcPr>
            <w:tcW w:w="1139" w:type="dxa"/>
            <w:tcBorders>
              <w:top w:val="single" w:sz="8" w:space="0" w:color="auto"/>
              <w:left w:val="nil"/>
              <w:right w:val="nil"/>
            </w:tcBorders>
            <w:vAlign w:val="bottom"/>
          </w:tcPr>
          <w:p w14:paraId="47E70E61" w14:textId="77777777" w:rsidR="005B36AA" w:rsidRPr="00D90904" w:rsidRDefault="005B36AA" w:rsidP="005B36AA">
            <w:pPr>
              <w:pStyle w:val="T2"/>
            </w:pPr>
          </w:p>
        </w:tc>
        <w:tc>
          <w:tcPr>
            <w:tcW w:w="1139" w:type="dxa"/>
            <w:tcBorders>
              <w:top w:val="single" w:sz="8" w:space="0" w:color="auto"/>
              <w:left w:val="nil"/>
              <w:right w:val="nil"/>
            </w:tcBorders>
            <w:vAlign w:val="bottom"/>
          </w:tcPr>
          <w:p w14:paraId="061F7FAD" w14:textId="77777777" w:rsidR="005B36AA" w:rsidRPr="00D90904" w:rsidRDefault="005B36AA" w:rsidP="005B36AA">
            <w:pPr>
              <w:pStyle w:val="T2"/>
            </w:pPr>
          </w:p>
        </w:tc>
      </w:tr>
      <w:tr w:rsidR="005B36AA" w14:paraId="6919CAD5" w14:textId="77777777" w:rsidTr="005B36AA">
        <w:tc>
          <w:tcPr>
            <w:tcW w:w="10348" w:type="dxa"/>
            <w:gridSpan w:val="9"/>
            <w:tcBorders>
              <w:left w:val="nil"/>
              <w:bottom w:val="nil"/>
              <w:right w:val="nil"/>
            </w:tcBorders>
            <w:vAlign w:val="bottom"/>
          </w:tcPr>
          <w:p w14:paraId="030EC7F6" w14:textId="77777777" w:rsidR="005B36AA" w:rsidRPr="00D90904" w:rsidRDefault="0022291E" w:rsidP="0022291E">
            <w:pPr>
              <w:pStyle w:val="T2"/>
              <w:jc w:val="left"/>
            </w:pPr>
            <w:r>
              <w:rPr>
                <w:b/>
              </w:rPr>
              <w:t>Earnings per share (pence</w:t>
            </w:r>
            <w:r w:rsidR="006C5CF2">
              <w:rPr>
                <w:b/>
              </w:rPr>
              <w:t>)</w:t>
            </w:r>
          </w:p>
        </w:tc>
      </w:tr>
      <w:tr w:rsidR="005B36AA" w14:paraId="79D11A68" w14:textId="77777777" w:rsidTr="005B36AA">
        <w:trPr>
          <w:trHeight w:val="80"/>
        </w:trPr>
        <w:tc>
          <w:tcPr>
            <w:tcW w:w="2835" w:type="dxa"/>
            <w:tcBorders>
              <w:top w:val="nil"/>
              <w:left w:val="nil"/>
              <w:bottom w:val="nil"/>
              <w:right w:val="nil"/>
            </w:tcBorders>
            <w:vAlign w:val="bottom"/>
          </w:tcPr>
          <w:p w14:paraId="1D874800" w14:textId="77777777" w:rsidR="005B36AA" w:rsidRPr="00827814" w:rsidRDefault="005B36AA" w:rsidP="005B36AA">
            <w:pPr>
              <w:pStyle w:val="TableRowHead"/>
            </w:pPr>
            <w:r w:rsidRPr="00827814">
              <w:t>Basic earnings per share</w:t>
            </w:r>
          </w:p>
        </w:tc>
        <w:tc>
          <w:tcPr>
            <w:tcW w:w="681" w:type="dxa"/>
            <w:tcBorders>
              <w:top w:val="nil"/>
              <w:left w:val="nil"/>
              <w:bottom w:val="nil"/>
              <w:right w:val="nil"/>
            </w:tcBorders>
            <w:vAlign w:val="bottom"/>
          </w:tcPr>
          <w:p w14:paraId="69E1E178" w14:textId="77777777" w:rsidR="005B36AA" w:rsidRPr="00211290" w:rsidRDefault="00373106" w:rsidP="005B36AA">
            <w:pPr>
              <w:jc w:val="right"/>
              <w:rPr>
                <w:sz w:val="18"/>
                <w:szCs w:val="18"/>
              </w:rPr>
            </w:pPr>
            <w:r>
              <w:rPr>
                <w:sz w:val="18"/>
                <w:szCs w:val="18"/>
              </w:rPr>
              <w:t>6</w:t>
            </w:r>
          </w:p>
        </w:tc>
        <w:tc>
          <w:tcPr>
            <w:tcW w:w="1138" w:type="dxa"/>
            <w:tcBorders>
              <w:top w:val="nil"/>
              <w:left w:val="nil"/>
              <w:bottom w:val="nil"/>
              <w:right w:val="nil"/>
            </w:tcBorders>
            <w:vAlign w:val="bottom"/>
          </w:tcPr>
          <w:p w14:paraId="19939EA6" w14:textId="77777777" w:rsidR="005B36AA" w:rsidRPr="00E310CE" w:rsidRDefault="005B36AA" w:rsidP="005B36AA">
            <w:pPr>
              <w:pStyle w:val="T2"/>
              <w:rPr>
                <w:b/>
              </w:rPr>
            </w:pPr>
          </w:p>
        </w:tc>
        <w:tc>
          <w:tcPr>
            <w:tcW w:w="1139" w:type="dxa"/>
            <w:tcBorders>
              <w:top w:val="nil"/>
              <w:left w:val="nil"/>
              <w:bottom w:val="nil"/>
              <w:right w:val="nil"/>
            </w:tcBorders>
            <w:vAlign w:val="bottom"/>
          </w:tcPr>
          <w:p w14:paraId="4F3A08EA" w14:textId="77777777" w:rsidR="005B36AA" w:rsidRPr="00E310CE" w:rsidRDefault="005B36AA" w:rsidP="005B36AA">
            <w:pPr>
              <w:pStyle w:val="T2"/>
              <w:rPr>
                <w:b/>
              </w:rPr>
            </w:pPr>
          </w:p>
        </w:tc>
        <w:tc>
          <w:tcPr>
            <w:tcW w:w="1139" w:type="dxa"/>
            <w:tcBorders>
              <w:top w:val="nil"/>
              <w:left w:val="nil"/>
              <w:bottom w:val="nil"/>
              <w:right w:val="nil"/>
            </w:tcBorders>
            <w:vAlign w:val="bottom"/>
          </w:tcPr>
          <w:p w14:paraId="0074E535" w14:textId="77777777" w:rsidR="005B36AA" w:rsidRPr="0005005D" w:rsidRDefault="0022291E" w:rsidP="005B36AA">
            <w:pPr>
              <w:pStyle w:val="T2"/>
              <w:rPr>
                <w:b/>
              </w:rPr>
            </w:pPr>
            <w:r>
              <w:rPr>
                <w:b/>
              </w:rPr>
              <w:t>5.0</w:t>
            </w:r>
          </w:p>
        </w:tc>
        <w:tc>
          <w:tcPr>
            <w:tcW w:w="1138" w:type="dxa"/>
            <w:gridSpan w:val="2"/>
            <w:tcBorders>
              <w:top w:val="nil"/>
              <w:left w:val="nil"/>
              <w:bottom w:val="nil"/>
              <w:right w:val="nil"/>
            </w:tcBorders>
            <w:vAlign w:val="bottom"/>
          </w:tcPr>
          <w:p w14:paraId="1F89E0D2" w14:textId="77777777" w:rsidR="005B36AA" w:rsidRPr="00D90904" w:rsidRDefault="005B36AA" w:rsidP="005B36AA">
            <w:pPr>
              <w:pStyle w:val="T2"/>
            </w:pPr>
          </w:p>
        </w:tc>
        <w:tc>
          <w:tcPr>
            <w:tcW w:w="1139" w:type="dxa"/>
            <w:tcBorders>
              <w:top w:val="nil"/>
              <w:left w:val="nil"/>
              <w:bottom w:val="nil"/>
              <w:right w:val="nil"/>
            </w:tcBorders>
            <w:vAlign w:val="bottom"/>
          </w:tcPr>
          <w:p w14:paraId="0782A578" w14:textId="77777777" w:rsidR="005B36AA" w:rsidRPr="00D90904" w:rsidRDefault="005B36AA" w:rsidP="005B36AA">
            <w:pPr>
              <w:pStyle w:val="T2"/>
            </w:pPr>
          </w:p>
        </w:tc>
        <w:tc>
          <w:tcPr>
            <w:tcW w:w="1139" w:type="dxa"/>
            <w:tcBorders>
              <w:top w:val="nil"/>
              <w:left w:val="nil"/>
              <w:bottom w:val="nil"/>
              <w:right w:val="nil"/>
            </w:tcBorders>
            <w:vAlign w:val="bottom"/>
          </w:tcPr>
          <w:p w14:paraId="3A12AF05" w14:textId="77777777" w:rsidR="005B36AA" w:rsidRPr="00D90904" w:rsidRDefault="00416253" w:rsidP="005B36AA">
            <w:pPr>
              <w:pStyle w:val="T2"/>
            </w:pPr>
            <w:r>
              <w:t>(2.6)</w:t>
            </w:r>
          </w:p>
        </w:tc>
      </w:tr>
      <w:tr w:rsidR="005B36AA" w14:paraId="453D720C" w14:textId="77777777" w:rsidTr="005B36AA">
        <w:tc>
          <w:tcPr>
            <w:tcW w:w="2835" w:type="dxa"/>
            <w:tcBorders>
              <w:top w:val="nil"/>
              <w:left w:val="nil"/>
              <w:bottom w:val="single" w:sz="4" w:space="0" w:color="auto"/>
              <w:right w:val="nil"/>
            </w:tcBorders>
            <w:vAlign w:val="bottom"/>
          </w:tcPr>
          <w:p w14:paraId="65EF0A28" w14:textId="77777777" w:rsidR="005B36AA" w:rsidRDefault="005B36AA" w:rsidP="005B36AA">
            <w:pPr>
              <w:pStyle w:val="TableRowHead"/>
            </w:pPr>
            <w:r w:rsidRPr="00827814">
              <w:t>Diluted earnings per share</w:t>
            </w:r>
          </w:p>
        </w:tc>
        <w:tc>
          <w:tcPr>
            <w:tcW w:w="681" w:type="dxa"/>
            <w:tcBorders>
              <w:top w:val="nil"/>
              <w:left w:val="nil"/>
              <w:bottom w:val="single" w:sz="4" w:space="0" w:color="auto"/>
              <w:right w:val="nil"/>
            </w:tcBorders>
            <w:vAlign w:val="bottom"/>
          </w:tcPr>
          <w:p w14:paraId="1E657C78" w14:textId="77777777" w:rsidR="005B36AA" w:rsidRPr="00211290" w:rsidRDefault="00373106" w:rsidP="005B36AA">
            <w:pPr>
              <w:jc w:val="right"/>
              <w:rPr>
                <w:sz w:val="18"/>
                <w:szCs w:val="18"/>
              </w:rPr>
            </w:pPr>
            <w:r>
              <w:rPr>
                <w:sz w:val="18"/>
                <w:szCs w:val="18"/>
              </w:rPr>
              <w:t>6</w:t>
            </w:r>
          </w:p>
        </w:tc>
        <w:tc>
          <w:tcPr>
            <w:tcW w:w="1138" w:type="dxa"/>
            <w:tcBorders>
              <w:top w:val="nil"/>
              <w:left w:val="nil"/>
              <w:bottom w:val="single" w:sz="4" w:space="0" w:color="auto"/>
              <w:right w:val="nil"/>
            </w:tcBorders>
            <w:vAlign w:val="bottom"/>
          </w:tcPr>
          <w:p w14:paraId="3664DC90" w14:textId="77777777" w:rsidR="005B36AA" w:rsidRPr="00E310CE" w:rsidRDefault="005B36AA" w:rsidP="005B36AA">
            <w:pPr>
              <w:pStyle w:val="T2"/>
              <w:rPr>
                <w:b/>
              </w:rPr>
            </w:pPr>
          </w:p>
        </w:tc>
        <w:tc>
          <w:tcPr>
            <w:tcW w:w="1139" w:type="dxa"/>
            <w:tcBorders>
              <w:top w:val="nil"/>
              <w:left w:val="nil"/>
              <w:bottom w:val="single" w:sz="4" w:space="0" w:color="auto"/>
              <w:right w:val="nil"/>
            </w:tcBorders>
            <w:vAlign w:val="bottom"/>
          </w:tcPr>
          <w:p w14:paraId="566E5967" w14:textId="77777777" w:rsidR="005B36AA" w:rsidRPr="00E310CE" w:rsidRDefault="005B36AA" w:rsidP="005B36AA">
            <w:pPr>
              <w:pStyle w:val="T2"/>
              <w:rPr>
                <w:b/>
              </w:rPr>
            </w:pPr>
          </w:p>
        </w:tc>
        <w:tc>
          <w:tcPr>
            <w:tcW w:w="1139" w:type="dxa"/>
            <w:tcBorders>
              <w:top w:val="nil"/>
              <w:left w:val="nil"/>
              <w:bottom w:val="single" w:sz="4" w:space="0" w:color="auto"/>
              <w:right w:val="nil"/>
            </w:tcBorders>
            <w:shd w:val="clear" w:color="auto" w:fill="auto"/>
            <w:vAlign w:val="bottom"/>
          </w:tcPr>
          <w:p w14:paraId="62689D22" w14:textId="77777777" w:rsidR="005B36AA" w:rsidRPr="0005005D" w:rsidRDefault="0022291E" w:rsidP="005B36AA">
            <w:pPr>
              <w:pStyle w:val="T2"/>
              <w:rPr>
                <w:b/>
              </w:rPr>
            </w:pPr>
            <w:r>
              <w:rPr>
                <w:b/>
              </w:rPr>
              <w:t>5.0</w:t>
            </w:r>
          </w:p>
        </w:tc>
        <w:tc>
          <w:tcPr>
            <w:tcW w:w="1138" w:type="dxa"/>
            <w:gridSpan w:val="2"/>
            <w:tcBorders>
              <w:top w:val="nil"/>
              <w:left w:val="nil"/>
              <w:bottom w:val="single" w:sz="4" w:space="0" w:color="auto"/>
              <w:right w:val="nil"/>
            </w:tcBorders>
            <w:shd w:val="clear" w:color="auto" w:fill="auto"/>
            <w:vAlign w:val="bottom"/>
          </w:tcPr>
          <w:p w14:paraId="6260FD96" w14:textId="77777777" w:rsidR="005B36AA" w:rsidRPr="00CB42AB" w:rsidRDefault="005B36AA" w:rsidP="005B36AA">
            <w:pPr>
              <w:pStyle w:val="T2"/>
              <w:rPr>
                <w:highlight w:val="yellow"/>
              </w:rPr>
            </w:pPr>
          </w:p>
        </w:tc>
        <w:tc>
          <w:tcPr>
            <w:tcW w:w="1139" w:type="dxa"/>
            <w:tcBorders>
              <w:top w:val="nil"/>
              <w:left w:val="nil"/>
              <w:bottom w:val="single" w:sz="4" w:space="0" w:color="auto"/>
              <w:right w:val="nil"/>
            </w:tcBorders>
            <w:vAlign w:val="bottom"/>
          </w:tcPr>
          <w:p w14:paraId="3DED5456" w14:textId="77777777" w:rsidR="005B36AA" w:rsidRPr="00D90904" w:rsidRDefault="005B36AA" w:rsidP="005B36AA">
            <w:pPr>
              <w:pStyle w:val="T2"/>
            </w:pPr>
          </w:p>
        </w:tc>
        <w:tc>
          <w:tcPr>
            <w:tcW w:w="1139" w:type="dxa"/>
            <w:tcBorders>
              <w:top w:val="nil"/>
              <w:left w:val="nil"/>
              <w:bottom w:val="single" w:sz="4" w:space="0" w:color="auto"/>
              <w:right w:val="nil"/>
            </w:tcBorders>
            <w:vAlign w:val="bottom"/>
          </w:tcPr>
          <w:p w14:paraId="54C92FD9" w14:textId="77777777" w:rsidR="005B36AA" w:rsidRPr="00D90904" w:rsidRDefault="00416253" w:rsidP="005B36AA">
            <w:pPr>
              <w:pStyle w:val="T2"/>
            </w:pPr>
            <w:r>
              <w:t>(2.6)</w:t>
            </w:r>
          </w:p>
        </w:tc>
      </w:tr>
    </w:tbl>
    <w:p w14:paraId="62B2DA5F" w14:textId="77777777" w:rsidR="005B36AA" w:rsidRDefault="005B36AA" w:rsidP="005B36AA">
      <w:pPr>
        <w:pStyle w:val="BodyText"/>
      </w:pPr>
    </w:p>
    <w:p w14:paraId="08720D6F" w14:textId="77777777" w:rsidR="009B1C1E" w:rsidRDefault="009B1C1E" w:rsidP="009B1C1E">
      <w:pPr>
        <w:pStyle w:val="Heading1"/>
        <w:spacing w:before="60"/>
      </w:pPr>
      <w:r>
        <w:rPr>
          <w:color w:val="001F5F"/>
        </w:rPr>
        <w:t>GROUP STATEMENT OF COMPREHENSIVE INCOME</w:t>
      </w:r>
    </w:p>
    <w:p w14:paraId="1A7A024A" w14:textId="77777777" w:rsidR="009B1C1E" w:rsidRDefault="009B1C1E" w:rsidP="009B1C1E">
      <w:pPr>
        <w:spacing w:before="19"/>
        <w:ind w:left="20"/>
        <w:rPr>
          <w:b/>
          <w:sz w:val="20"/>
        </w:rPr>
      </w:pPr>
      <w:r>
        <w:rPr>
          <w:b/>
          <w:color w:val="001F5F"/>
          <w:sz w:val="20"/>
        </w:rPr>
        <w:t>for year ended 24 September 2021</w:t>
      </w:r>
    </w:p>
    <w:p w14:paraId="027064FA" w14:textId="77777777" w:rsidR="005B36AA" w:rsidRPr="00F9301C" w:rsidRDefault="005B36AA" w:rsidP="005B36AA">
      <w:pPr>
        <w:pStyle w:val="BodyText"/>
      </w:pPr>
    </w:p>
    <w:tbl>
      <w:tblPr>
        <w:tblpPr w:leftFromText="180" w:rightFromText="180" w:vertAnchor="text" w:tblpY="1"/>
        <w:tblOverlap w:val="never"/>
        <w:tblW w:w="10205" w:type="dxa"/>
        <w:tblLook w:val="04A0" w:firstRow="1" w:lastRow="0" w:firstColumn="1" w:lastColumn="0" w:noHBand="0" w:noVBand="1"/>
      </w:tblPr>
      <w:tblGrid>
        <w:gridCol w:w="7257"/>
        <w:gridCol w:w="680"/>
        <w:gridCol w:w="1134"/>
        <w:gridCol w:w="1134"/>
      </w:tblGrid>
      <w:tr w:rsidR="005B36AA" w:rsidRPr="009959CB" w14:paraId="7E168C2C" w14:textId="77777777" w:rsidTr="005B36AA">
        <w:trPr>
          <w:trHeight w:val="227"/>
        </w:trPr>
        <w:tc>
          <w:tcPr>
            <w:tcW w:w="7257" w:type="dxa"/>
            <w:tcBorders>
              <w:bottom w:val="single" w:sz="4" w:space="0" w:color="auto"/>
            </w:tcBorders>
          </w:tcPr>
          <w:p w14:paraId="2CDE84F7" w14:textId="77777777" w:rsidR="005B36AA" w:rsidRDefault="005B36AA" w:rsidP="005B36AA">
            <w:pPr>
              <w:pStyle w:val="TableRowHead"/>
            </w:pPr>
            <w:bookmarkStart w:id="10" w:name="_Hlk23518592"/>
          </w:p>
        </w:tc>
        <w:tc>
          <w:tcPr>
            <w:tcW w:w="680" w:type="dxa"/>
            <w:tcBorders>
              <w:bottom w:val="single" w:sz="4" w:space="0" w:color="auto"/>
            </w:tcBorders>
            <w:vAlign w:val="bottom"/>
          </w:tcPr>
          <w:p w14:paraId="6F9FCFC5" w14:textId="77777777" w:rsidR="005B36AA" w:rsidRPr="00C00770" w:rsidRDefault="005B36AA" w:rsidP="005B36AA">
            <w:pPr>
              <w:pStyle w:val="Subtitle"/>
              <w:rPr>
                <w:b w:val="0"/>
                <w:bCs/>
              </w:rPr>
            </w:pPr>
          </w:p>
        </w:tc>
        <w:tc>
          <w:tcPr>
            <w:tcW w:w="1134" w:type="dxa"/>
            <w:tcBorders>
              <w:bottom w:val="single" w:sz="4" w:space="0" w:color="auto"/>
            </w:tcBorders>
            <w:vAlign w:val="bottom"/>
          </w:tcPr>
          <w:p w14:paraId="60F2B9D1" w14:textId="77777777" w:rsidR="005B36AA" w:rsidRDefault="005B36AA" w:rsidP="005B36AA">
            <w:pPr>
              <w:pStyle w:val="Subtitle"/>
            </w:pPr>
            <w:r>
              <w:t>202</w:t>
            </w:r>
            <w:r w:rsidR="00416253">
              <w:t>1</w:t>
            </w:r>
          </w:p>
          <w:p w14:paraId="5ACF6D80" w14:textId="77777777" w:rsidR="005B36AA" w:rsidRPr="00D03E8C" w:rsidRDefault="005B36AA" w:rsidP="005B36AA">
            <w:pPr>
              <w:pStyle w:val="Subtitle"/>
            </w:pPr>
            <w:r w:rsidRPr="00EB272D">
              <w:t>£m</w:t>
            </w:r>
          </w:p>
        </w:tc>
        <w:tc>
          <w:tcPr>
            <w:tcW w:w="1134" w:type="dxa"/>
            <w:tcBorders>
              <w:bottom w:val="single" w:sz="4" w:space="0" w:color="auto"/>
            </w:tcBorders>
            <w:vAlign w:val="bottom"/>
          </w:tcPr>
          <w:p w14:paraId="62A8BAE3" w14:textId="77777777" w:rsidR="005B36AA" w:rsidRPr="00CB42AB" w:rsidRDefault="005B36AA" w:rsidP="00416253">
            <w:pPr>
              <w:pStyle w:val="Subtitle"/>
              <w:rPr>
                <w:b w:val="0"/>
              </w:rPr>
            </w:pPr>
            <w:r>
              <w:rPr>
                <w:b w:val="0"/>
              </w:rPr>
              <w:t>20</w:t>
            </w:r>
            <w:r w:rsidR="00416253">
              <w:rPr>
                <w:b w:val="0"/>
              </w:rPr>
              <w:t>20</w:t>
            </w:r>
            <w:r w:rsidRPr="00CB42AB">
              <w:rPr>
                <w:b w:val="0"/>
              </w:rPr>
              <w:br/>
              <w:t>£m</w:t>
            </w:r>
          </w:p>
        </w:tc>
      </w:tr>
      <w:tr w:rsidR="005B36AA" w14:paraId="578EA84B" w14:textId="77777777" w:rsidTr="005B36AA">
        <w:trPr>
          <w:trHeight w:val="227"/>
        </w:trPr>
        <w:tc>
          <w:tcPr>
            <w:tcW w:w="10205" w:type="dxa"/>
            <w:gridSpan w:val="4"/>
            <w:tcBorders>
              <w:top w:val="single" w:sz="4" w:space="0" w:color="auto"/>
            </w:tcBorders>
          </w:tcPr>
          <w:p w14:paraId="420C81E6" w14:textId="77777777" w:rsidR="005B36AA" w:rsidRDefault="005B36AA" w:rsidP="005B36AA">
            <w:pPr>
              <w:pStyle w:val="TableRowHead"/>
              <w:rPr>
                <w:b/>
              </w:rPr>
            </w:pPr>
            <w:r w:rsidRPr="00D03E8C">
              <w:rPr>
                <w:b/>
              </w:rPr>
              <w:t xml:space="preserve">Items of </w:t>
            </w:r>
            <w:r>
              <w:rPr>
                <w:b/>
              </w:rPr>
              <w:t xml:space="preserve">comprehensive </w:t>
            </w:r>
            <w:r w:rsidRPr="00D03E8C">
              <w:rPr>
                <w:b/>
              </w:rPr>
              <w:t xml:space="preserve">income taken directly to equity </w:t>
            </w:r>
          </w:p>
          <w:p w14:paraId="74E02F97" w14:textId="77777777" w:rsidR="005B36AA" w:rsidRPr="00D03E8C" w:rsidRDefault="005B36AA" w:rsidP="005B36AA">
            <w:pPr>
              <w:pStyle w:val="TableRowHead"/>
              <w:rPr>
                <w:b/>
              </w:rPr>
            </w:pPr>
          </w:p>
        </w:tc>
      </w:tr>
      <w:tr w:rsidR="005B36AA" w14:paraId="10733144" w14:textId="77777777" w:rsidTr="005B36AA">
        <w:trPr>
          <w:trHeight w:val="227"/>
        </w:trPr>
        <w:tc>
          <w:tcPr>
            <w:tcW w:w="7257" w:type="dxa"/>
          </w:tcPr>
          <w:p w14:paraId="16DB2994" w14:textId="77777777" w:rsidR="005B36AA" w:rsidRPr="00BA1C6B" w:rsidRDefault="005B36AA" w:rsidP="005B36AA">
            <w:pPr>
              <w:pStyle w:val="TableRowHead"/>
              <w:rPr>
                <w:b/>
              </w:rPr>
            </w:pPr>
            <w:r w:rsidRPr="00BA1C6B">
              <w:rPr>
                <w:b/>
              </w:rPr>
              <w:t>Items that will not be reclassified to profit or loss:</w:t>
            </w:r>
          </w:p>
        </w:tc>
        <w:tc>
          <w:tcPr>
            <w:tcW w:w="680" w:type="dxa"/>
          </w:tcPr>
          <w:p w14:paraId="70D6CE8E" w14:textId="77777777" w:rsidR="005B36AA" w:rsidRPr="00D03E8C" w:rsidRDefault="005B36AA" w:rsidP="005B36AA">
            <w:pPr>
              <w:pStyle w:val="Subtitle"/>
            </w:pPr>
          </w:p>
        </w:tc>
        <w:tc>
          <w:tcPr>
            <w:tcW w:w="1134" w:type="dxa"/>
            <w:vAlign w:val="bottom"/>
          </w:tcPr>
          <w:p w14:paraId="7BBF1BD6" w14:textId="77777777" w:rsidR="005B36AA" w:rsidRPr="00D03E8C" w:rsidRDefault="005B36AA" w:rsidP="005B36AA">
            <w:pPr>
              <w:pStyle w:val="Subtitle"/>
            </w:pPr>
          </w:p>
        </w:tc>
        <w:tc>
          <w:tcPr>
            <w:tcW w:w="1134" w:type="dxa"/>
            <w:vAlign w:val="bottom"/>
          </w:tcPr>
          <w:p w14:paraId="6D9BE37D" w14:textId="77777777" w:rsidR="005B36AA" w:rsidRDefault="005B36AA" w:rsidP="005B36AA">
            <w:pPr>
              <w:pStyle w:val="Subtitle"/>
            </w:pPr>
          </w:p>
        </w:tc>
      </w:tr>
      <w:bookmarkEnd w:id="10"/>
      <w:tr w:rsidR="00416253" w14:paraId="64533F8E" w14:textId="77777777" w:rsidTr="00416253">
        <w:trPr>
          <w:trHeight w:val="227"/>
        </w:trPr>
        <w:tc>
          <w:tcPr>
            <w:tcW w:w="7257" w:type="dxa"/>
          </w:tcPr>
          <w:p w14:paraId="2E35C51C" w14:textId="77777777" w:rsidR="00416253" w:rsidRPr="00765393" w:rsidRDefault="00416253" w:rsidP="0022291E">
            <w:pPr>
              <w:pStyle w:val="TableRowHead"/>
            </w:pPr>
            <w:r w:rsidRPr="00765393">
              <w:t>Actuarial</w:t>
            </w:r>
            <w:r>
              <w:t xml:space="preserve"> </w:t>
            </w:r>
            <w:r w:rsidRPr="00765393">
              <w:t xml:space="preserve">gain on Group </w:t>
            </w:r>
            <w:r>
              <w:t xml:space="preserve">legacy </w:t>
            </w:r>
            <w:r w:rsidRPr="00765393">
              <w:t>defined benefit pension schemes</w:t>
            </w:r>
          </w:p>
        </w:tc>
        <w:tc>
          <w:tcPr>
            <w:tcW w:w="680" w:type="dxa"/>
          </w:tcPr>
          <w:p w14:paraId="5FD7A0FB" w14:textId="77777777" w:rsidR="00416253" w:rsidRPr="00C00770" w:rsidRDefault="00416253" w:rsidP="00416253">
            <w:pPr>
              <w:pStyle w:val="T2"/>
              <w:rPr>
                <w:bCs/>
              </w:rPr>
            </w:pPr>
          </w:p>
        </w:tc>
        <w:tc>
          <w:tcPr>
            <w:tcW w:w="1134" w:type="dxa"/>
            <w:vAlign w:val="bottom"/>
          </w:tcPr>
          <w:p w14:paraId="6E47A6E8" w14:textId="77777777" w:rsidR="00416253" w:rsidRPr="00D03E8C" w:rsidRDefault="0022291E" w:rsidP="00416253">
            <w:pPr>
              <w:pStyle w:val="T2"/>
              <w:rPr>
                <w:b/>
              </w:rPr>
            </w:pPr>
            <w:r>
              <w:rPr>
                <w:b/>
              </w:rPr>
              <w:t>36.3</w:t>
            </w:r>
          </w:p>
        </w:tc>
        <w:tc>
          <w:tcPr>
            <w:tcW w:w="1134" w:type="dxa"/>
            <w:vAlign w:val="bottom"/>
          </w:tcPr>
          <w:p w14:paraId="4DDAF76F" w14:textId="77777777" w:rsidR="00416253" w:rsidRPr="0022291E" w:rsidRDefault="00416253" w:rsidP="00416253">
            <w:pPr>
              <w:jc w:val="right"/>
              <w:rPr>
                <w:rFonts w:asciiTheme="minorHAnsi" w:hAnsiTheme="minorHAnsi" w:cstheme="minorHAnsi"/>
                <w:sz w:val="18"/>
                <w:szCs w:val="18"/>
              </w:rPr>
            </w:pPr>
            <w:r w:rsidRPr="0022291E">
              <w:rPr>
                <w:rFonts w:asciiTheme="minorHAnsi" w:hAnsiTheme="minorHAnsi" w:cstheme="minorHAnsi"/>
                <w:sz w:val="18"/>
                <w:szCs w:val="18"/>
              </w:rPr>
              <w:t>1.6</w:t>
            </w:r>
          </w:p>
        </w:tc>
      </w:tr>
      <w:tr w:rsidR="00416253" w14:paraId="30322469" w14:textId="77777777" w:rsidTr="00416253">
        <w:trPr>
          <w:trHeight w:val="227"/>
        </w:trPr>
        <w:tc>
          <w:tcPr>
            <w:tcW w:w="7257" w:type="dxa"/>
            <w:tcBorders>
              <w:bottom w:val="single" w:sz="4" w:space="0" w:color="auto"/>
            </w:tcBorders>
          </w:tcPr>
          <w:p w14:paraId="68BA0971" w14:textId="77777777" w:rsidR="00416253" w:rsidRPr="00594CDA" w:rsidRDefault="00416253" w:rsidP="00416253">
            <w:pPr>
              <w:pStyle w:val="TableRowHead"/>
            </w:pPr>
            <w:r w:rsidRPr="00594CDA">
              <w:t xml:space="preserve">Tax </w:t>
            </w:r>
            <w:r w:rsidR="0022291E">
              <w:t>(charge)/</w:t>
            </w:r>
            <w:r>
              <w:t>credit</w:t>
            </w:r>
            <w:r w:rsidRPr="00594CDA">
              <w:t xml:space="preserve"> on Group legacy defined benefit pension schemes</w:t>
            </w:r>
          </w:p>
        </w:tc>
        <w:tc>
          <w:tcPr>
            <w:tcW w:w="680" w:type="dxa"/>
            <w:tcBorders>
              <w:bottom w:val="single" w:sz="4" w:space="0" w:color="auto"/>
            </w:tcBorders>
          </w:tcPr>
          <w:p w14:paraId="4409329B" w14:textId="77777777" w:rsidR="00416253" w:rsidRPr="00C00770" w:rsidRDefault="00416253" w:rsidP="00416253">
            <w:pPr>
              <w:pStyle w:val="T2"/>
              <w:rPr>
                <w:bCs/>
              </w:rPr>
            </w:pPr>
          </w:p>
        </w:tc>
        <w:tc>
          <w:tcPr>
            <w:tcW w:w="1134" w:type="dxa"/>
            <w:tcBorders>
              <w:bottom w:val="single" w:sz="4" w:space="0" w:color="auto"/>
            </w:tcBorders>
            <w:vAlign w:val="bottom"/>
          </w:tcPr>
          <w:p w14:paraId="2FE73622" w14:textId="77777777" w:rsidR="00416253" w:rsidRPr="00D03E8C" w:rsidRDefault="0022291E" w:rsidP="008E46B3">
            <w:pPr>
              <w:pStyle w:val="T2"/>
              <w:rPr>
                <w:b/>
              </w:rPr>
            </w:pPr>
            <w:r>
              <w:rPr>
                <w:b/>
              </w:rPr>
              <w:t>(</w:t>
            </w:r>
            <w:r w:rsidR="00BF3D27">
              <w:rPr>
                <w:b/>
              </w:rPr>
              <w:t>1.1</w:t>
            </w:r>
            <w:r>
              <w:rPr>
                <w:b/>
              </w:rPr>
              <w:t>)</w:t>
            </w:r>
          </w:p>
        </w:tc>
        <w:tc>
          <w:tcPr>
            <w:tcW w:w="1134" w:type="dxa"/>
            <w:tcBorders>
              <w:bottom w:val="single" w:sz="4" w:space="0" w:color="auto"/>
            </w:tcBorders>
            <w:vAlign w:val="bottom"/>
          </w:tcPr>
          <w:p w14:paraId="54147750" w14:textId="77777777" w:rsidR="00416253" w:rsidRPr="0022291E" w:rsidRDefault="00416253" w:rsidP="00416253">
            <w:pPr>
              <w:jc w:val="right"/>
              <w:rPr>
                <w:rFonts w:asciiTheme="minorHAnsi" w:hAnsiTheme="minorHAnsi" w:cstheme="minorHAnsi"/>
                <w:sz w:val="18"/>
                <w:szCs w:val="18"/>
              </w:rPr>
            </w:pPr>
            <w:r w:rsidRPr="0022291E">
              <w:rPr>
                <w:rFonts w:asciiTheme="minorHAnsi" w:hAnsiTheme="minorHAnsi" w:cstheme="minorHAnsi"/>
                <w:sz w:val="18"/>
                <w:szCs w:val="18"/>
              </w:rPr>
              <w:t>2.3</w:t>
            </w:r>
          </w:p>
        </w:tc>
      </w:tr>
      <w:tr w:rsidR="00416253" w14:paraId="6D88B9C0" w14:textId="77777777" w:rsidTr="00416253">
        <w:trPr>
          <w:trHeight w:val="227"/>
        </w:trPr>
        <w:tc>
          <w:tcPr>
            <w:tcW w:w="7257" w:type="dxa"/>
            <w:tcBorders>
              <w:top w:val="single" w:sz="4" w:space="0" w:color="auto"/>
              <w:bottom w:val="single" w:sz="4" w:space="0" w:color="auto"/>
            </w:tcBorders>
          </w:tcPr>
          <w:p w14:paraId="0EAB9CA6" w14:textId="77777777" w:rsidR="00416253" w:rsidRPr="00765393" w:rsidRDefault="00416253" w:rsidP="00416253">
            <w:pPr>
              <w:pStyle w:val="TableRowHead"/>
            </w:pPr>
          </w:p>
        </w:tc>
        <w:tc>
          <w:tcPr>
            <w:tcW w:w="680" w:type="dxa"/>
            <w:tcBorders>
              <w:top w:val="single" w:sz="4" w:space="0" w:color="auto"/>
              <w:bottom w:val="single" w:sz="4" w:space="0" w:color="auto"/>
            </w:tcBorders>
          </w:tcPr>
          <w:p w14:paraId="68A5513D" w14:textId="77777777" w:rsidR="00416253" w:rsidRDefault="00416253" w:rsidP="00416253">
            <w:pPr>
              <w:pStyle w:val="T2"/>
              <w:rPr>
                <w:b/>
              </w:rPr>
            </w:pPr>
          </w:p>
        </w:tc>
        <w:tc>
          <w:tcPr>
            <w:tcW w:w="1134" w:type="dxa"/>
            <w:tcBorders>
              <w:top w:val="single" w:sz="4" w:space="0" w:color="auto"/>
              <w:bottom w:val="single" w:sz="4" w:space="0" w:color="auto"/>
            </w:tcBorders>
            <w:vAlign w:val="bottom"/>
          </w:tcPr>
          <w:p w14:paraId="292A6F32" w14:textId="77777777" w:rsidR="00416253" w:rsidRPr="00D03E8C" w:rsidRDefault="0022291E" w:rsidP="008E46B3">
            <w:pPr>
              <w:pStyle w:val="T2"/>
              <w:rPr>
                <w:b/>
              </w:rPr>
            </w:pPr>
            <w:r>
              <w:rPr>
                <w:b/>
              </w:rPr>
              <w:t>3</w:t>
            </w:r>
            <w:r w:rsidR="00BF3D27">
              <w:rPr>
                <w:b/>
              </w:rPr>
              <w:t>5.2</w:t>
            </w:r>
          </w:p>
        </w:tc>
        <w:tc>
          <w:tcPr>
            <w:tcW w:w="1134" w:type="dxa"/>
            <w:tcBorders>
              <w:top w:val="single" w:sz="4" w:space="0" w:color="auto"/>
              <w:bottom w:val="single" w:sz="4" w:space="0" w:color="auto"/>
            </w:tcBorders>
            <w:vAlign w:val="bottom"/>
          </w:tcPr>
          <w:p w14:paraId="5BF8A96E" w14:textId="77777777" w:rsidR="00416253" w:rsidRPr="0022291E" w:rsidRDefault="00416253" w:rsidP="00416253">
            <w:pPr>
              <w:jc w:val="right"/>
              <w:rPr>
                <w:rFonts w:asciiTheme="minorHAnsi" w:hAnsiTheme="minorHAnsi" w:cstheme="minorHAnsi"/>
                <w:sz w:val="18"/>
                <w:szCs w:val="18"/>
              </w:rPr>
            </w:pPr>
            <w:r w:rsidRPr="0022291E">
              <w:rPr>
                <w:rFonts w:asciiTheme="minorHAnsi" w:hAnsiTheme="minorHAnsi" w:cstheme="minorHAnsi"/>
                <w:sz w:val="18"/>
                <w:szCs w:val="18"/>
              </w:rPr>
              <w:t>3.9</w:t>
            </w:r>
          </w:p>
        </w:tc>
      </w:tr>
      <w:tr w:rsidR="00416253" w14:paraId="3CDDC81A" w14:textId="77777777" w:rsidTr="00416253">
        <w:trPr>
          <w:trHeight w:val="227"/>
        </w:trPr>
        <w:tc>
          <w:tcPr>
            <w:tcW w:w="7257" w:type="dxa"/>
            <w:tcBorders>
              <w:top w:val="single" w:sz="4" w:space="0" w:color="auto"/>
            </w:tcBorders>
            <w:vAlign w:val="bottom"/>
          </w:tcPr>
          <w:p w14:paraId="314ADDF5" w14:textId="77777777" w:rsidR="00416253" w:rsidRPr="00DA4157" w:rsidRDefault="00416253" w:rsidP="00416253">
            <w:pPr>
              <w:pStyle w:val="TableRowHead"/>
              <w:rPr>
                <w:b/>
              </w:rPr>
            </w:pPr>
            <w:r w:rsidRPr="00DA4157">
              <w:rPr>
                <w:b/>
              </w:rPr>
              <w:t>Items that may subsequently be reclassified to profit or loss:</w:t>
            </w:r>
          </w:p>
        </w:tc>
        <w:tc>
          <w:tcPr>
            <w:tcW w:w="680" w:type="dxa"/>
            <w:tcBorders>
              <w:top w:val="single" w:sz="4" w:space="0" w:color="auto"/>
            </w:tcBorders>
          </w:tcPr>
          <w:p w14:paraId="2031C65D" w14:textId="77777777" w:rsidR="00416253" w:rsidRPr="00D03E8C" w:rsidRDefault="00416253" w:rsidP="00416253">
            <w:pPr>
              <w:pStyle w:val="T2"/>
              <w:rPr>
                <w:b/>
              </w:rPr>
            </w:pPr>
          </w:p>
        </w:tc>
        <w:tc>
          <w:tcPr>
            <w:tcW w:w="1134" w:type="dxa"/>
            <w:tcBorders>
              <w:top w:val="single" w:sz="4" w:space="0" w:color="auto"/>
            </w:tcBorders>
            <w:vAlign w:val="bottom"/>
          </w:tcPr>
          <w:p w14:paraId="3093A6C4" w14:textId="77777777" w:rsidR="00416253" w:rsidRPr="00D03E8C" w:rsidRDefault="00416253" w:rsidP="00416253">
            <w:pPr>
              <w:pStyle w:val="T2"/>
              <w:rPr>
                <w:b/>
              </w:rPr>
            </w:pPr>
          </w:p>
        </w:tc>
        <w:tc>
          <w:tcPr>
            <w:tcW w:w="1134" w:type="dxa"/>
            <w:tcBorders>
              <w:top w:val="single" w:sz="4" w:space="0" w:color="auto"/>
            </w:tcBorders>
            <w:vAlign w:val="bottom"/>
          </w:tcPr>
          <w:p w14:paraId="2B7183E6" w14:textId="77777777" w:rsidR="00416253" w:rsidRPr="0022291E" w:rsidRDefault="00416253" w:rsidP="00416253">
            <w:pPr>
              <w:jc w:val="right"/>
              <w:rPr>
                <w:rFonts w:asciiTheme="minorHAnsi" w:hAnsiTheme="minorHAnsi" w:cstheme="minorHAnsi"/>
                <w:sz w:val="18"/>
                <w:szCs w:val="18"/>
              </w:rPr>
            </w:pPr>
          </w:p>
        </w:tc>
      </w:tr>
      <w:tr w:rsidR="00416253" w14:paraId="62F1A1D5" w14:textId="77777777" w:rsidTr="00416253">
        <w:trPr>
          <w:trHeight w:val="227"/>
        </w:trPr>
        <w:tc>
          <w:tcPr>
            <w:tcW w:w="7257" w:type="dxa"/>
            <w:vAlign w:val="bottom"/>
          </w:tcPr>
          <w:p w14:paraId="2352541B" w14:textId="77777777" w:rsidR="00416253" w:rsidRPr="00765393" w:rsidRDefault="00416253" w:rsidP="00416253">
            <w:pPr>
              <w:pStyle w:val="TableRowHead"/>
            </w:pPr>
            <w:r w:rsidRPr="00765393">
              <w:t>Currency translation adjustment</w:t>
            </w:r>
          </w:p>
        </w:tc>
        <w:tc>
          <w:tcPr>
            <w:tcW w:w="680" w:type="dxa"/>
          </w:tcPr>
          <w:p w14:paraId="28714E4D" w14:textId="77777777" w:rsidR="00416253" w:rsidRDefault="00416253" w:rsidP="00416253">
            <w:pPr>
              <w:pStyle w:val="T2"/>
              <w:rPr>
                <w:b/>
              </w:rPr>
            </w:pPr>
          </w:p>
        </w:tc>
        <w:tc>
          <w:tcPr>
            <w:tcW w:w="1134" w:type="dxa"/>
            <w:vAlign w:val="bottom"/>
          </w:tcPr>
          <w:p w14:paraId="1DD5A62F" w14:textId="77777777" w:rsidR="00416253" w:rsidRPr="00D03E8C" w:rsidRDefault="0022291E" w:rsidP="00D12164">
            <w:pPr>
              <w:pStyle w:val="T2"/>
              <w:rPr>
                <w:b/>
              </w:rPr>
            </w:pPr>
            <w:r>
              <w:rPr>
                <w:b/>
              </w:rPr>
              <w:t>(</w:t>
            </w:r>
            <w:r w:rsidR="00D12164">
              <w:rPr>
                <w:b/>
              </w:rPr>
              <w:t>3.2</w:t>
            </w:r>
            <w:r>
              <w:rPr>
                <w:b/>
              </w:rPr>
              <w:t>)</w:t>
            </w:r>
          </w:p>
        </w:tc>
        <w:tc>
          <w:tcPr>
            <w:tcW w:w="1134" w:type="dxa"/>
            <w:vAlign w:val="bottom"/>
          </w:tcPr>
          <w:p w14:paraId="2855141F" w14:textId="77777777" w:rsidR="00416253" w:rsidRPr="0022291E" w:rsidRDefault="00416253" w:rsidP="00416253">
            <w:pPr>
              <w:jc w:val="right"/>
              <w:rPr>
                <w:rFonts w:asciiTheme="minorHAnsi" w:hAnsiTheme="minorHAnsi" w:cstheme="minorHAnsi"/>
                <w:sz w:val="18"/>
                <w:szCs w:val="18"/>
              </w:rPr>
            </w:pPr>
            <w:r w:rsidRPr="0022291E">
              <w:rPr>
                <w:rFonts w:asciiTheme="minorHAnsi" w:hAnsiTheme="minorHAnsi" w:cstheme="minorHAnsi"/>
                <w:sz w:val="18"/>
                <w:szCs w:val="18"/>
              </w:rPr>
              <w:t>1.3</w:t>
            </w:r>
          </w:p>
        </w:tc>
      </w:tr>
      <w:tr w:rsidR="00416253" w14:paraId="150B0B82" w14:textId="77777777" w:rsidTr="00416253">
        <w:trPr>
          <w:trHeight w:val="227"/>
        </w:trPr>
        <w:tc>
          <w:tcPr>
            <w:tcW w:w="7257" w:type="dxa"/>
            <w:vAlign w:val="bottom"/>
          </w:tcPr>
          <w:p w14:paraId="6ADA4789" w14:textId="77777777" w:rsidR="00416253" w:rsidRPr="00765393" w:rsidRDefault="00416253" w:rsidP="0022291E">
            <w:pPr>
              <w:pStyle w:val="TableRowHead"/>
            </w:pPr>
            <w:r w:rsidRPr="00765393">
              <w:t xml:space="preserve">Translation reserve transferred to </w:t>
            </w:r>
            <w:r>
              <w:t>I</w:t>
            </w:r>
            <w:r w:rsidRPr="00765393">
              <w:t xml:space="preserve">ncome </w:t>
            </w:r>
            <w:r>
              <w:t>S</w:t>
            </w:r>
            <w:r w:rsidRPr="00765393">
              <w:t xml:space="preserve">tatement on </w:t>
            </w:r>
            <w:r w:rsidR="0022291E">
              <w:t>disposal of subsidiary</w:t>
            </w:r>
          </w:p>
        </w:tc>
        <w:tc>
          <w:tcPr>
            <w:tcW w:w="680" w:type="dxa"/>
          </w:tcPr>
          <w:p w14:paraId="52F746D5" w14:textId="77777777" w:rsidR="00416253" w:rsidRPr="00D03E8C" w:rsidRDefault="00416253" w:rsidP="00416253">
            <w:pPr>
              <w:pStyle w:val="T2"/>
              <w:rPr>
                <w:b/>
              </w:rPr>
            </w:pPr>
          </w:p>
        </w:tc>
        <w:tc>
          <w:tcPr>
            <w:tcW w:w="1134" w:type="dxa"/>
            <w:vAlign w:val="bottom"/>
          </w:tcPr>
          <w:p w14:paraId="73654127" w14:textId="77777777" w:rsidR="00416253" w:rsidRPr="00D03E8C" w:rsidRDefault="0022291E" w:rsidP="00416253">
            <w:pPr>
              <w:pStyle w:val="T2"/>
              <w:rPr>
                <w:b/>
              </w:rPr>
            </w:pPr>
            <w:r>
              <w:rPr>
                <w:b/>
              </w:rPr>
              <w:t>(1.0)</w:t>
            </w:r>
          </w:p>
        </w:tc>
        <w:tc>
          <w:tcPr>
            <w:tcW w:w="1134" w:type="dxa"/>
            <w:vAlign w:val="bottom"/>
          </w:tcPr>
          <w:p w14:paraId="0E8164F7" w14:textId="77777777" w:rsidR="00416253" w:rsidRPr="0022291E" w:rsidRDefault="0022291E" w:rsidP="00416253">
            <w:pPr>
              <w:jc w:val="right"/>
              <w:rPr>
                <w:rFonts w:asciiTheme="minorHAnsi" w:hAnsiTheme="minorHAnsi" w:cstheme="minorHAnsi"/>
                <w:sz w:val="18"/>
                <w:szCs w:val="18"/>
              </w:rPr>
            </w:pPr>
            <w:r w:rsidRPr="0022291E">
              <w:rPr>
                <w:rFonts w:asciiTheme="minorHAnsi" w:hAnsiTheme="minorHAnsi" w:cstheme="minorHAnsi"/>
                <w:sz w:val="18"/>
                <w:szCs w:val="18"/>
              </w:rPr>
              <w:t>–</w:t>
            </w:r>
          </w:p>
        </w:tc>
      </w:tr>
      <w:tr w:rsidR="00416253" w14:paraId="296F4CB3" w14:textId="77777777" w:rsidTr="00416253">
        <w:trPr>
          <w:trHeight w:val="227"/>
        </w:trPr>
        <w:tc>
          <w:tcPr>
            <w:tcW w:w="7257" w:type="dxa"/>
            <w:vAlign w:val="bottom"/>
          </w:tcPr>
          <w:p w14:paraId="63C54168" w14:textId="77777777" w:rsidR="00416253" w:rsidRPr="00765393" w:rsidRDefault="0022291E" w:rsidP="00416253">
            <w:pPr>
              <w:pStyle w:val="TableRowHead"/>
            </w:pPr>
            <w:r>
              <w:t>Non-controlling interest transferred to Income Statement on disposal of subsidiary</w:t>
            </w:r>
          </w:p>
        </w:tc>
        <w:tc>
          <w:tcPr>
            <w:tcW w:w="680" w:type="dxa"/>
          </w:tcPr>
          <w:p w14:paraId="216B220D" w14:textId="77777777" w:rsidR="00416253" w:rsidRDefault="00416253" w:rsidP="00416253">
            <w:pPr>
              <w:pStyle w:val="T2"/>
              <w:rPr>
                <w:b/>
              </w:rPr>
            </w:pPr>
          </w:p>
        </w:tc>
        <w:tc>
          <w:tcPr>
            <w:tcW w:w="1134" w:type="dxa"/>
            <w:vAlign w:val="bottom"/>
          </w:tcPr>
          <w:p w14:paraId="26061C73" w14:textId="77777777" w:rsidR="00416253" w:rsidRDefault="0022291E" w:rsidP="00416253">
            <w:pPr>
              <w:pStyle w:val="T2"/>
              <w:rPr>
                <w:b/>
              </w:rPr>
            </w:pPr>
            <w:r>
              <w:rPr>
                <w:b/>
              </w:rPr>
              <w:t>(5.8)</w:t>
            </w:r>
          </w:p>
        </w:tc>
        <w:tc>
          <w:tcPr>
            <w:tcW w:w="1134" w:type="dxa"/>
            <w:vAlign w:val="bottom"/>
          </w:tcPr>
          <w:p w14:paraId="537E2571" w14:textId="77777777" w:rsidR="00416253" w:rsidRPr="0022291E" w:rsidRDefault="0022291E" w:rsidP="00416253">
            <w:pPr>
              <w:jc w:val="right"/>
              <w:rPr>
                <w:rFonts w:asciiTheme="minorHAnsi" w:hAnsiTheme="minorHAnsi" w:cstheme="minorHAnsi"/>
                <w:sz w:val="18"/>
                <w:szCs w:val="18"/>
              </w:rPr>
            </w:pPr>
            <w:r w:rsidRPr="0022291E">
              <w:rPr>
                <w:rFonts w:asciiTheme="minorHAnsi" w:hAnsiTheme="minorHAnsi" w:cstheme="minorHAnsi"/>
                <w:sz w:val="18"/>
                <w:szCs w:val="18"/>
              </w:rPr>
              <w:t>–</w:t>
            </w:r>
          </w:p>
        </w:tc>
      </w:tr>
      <w:tr w:rsidR="00416253" w14:paraId="2113969A" w14:textId="77777777" w:rsidTr="00416253">
        <w:trPr>
          <w:trHeight w:val="227"/>
        </w:trPr>
        <w:tc>
          <w:tcPr>
            <w:tcW w:w="7257" w:type="dxa"/>
            <w:vAlign w:val="bottom"/>
          </w:tcPr>
          <w:p w14:paraId="2DDE310A" w14:textId="77777777" w:rsidR="00416253" w:rsidRPr="00765393" w:rsidRDefault="00416253" w:rsidP="00416253">
            <w:pPr>
              <w:pStyle w:val="TableRowHead"/>
            </w:pPr>
            <w:r w:rsidRPr="00765393">
              <w:t>Cash flow hedges:</w:t>
            </w:r>
          </w:p>
        </w:tc>
        <w:tc>
          <w:tcPr>
            <w:tcW w:w="680" w:type="dxa"/>
          </w:tcPr>
          <w:p w14:paraId="400C2772" w14:textId="77777777" w:rsidR="00416253" w:rsidRPr="00D03E8C" w:rsidRDefault="00416253" w:rsidP="00416253">
            <w:pPr>
              <w:pStyle w:val="T2"/>
              <w:rPr>
                <w:b/>
              </w:rPr>
            </w:pPr>
          </w:p>
        </w:tc>
        <w:tc>
          <w:tcPr>
            <w:tcW w:w="1134" w:type="dxa"/>
            <w:vAlign w:val="bottom"/>
          </w:tcPr>
          <w:p w14:paraId="2D521FF3" w14:textId="77777777" w:rsidR="00416253" w:rsidRPr="00D03E8C" w:rsidRDefault="00416253" w:rsidP="00416253">
            <w:pPr>
              <w:pStyle w:val="T2"/>
              <w:rPr>
                <w:b/>
              </w:rPr>
            </w:pPr>
          </w:p>
        </w:tc>
        <w:tc>
          <w:tcPr>
            <w:tcW w:w="1134" w:type="dxa"/>
            <w:vAlign w:val="bottom"/>
          </w:tcPr>
          <w:p w14:paraId="42A07775" w14:textId="77777777" w:rsidR="00416253" w:rsidRPr="0022291E" w:rsidRDefault="00416253" w:rsidP="00416253">
            <w:pPr>
              <w:jc w:val="right"/>
              <w:rPr>
                <w:rFonts w:asciiTheme="minorHAnsi" w:hAnsiTheme="minorHAnsi" w:cstheme="minorHAnsi"/>
                <w:sz w:val="18"/>
                <w:szCs w:val="18"/>
              </w:rPr>
            </w:pPr>
          </w:p>
        </w:tc>
      </w:tr>
      <w:tr w:rsidR="00416253" w14:paraId="39EDB9F8" w14:textId="77777777" w:rsidTr="00416253">
        <w:trPr>
          <w:trHeight w:val="227"/>
        </w:trPr>
        <w:tc>
          <w:tcPr>
            <w:tcW w:w="7257" w:type="dxa"/>
            <w:vAlign w:val="bottom"/>
          </w:tcPr>
          <w:p w14:paraId="07855649" w14:textId="77777777" w:rsidR="00416253" w:rsidRPr="00765393" w:rsidRDefault="00416253" w:rsidP="00416253">
            <w:pPr>
              <w:pStyle w:val="TableRowHead"/>
            </w:pPr>
            <w:r>
              <w:t xml:space="preserve">     </w:t>
            </w:r>
            <w:r w:rsidRPr="00765393">
              <w:t>fair value movement taken to equity</w:t>
            </w:r>
          </w:p>
        </w:tc>
        <w:tc>
          <w:tcPr>
            <w:tcW w:w="680" w:type="dxa"/>
            <w:shd w:val="clear" w:color="auto" w:fill="auto"/>
          </w:tcPr>
          <w:p w14:paraId="214BD4CF" w14:textId="77777777" w:rsidR="00416253" w:rsidRPr="00D03E8C" w:rsidRDefault="00416253" w:rsidP="00416253">
            <w:pPr>
              <w:pStyle w:val="T2"/>
              <w:rPr>
                <w:b/>
              </w:rPr>
            </w:pPr>
          </w:p>
        </w:tc>
        <w:tc>
          <w:tcPr>
            <w:tcW w:w="1134" w:type="dxa"/>
            <w:shd w:val="clear" w:color="auto" w:fill="auto"/>
            <w:vAlign w:val="bottom"/>
          </w:tcPr>
          <w:p w14:paraId="752FDC11" w14:textId="77777777" w:rsidR="00416253" w:rsidRPr="00D80872" w:rsidRDefault="0022291E" w:rsidP="00416253">
            <w:pPr>
              <w:pStyle w:val="T2"/>
              <w:rPr>
                <w:b/>
              </w:rPr>
            </w:pPr>
            <w:r>
              <w:rPr>
                <w:b/>
              </w:rPr>
              <w:t>(0.5)</w:t>
            </w:r>
          </w:p>
        </w:tc>
        <w:tc>
          <w:tcPr>
            <w:tcW w:w="1134" w:type="dxa"/>
            <w:vAlign w:val="bottom"/>
          </w:tcPr>
          <w:p w14:paraId="481A7455" w14:textId="77777777" w:rsidR="00416253" w:rsidRPr="0022291E" w:rsidRDefault="00416253" w:rsidP="00416253">
            <w:pPr>
              <w:jc w:val="right"/>
              <w:rPr>
                <w:rFonts w:asciiTheme="minorHAnsi" w:hAnsiTheme="minorHAnsi" w:cstheme="minorHAnsi"/>
                <w:sz w:val="18"/>
                <w:szCs w:val="18"/>
              </w:rPr>
            </w:pPr>
            <w:r w:rsidRPr="0022291E">
              <w:rPr>
                <w:rFonts w:asciiTheme="minorHAnsi" w:hAnsiTheme="minorHAnsi" w:cstheme="minorHAnsi"/>
                <w:sz w:val="18"/>
                <w:szCs w:val="18"/>
              </w:rPr>
              <w:t>1.4</w:t>
            </w:r>
          </w:p>
        </w:tc>
      </w:tr>
      <w:tr w:rsidR="00416253" w14:paraId="4EEB9E0B" w14:textId="77777777" w:rsidTr="00416253">
        <w:trPr>
          <w:trHeight w:val="227"/>
        </w:trPr>
        <w:tc>
          <w:tcPr>
            <w:tcW w:w="7257" w:type="dxa"/>
            <w:vAlign w:val="bottom"/>
          </w:tcPr>
          <w:p w14:paraId="700437CE" w14:textId="77777777" w:rsidR="00416253" w:rsidRPr="00765393" w:rsidRDefault="00416253" w:rsidP="00416253">
            <w:pPr>
              <w:pStyle w:val="TableRowHead"/>
            </w:pPr>
            <w:r>
              <w:t xml:space="preserve">     </w:t>
            </w:r>
            <w:r w:rsidRPr="00765393">
              <w:t xml:space="preserve">transfer to Income Statement for the </w:t>
            </w:r>
            <w:r>
              <w:t>year</w:t>
            </w:r>
          </w:p>
        </w:tc>
        <w:tc>
          <w:tcPr>
            <w:tcW w:w="680" w:type="dxa"/>
            <w:shd w:val="clear" w:color="auto" w:fill="auto"/>
          </w:tcPr>
          <w:p w14:paraId="6CDDDC6F" w14:textId="77777777" w:rsidR="00416253" w:rsidRPr="00D03E8C" w:rsidRDefault="00416253" w:rsidP="00416253">
            <w:pPr>
              <w:pStyle w:val="T2"/>
              <w:rPr>
                <w:b/>
              </w:rPr>
            </w:pPr>
          </w:p>
        </w:tc>
        <w:tc>
          <w:tcPr>
            <w:tcW w:w="1134" w:type="dxa"/>
            <w:shd w:val="clear" w:color="auto" w:fill="auto"/>
            <w:vAlign w:val="bottom"/>
          </w:tcPr>
          <w:p w14:paraId="165E7F3E" w14:textId="77777777" w:rsidR="00416253" w:rsidRPr="00D80872" w:rsidRDefault="0022291E" w:rsidP="00416253">
            <w:pPr>
              <w:pStyle w:val="T2"/>
              <w:rPr>
                <w:b/>
              </w:rPr>
            </w:pPr>
            <w:r>
              <w:rPr>
                <w:b/>
              </w:rPr>
              <w:t>1.2</w:t>
            </w:r>
          </w:p>
        </w:tc>
        <w:tc>
          <w:tcPr>
            <w:tcW w:w="1134" w:type="dxa"/>
            <w:vAlign w:val="bottom"/>
          </w:tcPr>
          <w:p w14:paraId="42443D2C" w14:textId="77777777" w:rsidR="00416253" w:rsidRPr="0022291E" w:rsidRDefault="00416253" w:rsidP="00416253">
            <w:pPr>
              <w:jc w:val="right"/>
              <w:rPr>
                <w:rFonts w:asciiTheme="minorHAnsi" w:hAnsiTheme="minorHAnsi" w:cstheme="minorHAnsi"/>
                <w:sz w:val="18"/>
                <w:szCs w:val="18"/>
              </w:rPr>
            </w:pPr>
            <w:r w:rsidRPr="0022291E">
              <w:rPr>
                <w:rFonts w:asciiTheme="minorHAnsi" w:hAnsiTheme="minorHAnsi" w:cstheme="minorHAnsi"/>
                <w:sz w:val="18"/>
                <w:szCs w:val="18"/>
              </w:rPr>
              <w:t>0.1</w:t>
            </w:r>
          </w:p>
        </w:tc>
      </w:tr>
      <w:tr w:rsidR="00416253" w14:paraId="6AC47B78" w14:textId="77777777" w:rsidTr="00416253">
        <w:trPr>
          <w:trHeight w:val="227"/>
        </w:trPr>
        <w:tc>
          <w:tcPr>
            <w:tcW w:w="7257" w:type="dxa"/>
            <w:tcBorders>
              <w:top w:val="single" w:sz="4" w:space="0" w:color="auto"/>
              <w:bottom w:val="single" w:sz="4" w:space="0" w:color="auto"/>
            </w:tcBorders>
          </w:tcPr>
          <w:p w14:paraId="401AFCC3" w14:textId="77777777" w:rsidR="00416253" w:rsidRPr="00765393" w:rsidRDefault="00416253" w:rsidP="00416253">
            <w:pPr>
              <w:pStyle w:val="TableRowHead"/>
            </w:pPr>
          </w:p>
        </w:tc>
        <w:tc>
          <w:tcPr>
            <w:tcW w:w="680" w:type="dxa"/>
            <w:tcBorders>
              <w:top w:val="single" w:sz="4" w:space="0" w:color="auto"/>
              <w:bottom w:val="single" w:sz="4" w:space="0" w:color="auto"/>
            </w:tcBorders>
          </w:tcPr>
          <w:p w14:paraId="665FACD7" w14:textId="77777777" w:rsidR="00416253" w:rsidRDefault="00416253" w:rsidP="00416253">
            <w:pPr>
              <w:pStyle w:val="T2"/>
              <w:rPr>
                <w:b/>
              </w:rPr>
            </w:pPr>
          </w:p>
        </w:tc>
        <w:tc>
          <w:tcPr>
            <w:tcW w:w="1134" w:type="dxa"/>
            <w:tcBorders>
              <w:top w:val="single" w:sz="4" w:space="0" w:color="auto"/>
              <w:bottom w:val="single" w:sz="4" w:space="0" w:color="auto"/>
            </w:tcBorders>
            <w:vAlign w:val="bottom"/>
          </w:tcPr>
          <w:p w14:paraId="7F769270" w14:textId="77777777" w:rsidR="00416253" w:rsidRPr="00D03E8C" w:rsidRDefault="0022291E" w:rsidP="00D12164">
            <w:pPr>
              <w:pStyle w:val="T2"/>
              <w:rPr>
                <w:b/>
              </w:rPr>
            </w:pPr>
            <w:r>
              <w:rPr>
                <w:b/>
              </w:rPr>
              <w:t>(9.</w:t>
            </w:r>
            <w:r w:rsidR="00D12164">
              <w:rPr>
                <w:b/>
              </w:rPr>
              <w:t>3</w:t>
            </w:r>
            <w:r>
              <w:rPr>
                <w:b/>
              </w:rPr>
              <w:t>)</w:t>
            </w:r>
          </w:p>
        </w:tc>
        <w:tc>
          <w:tcPr>
            <w:tcW w:w="1134" w:type="dxa"/>
            <w:tcBorders>
              <w:top w:val="single" w:sz="4" w:space="0" w:color="auto"/>
              <w:bottom w:val="single" w:sz="4" w:space="0" w:color="auto"/>
            </w:tcBorders>
            <w:vAlign w:val="bottom"/>
          </w:tcPr>
          <w:p w14:paraId="02DCC6D5" w14:textId="77777777" w:rsidR="00416253" w:rsidRPr="0022291E" w:rsidRDefault="00416253" w:rsidP="00416253">
            <w:pPr>
              <w:jc w:val="right"/>
              <w:rPr>
                <w:rFonts w:asciiTheme="minorHAnsi" w:hAnsiTheme="minorHAnsi" w:cstheme="minorHAnsi"/>
                <w:sz w:val="18"/>
                <w:szCs w:val="18"/>
              </w:rPr>
            </w:pPr>
            <w:r w:rsidRPr="0022291E">
              <w:rPr>
                <w:rFonts w:asciiTheme="minorHAnsi" w:hAnsiTheme="minorHAnsi" w:cstheme="minorHAnsi"/>
                <w:sz w:val="18"/>
                <w:szCs w:val="18"/>
              </w:rPr>
              <w:t>2.8</w:t>
            </w:r>
          </w:p>
        </w:tc>
      </w:tr>
      <w:tr w:rsidR="00416253" w14:paraId="3FC10BE9" w14:textId="77777777" w:rsidTr="00416253">
        <w:trPr>
          <w:trHeight w:val="227"/>
        </w:trPr>
        <w:tc>
          <w:tcPr>
            <w:tcW w:w="7257" w:type="dxa"/>
            <w:tcBorders>
              <w:top w:val="single" w:sz="4" w:space="0" w:color="auto"/>
            </w:tcBorders>
          </w:tcPr>
          <w:p w14:paraId="0EC19D3D" w14:textId="77777777" w:rsidR="00416253" w:rsidRPr="00765393" w:rsidRDefault="00416253" w:rsidP="0022291E">
            <w:pPr>
              <w:pStyle w:val="TableRowHead"/>
            </w:pPr>
            <w:r w:rsidRPr="00765393">
              <w:t>Net</w:t>
            </w:r>
            <w:r>
              <w:t xml:space="preserve"> </w:t>
            </w:r>
            <w:r w:rsidRPr="00765393">
              <w:t>income</w:t>
            </w:r>
            <w:r>
              <w:t xml:space="preserve"> </w:t>
            </w:r>
            <w:r w:rsidRPr="00765393">
              <w:t>recognised directly within equity</w:t>
            </w:r>
          </w:p>
        </w:tc>
        <w:tc>
          <w:tcPr>
            <w:tcW w:w="680" w:type="dxa"/>
            <w:tcBorders>
              <w:top w:val="single" w:sz="4" w:space="0" w:color="auto"/>
            </w:tcBorders>
          </w:tcPr>
          <w:p w14:paraId="34B9F445" w14:textId="77777777" w:rsidR="00416253" w:rsidRDefault="00416253" w:rsidP="00416253">
            <w:pPr>
              <w:pStyle w:val="T2"/>
              <w:rPr>
                <w:b/>
              </w:rPr>
            </w:pPr>
          </w:p>
        </w:tc>
        <w:tc>
          <w:tcPr>
            <w:tcW w:w="1134" w:type="dxa"/>
            <w:tcBorders>
              <w:top w:val="single" w:sz="4" w:space="0" w:color="auto"/>
            </w:tcBorders>
            <w:vAlign w:val="bottom"/>
          </w:tcPr>
          <w:p w14:paraId="5CDCBD00" w14:textId="77777777" w:rsidR="00416253" w:rsidRPr="00D03E8C" w:rsidRDefault="0022291E" w:rsidP="00D12164">
            <w:pPr>
              <w:pStyle w:val="T2"/>
              <w:rPr>
                <w:b/>
              </w:rPr>
            </w:pPr>
            <w:r>
              <w:rPr>
                <w:b/>
              </w:rPr>
              <w:t>25.</w:t>
            </w:r>
            <w:r w:rsidR="00D12164">
              <w:rPr>
                <w:b/>
              </w:rPr>
              <w:t>9</w:t>
            </w:r>
          </w:p>
        </w:tc>
        <w:tc>
          <w:tcPr>
            <w:tcW w:w="1134" w:type="dxa"/>
            <w:tcBorders>
              <w:top w:val="single" w:sz="4" w:space="0" w:color="auto"/>
            </w:tcBorders>
            <w:vAlign w:val="bottom"/>
          </w:tcPr>
          <w:p w14:paraId="1B4BA336" w14:textId="77777777" w:rsidR="00416253" w:rsidRPr="0022291E" w:rsidRDefault="00416253" w:rsidP="00416253">
            <w:pPr>
              <w:jc w:val="right"/>
              <w:rPr>
                <w:rFonts w:asciiTheme="minorHAnsi" w:hAnsiTheme="minorHAnsi" w:cstheme="minorHAnsi"/>
                <w:sz w:val="18"/>
                <w:szCs w:val="18"/>
              </w:rPr>
            </w:pPr>
            <w:r w:rsidRPr="0022291E">
              <w:rPr>
                <w:rFonts w:asciiTheme="minorHAnsi" w:hAnsiTheme="minorHAnsi" w:cstheme="minorHAnsi"/>
                <w:sz w:val="18"/>
                <w:szCs w:val="18"/>
              </w:rPr>
              <w:t>6.7</w:t>
            </w:r>
          </w:p>
        </w:tc>
      </w:tr>
      <w:tr w:rsidR="00416253" w14:paraId="3138C1F8" w14:textId="77777777" w:rsidTr="00416253">
        <w:trPr>
          <w:trHeight w:val="227"/>
        </w:trPr>
        <w:tc>
          <w:tcPr>
            <w:tcW w:w="7257" w:type="dxa"/>
            <w:tcBorders>
              <w:bottom w:val="single" w:sz="4" w:space="0" w:color="auto"/>
            </w:tcBorders>
          </w:tcPr>
          <w:p w14:paraId="6BF2B372" w14:textId="77777777" w:rsidR="00416253" w:rsidRPr="00765393" w:rsidRDefault="0022291E" w:rsidP="00416253">
            <w:pPr>
              <w:pStyle w:val="TableRowHead"/>
            </w:pPr>
            <w:r>
              <w:t>P</w:t>
            </w:r>
            <w:r w:rsidR="00416253" w:rsidRPr="00765393">
              <w:t>rofit</w:t>
            </w:r>
            <w:r>
              <w:t>/(loss)</w:t>
            </w:r>
            <w:r w:rsidR="00416253" w:rsidRPr="00765393">
              <w:t xml:space="preserve"> for the financial </w:t>
            </w:r>
            <w:r w:rsidR="00416253">
              <w:t>year</w:t>
            </w:r>
          </w:p>
        </w:tc>
        <w:tc>
          <w:tcPr>
            <w:tcW w:w="680" w:type="dxa"/>
            <w:tcBorders>
              <w:bottom w:val="single" w:sz="4" w:space="0" w:color="auto"/>
            </w:tcBorders>
          </w:tcPr>
          <w:p w14:paraId="58DB1965" w14:textId="77777777" w:rsidR="00416253" w:rsidRDefault="00416253" w:rsidP="00416253">
            <w:pPr>
              <w:pStyle w:val="T2"/>
              <w:rPr>
                <w:b/>
              </w:rPr>
            </w:pPr>
          </w:p>
        </w:tc>
        <w:tc>
          <w:tcPr>
            <w:tcW w:w="1134" w:type="dxa"/>
            <w:tcBorders>
              <w:bottom w:val="single" w:sz="4" w:space="0" w:color="auto"/>
            </w:tcBorders>
            <w:vAlign w:val="bottom"/>
          </w:tcPr>
          <w:p w14:paraId="686A10A1" w14:textId="77777777" w:rsidR="00416253" w:rsidRPr="00D03E8C" w:rsidRDefault="0022291E" w:rsidP="00416253">
            <w:pPr>
              <w:pStyle w:val="T2"/>
              <w:rPr>
                <w:b/>
              </w:rPr>
            </w:pPr>
            <w:r>
              <w:rPr>
                <w:b/>
              </w:rPr>
              <w:t>25.7</w:t>
            </w:r>
          </w:p>
        </w:tc>
        <w:tc>
          <w:tcPr>
            <w:tcW w:w="1134" w:type="dxa"/>
            <w:tcBorders>
              <w:bottom w:val="single" w:sz="4" w:space="0" w:color="auto"/>
            </w:tcBorders>
            <w:vAlign w:val="bottom"/>
          </w:tcPr>
          <w:p w14:paraId="480CE1A1" w14:textId="77777777" w:rsidR="00416253" w:rsidRPr="0022291E" w:rsidRDefault="00416253" w:rsidP="00416253">
            <w:pPr>
              <w:jc w:val="right"/>
              <w:rPr>
                <w:rFonts w:asciiTheme="minorHAnsi" w:hAnsiTheme="minorHAnsi" w:cstheme="minorHAnsi"/>
                <w:sz w:val="18"/>
                <w:szCs w:val="18"/>
              </w:rPr>
            </w:pPr>
            <w:r w:rsidRPr="0022291E">
              <w:rPr>
                <w:rFonts w:asciiTheme="minorHAnsi" w:hAnsiTheme="minorHAnsi" w:cstheme="minorHAnsi"/>
                <w:sz w:val="18"/>
                <w:szCs w:val="18"/>
              </w:rPr>
              <w:t>(9.9)</w:t>
            </w:r>
          </w:p>
        </w:tc>
      </w:tr>
      <w:tr w:rsidR="00416253" w14:paraId="2D563A4D" w14:textId="77777777" w:rsidTr="00416253">
        <w:trPr>
          <w:trHeight w:val="227"/>
        </w:trPr>
        <w:tc>
          <w:tcPr>
            <w:tcW w:w="7257" w:type="dxa"/>
            <w:tcBorders>
              <w:top w:val="single" w:sz="4" w:space="0" w:color="auto"/>
              <w:bottom w:val="single" w:sz="8" w:space="0" w:color="auto"/>
            </w:tcBorders>
          </w:tcPr>
          <w:p w14:paraId="697610D2" w14:textId="77777777" w:rsidR="00416253" w:rsidRPr="00F7391A" w:rsidRDefault="00416253" w:rsidP="00416253">
            <w:pPr>
              <w:pStyle w:val="TableRowHead"/>
              <w:rPr>
                <w:b/>
              </w:rPr>
            </w:pPr>
            <w:r w:rsidRPr="00F7391A">
              <w:rPr>
                <w:b/>
              </w:rPr>
              <w:t xml:space="preserve">Total </w:t>
            </w:r>
            <w:r>
              <w:rPr>
                <w:b/>
              </w:rPr>
              <w:t>comprehensive income</w:t>
            </w:r>
            <w:r w:rsidRPr="00F7391A">
              <w:rPr>
                <w:b/>
              </w:rPr>
              <w:t xml:space="preserve"> for the financial year</w:t>
            </w:r>
          </w:p>
        </w:tc>
        <w:tc>
          <w:tcPr>
            <w:tcW w:w="680" w:type="dxa"/>
            <w:tcBorders>
              <w:top w:val="single" w:sz="4" w:space="0" w:color="auto"/>
              <w:bottom w:val="single" w:sz="8" w:space="0" w:color="auto"/>
            </w:tcBorders>
          </w:tcPr>
          <w:p w14:paraId="71703E4C" w14:textId="77777777" w:rsidR="00416253" w:rsidRDefault="00416253" w:rsidP="00416253">
            <w:pPr>
              <w:pStyle w:val="T2"/>
              <w:rPr>
                <w:b/>
              </w:rPr>
            </w:pPr>
          </w:p>
        </w:tc>
        <w:tc>
          <w:tcPr>
            <w:tcW w:w="1134" w:type="dxa"/>
            <w:tcBorders>
              <w:top w:val="single" w:sz="4" w:space="0" w:color="auto"/>
              <w:bottom w:val="single" w:sz="8" w:space="0" w:color="auto"/>
            </w:tcBorders>
            <w:vAlign w:val="bottom"/>
          </w:tcPr>
          <w:p w14:paraId="7A12ED08" w14:textId="77777777" w:rsidR="00416253" w:rsidRPr="00D03E8C" w:rsidRDefault="0022291E" w:rsidP="00D12164">
            <w:pPr>
              <w:pStyle w:val="T2"/>
              <w:rPr>
                <w:b/>
              </w:rPr>
            </w:pPr>
            <w:r>
              <w:rPr>
                <w:b/>
              </w:rPr>
              <w:t>5</w:t>
            </w:r>
            <w:r w:rsidR="00D12164">
              <w:rPr>
                <w:b/>
              </w:rPr>
              <w:t>1.6</w:t>
            </w:r>
          </w:p>
        </w:tc>
        <w:tc>
          <w:tcPr>
            <w:tcW w:w="1134" w:type="dxa"/>
            <w:tcBorders>
              <w:top w:val="single" w:sz="4" w:space="0" w:color="auto"/>
              <w:bottom w:val="single" w:sz="8" w:space="0" w:color="auto"/>
            </w:tcBorders>
            <w:vAlign w:val="bottom"/>
          </w:tcPr>
          <w:p w14:paraId="431C3CD3" w14:textId="77777777" w:rsidR="00416253" w:rsidRPr="0022291E" w:rsidRDefault="00416253" w:rsidP="00416253">
            <w:pPr>
              <w:jc w:val="right"/>
              <w:rPr>
                <w:rFonts w:asciiTheme="minorHAnsi" w:hAnsiTheme="minorHAnsi" w:cstheme="minorHAnsi"/>
                <w:sz w:val="18"/>
                <w:szCs w:val="18"/>
              </w:rPr>
            </w:pPr>
            <w:r w:rsidRPr="0022291E">
              <w:rPr>
                <w:rFonts w:asciiTheme="minorHAnsi" w:hAnsiTheme="minorHAnsi" w:cstheme="minorHAnsi"/>
                <w:sz w:val="18"/>
                <w:szCs w:val="18"/>
              </w:rPr>
              <w:t>(3.2)</w:t>
            </w:r>
          </w:p>
        </w:tc>
      </w:tr>
      <w:tr w:rsidR="00416253" w14:paraId="45D65A61" w14:textId="77777777" w:rsidTr="00416253">
        <w:trPr>
          <w:trHeight w:val="227"/>
        </w:trPr>
        <w:tc>
          <w:tcPr>
            <w:tcW w:w="7257" w:type="dxa"/>
            <w:tcBorders>
              <w:top w:val="single" w:sz="8" w:space="0" w:color="auto"/>
            </w:tcBorders>
          </w:tcPr>
          <w:p w14:paraId="60077908" w14:textId="77777777" w:rsidR="00416253" w:rsidRPr="00765393" w:rsidRDefault="00416253" w:rsidP="00416253">
            <w:pPr>
              <w:pStyle w:val="TableRowHead"/>
            </w:pPr>
          </w:p>
        </w:tc>
        <w:tc>
          <w:tcPr>
            <w:tcW w:w="680" w:type="dxa"/>
            <w:tcBorders>
              <w:top w:val="single" w:sz="8" w:space="0" w:color="auto"/>
            </w:tcBorders>
          </w:tcPr>
          <w:p w14:paraId="19BB18AD" w14:textId="77777777" w:rsidR="00416253" w:rsidRPr="00D03E8C" w:rsidRDefault="00416253" w:rsidP="00416253">
            <w:pPr>
              <w:pStyle w:val="T2"/>
              <w:rPr>
                <w:b/>
              </w:rPr>
            </w:pPr>
          </w:p>
        </w:tc>
        <w:tc>
          <w:tcPr>
            <w:tcW w:w="1134" w:type="dxa"/>
            <w:tcBorders>
              <w:top w:val="single" w:sz="8" w:space="0" w:color="auto"/>
            </w:tcBorders>
            <w:vAlign w:val="bottom"/>
          </w:tcPr>
          <w:p w14:paraId="39AE667C" w14:textId="77777777" w:rsidR="00416253" w:rsidRPr="00D03E8C" w:rsidRDefault="00416253" w:rsidP="00416253">
            <w:pPr>
              <w:pStyle w:val="T2"/>
              <w:rPr>
                <w:b/>
              </w:rPr>
            </w:pPr>
          </w:p>
        </w:tc>
        <w:tc>
          <w:tcPr>
            <w:tcW w:w="1134" w:type="dxa"/>
            <w:tcBorders>
              <w:top w:val="single" w:sz="8" w:space="0" w:color="auto"/>
            </w:tcBorders>
            <w:vAlign w:val="bottom"/>
          </w:tcPr>
          <w:p w14:paraId="729E8161" w14:textId="77777777" w:rsidR="00416253" w:rsidRPr="0022291E" w:rsidRDefault="00416253" w:rsidP="00416253">
            <w:pPr>
              <w:jc w:val="right"/>
              <w:rPr>
                <w:rFonts w:asciiTheme="minorHAnsi" w:hAnsiTheme="minorHAnsi" w:cstheme="minorHAnsi"/>
                <w:sz w:val="18"/>
                <w:szCs w:val="18"/>
              </w:rPr>
            </w:pPr>
          </w:p>
        </w:tc>
      </w:tr>
      <w:tr w:rsidR="00416253" w14:paraId="4ED3626B" w14:textId="77777777" w:rsidTr="00416253">
        <w:trPr>
          <w:trHeight w:val="227"/>
        </w:trPr>
        <w:tc>
          <w:tcPr>
            <w:tcW w:w="7257" w:type="dxa"/>
            <w:vAlign w:val="bottom"/>
          </w:tcPr>
          <w:p w14:paraId="4B5603B2" w14:textId="77777777" w:rsidR="00416253" w:rsidRPr="00F7391A" w:rsidRDefault="00416253" w:rsidP="00416253">
            <w:pPr>
              <w:pStyle w:val="TableRowHead"/>
              <w:rPr>
                <w:b/>
              </w:rPr>
            </w:pPr>
            <w:r w:rsidRPr="00F7391A">
              <w:rPr>
                <w:b/>
              </w:rPr>
              <w:t>Attributable to:</w:t>
            </w:r>
          </w:p>
        </w:tc>
        <w:tc>
          <w:tcPr>
            <w:tcW w:w="680" w:type="dxa"/>
          </w:tcPr>
          <w:p w14:paraId="3DD88FF1" w14:textId="77777777" w:rsidR="00416253" w:rsidRPr="00D03E8C" w:rsidRDefault="00416253" w:rsidP="00416253">
            <w:pPr>
              <w:pStyle w:val="T2"/>
              <w:rPr>
                <w:b/>
              </w:rPr>
            </w:pPr>
          </w:p>
        </w:tc>
        <w:tc>
          <w:tcPr>
            <w:tcW w:w="1134" w:type="dxa"/>
            <w:vAlign w:val="bottom"/>
          </w:tcPr>
          <w:p w14:paraId="3816E6F2" w14:textId="77777777" w:rsidR="00416253" w:rsidRPr="00D03E8C" w:rsidRDefault="00416253" w:rsidP="00416253">
            <w:pPr>
              <w:pStyle w:val="T2"/>
              <w:rPr>
                <w:b/>
              </w:rPr>
            </w:pPr>
          </w:p>
        </w:tc>
        <w:tc>
          <w:tcPr>
            <w:tcW w:w="1134" w:type="dxa"/>
            <w:vAlign w:val="bottom"/>
          </w:tcPr>
          <w:p w14:paraId="61A695F2" w14:textId="77777777" w:rsidR="00416253" w:rsidRPr="0022291E" w:rsidRDefault="00416253" w:rsidP="00416253">
            <w:pPr>
              <w:jc w:val="right"/>
              <w:rPr>
                <w:rFonts w:asciiTheme="minorHAnsi" w:hAnsiTheme="minorHAnsi" w:cstheme="minorHAnsi"/>
                <w:sz w:val="18"/>
                <w:szCs w:val="18"/>
              </w:rPr>
            </w:pPr>
          </w:p>
        </w:tc>
      </w:tr>
      <w:tr w:rsidR="00416253" w14:paraId="3F553126" w14:textId="77777777" w:rsidTr="00416253">
        <w:trPr>
          <w:trHeight w:val="227"/>
        </w:trPr>
        <w:tc>
          <w:tcPr>
            <w:tcW w:w="7257" w:type="dxa"/>
            <w:vAlign w:val="bottom"/>
          </w:tcPr>
          <w:p w14:paraId="1E73863A" w14:textId="77777777" w:rsidR="00416253" w:rsidRPr="00765393" w:rsidRDefault="00416253" w:rsidP="00416253">
            <w:pPr>
              <w:pStyle w:val="TableRowHead"/>
            </w:pPr>
            <w:r w:rsidRPr="00765393">
              <w:t>Equity shareholders</w:t>
            </w:r>
          </w:p>
        </w:tc>
        <w:tc>
          <w:tcPr>
            <w:tcW w:w="680" w:type="dxa"/>
          </w:tcPr>
          <w:p w14:paraId="50F1335D" w14:textId="77777777" w:rsidR="00416253" w:rsidRPr="00D03E8C" w:rsidRDefault="00416253" w:rsidP="00416253">
            <w:pPr>
              <w:pStyle w:val="T2"/>
              <w:rPr>
                <w:b/>
              </w:rPr>
            </w:pPr>
          </w:p>
        </w:tc>
        <w:tc>
          <w:tcPr>
            <w:tcW w:w="1134" w:type="dxa"/>
            <w:vAlign w:val="bottom"/>
          </w:tcPr>
          <w:p w14:paraId="504C5DE3" w14:textId="77777777" w:rsidR="00416253" w:rsidRPr="00D03E8C" w:rsidRDefault="0022291E" w:rsidP="00D12164">
            <w:pPr>
              <w:pStyle w:val="T2"/>
              <w:rPr>
                <w:b/>
              </w:rPr>
            </w:pPr>
            <w:r>
              <w:rPr>
                <w:b/>
              </w:rPr>
              <w:t>5</w:t>
            </w:r>
            <w:r w:rsidR="00D12164">
              <w:rPr>
                <w:b/>
              </w:rPr>
              <w:t>7.3</w:t>
            </w:r>
          </w:p>
        </w:tc>
        <w:tc>
          <w:tcPr>
            <w:tcW w:w="1134" w:type="dxa"/>
            <w:vAlign w:val="bottom"/>
          </w:tcPr>
          <w:p w14:paraId="1CBAA4E9" w14:textId="77777777" w:rsidR="00416253" w:rsidRPr="0022291E" w:rsidRDefault="00416253" w:rsidP="00416253">
            <w:pPr>
              <w:jc w:val="right"/>
              <w:rPr>
                <w:rFonts w:asciiTheme="minorHAnsi" w:hAnsiTheme="minorHAnsi" w:cstheme="minorHAnsi"/>
                <w:sz w:val="18"/>
                <w:szCs w:val="18"/>
              </w:rPr>
            </w:pPr>
            <w:r w:rsidRPr="0022291E">
              <w:rPr>
                <w:rFonts w:asciiTheme="minorHAnsi" w:hAnsiTheme="minorHAnsi" w:cstheme="minorHAnsi"/>
                <w:sz w:val="18"/>
                <w:szCs w:val="18"/>
              </w:rPr>
              <w:t>(4.9)</w:t>
            </w:r>
          </w:p>
        </w:tc>
      </w:tr>
      <w:tr w:rsidR="00416253" w14:paraId="52EAB9EB" w14:textId="77777777" w:rsidTr="00416253">
        <w:trPr>
          <w:trHeight w:val="227"/>
        </w:trPr>
        <w:tc>
          <w:tcPr>
            <w:tcW w:w="7257" w:type="dxa"/>
            <w:tcBorders>
              <w:bottom w:val="single" w:sz="4" w:space="0" w:color="auto"/>
            </w:tcBorders>
            <w:vAlign w:val="bottom"/>
          </w:tcPr>
          <w:p w14:paraId="424B429D" w14:textId="77777777" w:rsidR="00416253" w:rsidRPr="00765393" w:rsidRDefault="00416253" w:rsidP="00416253">
            <w:pPr>
              <w:pStyle w:val="TableRowHead"/>
            </w:pPr>
            <w:r w:rsidRPr="00765393">
              <w:t>Non-controlling interests</w:t>
            </w:r>
          </w:p>
        </w:tc>
        <w:tc>
          <w:tcPr>
            <w:tcW w:w="680" w:type="dxa"/>
            <w:tcBorders>
              <w:bottom w:val="single" w:sz="4" w:space="0" w:color="auto"/>
            </w:tcBorders>
          </w:tcPr>
          <w:p w14:paraId="5C4769A2" w14:textId="77777777" w:rsidR="00416253" w:rsidRPr="00D03E8C" w:rsidRDefault="00416253" w:rsidP="00416253">
            <w:pPr>
              <w:pStyle w:val="T2"/>
              <w:rPr>
                <w:b/>
              </w:rPr>
            </w:pPr>
          </w:p>
        </w:tc>
        <w:tc>
          <w:tcPr>
            <w:tcW w:w="1134" w:type="dxa"/>
            <w:tcBorders>
              <w:bottom w:val="single" w:sz="4" w:space="0" w:color="auto"/>
            </w:tcBorders>
            <w:vAlign w:val="bottom"/>
          </w:tcPr>
          <w:p w14:paraId="3AAC5B92" w14:textId="77777777" w:rsidR="00416253" w:rsidRPr="00D03E8C" w:rsidRDefault="0022291E" w:rsidP="00416253">
            <w:pPr>
              <w:pStyle w:val="T2"/>
              <w:rPr>
                <w:b/>
              </w:rPr>
            </w:pPr>
            <w:r>
              <w:rPr>
                <w:b/>
              </w:rPr>
              <w:t>(5.7)</w:t>
            </w:r>
          </w:p>
        </w:tc>
        <w:tc>
          <w:tcPr>
            <w:tcW w:w="1134" w:type="dxa"/>
            <w:tcBorders>
              <w:bottom w:val="single" w:sz="4" w:space="0" w:color="auto"/>
            </w:tcBorders>
            <w:vAlign w:val="bottom"/>
          </w:tcPr>
          <w:p w14:paraId="0141C337" w14:textId="77777777" w:rsidR="00416253" w:rsidRPr="0022291E" w:rsidRDefault="00416253" w:rsidP="00416253">
            <w:pPr>
              <w:jc w:val="right"/>
              <w:rPr>
                <w:rFonts w:asciiTheme="minorHAnsi" w:hAnsiTheme="minorHAnsi" w:cstheme="minorHAnsi"/>
                <w:sz w:val="18"/>
                <w:szCs w:val="18"/>
              </w:rPr>
            </w:pPr>
            <w:r w:rsidRPr="0022291E">
              <w:rPr>
                <w:rFonts w:asciiTheme="minorHAnsi" w:hAnsiTheme="minorHAnsi" w:cstheme="minorHAnsi"/>
                <w:sz w:val="18"/>
                <w:szCs w:val="18"/>
              </w:rPr>
              <w:t>1.7</w:t>
            </w:r>
          </w:p>
        </w:tc>
      </w:tr>
      <w:tr w:rsidR="00416253" w14:paraId="1B90B07F" w14:textId="77777777" w:rsidTr="00416253">
        <w:trPr>
          <w:trHeight w:val="227"/>
        </w:trPr>
        <w:tc>
          <w:tcPr>
            <w:tcW w:w="7257" w:type="dxa"/>
            <w:tcBorders>
              <w:top w:val="single" w:sz="4" w:space="0" w:color="auto"/>
              <w:bottom w:val="single" w:sz="8" w:space="0" w:color="auto"/>
            </w:tcBorders>
            <w:vAlign w:val="bottom"/>
          </w:tcPr>
          <w:p w14:paraId="11EB5B45" w14:textId="77777777" w:rsidR="00416253" w:rsidRPr="00D246B7" w:rsidRDefault="00416253" w:rsidP="00416253">
            <w:pPr>
              <w:pStyle w:val="TableRowHead"/>
              <w:rPr>
                <w:b/>
              </w:rPr>
            </w:pPr>
            <w:r w:rsidRPr="00D246B7">
              <w:rPr>
                <w:b/>
              </w:rPr>
              <w:t xml:space="preserve">Total </w:t>
            </w:r>
            <w:r>
              <w:rPr>
                <w:b/>
              </w:rPr>
              <w:t>comprehensive i</w:t>
            </w:r>
            <w:r w:rsidRPr="00D246B7">
              <w:rPr>
                <w:b/>
              </w:rPr>
              <w:t xml:space="preserve">ncome for the financial </w:t>
            </w:r>
            <w:r>
              <w:rPr>
                <w:b/>
              </w:rPr>
              <w:t>year</w:t>
            </w:r>
          </w:p>
        </w:tc>
        <w:tc>
          <w:tcPr>
            <w:tcW w:w="680" w:type="dxa"/>
            <w:tcBorders>
              <w:top w:val="single" w:sz="4" w:space="0" w:color="auto"/>
              <w:bottom w:val="single" w:sz="8" w:space="0" w:color="auto"/>
            </w:tcBorders>
          </w:tcPr>
          <w:p w14:paraId="0D191E6A" w14:textId="77777777" w:rsidR="00416253" w:rsidRPr="00D03E8C" w:rsidRDefault="00416253" w:rsidP="00416253">
            <w:pPr>
              <w:pStyle w:val="T2"/>
              <w:rPr>
                <w:b/>
              </w:rPr>
            </w:pPr>
          </w:p>
        </w:tc>
        <w:tc>
          <w:tcPr>
            <w:tcW w:w="1134" w:type="dxa"/>
            <w:tcBorders>
              <w:top w:val="single" w:sz="4" w:space="0" w:color="auto"/>
              <w:bottom w:val="single" w:sz="8" w:space="0" w:color="auto"/>
            </w:tcBorders>
            <w:vAlign w:val="bottom"/>
          </w:tcPr>
          <w:p w14:paraId="17B092C4" w14:textId="77777777" w:rsidR="00416253" w:rsidRPr="00D03E8C" w:rsidRDefault="0022291E" w:rsidP="00D12164">
            <w:pPr>
              <w:pStyle w:val="T2"/>
              <w:rPr>
                <w:b/>
              </w:rPr>
            </w:pPr>
            <w:r>
              <w:rPr>
                <w:b/>
              </w:rPr>
              <w:t>5</w:t>
            </w:r>
            <w:r w:rsidR="00D12164">
              <w:rPr>
                <w:b/>
              </w:rPr>
              <w:t>1.6</w:t>
            </w:r>
          </w:p>
        </w:tc>
        <w:tc>
          <w:tcPr>
            <w:tcW w:w="1134" w:type="dxa"/>
            <w:tcBorders>
              <w:top w:val="single" w:sz="4" w:space="0" w:color="auto"/>
              <w:bottom w:val="single" w:sz="8" w:space="0" w:color="auto"/>
            </w:tcBorders>
            <w:vAlign w:val="bottom"/>
          </w:tcPr>
          <w:p w14:paraId="6BFB1CE7" w14:textId="77777777" w:rsidR="00416253" w:rsidRPr="0022291E" w:rsidRDefault="00416253" w:rsidP="00416253">
            <w:pPr>
              <w:jc w:val="right"/>
              <w:rPr>
                <w:rFonts w:asciiTheme="minorHAnsi" w:hAnsiTheme="minorHAnsi" w:cstheme="minorHAnsi"/>
                <w:sz w:val="18"/>
                <w:szCs w:val="18"/>
              </w:rPr>
            </w:pPr>
            <w:r w:rsidRPr="0022291E">
              <w:rPr>
                <w:rFonts w:asciiTheme="minorHAnsi" w:hAnsiTheme="minorHAnsi" w:cstheme="minorHAnsi"/>
                <w:sz w:val="18"/>
                <w:szCs w:val="18"/>
              </w:rPr>
              <w:t>(3.2)</w:t>
            </w:r>
          </w:p>
        </w:tc>
      </w:tr>
      <w:tr w:rsidR="00416253" w14:paraId="44EE2CF1" w14:textId="77777777" w:rsidTr="00416253">
        <w:trPr>
          <w:trHeight w:val="227"/>
        </w:trPr>
        <w:tc>
          <w:tcPr>
            <w:tcW w:w="7257" w:type="dxa"/>
            <w:tcBorders>
              <w:top w:val="single" w:sz="8" w:space="0" w:color="auto"/>
            </w:tcBorders>
          </w:tcPr>
          <w:p w14:paraId="18CFC53E" w14:textId="77777777" w:rsidR="00416253" w:rsidRPr="00765393" w:rsidRDefault="00416253" w:rsidP="00416253">
            <w:pPr>
              <w:pStyle w:val="TableRowHead"/>
            </w:pPr>
          </w:p>
        </w:tc>
        <w:tc>
          <w:tcPr>
            <w:tcW w:w="680" w:type="dxa"/>
            <w:tcBorders>
              <w:top w:val="single" w:sz="8" w:space="0" w:color="auto"/>
            </w:tcBorders>
          </w:tcPr>
          <w:p w14:paraId="75CE8B79" w14:textId="77777777" w:rsidR="00416253" w:rsidRPr="00D03E8C" w:rsidRDefault="00416253" w:rsidP="00416253">
            <w:pPr>
              <w:pStyle w:val="T2"/>
              <w:rPr>
                <w:b/>
              </w:rPr>
            </w:pPr>
          </w:p>
        </w:tc>
        <w:tc>
          <w:tcPr>
            <w:tcW w:w="1134" w:type="dxa"/>
            <w:tcBorders>
              <w:top w:val="single" w:sz="8" w:space="0" w:color="auto"/>
            </w:tcBorders>
            <w:vAlign w:val="bottom"/>
          </w:tcPr>
          <w:p w14:paraId="0FC9AAC1" w14:textId="77777777" w:rsidR="00416253" w:rsidRPr="00D03E8C" w:rsidRDefault="00416253" w:rsidP="00416253">
            <w:pPr>
              <w:pStyle w:val="T2"/>
              <w:rPr>
                <w:b/>
              </w:rPr>
            </w:pPr>
          </w:p>
        </w:tc>
        <w:tc>
          <w:tcPr>
            <w:tcW w:w="1134" w:type="dxa"/>
            <w:tcBorders>
              <w:top w:val="single" w:sz="8" w:space="0" w:color="auto"/>
            </w:tcBorders>
            <w:vAlign w:val="bottom"/>
          </w:tcPr>
          <w:p w14:paraId="46A86316" w14:textId="77777777" w:rsidR="00416253" w:rsidRPr="00416253" w:rsidRDefault="00416253" w:rsidP="00416253">
            <w:pPr>
              <w:jc w:val="right"/>
              <w:rPr>
                <w:rFonts w:asciiTheme="minorHAnsi" w:hAnsiTheme="minorHAnsi" w:cstheme="minorHAnsi"/>
                <w:sz w:val="18"/>
                <w:szCs w:val="18"/>
              </w:rPr>
            </w:pPr>
          </w:p>
        </w:tc>
      </w:tr>
    </w:tbl>
    <w:p w14:paraId="003EED40" w14:textId="0FC48325" w:rsidR="005B36AA" w:rsidRDefault="005B36AA" w:rsidP="009B1C1E">
      <w:pPr>
        <w:spacing w:line="219" w:lineRule="exact"/>
        <w:rPr>
          <w:sz w:val="18"/>
        </w:rPr>
      </w:pPr>
    </w:p>
    <w:p w14:paraId="34BB2343" w14:textId="77777777" w:rsidR="009B1C1E" w:rsidRDefault="009B1C1E" w:rsidP="009B1C1E">
      <w:pPr>
        <w:spacing w:before="25"/>
        <w:ind w:left="20"/>
        <w:rPr>
          <w:b/>
          <w:sz w:val="20"/>
        </w:rPr>
      </w:pPr>
      <w:r>
        <w:rPr>
          <w:b/>
          <w:color w:val="001F5F"/>
          <w:sz w:val="20"/>
        </w:rPr>
        <w:t>GROUP STATEMENT OF FINANCIAL POSITION</w:t>
      </w:r>
    </w:p>
    <w:p w14:paraId="0A4499FC" w14:textId="77777777" w:rsidR="009B1C1E" w:rsidRPr="009B1C1E" w:rsidRDefault="009B1C1E" w:rsidP="009B1C1E">
      <w:pPr>
        <w:spacing w:before="20"/>
        <w:ind w:left="20"/>
        <w:rPr>
          <w:b/>
          <w:sz w:val="20"/>
        </w:rPr>
      </w:pPr>
      <w:r>
        <w:rPr>
          <w:b/>
          <w:color w:val="001F5F"/>
          <w:sz w:val="20"/>
        </w:rPr>
        <w:t>at 24 September 2021</w:t>
      </w:r>
    </w:p>
    <w:p w14:paraId="00E7DB77" w14:textId="77777777" w:rsidR="009B1C1E" w:rsidRDefault="009B1C1E" w:rsidP="005B36AA">
      <w:pPr>
        <w:spacing w:line="219" w:lineRule="exact"/>
        <w:jc w:val="right"/>
        <w:rPr>
          <w:sz w:val="18"/>
        </w:rPr>
      </w:pPr>
    </w:p>
    <w:tbl>
      <w:tblPr>
        <w:tblW w:w="10205" w:type="dxa"/>
        <w:tblLayout w:type="fixed"/>
        <w:tblLook w:val="01E0" w:firstRow="1" w:lastRow="1" w:firstColumn="1" w:lastColumn="1" w:noHBand="0" w:noVBand="0"/>
      </w:tblPr>
      <w:tblGrid>
        <w:gridCol w:w="7257"/>
        <w:gridCol w:w="680"/>
        <w:gridCol w:w="1134"/>
        <w:gridCol w:w="1134"/>
      </w:tblGrid>
      <w:tr w:rsidR="005B36AA" w14:paraId="1A9CD414" w14:textId="77777777" w:rsidTr="005B36AA">
        <w:trPr>
          <w:trHeight w:val="227"/>
        </w:trPr>
        <w:tc>
          <w:tcPr>
            <w:tcW w:w="7257" w:type="dxa"/>
            <w:tcBorders>
              <w:bottom w:val="single" w:sz="4" w:space="0" w:color="auto"/>
            </w:tcBorders>
          </w:tcPr>
          <w:p w14:paraId="09205F9C" w14:textId="77777777" w:rsidR="005B36AA" w:rsidRDefault="005B36AA" w:rsidP="005B36AA">
            <w:pPr>
              <w:pStyle w:val="TableParagraph"/>
              <w:spacing w:before="93" w:line="199" w:lineRule="exact"/>
              <w:ind w:right="399"/>
              <w:jc w:val="right"/>
              <w:rPr>
                <w:sz w:val="18"/>
              </w:rPr>
            </w:pPr>
          </w:p>
        </w:tc>
        <w:tc>
          <w:tcPr>
            <w:tcW w:w="680" w:type="dxa"/>
            <w:tcBorders>
              <w:bottom w:val="single" w:sz="4" w:space="0" w:color="auto"/>
            </w:tcBorders>
            <w:vAlign w:val="bottom"/>
          </w:tcPr>
          <w:p w14:paraId="3A008F5B" w14:textId="77777777" w:rsidR="005B36AA" w:rsidRPr="00863CD7" w:rsidRDefault="005B36AA" w:rsidP="005B36AA">
            <w:pPr>
              <w:pStyle w:val="Subtitle"/>
              <w:rPr>
                <w:b w:val="0"/>
              </w:rPr>
            </w:pPr>
            <w:r w:rsidRPr="00863CD7">
              <w:rPr>
                <w:b w:val="0"/>
              </w:rPr>
              <w:t>Notes</w:t>
            </w:r>
          </w:p>
        </w:tc>
        <w:tc>
          <w:tcPr>
            <w:tcW w:w="1134" w:type="dxa"/>
            <w:tcBorders>
              <w:bottom w:val="single" w:sz="4" w:space="0" w:color="auto"/>
            </w:tcBorders>
            <w:vAlign w:val="bottom"/>
          </w:tcPr>
          <w:p w14:paraId="42887A4E" w14:textId="77777777" w:rsidR="005B36AA" w:rsidRDefault="005B36AA" w:rsidP="00416253">
            <w:pPr>
              <w:pStyle w:val="Subtitle"/>
            </w:pPr>
            <w:r>
              <w:t>202</w:t>
            </w:r>
            <w:r w:rsidR="00416253">
              <w:t>1</w:t>
            </w:r>
            <w:r>
              <w:br/>
              <w:t>£m</w:t>
            </w:r>
          </w:p>
        </w:tc>
        <w:tc>
          <w:tcPr>
            <w:tcW w:w="1134" w:type="dxa"/>
            <w:tcBorders>
              <w:bottom w:val="single" w:sz="4" w:space="0" w:color="auto"/>
            </w:tcBorders>
            <w:vAlign w:val="bottom"/>
          </w:tcPr>
          <w:p w14:paraId="08C8CE3E" w14:textId="77777777" w:rsidR="005B36AA" w:rsidRPr="00863CD7" w:rsidRDefault="00416253" w:rsidP="00416253">
            <w:pPr>
              <w:pStyle w:val="Subtitle"/>
              <w:rPr>
                <w:b w:val="0"/>
              </w:rPr>
            </w:pPr>
            <w:r>
              <w:rPr>
                <w:b w:val="0"/>
              </w:rPr>
              <w:t>2020</w:t>
            </w:r>
            <w:r w:rsidR="005B36AA" w:rsidRPr="00863CD7">
              <w:rPr>
                <w:b w:val="0"/>
              </w:rPr>
              <w:br/>
              <w:t>£m</w:t>
            </w:r>
          </w:p>
        </w:tc>
      </w:tr>
      <w:tr w:rsidR="005B36AA" w14:paraId="0CA27BEA" w14:textId="77777777" w:rsidTr="005B36AA">
        <w:trPr>
          <w:trHeight w:val="227"/>
        </w:trPr>
        <w:tc>
          <w:tcPr>
            <w:tcW w:w="7257" w:type="dxa"/>
            <w:tcBorders>
              <w:top w:val="single" w:sz="4" w:space="0" w:color="auto"/>
            </w:tcBorders>
          </w:tcPr>
          <w:p w14:paraId="0D80B58C" w14:textId="77777777" w:rsidR="005B36AA" w:rsidRPr="00926E11" w:rsidRDefault="005B36AA" w:rsidP="005B36AA">
            <w:pPr>
              <w:pStyle w:val="TableRowHead"/>
              <w:rPr>
                <w:b/>
              </w:rPr>
            </w:pPr>
            <w:r w:rsidRPr="00926E11">
              <w:rPr>
                <w:b/>
              </w:rPr>
              <w:t>ASSETS</w:t>
            </w:r>
          </w:p>
        </w:tc>
        <w:tc>
          <w:tcPr>
            <w:tcW w:w="680" w:type="dxa"/>
            <w:tcBorders>
              <w:top w:val="single" w:sz="4" w:space="0" w:color="auto"/>
            </w:tcBorders>
            <w:vAlign w:val="bottom"/>
          </w:tcPr>
          <w:p w14:paraId="1DC16AC4" w14:textId="77777777" w:rsidR="005B36AA" w:rsidRPr="00863CD7" w:rsidRDefault="005B36AA" w:rsidP="005B36AA">
            <w:pPr>
              <w:pStyle w:val="Subtitle"/>
              <w:rPr>
                <w:rFonts w:ascii="Times New Roman"/>
                <w:b w:val="0"/>
                <w:sz w:val="16"/>
              </w:rPr>
            </w:pPr>
          </w:p>
        </w:tc>
        <w:tc>
          <w:tcPr>
            <w:tcW w:w="1134" w:type="dxa"/>
            <w:tcBorders>
              <w:top w:val="single" w:sz="4" w:space="0" w:color="auto"/>
            </w:tcBorders>
            <w:vAlign w:val="bottom"/>
          </w:tcPr>
          <w:p w14:paraId="2029AFCE" w14:textId="77777777" w:rsidR="005B36AA" w:rsidRDefault="005B36AA" w:rsidP="005B36AA">
            <w:pPr>
              <w:pStyle w:val="Subtitle"/>
              <w:rPr>
                <w:rFonts w:ascii="Times New Roman"/>
                <w:sz w:val="16"/>
              </w:rPr>
            </w:pPr>
          </w:p>
        </w:tc>
        <w:tc>
          <w:tcPr>
            <w:tcW w:w="1134" w:type="dxa"/>
            <w:tcBorders>
              <w:top w:val="single" w:sz="4" w:space="0" w:color="auto"/>
            </w:tcBorders>
            <w:vAlign w:val="bottom"/>
          </w:tcPr>
          <w:p w14:paraId="7A4A3A10" w14:textId="77777777" w:rsidR="005B36AA" w:rsidRPr="00863CD7" w:rsidRDefault="005B36AA" w:rsidP="005B36AA">
            <w:pPr>
              <w:pStyle w:val="Subtitle"/>
              <w:rPr>
                <w:rFonts w:ascii="Times New Roman"/>
                <w:b w:val="0"/>
                <w:sz w:val="16"/>
              </w:rPr>
            </w:pPr>
          </w:p>
        </w:tc>
      </w:tr>
      <w:tr w:rsidR="005B36AA" w14:paraId="32066F36" w14:textId="77777777" w:rsidTr="005B36AA">
        <w:trPr>
          <w:trHeight w:val="227"/>
        </w:trPr>
        <w:tc>
          <w:tcPr>
            <w:tcW w:w="7257" w:type="dxa"/>
          </w:tcPr>
          <w:p w14:paraId="50787C79" w14:textId="77777777" w:rsidR="005B36AA" w:rsidRPr="00926E11" w:rsidRDefault="005B36AA" w:rsidP="005B36AA">
            <w:pPr>
              <w:pStyle w:val="TableRowHead"/>
              <w:rPr>
                <w:b/>
              </w:rPr>
            </w:pPr>
            <w:r w:rsidRPr="00926E11">
              <w:rPr>
                <w:b/>
              </w:rPr>
              <w:t>Non-current assets</w:t>
            </w:r>
          </w:p>
        </w:tc>
        <w:tc>
          <w:tcPr>
            <w:tcW w:w="680" w:type="dxa"/>
            <w:vAlign w:val="bottom"/>
          </w:tcPr>
          <w:p w14:paraId="394C1E33" w14:textId="77777777" w:rsidR="005B36AA" w:rsidRPr="00863CD7" w:rsidRDefault="005B36AA" w:rsidP="005B36AA">
            <w:pPr>
              <w:pStyle w:val="Subtitle"/>
              <w:rPr>
                <w:rFonts w:ascii="Times New Roman"/>
                <w:b w:val="0"/>
                <w:sz w:val="14"/>
              </w:rPr>
            </w:pPr>
          </w:p>
        </w:tc>
        <w:tc>
          <w:tcPr>
            <w:tcW w:w="1134" w:type="dxa"/>
            <w:vAlign w:val="bottom"/>
          </w:tcPr>
          <w:p w14:paraId="382F681D" w14:textId="77777777" w:rsidR="005B36AA" w:rsidRPr="00CB7F1B" w:rsidRDefault="005B36AA" w:rsidP="005B36AA">
            <w:pPr>
              <w:pStyle w:val="Subtitle"/>
              <w:rPr>
                <w:rFonts w:ascii="Times New Roman"/>
                <w:sz w:val="14"/>
              </w:rPr>
            </w:pPr>
          </w:p>
        </w:tc>
        <w:tc>
          <w:tcPr>
            <w:tcW w:w="1134" w:type="dxa"/>
            <w:vAlign w:val="bottom"/>
          </w:tcPr>
          <w:p w14:paraId="0DB9F55B" w14:textId="77777777" w:rsidR="005B36AA" w:rsidRPr="00863CD7" w:rsidRDefault="005B36AA" w:rsidP="005B36AA">
            <w:pPr>
              <w:pStyle w:val="Subtitle"/>
              <w:rPr>
                <w:rFonts w:ascii="Times New Roman"/>
                <w:b w:val="0"/>
                <w:sz w:val="14"/>
              </w:rPr>
            </w:pPr>
          </w:p>
        </w:tc>
      </w:tr>
      <w:tr w:rsidR="00416253" w14:paraId="7BDC3145" w14:textId="77777777" w:rsidTr="005B36AA">
        <w:trPr>
          <w:trHeight w:val="227"/>
        </w:trPr>
        <w:tc>
          <w:tcPr>
            <w:tcW w:w="7257" w:type="dxa"/>
          </w:tcPr>
          <w:p w14:paraId="3BE54B93" w14:textId="77777777" w:rsidR="00416253" w:rsidRDefault="00416253" w:rsidP="00416253">
            <w:pPr>
              <w:pStyle w:val="TableRowHead"/>
            </w:pPr>
            <w:r>
              <w:t>Goodwill and intangible assets</w:t>
            </w:r>
          </w:p>
        </w:tc>
        <w:tc>
          <w:tcPr>
            <w:tcW w:w="680" w:type="dxa"/>
            <w:vAlign w:val="bottom"/>
          </w:tcPr>
          <w:p w14:paraId="669121E3" w14:textId="77777777" w:rsidR="00416253" w:rsidRPr="00863CD7" w:rsidRDefault="00BC4226" w:rsidP="00416253">
            <w:pPr>
              <w:pStyle w:val="Subtitle"/>
              <w:rPr>
                <w:rFonts w:cstheme="minorHAnsi"/>
                <w:b w:val="0"/>
              </w:rPr>
            </w:pPr>
            <w:r>
              <w:rPr>
                <w:rFonts w:cstheme="minorHAnsi"/>
                <w:b w:val="0"/>
              </w:rPr>
              <w:t>7</w:t>
            </w:r>
          </w:p>
        </w:tc>
        <w:tc>
          <w:tcPr>
            <w:tcW w:w="1134" w:type="dxa"/>
            <w:vAlign w:val="bottom"/>
          </w:tcPr>
          <w:p w14:paraId="68CDF959" w14:textId="77777777" w:rsidR="00416253" w:rsidRPr="00CB7F1B" w:rsidRDefault="0022291E" w:rsidP="00416253">
            <w:pPr>
              <w:pStyle w:val="Subtitle"/>
              <w:rPr>
                <w:rFonts w:cstheme="minorHAnsi"/>
              </w:rPr>
            </w:pPr>
            <w:r>
              <w:rPr>
                <w:rFonts w:cstheme="minorHAnsi"/>
              </w:rPr>
              <w:t>473.3</w:t>
            </w:r>
          </w:p>
        </w:tc>
        <w:tc>
          <w:tcPr>
            <w:tcW w:w="1134" w:type="dxa"/>
            <w:vAlign w:val="bottom"/>
          </w:tcPr>
          <w:p w14:paraId="40E3BD26" w14:textId="77777777" w:rsidR="00416253" w:rsidRPr="00416253" w:rsidRDefault="00416253" w:rsidP="00416253">
            <w:pPr>
              <w:pStyle w:val="Subtitle"/>
              <w:rPr>
                <w:rFonts w:cstheme="minorHAnsi"/>
                <w:b w:val="0"/>
              </w:rPr>
            </w:pPr>
            <w:r w:rsidRPr="00416253">
              <w:rPr>
                <w:rFonts w:cstheme="minorHAnsi"/>
                <w:b w:val="0"/>
              </w:rPr>
              <w:t>478.5</w:t>
            </w:r>
          </w:p>
        </w:tc>
      </w:tr>
      <w:tr w:rsidR="00416253" w14:paraId="355A6B2C" w14:textId="77777777" w:rsidTr="005B36AA">
        <w:trPr>
          <w:trHeight w:val="227"/>
        </w:trPr>
        <w:tc>
          <w:tcPr>
            <w:tcW w:w="7257" w:type="dxa"/>
          </w:tcPr>
          <w:p w14:paraId="495B156F" w14:textId="77777777" w:rsidR="00416253" w:rsidRDefault="00416253" w:rsidP="00416253">
            <w:pPr>
              <w:pStyle w:val="TableRowHead"/>
            </w:pPr>
            <w:r>
              <w:t>Property, plant and equipment</w:t>
            </w:r>
          </w:p>
        </w:tc>
        <w:tc>
          <w:tcPr>
            <w:tcW w:w="680" w:type="dxa"/>
            <w:vAlign w:val="bottom"/>
          </w:tcPr>
          <w:p w14:paraId="4652166B" w14:textId="77777777" w:rsidR="00416253" w:rsidRPr="00635D3B" w:rsidRDefault="00BC4226" w:rsidP="00416253">
            <w:pPr>
              <w:pStyle w:val="Subtitle"/>
              <w:rPr>
                <w:rFonts w:cstheme="minorHAnsi"/>
                <w:b w:val="0"/>
                <w:highlight w:val="yellow"/>
              </w:rPr>
            </w:pPr>
            <w:r w:rsidRPr="008D296E">
              <w:rPr>
                <w:rFonts w:cstheme="minorHAnsi"/>
                <w:b w:val="0"/>
              </w:rPr>
              <w:t>7</w:t>
            </w:r>
          </w:p>
        </w:tc>
        <w:tc>
          <w:tcPr>
            <w:tcW w:w="1134" w:type="dxa"/>
            <w:vAlign w:val="bottom"/>
          </w:tcPr>
          <w:p w14:paraId="5632F191" w14:textId="77777777" w:rsidR="00416253" w:rsidRPr="00CB7F1B" w:rsidRDefault="0022291E" w:rsidP="00416253">
            <w:pPr>
              <w:pStyle w:val="Subtitle"/>
              <w:rPr>
                <w:rFonts w:cstheme="minorHAnsi"/>
              </w:rPr>
            </w:pPr>
            <w:r>
              <w:rPr>
                <w:rFonts w:cstheme="minorHAnsi"/>
              </w:rPr>
              <w:t>307.4</w:t>
            </w:r>
          </w:p>
        </w:tc>
        <w:tc>
          <w:tcPr>
            <w:tcW w:w="1134" w:type="dxa"/>
            <w:vAlign w:val="bottom"/>
          </w:tcPr>
          <w:p w14:paraId="7B6A3AB0" w14:textId="77777777" w:rsidR="00416253" w:rsidRPr="00416253" w:rsidRDefault="00416253" w:rsidP="00416253">
            <w:pPr>
              <w:pStyle w:val="Subtitle"/>
              <w:rPr>
                <w:rFonts w:cstheme="minorHAnsi"/>
                <w:b w:val="0"/>
              </w:rPr>
            </w:pPr>
            <w:r w:rsidRPr="00416253">
              <w:rPr>
                <w:rFonts w:cstheme="minorHAnsi"/>
                <w:b w:val="0"/>
              </w:rPr>
              <w:t>313.2</w:t>
            </w:r>
          </w:p>
        </w:tc>
      </w:tr>
      <w:tr w:rsidR="00416253" w14:paraId="267D70C6" w14:textId="77777777" w:rsidTr="005B36AA">
        <w:trPr>
          <w:trHeight w:val="227"/>
        </w:trPr>
        <w:tc>
          <w:tcPr>
            <w:tcW w:w="7257" w:type="dxa"/>
          </w:tcPr>
          <w:p w14:paraId="68CE4CED" w14:textId="77777777" w:rsidR="00416253" w:rsidRDefault="00416253" w:rsidP="00416253">
            <w:pPr>
              <w:pStyle w:val="TableRowHead"/>
            </w:pPr>
            <w:r>
              <w:t>Right-of-use assets</w:t>
            </w:r>
          </w:p>
        </w:tc>
        <w:tc>
          <w:tcPr>
            <w:tcW w:w="680" w:type="dxa"/>
            <w:vAlign w:val="bottom"/>
          </w:tcPr>
          <w:p w14:paraId="4D6A070C" w14:textId="77777777" w:rsidR="00416253" w:rsidRPr="00211290" w:rsidRDefault="00416253" w:rsidP="00416253">
            <w:pPr>
              <w:pStyle w:val="Subtitle"/>
              <w:rPr>
                <w:rFonts w:cstheme="minorHAnsi"/>
                <w:b w:val="0"/>
              </w:rPr>
            </w:pPr>
          </w:p>
        </w:tc>
        <w:tc>
          <w:tcPr>
            <w:tcW w:w="1134" w:type="dxa"/>
            <w:vAlign w:val="bottom"/>
          </w:tcPr>
          <w:p w14:paraId="779D4739" w14:textId="77777777" w:rsidR="00416253" w:rsidRPr="00CB7F1B" w:rsidRDefault="0022291E" w:rsidP="00416253">
            <w:pPr>
              <w:pStyle w:val="Subtitle"/>
              <w:rPr>
                <w:rFonts w:cstheme="minorHAnsi"/>
              </w:rPr>
            </w:pPr>
            <w:r>
              <w:rPr>
                <w:rFonts w:cstheme="minorHAnsi"/>
              </w:rPr>
              <w:t>54.1</w:t>
            </w:r>
          </w:p>
        </w:tc>
        <w:tc>
          <w:tcPr>
            <w:tcW w:w="1134" w:type="dxa"/>
            <w:vAlign w:val="bottom"/>
          </w:tcPr>
          <w:p w14:paraId="67C25D2D" w14:textId="77777777" w:rsidR="00416253" w:rsidRPr="00416253" w:rsidRDefault="00416253" w:rsidP="00416253">
            <w:pPr>
              <w:pStyle w:val="Subtitle"/>
              <w:rPr>
                <w:rFonts w:cstheme="minorHAnsi"/>
                <w:b w:val="0"/>
              </w:rPr>
            </w:pPr>
            <w:r w:rsidRPr="00416253">
              <w:rPr>
                <w:rFonts w:cstheme="minorHAnsi"/>
                <w:b w:val="0"/>
              </w:rPr>
              <w:t>55.6</w:t>
            </w:r>
          </w:p>
        </w:tc>
      </w:tr>
      <w:tr w:rsidR="00416253" w14:paraId="24848AFC" w14:textId="77777777" w:rsidTr="005B36AA">
        <w:trPr>
          <w:trHeight w:val="227"/>
        </w:trPr>
        <w:tc>
          <w:tcPr>
            <w:tcW w:w="7257" w:type="dxa"/>
          </w:tcPr>
          <w:p w14:paraId="355C2536" w14:textId="77777777" w:rsidR="00416253" w:rsidRDefault="00416253" w:rsidP="00416253">
            <w:pPr>
              <w:pStyle w:val="TableRowHead"/>
            </w:pPr>
            <w:r>
              <w:t>Investment property</w:t>
            </w:r>
          </w:p>
        </w:tc>
        <w:tc>
          <w:tcPr>
            <w:tcW w:w="680" w:type="dxa"/>
            <w:vAlign w:val="bottom"/>
          </w:tcPr>
          <w:p w14:paraId="2B0C54D2" w14:textId="77777777" w:rsidR="00416253" w:rsidRPr="00211290" w:rsidRDefault="00416253" w:rsidP="00416253">
            <w:pPr>
              <w:pStyle w:val="Subtitle"/>
              <w:rPr>
                <w:rFonts w:cstheme="minorHAnsi"/>
                <w:b w:val="0"/>
              </w:rPr>
            </w:pPr>
          </w:p>
        </w:tc>
        <w:tc>
          <w:tcPr>
            <w:tcW w:w="1134" w:type="dxa"/>
            <w:vAlign w:val="bottom"/>
          </w:tcPr>
          <w:p w14:paraId="131ECBB7" w14:textId="77777777" w:rsidR="00416253" w:rsidRPr="00CA2DA2" w:rsidRDefault="0022291E" w:rsidP="00416253">
            <w:pPr>
              <w:pStyle w:val="Subtitle"/>
              <w:rPr>
                <w:rFonts w:cstheme="minorHAnsi"/>
              </w:rPr>
            </w:pPr>
            <w:r>
              <w:rPr>
                <w:rFonts w:cstheme="minorHAnsi"/>
              </w:rPr>
              <w:t>3.0</w:t>
            </w:r>
          </w:p>
        </w:tc>
        <w:tc>
          <w:tcPr>
            <w:tcW w:w="1134" w:type="dxa"/>
            <w:vAlign w:val="bottom"/>
          </w:tcPr>
          <w:p w14:paraId="1F79F3A4" w14:textId="77777777" w:rsidR="00416253" w:rsidRPr="00416253" w:rsidRDefault="00416253" w:rsidP="00416253">
            <w:pPr>
              <w:pStyle w:val="Subtitle"/>
              <w:rPr>
                <w:rFonts w:cstheme="minorHAnsi"/>
                <w:b w:val="0"/>
              </w:rPr>
            </w:pPr>
            <w:r w:rsidRPr="00416253">
              <w:rPr>
                <w:rFonts w:cstheme="minorHAnsi"/>
                <w:b w:val="0"/>
              </w:rPr>
              <w:t>6.1</w:t>
            </w:r>
          </w:p>
        </w:tc>
      </w:tr>
      <w:tr w:rsidR="00416253" w14:paraId="078BE8AD" w14:textId="77777777" w:rsidTr="005B36AA">
        <w:trPr>
          <w:trHeight w:val="227"/>
        </w:trPr>
        <w:tc>
          <w:tcPr>
            <w:tcW w:w="7257" w:type="dxa"/>
          </w:tcPr>
          <w:p w14:paraId="0BD4A610" w14:textId="77777777" w:rsidR="00416253" w:rsidRDefault="00416253" w:rsidP="00416253">
            <w:pPr>
              <w:pStyle w:val="TableRowHead"/>
            </w:pPr>
            <w:r>
              <w:t>Retirement benefit assets</w:t>
            </w:r>
          </w:p>
        </w:tc>
        <w:tc>
          <w:tcPr>
            <w:tcW w:w="680" w:type="dxa"/>
            <w:vAlign w:val="bottom"/>
          </w:tcPr>
          <w:p w14:paraId="77F37659" w14:textId="77777777" w:rsidR="00416253" w:rsidRPr="00211290" w:rsidRDefault="003F4CA8" w:rsidP="00416253">
            <w:pPr>
              <w:pStyle w:val="Subtitle"/>
              <w:rPr>
                <w:rFonts w:cstheme="minorHAnsi"/>
                <w:b w:val="0"/>
              </w:rPr>
            </w:pPr>
            <w:r>
              <w:rPr>
                <w:rFonts w:cstheme="minorHAnsi"/>
                <w:b w:val="0"/>
              </w:rPr>
              <w:t>9</w:t>
            </w:r>
          </w:p>
        </w:tc>
        <w:tc>
          <w:tcPr>
            <w:tcW w:w="1134" w:type="dxa"/>
            <w:vAlign w:val="bottom"/>
          </w:tcPr>
          <w:p w14:paraId="5210198F" w14:textId="77777777" w:rsidR="00416253" w:rsidRPr="00CA2DA2" w:rsidRDefault="00FD3735" w:rsidP="00416253">
            <w:pPr>
              <w:pStyle w:val="Subtitle"/>
              <w:rPr>
                <w:rFonts w:cstheme="minorHAnsi"/>
              </w:rPr>
            </w:pPr>
            <w:r>
              <w:rPr>
                <w:rFonts w:cstheme="minorHAnsi"/>
              </w:rPr>
              <w:t>42.1</w:t>
            </w:r>
          </w:p>
        </w:tc>
        <w:tc>
          <w:tcPr>
            <w:tcW w:w="1134" w:type="dxa"/>
            <w:vAlign w:val="bottom"/>
          </w:tcPr>
          <w:p w14:paraId="4EB16C13" w14:textId="77777777" w:rsidR="00416253" w:rsidRPr="00416253" w:rsidRDefault="00416253" w:rsidP="00416253">
            <w:pPr>
              <w:pStyle w:val="Subtitle"/>
              <w:rPr>
                <w:rFonts w:cstheme="minorHAnsi"/>
                <w:b w:val="0"/>
              </w:rPr>
            </w:pPr>
            <w:r w:rsidRPr="00416253">
              <w:rPr>
                <w:rFonts w:cstheme="minorHAnsi"/>
                <w:b w:val="0"/>
              </w:rPr>
              <w:t>42.9</w:t>
            </w:r>
          </w:p>
        </w:tc>
      </w:tr>
      <w:tr w:rsidR="00416253" w14:paraId="380457A2" w14:textId="77777777" w:rsidTr="00B84A07">
        <w:trPr>
          <w:trHeight w:val="227"/>
        </w:trPr>
        <w:tc>
          <w:tcPr>
            <w:tcW w:w="7257" w:type="dxa"/>
          </w:tcPr>
          <w:p w14:paraId="1D69EB2C" w14:textId="77777777" w:rsidR="00416253" w:rsidRDefault="00416253" w:rsidP="00416253">
            <w:pPr>
              <w:pStyle w:val="TableRowHead"/>
            </w:pPr>
            <w:r>
              <w:t>Derivative financial instruments</w:t>
            </w:r>
          </w:p>
        </w:tc>
        <w:tc>
          <w:tcPr>
            <w:tcW w:w="680" w:type="dxa"/>
            <w:vAlign w:val="bottom"/>
          </w:tcPr>
          <w:p w14:paraId="036FC4EA" w14:textId="77777777" w:rsidR="00416253" w:rsidRPr="00211290" w:rsidRDefault="00416253" w:rsidP="00416253">
            <w:pPr>
              <w:pStyle w:val="Subtitle"/>
              <w:rPr>
                <w:rFonts w:cstheme="minorHAnsi"/>
                <w:b w:val="0"/>
              </w:rPr>
            </w:pPr>
          </w:p>
        </w:tc>
        <w:tc>
          <w:tcPr>
            <w:tcW w:w="1134" w:type="dxa"/>
            <w:vAlign w:val="bottom"/>
          </w:tcPr>
          <w:p w14:paraId="71E1F4E2" w14:textId="77777777" w:rsidR="00416253" w:rsidRPr="00CA2DA2" w:rsidRDefault="00FD3735" w:rsidP="00416253">
            <w:pPr>
              <w:pStyle w:val="Subtitle"/>
              <w:rPr>
                <w:rFonts w:cstheme="minorHAnsi"/>
              </w:rPr>
            </w:pPr>
            <w:r w:rsidRPr="0022291E">
              <w:rPr>
                <w:rFonts w:cstheme="minorHAnsi"/>
              </w:rPr>
              <w:t>–</w:t>
            </w:r>
          </w:p>
        </w:tc>
        <w:tc>
          <w:tcPr>
            <w:tcW w:w="1134" w:type="dxa"/>
            <w:vAlign w:val="bottom"/>
          </w:tcPr>
          <w:p w14:paraId="047C84EE" w14:textId="77777777" w:rsidR="00416253" w:rsidRPr="00416253" w:rsidRDefault="00416253" w:rsidP="00416253">
            <w:pPr>
              <w:pStyle w:val="Subtitle"/>
              <w:rPr>
                <w:rFonts w:cstheme="minorHAnsi"/>
                <w:b w:val="0"/>
              </w:rPr>
            </w:pPr>
            <w:r w:rsidRPr="00416253">
              <w:rPr>
                <w:rFonts w:cstheme="minorHAnsi"/>
                <w:b w:val="0"/>
              </w:rPr>
              <w:t>3.0</w:t>
            </w:r>
          </w:p>
        </w:tc>
      </w:tr>
      <w:tr w:rsidR="00B84A07" w14:paraId="0503ED16" w14:textId="77777777" w:rsidTr="00B84A07">
        <w:trPr>
          <w:trHeight w:val="227"/>
        </w:trPr>
        <w:tc>
          <w:tcPr>
            <w:tcW w:w="7257" w:type="dxa"/>
          </w:tcPr>
          <w:p w14:paraId="19A2AC09" w14:textId="77777777" w:rsidR="00B84A07" w:rsidRDefault="00B84A07" w:rsidP="00416253">
            <w:pPr>
              <w:pStyle w:val="TableRowHead"/>
            </w:pPr>
            <w:r>
              <w:t>Deferred tax assets</w:t>
            </w:r>
          </w:p>
        </w:tc>
        <w:tc>
          <w:tcPr>
            <w:tcW w:w="680" w:type="dxa"/>
            <w:vAlign w:val="bottom"/>
          </w:tcPr>
          <w:p w14:paraId="10AE8201" w14:textId="77777777" w:rsidR="00B84A07" w:rsidRPr="00211290" w:rsidRDefault="00B84A07" w:rsidP="00416253">
            <w:pPr>
              <w:pStyle w:val="Subtitle"/>
              <w:rPr>
                <w:rFonts w:cstheme="minorHAnsi"/>
                <w:b w:val="0"/>
              </w:rPr>
            </w:pPr>
          </w:p>
        </w:tc>
        <w:tc>
          <w:tcPr>
            <w:tcW w:w="1134" w:type="dxa"/>
            <w:vAlign w:val="bottom"/>
          </w:tcPr>
          <w:p w14:paraId="11BE24B3" w14:textId="77777777" w:rsidR="00B84A07" w:rsidRDefault="00BF3D27" w:rsidP="00D12164">
            <w:pPr>
              <w:pStyle w:val="Subtitle"/>
              <w:rPr>
                <w:rFonts w:cstheme="minorHAnsi"/>
              </w:rPr>
            </w:pPr>
            <w:r>
              <w:rPr>
                <w:rFonts w:cstheme="minorHAnsi"/>
              </w:rPr>
              <w:t>48.1</w:t>
            </w:r>
          </w:p>
        </w:tc>
        <w:tc>
          <w:tcPr>
            <w:tcW w:w="1134" w:type="dxa"/>
            <w:vAlign w:val="bottom"/>
          </w:tcPr>
          <w:p w14:paraId="4692B3AE" w14:textId="77777777" w:rsidR="00B84A07" w:rsidRPr="00416253" w:rsidRDefault="00B84A07" w:rsidP="00416253">
            <w:pPr>
              <w:pStyle w:val="Subtitle"/>
              <w:rPr>
                <w:rFonts w:cstheme="minorHAnsi"/>
                <w:b w:val="0"/>
              </w:rPr>
            </w:pPr>
            <w:r w:rsidRPr="00416253">
              <w:rPr>
                <w:rFonts w:cstheme="minorHAnsi"/>
                <w:b w:val="0"/>
              </w:rPr>
              <w:t>46.1</w:t>
            </w:r>
          </w:p>
        </w:tc>
      </w:tr>
      <w:tr w:rsidR="00416253" w14:paraId="4D609B0A" w14:textId="77777777" w:rsidTr="005B36AA">
        <w:trPr>
          <w:trHeight w:val="227"/>
        </w:trPr>
        <w:tc>
          <w:tcPr>
            <w:tcW w:w="7257" w:type="dxa"/>
            <w:tcBorders>
              <w:bottom w:val="single" w:sz="4" w:space="0" w:color="000000"/>
            </w:tcBorders>
          </w:tcPr>
          <w:p w14:paraId="02AB146D" w14:textId="77777777" w:rsidR="00416253" w:rsidRDefault="00B84A07" w:rsidP="00416253">
            <w:pPr>
              <w:pStyle w:val="TableRowHead"/>
            </w:pPr>
            <w:r>
              <w:t>Trade and other receivables</w:t>
            </w:r>
          </w:p>
        </w:tc>
        <w:tc>
          <w:tcPr>
            <w:tcW w:w="680" w:type="dxa"/>
            <w:tcBorders>
              <w:bottom w:val="single" w:sz="4" w:space="0" w:color="000000"/>
            </w:tcBorders>
            <w:vAlign w:val="bottom"/>
          </w:tcPr>
          <w:p w14:paraId="783B4C3F" w14:textId="77777777" w:rsidR="00416253" w:rsidRPr="00211290" w:rsidRDefault="00416253" w:rsidP="00416253">
            <w:pPr>
              <w:pStyle w:val="Subtitle"/>
              <w:rPr>
                <w:rFonts w:cstheme="minorHAnsi"/>
                <w:b w:val="0"/>
              </w:rPr>
            </w:pPr>
          </w:p>
        </w:tc>
        <w:tc>
          <w:tcPr>
            <w:tcW w:w="1134" w:type="dxa"/>
            <w:tcBorders>
              <w:bottom w:val="single" w:sz="4" w:space="0" w:color="000000"/>
            </w:tcBorders>
            <w:vAlign w:val="bottom"/>
          </w:tcPr>
          <w:p w14:paraId="15E90501" w14:textId="77777777" w:rsidR="00416253" w:rsidRPr="00CA2DA2" w:rsidRDefault="00FD3735" w:rsidP="00416253">
            <w:pPr>
              <w:pStyle w:val="Subtitle"/>
              <w:rPr>
                <w:rFonts w:cstheme="minorHAnsi"/>
              </w:rPr>
            </w:pPr>
            <w:r>
              <w:rPr>
                <w:rFonts w:cstheme="minorHAnsi"/>
              </w:rPr>
              <w:t>0.4</w:t>
            </w:r>
          </w:p>
        </w:tc>
        <w:tc>
          <w:tcPr>
            <w:tcW w:w="1134" w:type="dxa"/>
            <w:tcBorders>
              <w:bottom w:val="single" w:sz="4" w:space="0" w:color="000000"/>
            </w:tcBorders>
            <w:vAlign w:val="bottom"/>
          </w:tcPr>
          <w:p w14:paraId="2771A200" w14:textId="2442A1F8" w:rsidR="00416253" w:rsidRPr="00416253" w:rsidRDefault="007B2C75" w:rsidP="00416253">
            <w:pPr>
              <w:pStyle w:val="Subtitle"/>
              <w:rPr>
                <w:rFonts w:cstheme="minorHAnsi"/>
                <w:b w:val="0"/>
              </w:rPr>
            </w:pPr>
            <w:r w:rsidRPr="00416253">
              <w:rPr>
                <w:b w:val="0"/>
              </w:rPr>
              <w:t>–</w:t>
            </w:r>
          </w:p>
        </w:tc>
      </w:tr>
      <w:tr w:rsidR="00416253" w14:paraId="3ADDD504" w14:textId="77777777" w:rsidTr="005B36AA">
        <w:trPr>
          <w:trHeight w:val="227"/>
        </w:trPr>
        <w:tc>
          <w:tcPr>
            <w:tcW w:w="7257" w:type="dxa"/>
            <w:tcBorders>
              <w:top w:val="single" w:sz="4" w:space="0" w:color="000000"/>
              <w:bottom w:val="single" w:sz="4" w:space="0" w:color="auto"/>
            </w:tcBorders>
          </w:tcPr>
          <w:p w14:paraId="0E289B96" w14:textId="77777777" w:rsidR="00416253" w:rsidRPr="00926E11" w:rsidRDefault="00416253" w:rsidP="00416253">
            <w:pPr>
              <w:pStyle w:val="TableRowHead"/>
              <w:rPr>
                <w:b/>
              </w:rPr>
            </w:pPr>
            <w:r w:rsidRPr="00926E11">
              <w:rPr>
                <w:b/>
              </w:rPr>
              <w:t>Total non-current assets</w:t>
            </w:r>
          </w:p>
        </w:tc>
        <w:tc>
          <w:tcPr>
            <w:tcW w:w="680" w:type="dxa"/>
            <w:tcBorders>
              <w:top w:val="single" w:sz="4" w:space="0" w:color="000000"/>
              <w:bottom w:val="single" w:sz="4" w:space="0" w:color="auto"/>
            </w:tcBorders>
            <w:vAlign w:val="bottom"/>
          </w:tcPr>
          <w:p w14:paraId="46E591DF" w14:textId="77777777" w:rsidR="00416253" w:rsidRPr="00211290" w:rsidRDefault="00416253" w:rsidP="00416253">
            <w:pPr>
              <w:pStyle w:val="Subtitle"/>
              <w:rPr>
                <w:rFonts w:cstheme="minorHAnsi"/>
                <w:b w:val="0"/>
              </w:rPr>
            </w:pPr>
          </w:p>
        </w:tc>
        <w:tc>
          <w:tcPr>
            <w:tcW w:w="1134" w:type="dxa"/>
            <w:tcBorders>
              <w:top w:val="single" w:sz="4" w:space="0" w:color="000000"/>
              <w:bottom w:val="single" w:sz="4" w:space="0" w:color="auto"/>
            </w:tcBorders>
            <w:vAlign w:val="bottom"/>
          </w:tcPr>
          <w:p w14:paraId="701A03AE" w14:textId="77777777" w:rsidR="00416253" w:rsidRPr="00CA2DA2" w:rsidRDefault="00FD3735" w:rsidP="008E46B3">
            <w:pPr>
              <w:pStyle w:val="Subtitle"/>
              <w:rPr>
                <w:rFonts w:cstheme="minorHAnsi"/>
              </w:rPr>
            </w:pPr>
            <w:r>
              <w:rPr>
                <w:rFonts w:cstheme="minorHAnsi"/>
              </w:rPr>
              <w:t>9</w:t>
            </w:r>
            <w:r w:rsidR="00D12164">
              <w:rPr>
                <w:rFonts w:cstheme="minorHAnsi"/>
              </w:rPr>
              <w:t>2</w:t>
            </w:r>
            <w:r w:rsidR="00BF3D27">
              <w:rPr>
                <w:rFonts w:cstheme="minorHAnsi"/>
              </w:rPr>
              <w:t>8.4</w:t>
            </w:r>
          </w:p>
        </w:tc>
        <w:tc>
          <w:tcPr>
            <w:tcW w:w="1134" w:type="dxa"/>
            <w:tcBorders>
              <w:top w:val="single" w:sz="4" w:space="0" w:color="000000"/>
              <w:bottom w:val="single" w:sz="4" w:space="0" w:color="auto"/>
            </w:tcBorders>
            <w:vAlign w:val="bottom"/>
          </w:tcPr>
          <w:p w14:paraId="310C2B17" w14:textId="77777777" w:rsidR="00416253" w:rsidRPr="00416253" w:rsidRDefault="00416253" w:rsidP="00416253">
            <w:pPr>
              <w:pStyle w:val="Subtitle"/>
              <w:rPr>
                <w:rFonts w:cstheme="minorHAnsi"/>
                <w:b w:val="0"/>
              </w:rPr>
            </w:pPr>
            <w:r w:rsidRPr="00416253">
              <w:rPr>
                <w:rFonts w:cstheme="minorHAnsi"/>
                <w:b w:val="0"/>
              </w:rPr>
              <w:t>945.4</w:t>
            </w:r>
          </w:p>
        </w:tc>
      </w:tr>
      <w:tr w:rsidR="00416253" w14:paraId="76DFC2AF" w14:textId="77777777" w:rsidTr="005B36AA">
        <w:trPr>
          <w:trHeight w:val="227"/>
        </w:trPr>
        <w:tc>
          <w:tcPr>
            <w:tcW w:w="7257" w:type="dxa"/>
            <w:tcBorders>
              <w:top w:val="single" w:sz="4" w:space="0" w:color="auto"/>
            </w:tcBorders>
          </w:tcPr>
          <w:p w14:paraId="6B41D51D" w14:textId="77777777" w:rsidR="00416253" w:rsidRDefault="00416253" w:rsidP="00416253">
            <w:pPr>
              <w:pStyle w:val="TableRowHead"/>
              <w:rPr>
                <w:b/>
                <w:bCs/>
              </w:rPr>
            </w:pPr>
          </w:p>
          <w:p w14:paraId="5799B17F" w14:textId="77777777" w:rsidR="00416253" w:rsidRPr="008B64E6" w:rsidRDefault="00416253" w:rsidP="00416253">
            <w:pPr>
              <w:pStyle w:val="TableRowHead"/>
              <w:rPr>
                <w:b/>
                <w:bCs/>
              </w:rPr>
            </w:pPr>
            <w:r w:rsidRPr="008B64E6">
              <w:rPr>
                <w:b/>
                <w:bCs/>
              </w:rPr>
              <w:t>Current assets</w:t>
            </w:r>
          </w:p>
        </w:tc>
        <w:tc>
          <w:tcPr>
            <w:tcW w:w="680" w:type="dxa"/>
            <w:tcBorders>
              <w:top w:val="single" w:sz="4" w:space="0" w:color="auto"/>
            </w:tcBorders>
            <w:vAlign w:val="bottom"/>
          </w:tcPr>
          <w:p w14:paraId="3E3B27A2" w14:textId="77777777" w:rsidR="00416253" w:rsidRPr="00211290" w:rsidRDefault="00416253" w:rsidP="00416253">
            <w:pPr>
              <w:pStyle w:val="Subtitle"/>
              <w:rPr>
                <w:rFonts w:ascii="Times New Roman"/>
                <w:b w:val="0"/>
              </w:rPr>
            </w:pPr>
          </w:p>
        </w:tc>
        <w:tc>
          <w:tcPr>
            <w:tcW w:w="1134" w:type="dxa"/>
            <w:tcBorders>
              <w:top w:val="single" w:sz="4" w:space="0" w:color="auto"/>
            </w:tcBorders>
            <w:vAlign w:val="bottom"/>
          </w:tcPr>
          <w:p w14:paraId="7E6C4B2A" w14:textId="77777777" w:rsidR="00416253" w:rsidRPr="00CA2DA2" w:rsidRDefault="00416253" w:rsidP="00416253">
            <w:pPr>
              <w:pStyle w:val="Subtitle"/>
              <w:rPr>
                <w:rFonts w:ascii="Times New Roman"/>
              </w:rPr>
            </w:pPr>
          </w:p>
        </w:tc>
        <w:tc>
          <w:tcPr>
            <w:tcW w:w="1134" w:type="dxa"/>
            <w:tcBorders>
              <w:top w:val="single" w:sz="4" w:space="0" w:color="auto"/>
            </w:tcBorders>
            <w:vAlign w:val="bottom"/>
          </w:tcPr>
          <w:p w14:paraId="1B8C77E1" w14:textId="77777777" w:rsidR="00416253" w:rsidRPr="00416253" w:rsidRDefault="00416253" w:rsidP="00416253">
            <w:pPr>
              <w:pStyle w:val="Subtitle"/>
              <w:rPr>
                <w:rFonts w:ascii="Times New Roman"/>
                <w:b w:val="0"/>
              </w:rPr>
            </w:pPr>
          </w:p>
        </w:tc>
      </w:tr>
      <w:tr w:rsidR="00416253" w14:paraId="18F866F7" w14:textId="77777777" w:rsidTr="005B36AA">
        <w:trPr>
          <w:trHeight w:val="227"/>
        </w:trPr>
        <w:tc>
          <w:tcPr>
            <w:tcW w:w="7257" w:type="dxa"/>
          </w:tcPr>
          <w:p w14:paraId="013CAC83" w14:textId="77777777" w:rsidR="00416253" w:rsidRDefault="00416253" w:rsidP="00416253">
            <w:pPr>
              <w:pStyle w:val="TableRowHead"/>
            </w:pPr>
            <w:r>
              <w:t>Inventories</w:t>
            </w:r>
          </w:p>
        </w:tc>
        <w:tc>
          <w:tcPr>
            <w:tcW w:w="680" w:type="dxa"/>
            <w:vAlign w:val="bottom"/>
          </w:tcPr>
          <w:p w14:paraId="0FB2D7AA" w14:textId="77777777" w:rsidR="00416253" w:rsidRPr="00211290" w:rsidRDefault="00416253" w:rsidP="00416253">
            <w:pPr>
              <w:pStyle w:val="Subtitle"/>
              <w:rPr>
                <w:rFonts w:cstheme="minorHAnsi"/>
                <w:b w:val="0"/>
              </w:rPr>
            </w:pPr>
          </w:p>
        </w:tc>
        <w:tc>
          <w:tcPr>
            <w:tcW w:w="1134" w:type="dxa"/>
            <w:vAlign w:val="bottom"/>
          </w:tcPr>
          <w:p w14:paraId="5B083F77" w14:textId="77777777" w:rsidR="00416253" w:rsidRPr="00CA2DA2" w:rsidRDefault="00FD3735" w:rsidP="00416253">
            <w:pPr>
              <w:pStyle w:val="Subtitle"/>
              <w:rPr>
                <w:rFonts w:cstheme="minorHAnsi"/>
              </w:rPr>
            </w:pPr>
            <w:r>
              <w:rPr>
                <w:rFonts w:cstheme="minorHAnsi"/>
              </w:rPr>
              <w:t>47.7</w:t>
            </w:r>
          </w:p>
        </w:tc>
        <w:tc>
          <w:tcPr>
            <w:tcW w:w="1134" w:type="dxa"/>
            <w:vAlign w:val="bottom"/>
          </w:tcPr>
          <w:p w14:paraId="6677B219" w14:textId="77777777" w:rsidR="00416253" w:rsidRPr="00416253" w:rsidRDefault="00416253" w:rsidP="00416253">
            <w:pPr>
              <w:pStyle w:val="Subtitle"/>
              <w:rPr>
                <w:rFonts w:cstheme="minorHAnsi"/>
                <w:b w:val="0"/>
              </w:rPr>
            </w:pPr>
            <w:r w:rsidRPr="00416253">
              <w:rPr>
                <w:rFonts w:cstheme="minorHAnsi"/>
                <w:b w:val="0"/>
              </w:rPr>
              <w:t>44.7</w:t>
            </w:r>
          </w:p>
        </w:tc>
      </w:tr>
      <w:tr w:rsidR="00416253" w14:paraId="3CE5CF5C" w14:textId="77777777" w:rsidTr="005B36AA">
        <w:trPr>
          <w:trHeight w:val="227"/>
        </w:trPr>
        <w:tc>
          <w:tcPr>
            <w:tcW w:w="7257" w:type="dxa"/>
          </w:tcPr>
          <w:p w14:paraId="0C92CB34" w14:textId="77777777" w:rsidR="00416253" w:rsidRDefault="00416253" w:rsidP="00416253">
            <w:pPr>
              <w:pStyle w:val="TableRowHead"/>
            </w:pPr>
            <w:r>
              <w:t>Trade and other receivables</w:t>
            </w:r>
          </w:p>
        </w:tc>
        <w:tc>
          <w:tcPr>
            <w:tcW w:w="680" w:type="dxa"/>
            <w:vAlign w:val="bottom"/>
          </w:tcPr>
          <w:p w14:paraId="768A4994" w14:textId="77777777" w:rsidR="00416253" w:rsidRPr="00211290" w:rsidRDefault="00416253" w:rsidP="00416253">
            <w:pPr>
              <w:pStyle w:val="Subtitle"/>
              <w:rPr>
                <w:rFonts w:cstheme="minorHAnsi"/>
                <w:b w:val="0"/>
              </w:rPr>
            </w:pPr>
          </w:p>
        </w:tc>
        <w:tc>
          <w:tcPr>
            <w:tcW w:w="1134" w:type="dxa"/>
            <w:vAlign w:val="bottom"/>
          </w:tcPr>
          <w:p w14:paraId="32359BBE" w14:textId="77777777" w:rsidR="00416253" w:rsidRPr="00CA2DA2" w:rsidRDefault="00FD3735" w:rsidP="00D12164">
            <w:pPr>
              <w:pStyle w:val="Subtitle"/>
              <w:rPr>
                <w:rFonts w:cstheme="minorHAnsi"/>
              </w:rPr>
            </w:pPr>
            <w:r>
              <w:rPr>
                <w:rFonts w:cstheme="minorHAnsi"/>
              </w:rPr>
              <w:t>19</w:t>
            </w:r>
            <w:r w:rsidR="00D12164">
              <w:rPr>
                <w:rFonts w:cstheme="minorHAnsi"/>
              </w:rPr>
              <w:t>6.3</w:t>
            </w:r>
          </w:p>
        </w:tc>
        <w:tc>
          <w:tcPr>
            <w:tcW w:w="1134" w:type="dxa"/>
            <w:vAlign w:val="bottom"/>
          </w:tcPr>
          <w:p w14:paraId="4DA48DEE" w14:textId="77777777" w:rsidR="00416253" w:rsidRPr="00416253" w:rsidRDefault="00416253" w:rsidP="00416253">
            <w:pPr>
              <w:pStyle w:val="Subtitle"/>
              <w:rPr>
                <w:rFonts w:cstheme="minorHAnsi"/>
                <w:b w:val="0"/>
              </w:rPr>
            </w:pPr>
            <w:r w:rsidRPr="00416253">
              <w:rPr>
                <w:rFonts w:cstheme="minorHAnsi"/>
                <w:b w:val="0"/>
              </w:rPr>
              <w:t>157.7</w:t>
            </w:r>
          </w:p>
        </w:tc>
      </w:tr>
      <w:tr w:rsidR="00416253" w14:paraId="54ABBDBE" w14:textId="77777777" w:rsidTr="005B36AA">
        <w:trPr>
          <w:trHeight w:val="227"/>
        </w:trPr>
        <w:tc>
          <w:tcPr>
            <w:tcW w:w="7257" w:type="dxa"/>
          </w:tcPr>
          <w:p w14:paraId="5750C57A" w14:textId="77777777" w:rsidR="00416253" w:rsidRDefault="00416253" w:rsidP="00416253">
            <w:pPr>
              <w:pStyle w:val="TableRowHead"/>
            </w:pPr>
            <w:r>
              <w:t>Cash and cash equivalents</w:t>
            </w:r>
          </w:p>
        </w:tc>
        <w:tc>
          <w:tcPr>
            <w:tcW w:w="680" w:type="dxa"/>
            <w:vAlign w:val="bottom"/>
          </w:tcPr>
          <w:p w14:paraId="50B4B6FB" w14:textId="77777777" w:rsidR="00416253" w:rsidRPr="00211290" w:rsidRDefault="00416253" w:rsidP="00416253">
            <w:pPr>
              <w:pStyle w:val="Subtitle"/>
              <w:rPr>
                <w:rFonts w:cstheme="minorHAnsi"/>
                <w:b w:val="0"/>
              </w:rPr>
            </w:pPr>
          </w:p>
        </w:tc>
        <w:tc>
          <w:tcPr>
            <w:tcW w:w="1134" w:type="dxa"/>
            <w:vAlign w:val="bottom"/>
          </w:tcPr>
          <w:p w14:paraId="3FDC96F9" w14:textId="77777777" w:rsidR="00416253" w:rsidDel="006E401D" w:rsidRDefault="00FD3735" w:rsidP="00416253">
            <w:pPr>
              <w:pStyle w:val="Subtitle"/>
              <w:rPr>
                <w:rFonts w:cstheme="minorHAnsi"/>
              </w:rPr>
            </w:pPr>
            <w:r>
              <w:rPr>
                <w:rFonts w:cstheme="minorHAnsi"/>
              </w:rPr>
              <w:t>119.1</w:t>
            </w:r>
          </w:p>
        </w:tc>
        <w:tc>
          <w:tcPr>
            <w:tcW w:w="1134" w:type="dxa"/>
            <w:vAlign w:val="bottom"/>
          </w:tcPr>
          <w:p w14:paraId="0C98957E" w14:textId="77777777" w:rsidR="00416253" w:rsidRPr="00416253" w:rsidRDefault="00416253" w:rsidP="00416253">
            <w:pPr>
              <w:pStyle w:val="Subtitle"/>
              <w:rPr>
                <w:b w:val="0"/>
              </w:rPr>
            </w:pPr>
            <w:r w:rsidRPr="00416253">
              <w:rPr>
                <w:rFonts w:cstheme="minorHAnsi"/>
                <w:b w:val="0"/>
              </w:rPr>
              <w:t>267.0</w:t>
            </w:r>
          </w:p>
        </w:tc>
      </w:tr>
      <w:tr w:rsidR="00416253" w14:paraId="419CD0E6" w14:textId="77777777" w:rsidTr="005B36AA">
        <w:trPr>
          <w:trHeight w:val="227"/>
        </w:trPr>
        <w:tc>
          <w:tcPr>
            <w:tcW w:w="7257" w:type="dxa"/>
          </w:tcPr>
          <w:p w14:paraId="5B9AF9FD" w14:textId="77777777" w:rsidR="00416253" w:rsidRDefault="00416253" w:rsidP="00416253">
            <w:pPr>
              <w:pStyle w:val="TableRowHead"/>
            </w:pPr>
            <w:r>
              <w:t>Derivative financial instruments</w:t>
            </w:r>
          </w:p>
        </w:tc>
        <w:tc>
          <w:tcPr>
            <w:tcW w:w="680" w:type="dxa"/>
            <w:vAlign w:val="bottom"/>
          </w:tcPr>
          <w:p w14:paraId="63754230" w14:textId="77777777" w:rsidR="00416253" w:rsidRPr="00211290" w:rsidRDefault="00416253" w:rsidP="00416253">
            <w:pPr>
              <w:pStyle w:val="Subtitle"/>
              <w:rPr>
                <w:rFonts w:cstheme="minorHAnsi"/>
                <w:b w:val="0"/>
              </w:rPr>
            </w:pPr>
          </w:p>
        </w:tc>
        <w:tc>
          <w:tcPr>
            <w:tcW w:w="1134" w:type="dxa"/>
            <w:vAlign w:val="bottom"/>
          </w:tcPr>
          <w:p w14:paraId="24791F21" w14:textId="77777777" w:rsidR="00416253" w:rsidRPr="00CA2DA2" w:rsidRDefault="00FD3735" w:rsidP="00416253">
            <w:pPr>
              <w:pStyle w:val="Subtitle"/>
              <w:rPr>
                <w:rFonts w:cstheme="minorHAnsi"/>
              </w:rPr>
            </w:pPr>
            <w:r w:rsidRPr="0022291E">
              <w:rPr>
                <w:rFonts w:cstheme="minorHAnsi"/>
              </w:rPr>
              <w:t>–</w:t>
            </w:r>
          </w:p>
        </w:tc>
        <w:tc>
          <w:tcPr>
            <w:tcW w:w="1134" w:type="dxa"/>
            <w:vAlign w:val="bottom"/>
          </w:tcPr>
          <w:p w14:paraId="55ABF9D9" w14:textId="77777777" w:rsidR="00416253" w:rsidRPr="00416253" w:rsidRDefault="00416253" w:rsidP="00416253">
            <w:pPr>
              <w:pStyle w:val="Subtitle"/>
              <w:rPr>
                <w:rFonts w:cstheme="minorHAnsi"/>
                <w:b w:val="0"/>
              </w:rPr>
            </w:pPr>
            <w:r w:rsidRPr="00416253">
              <w:rPr>
                <w:rFonts w:cstheme="minorHAnsi"/>
                <w:b w:val="0"/>
              </w:rPr>
              <w:t>0.6</w:t>
            </w:r>
          </w:p>
        </w:tc>
      </w:tr>
      <w:tr w:rsidR="00416253" w14:paraId="5B216F92" w14:textId="77777777" w:rsidTr="005B36AA">
        <w:trPr>
          <w:trHeight w:val="227"/>
        </w:trPr>
        <w:tc>
          <w:tcPr>
            <w:tcW w:w="7257" w:type="dxa"/>
          </w:tcPr>
          <w:p w14:paraId="3806E3F1" w14:textId="77777777" w:rsidR="00416253" w:rsidRDefault="00416253" w:rsidP="00416253">
            <w:pPr>
              <w:pStyle w:val="TableRowHead"/>
            </w:pPr>
            <w:r>
              <w:t>Current tax receivable</w:t>
            </w:r>
          </w:p>
        </w:tc>
        <w:tc>
          <w:tcPr>
            <w:tcW w:w="680" w:type="dxa"/>
            <w:vAlign w:val="bottom"/>
          </w:tcPr>
          <w:p w14:paraId="7B636CF6" w14:textId="77777777" w:rsidR="00416253" w:rsidRPr="00211290" w:rsidRDefault="00416253" w:rsidP="00416253">
            <w:pPr>
              <w:pStyle w:val="Subtitle"/>
              <w:rPr>
                <w:rFonts w:cstheme="minorHAnsi"/>
                <w:b w:val="0"/>
              </w:rPr>
            </w:pPr>
          </w:p>
        </w:tc>
        <w:tc>
          <w:tcPr>
            <w:tcW w:w="1134" w:type="dxa"/>
            <w:vAlign w:val="bottom"/>
          </w:tcPr>
          <w:p w14:paraId="30582675" w14:textId="77777777" w:rsidR="00416253" w:rsidRDefault="00BF3D27" w:rsidP="00416253">
            <w:pPr>
              <w:pStyle w:val="Subtitle"/>
              <w:rPr>
                <w:rFonts w:cstheme="minorHAnsi"/>
              </w:rPr>
            </w:pPr>
            <w:r w:rsidRPr="0022291E">
              <w:rPr>
                <w:rFonts w:cstheme="minorHAnsi"/>
              </w:rPr>
              <w:t>–</w:t>
            </w:r>
          </w:p>
        </w:tc>
        <w:tc>
          <w:tcPr>
            <w:tcW w:w="1134" w:type="dxa"/>
            <w:vAlign w:val="bottom"/>
          </w:tcPr>
          <w:p w14:paraId="40C8318B" w14:textId="77777777" w:rsidR="00416253" w:rsidRPr="00416253" w:rsidRDefault="00416253" w:rsidP="00416253">
            <w:pPr>
              <w:pStyle w:val="Subtitle"/>
              <w:rPr>
                <w:rFonts w:cstheme="minorHAnsi"/>
                <w:b w:val="0"/>
              </w:rPr>
            </w:pPr>
            <w:r w:rsidRPr="00416253">
              <w:rPr>
                <w:rFonts w:cstheme="minorHAnsi"/>
                <w:b w:val="0"/>
              </w:rPr>
              <w:t>0.5</w:t>
            </w:r>
          </w:p>
        </w:tc>
      </w:tr>
      <w:tr w:rsidR="00416253" w14:paraId="15AB4377" w14:textId="77777777" w:rsidTr="005B36AA">
        <w:trPr>
          <w:trHeight w:val="227"/>
        </w:trPr>
        <w:tc>
          <w:tcPr>
            <w:tcW w:w="7257" w:type="dxa"/>
            <w:tcBorders>
              <w:bottom w:val="single" w:sz="4" w:space="0" w:color="000000"/>
            </w:tcBorders>
          </w:tcPr>
          <w:p w14:paraId="2CC21838" w14:textId="77777777" w:rsidR="00416253" w:rsidRDefault="00416253" w:rsidP="00416253">
            <w:pPr>
              <w:pStyle w:val="TableRowHead"/>
            </w:pPr>
            <w:r>
              <w:t>Assets held for sale</w:t>
            </w:r>
          </w:p>
        </w:tc>
        <w:tc>
          <w:tcPr>
            <w:tcW w:w="680" w:type="dxa"/>
            <w:tcBorders>
              <w:bottom w:val="single" w:sz="4" w:space="0" w:color="000000"/>
            </w:tcBorders>
            <w:vAlign w:val="bottom"/>
          </w:tcPr>
          <w:p w14:paraId="2D27F091" w14:textId="77777777" w:rsidR="00416253" w:rsidRPr="00211290" w:rsidRDefault="00416253" w:rsidP="00416253">
            <w:pPr>
              <w:pStyle w:val="Subtitle"/>
              <w:rPr>
                <w:rFonts w:cstheme="minorHAnsi"/>
                <w:b w:val="0"/>
              </w:rPr>
            </w:pPr>
          </w:p>
        </w:tc>
        <w:tc>
          <w:tcPr>
            <w:tcW w:w="1134" w:type="dxa"/>
            <w:tcBorders>
              <w:bottom w:val="single" w:sz="4" w:space="0" w:color="000000"/>
            </w:tcBorders>
            <w:vAlign w:val="bottom"/>
          </w:tcPr>
          <w:p w14:paraId="7044A471" w14:textId="77777777" w:rsidR="00416253" w:rsidRPr="00CA2DA2" w:rsidRDefault="00FD3735" w:rsidP="00416253">
            <w:pPr>
              <w:pStyle w:val="Subtitle"/>
              <w:rPr>
                <w:rFonts w:cstheme="minorHAnsi"/>
              </w:rPr>
            </w:pPr>
            <w:r w:rsidRPr="0022291E">
              <w:rPr>
                <w:rFonts w:cstheme="minorHAnsi"/>
              </w:rPr>
              <w:t>–</w:t>
            </w:r>
          </w:p>
        </w:tc>
        <w:tc>
          <w:tcPr>
            <w:tcW w:w="1134" w:type="dxa"/>
            <w:tcBorders>
              <w:bottom w:val="single" w:sz="4" w:space="0" w:color="000000"/>
            </w:tcBorders>
            <w:vAlign w:val="bottom"/>
          </w:tcPr>
          <w:p w14:paraId="146584FB" w14:textId="77777777" w:rsidR="00416253" w:rsidRPr="00416253" w:rsidRDefault="00416253" w:rsidP="00416253">
            <w:pPr>
              <w:pStyle w:val="Subtitle"/>
              <w:rPr>
                <w:rFonts w:cstheme="minorHAnsi"/>
                <w:b w:val="0"/>
              </w:rPr>
            </w:pPr>
            <w:r w:rsidRPr="00416253">
              <w:rPr>
                <w:rFonts w:cstheme="minorHAnsi"/>
                <w:b w:val="0"/>
              </w:rPr>
              <w:t>11.2</w:t>
            </w:r>
          </w:p>
        </w:tc>
      </w:tr>
      <w:tr w:rsidR="00416253" w14:paraId="40D072F5" w14:textId="77777777" w:rsidTr="005B36AA">
        <w:trPr>
          <w:trHeight w:val="227"/>
        </w:trPr>
        <w:tc>
          <w:tcPr>
            <w:tcW w:w="7257" w:type="dxa"/>
            <w:tcBorders>
              <w:top w:val="single" w:sz="4" w:space="0" w:color="000000"/>
              <w:bottom w:val="single" w:sz="4" w:space="0" w:color="000000"/>
            </w:tcBorders>
          </w:tcPr>
          <w:p w14:paraId="6647DB22" w14:textId="77777777" w:rsidR="00416253" w:rsidRPr="00926E11" w:rsidRDefault="00416253" w:rsidP="00416253">
            <w:pPr>
              <w:pStyle w:val="TableRowHead"/>
              <w:rPr>
                <w:b/>
              </w:rPr>
            </w:pPr>
            <w:r w:rsidRPr="00926E11">
              <w:rPr>
                <w:b/>
              </w:rPr>
              <w:t>Total current assets</w:t>
            </w:r>
          </w:p>
        </w:tc>
        <w:tc>
          <w:tcPr>
            <w:tcW w:w="680" w:type="dxa"/>
            <w:tcBorders>
              <w:top w:val="single" w:sz="4" w:space="0" w:color="000000"/>
              <w:bottom w:val="single" w:sz="4" w:space="0" w:color="000000"/>
            </w:tcBorders>
            <w:vAlign w:val="bottom"/>
          </w:tcPr>
          <w:p w14:paraId="6DAE9C50" w14:textId="77777777" w:rsidR="00416253" w:rsidRPr="00211290" w:rsidRDefault="00416253" w:rsidP="00416253">
            <w:pPr>
              <w:pStyle w:val="Subtitle"/>
              <w:rPr>
                <w:rFonts w:cstheme="minorHAnsi"/>
                <w:b w:val="0"/>
              </w:rPr>
            </w:pPr>
          </w:p>
        </w:tc>
        <w:tc>
          <w:tcPr>
            <w:tcW w:w="1134" w:type="dxa"/>
            <w:tcBorders>
              <w:top w:val="single" w:sz="4" w:space="0" w:color="000000"/>
              <w:bottom w:val="single" w:sz="4" w:space="0" w:color="000000"/>
            </w:tcBorders>
            <w:vAlign w:val="bottom"/>
          </w:tcPr>
          <w:p w14:paraId="5EAF97A8" w14:textId="77777777" w:rsidR="00416253" w:rsidRPr="00CA2DA2" w:rsidRDefault="00FD3735" w:rsidP="008E46B3">
            <w:pPr>
              <w:pStyle w:val="Subtitle"/>
              <w:rPr>
                <w:rFonts w:cstheme="minorHAnsi"/>
              </w:rPr>
            </w:pPr>
            <w:r>
              <w:rPr>
                <w:rFonts w:cstheme="minorHAnsi"/>
              </w:rPr>
              <w:t>36</w:t>
            </w:r>
            <w:r w:rsidR="00D12164">
              <w:rPr>
                <w:rFonts w:cstheme="minorHAnsi"/>
              </w:rPr>
              <w:t>3.</w:t>
            </w:r>
            <w:r w:rsidR="00BF3D27">
              <w:rPr>
                <w:rFonts w:cstheme="minorHAnsi"/>
              </w:rPr>
              <w:t>1</w:t>
            </w:r>
          </w:p>
        </w:tc>
        <w:tc>
          <w:tcPr>
            <w:tcW w:w="1134" w:type="dxa"/>
            <w:tcBorders>
              <w:top w:val="single" w:sz="4" w:space="0" w:color="000000"/>
              <w:bottom w:val="single" w:sz="4" w:space="0" w:color="000000"/>
            </w:tcBorders>
            <w:vAlign w:val="bottom"/>
          </w:tcPr>
          <w:p w14:paraId="1159E5C5" w14:textId="77777777" w:rsidR="00416253" w:rsidRPr="00416253" w:rsidRDefault="00416253" w:rsidP="00416253">
            <w:pPr>
              <w:pStyle w:val="Subtitle"/>
              <w:rPr>
                <w:rFonts w:cstheme="minorHAnsi"/>
                <w:b w:val="0"/>
              </w:rPr>
            </w:pPr>
            <w:r w:rsidRPr="00416253">
              <w:rPr>
                <w:rFonts w:cstheme="minorHAnsi"/>
                <w:b w:val="0"/>
              </w:rPr>
              <w:t>481.7</w:t>
            </w:r>
          </w:p>
        </w:tc>
      </w:tr>
      <w:tr w:rsidR="00416253" w14:paraId="72314F0D" w14:textId="77777777" w:rsidTr="005B36AA">
        <w:trPr>
          <w:trHeight w:val="227"/>
        </w:trPr>
        <w:tc>
          <w:tcPr>
            <w:tcW w:w="7257" w:type="dxa"/>
            <w:tcBorders>
              <w:top w:val="single" w:sz="4" w:space="0" w:color="000000"/>
              <w:bottom w:val="single" w:sz="8" w:space="0" w:color="auto"/>
            </w:tcBorders>
          </w:tcPr>
          <w:p w14:paraId="17D70A48" w14:textId="77777777" w:rsidR="00416253" w:rsidRPr="00926E11" w:rsidRDefault="00416253" w:rsidP="00416253">
            <w:pPr>
              <w:pStyle w:val="TableRowHead"/>
              <w:rPr>
                <w:b/>
              </w:rPr>
            </w:pPr>
            <w:r w:rsidRPr="00926E11">
              <w:rPr>
                <w:b/>
              </w:rPr>
              <w:t>Total assets</w:t>
            </w:r>
          </w:p>
        </w:tc>
        <w:tc>
          <w:tcPr>
            <w:tcW w:w="680" w:type="dxa"/>
            <w:tcBorders>
              <w:top w:val="single" w:sz="4" w:space="0" w:color="000000"/>
              <w:bottom w:val="single" w:sz="8" w:space="0" w:color="auto"/>
            </w:tcBorders>
            <w:vAlign w:val="bottom"/>
          </w:tcPr>
          <w:p w14:paraId="2FB22780" w14:textId="77777777" w:rsidR="00416253" w:rsidRPr="00635D3B" w:rsidRDefault="00416253" w:rsidP="00416253">
            <w:pPr>
              <w:pStyle w:val="Subtitle"/>
              <w:rPr>
                <w:rFonts w:cstheme="minorHAnsi"/>
                <w:b w:val="0"/>
                <w:highlight w:val="yellow"/>
              </w:rPr>
            </w:pPr>
          </w:p>
        </w:tc>
        <w:tc>
          <w:tcPr>
            <w:tcW w:w="1134" w:type="dxa"/>
            <w:tcBorders>
              <w:top w:val="single" w:sz="4" w:space="0" w:color="000000"/>
              <w:bottom w:val="single" w:sz="8" w:space="0" w:color="auto"/>
            </w:tcBorders>
            <w:vAlign w:val="bottom"/>
          </w:tcPr>
          <w:p w14:paraId="60A22DF1" w14:textId="77777777" w:rsidR="00416253" w:rsidRPr="00CA2DA2" w:rsidRDefault="00FD3735" w:rsidP="008E46B3">
            <w:pPr>
              <w:pStyle w:val="Subtitle"/>
              <w:rPr>
                <w:rFonts w:cstheme="minorHAnsi"/>
              </w:rPr>
            </w:pPr>
            <w:r>
              <w:rPr>
                <w:rFonts w:cstheme="minorHAnsi"/>
              </w:rPr>
              <w:t>1,2</w:t>
            </w:r>
            <w:r w:rsidR="00BF3D27">
              <w:rPr>
                <w:rFonts w:cstheme="minorHAnsi"/>
              </w:rPr>
              <w:t>91.5</w:t>
            </w:r>
          </w:p>
        </w:tc>
        <w:tc>
          <w:tcPr>
            <w:tcW w:w="1134" w:type="dxa"/>
            <w:tcBorders>
              <w:top w:val="single" w:sz="4" w:space="0" w:color="000000"/>
              <w:bottom w:val="single" w:sz="8" w:space="0" w:color="auto"/>
            </w:tcBorders>
            <w:vAlign w:val="bottom"/>
          </w:tcPr>
          <w:p w14:paraId="48C96B97" w14:textId="77777777" w:rsidR="00416253" w:rsidRPr="00416253" w:rsidRDefault="00416253" w:rsidP="00416253">
            <w:pPr>
              <w:pStyle w:val="Subtitle"/>
              <w:rPr>
                <w:rFonts w:cstheme="minorHAnsi"/>
                <w:b w:val="0"/>
              </w:rPr>
            </w:pPr>
            <w:r w:rsidRPr="00416253">
              <w:rPr>
                <w:rFonts w:cstheme="minorHAnsi"/>
                <w:b w:val="0"/>
              </w:rPr>
              <w:t>1,427.1</w:t>
            </w:r>
          </w:p>
        </w:tc>
      </w:tr>
      <w:tr w:rsidR="004D30DE" w14:paraId="177CD4B3" w14:textId="77777777" w:rsidTr="005B36AA">
        <w:trPr>
          <w:trHeight w:val="227"/>
        </w:trPr>
        <w:tc>
          <w:tcPr>
            <w:tcW w:w="7257" w:type="dxa"/>
            <w:tcBorders>
              <w:top w:val="single" w:sz="8" w:space="0" w:color="auto"/>
            </w:tcBorders>
          </w:tcPr>
          <w:p w14:paraId="68B2A5B3" w14:textId="77777777" w:rsidR="004D30DE" w:rsidRDefault="004D30DE" w:rsidP="004D30DE">
            <w:pPr>
              <w:pStyle w:val="TableRowHead"/>
              <w:rPr>
                <w:b/>
              </w:rPr>
            </w:pPr>
          </w:p>
          <w:p w14:paraId="288BA729" w14:textId="77777777" w:rsidR="004D30DE" w:rsidRPr="00926E11" w:rsidRDefault="004D30DE" w:rsidP="004D30DE">
            <w:pPr>
              <w:pStyle w:val="TableRowHead"/>
              <w:rPr>
                <w:b/>
              </w:rPr>
            </w:pPr>
            <w:r w:rsidRPr="00926E11">
              <w:rPr>
                <w:b/>
              </w:rPr>
              <w:t>EQUITY</w:t>
            </w:r>
          </w:p>
        </w:tc>
        <w:tc>
          <w:tcPr>
            <w:tcW w:w="680" w:type="dxa"/>
            <w:tcBorders>
              <w:top w:val="single" w:sz="8" w:space="0" w:color="auto"/>
            </w:tcBorders>
            <w:vAlign w:val="bottom"/>
          </w:tcPr>
          <w:p w14:paraId="10988F49" w14:textId="77777777" w:rsidR="004D30DE" w:rsidRPr="00635D3B" w:rsidRDefault="004D30DE" w:rsidP="004D30DE">
            <w:pPr>
              <w:pStyle w:val="Subtitle"/>
              <w:rPr>
                <w:rFonts w:cstheme="minorHAnsi"/>
                <w:highlight w:val="yellow"/>
              </w:rPr>
            </w:pPr>
          </w:p>
        </w:tc>
        <w:tc>
          <w:tcPr>
            <w:tcW w:w="1134" w:type="dxa"/>
            <w:tcBorders>
              <w:top w:val="single" w:sz="8" w:space="0" w:color="auto"/>
            </w:tcBorders>
            <w:vAlign w:val="bottom"/>
          </w:tcPr>
          <w:p w14:paraId="47BDB09F" w14:textId="77777777" w:rsidR="004D30DE" w:rsidRPr="00926E11" w:rsidRDefault="004D30DE" w:rsidP="004D30DE">
            <w:pPr>
              <w:pStyle w:val="Subtitle"/>
              <w:rPr>
                <w:rFonts w:cstheme="minorHAnsi"/>
              </w:rPr>
            </w:pPr>
          </w:p>
        </w:tc>
        <w:tc>
          <w:tcPr>
            <w:tcW w:w="1134" w:type="dxa"/>
            <w:tcBorders>
              <w:top w:val="single" w:sz="8" w:space="0" w:color="auto"/>
            </w:tcBorders>
            <w:vAlign w:val="bottom"/>
          </w:tcPr>
          <w:p w14:paraId="532D9A14" w14:textId="77777777" w:rsidR="004D30DE" w:rsidRPr="0087242E" w:rsidRDefault="004D30DE" w:rsidP="004D30DE">
            <w:pPr>
              <w:pStyle w:val="Subtitle"/>
              <w:rPr>
                <w:rFonts w:cstheme="minorHAnsi"/>
                <w:b w:val="0"/>
              </w:rPr>
            </w:pPr>
          </w:p>
        </w:tc>
      </w:tr>
      <w:tr w:rsidR="004D30DE" w14:paraId="5B874506" w14:textId="77777777" w:rsidTr="005B36AA">
        <w:trPr>
          <w:trHeight w:val="227"/>
        </w:trPr>
        <w:tc>
          <w:tcPr>
            <w:tcW w:w="7257" w:type="dxa"/>
          </w:tcPr>
          <w:p w14:paraId="2AF88BEE" w14:textId="77777777" w:rsidR="004D30DE" w:rsidRPr="00926E11" w:rsidRDefault="004D30DE" w:rsidP="004D30DE">
            <w:pPr>
              <w:pStyle w:val="TableRowHead"/>
              <w:rPr>
                <w:b/>
              </w:rPr>
            </w:pPr>
            <w:r w:rsidRPr="00926E11">
              <w:rPr>
                <w:b/>
              </w:rPr>
              <w:t>Capital and reserves attributable to equity holders of the Company</w:t>
            </w:r>
          </w:p>
        </w:tc>
        <w:tc>
          <w:tcPr>
            <w:tcW w:w="680" w:type="dxa"/>
            <w:vAlign w:val="bottom"/>
          </w:tcPr>
          <w:p w14:paraId="1C1CE615" w14:textId="77777777" w:rsidR="004D30DE" w:rsidRPr="00635D3B" w:rsidRDefault="004D30DE" w:rsidP="004D30DE">
            <w:pPr>
              <w:pStyle w:val="Subtitle"/>
              <w:rPr>
                <w:rFonts w:cstheme="minorHAnsi"/>
                <w:highlight w:val="yellow"/>
              </w:rPr>
            </w:pPr>
          </w:p>
        </w:tc>
        <w:tc>
          <w:tcPr>
            <w:tcW w:w="1134" w:type="dxa"/>
            <w:vAlign w:val="bottom"/>
          </w:tcPr>
          <w:p w14:paraId="1BB36516" w14:textId="77777777" w:rsidR="004D30DE" w:rsidRPr="00926E11" w:rsidRDefault="004D30DE" w:rsidP="004D30DE">
            <w:pPr>
              <w:pStyle w:val="Subtitle"/>
              <w:rPr>
                <w:rFonts w:cstheme="minorHAnsi"/>
              </w:rPr>
            </w:pPr>
          </w:p>
        </w:tc>
        <w:tc>
          <w:tcPr>
            <w:tcW w:w="1134" w:type="dxa"/>
            <w:vAlign w:val="bottom"/>
          </w:tcPr>
          <w:p w14:paraId="4C39ABF9" w14:textId="77777777" w:rsidR="004D30DE" w:rsidRPr="0087242E" w:rsidRDefault="004D30DE" w:rsidP="004D30DE">
            <w:pPr>
              <w:pStyle w:val="Subtitle"/>
              <w:rPr>
                <w:rFonts w:cstheme="minorHAnsi"/>
                <w:b w:val="0"/>
              </w:rPr>
            </w:pPr>
          </w:p>
        </w:tc>
      </w:tr>
      <w:tr w:rsidR="00416253" w14:paraId="7251BAB2" w14:textId="77777777" w:rsidTr="005B36AA">
        <w:trPr>
          <w:trHeight w:val="227"/>
        </w:trPr>
        <w:tc>
          <w:tcPr>
            <w:tcW w:w="7257" w:type="dxa"/>
          </w:tcPr>
          <w:p w14:paraId="6F6FE1A6" w14:textId="77777777" w:rsidR="00416253" w:rsidRDefault="00416253" w:rsidP="00416253">
            <w:pPr>
              <w:pStyle w:val="TableRowHead"/>
            </w:pPr>
            <w:r>
              <w:t>Share capital</w:t>
            </w:r>
          </w:p>
        </w:tc>
        <w:tc>
          <w:tcPr>
            <w:tcW w:w="680" w:type="dxa"/>
            <w:vAlign w:val="bottom"/>
          </w:tcPr>
          <w:p w14:paraId="3230A1C7" w14:textId="77777777" w:rsidR="00416253" w:rsidRPr="008E109E" w:rsidRDefault="00BB5090" w:rsidP="00416253">
            <w:pPr>
              <w:pStyle w:val="Subtitle"/>
              <w:rPr>
                <w:rFonts w:cstheme="minorHAnsi"/>
                <w:b w:val="0"/>
              </w:rPr>
            </w:pPr>
            <w:r>
              <w:rPr>
                <w:rFonts w:cstheme="minorHAnsi"/>
                <w:b w:val="0"/>
              </w:rPr>
              <w:t>10</w:t>
            </w:r>
          </w:p>
        </w:tc>
        <w:tc>
          <w:tcPr>
            <w:tcW w:w="1134" w:type="dxa"/>
            <w:vAlign w:val="bottom"/>
          </w:tcPr>
          <w:p w14:paraId="0EBB2E88" w14:textId="77777777" w:rsidR="00416253" w:rsidRPr="00CA2DA2" w:rsidRDefault="00FD3735" w:rsidP="00416253">
            <w:pPr>
              <w:pStyle w:val="Subtitle"/>
              <w:rPr>
                <w:rFonts w:cstheme="minorHAnsi"/>
              </w:rPr>
            </w:pPr>
            <w:r>
              <w:rPr>
                <w:rFonts w:cstheme="minorHAnsi"/>
              </w:rPr>
              <w:t>5.3</w:t>
            </w:r>
          </w:p>
        </w:tc>
        <w:tc>
          <w:tcPr>
            <w:tcW w:w="1134" w:type="dxa"/>
            <w:vAlign w:val="bottom"/>
          </w:tcPr>
          <w:p w14:paraId="3DF4C5B6" w14:textId="77777777" w:rsidR="00416253" w:rsidRPr="00416253" w:rsidRDefault="00416253" w:rsidP="00416253">
            <w:pPr>
              <w:pStyle w:val="Subtitle"/>
              <w:rPr>
                <w:rFonts w:cstheme="minorHAnsi"/>
                <w:b w:val="0"/>
              </w:rPr>
            </w:pPr>
            <w:r w:rsidRPr="00416253">
              <w:rPr>
                <w:rFonts w:cstheme="minorHAnsi"/>
                <w:b w:val="0"/>
              </w:rPr>
              <w:t>4.5</w:t>
            </w:r>
          </w:p>
        </w:tc>
      </w:tr>
      <w:tr w:rsidR="00416253" w14:paraId="7064ADA8" w14:textId="77777777" w:rsidTr="005B36AA">
        <w:trPr>
          <w:trHeight w:val="227"/>
        </w:trPr>
        <w:tc>
          <w:tcPr>
            <w:tcW w:w="7257" w:type="dxa"/>
          </w:tcPr>
          <w:p w14:paraId="447427DD" w14:textId="77777777" w:rsidR="00416253" w:rsidRDefault="00416253" w:rsidP="00416253">
            <w:pPr>
              <w:pStyle w:val="TableRowHead"/>
            </w:pPr>
            <w:r>
              <w:t>Share premium</w:t>
            </w:r>
          </w:p>
        </w:tc>
        <w:tc>
          <w:tcPr>
            <w:tcW w:w="680" w:type="dxa"/>
            <w:vAlign w:val="bottom"/>
          </w:tcPr>
          <w:p w14:paraId="372A2406" w14:textId="77777777" w:rsidR="00416253" w:rsidRPr="008E109E" w:rsidRDefault="00FF1E44" w:rsidP="00416253">
            <w:pPr>
              <w:pStyle w:val="Subtitle"/>
              <w:rPr>
                <w:rFonts w:cstheme="minorHAnsi"/>
                <w:b w:val="0"/>
              </w:rPr>
            </w:pPr>
            <w:r w:rsidRPr="008E109E">
              <w:rPr>
                <w:rFonts w:cstheme="minorHAnsi"/>
                <w:b w:val="0"/>
              </w:rPr>
              <w:t>10</w:t>
            </w:r>
          </w:p>
        </w:tc>
        <w:tc>
          <w:tcPr>
            <w:tcW w:w="1134" w:type="dxa"/>
            <w:vAlign w:val="bottom"/>
          </w:tcPr>
          <w:p w14:paraId="66B4D2BE" w14:textId="77777777" w:rsidR="00416253" w:rsidRPr="00CA2DA2" w:rsidRDefault="00FD3735" w:rsidP="00416253">
            <w:pPr>
              <w:pStyle w:val="Subtitle"/>
              <w:rPr>
                <w:rFonts w:cstheme="minorHAnsi"/>
              </w:rPr>
            </w:pPr>
            <w:r>
              <w:rPr>
                <w:rFonts w:cstheme="minorHAnsi"/>
              </w:rPr>
              <w:t>89.7</w:t>
            </w:r>
          </w:p>
        </w:tc>
        <w:tc>
          <w:tcPr>
            <w:tcW w:w="1134" w:type="dxa"/>
            <w:vAlign w:val="bottom"/>
          </w:tcPr>
          <w:p w14:paraId="4205B7B0" w14:textId="77777777" w:rsidR="00416253" w:rsidRPr="00416253" w:rsidRDefault="00416253" w:rsidP="00416253">
            <w:pPr>
              <w:pStyle w:val="Subtitle"/>
              <w:rPr>
                <w:rFonts w:cstheme="minorHAnsi"/>
                <w:b w:val="0"/>
              </w:rPr>
            </w:pPr>
            <w:r w:rsidRPr="00416253">
              <w:rPr>
                <w:rFonts w:cstheme="minorHAnsi"/>
                <w:b w:val="0"/>
              </w:rPr>
              <w:t>0.4</w:t>
            </w:r>
          </w:p>
        </w:tc>
      </w:tr>
      <w:tr w:rsidR="00416253" w14:paraId="6AF4F153" w14:textId="77777777" w:rsidTr="005B36AA">
        <w:trPr>
          <w:trHeight w:val="227"/>
        </w:trPr>
        <w:tc>
          <w:tcPr>
            <w:tcW w:w="7257" w:type="dxa"/>
            <w:tcBorders>
              <w:bottom w:val="single" w:sz="4" w:space="0" w:color="000000"/>
            </w:tcBorders>
          </w:tcPr>
          <w:p w14:paraId="6166F440" w14:textId="77777777" w:rsidR="00416253" w:rsidRDefault="00416253" w:rsidP="00416253">
            <w:pPr>
              <w:pStyle w:val="TableRowHead"/>
            </w:pPr>
            <w:r>
              <w:t>Reserves</w:t>
            </w:r>
          </w:p>
        </w:tc>
        <w:tc>
          <w:tcPr>
            <w:tcW w:w="680" w:type="dxa"/>
            <w:tcBorders>
              <w:bottom w:val="single" w:sz="4" w:space="0" w:color="000000"/>
            </w:tcBorders>
            <w:vAlign w:val="bottom"/>
          </w:tcPr>
          <w:p w14:paraId="45B51C95" w14:textId="77777777" w:rsidR="00416253" w:rsidRPr="00635D3B" w:rsidRDefault="00416253" w:rsidP="00416253">
            <w:pPr>
              <w:pStyle w:val="Subtitle"/>
              <w:rPr>
                <w:rFonts w:cstheme="minorHAnsi"/>
                <w:b w:val="0"/>
                <w:highlight w:val="yellow"/>
              </w:rPr>
            </w:pPr>
          </w:p>
        </w:tc>
        <w:tc>
          <w:tcPr>
            <w:tcW w:w="1134" w:type="dxa"/>
            <w:tcBorders>
              <w:bottom w:val="single" w:sz="4" w:space="0" w:color="000000"/>
            </w:tcBorders>
            <w:vAlign w:val="bottom"/>
          </w:tcPr>
          <w:p w14:paraId="50165818" w14:textId="77777777" w:rsidR="00416253" w:rsidRPr="00CA2DA2" w:rsidRDefault="00FD3735" w:rsidP="00693EA1">
            <w:pPr>
              <w:pStyle w:val="Subtitle"/>
              <w:rPr>
                <w:rFonts w:cstheme="minorHAnsi"/>
              </w:rPr>
            </w:pPr>
            <w:r>
              <w:rPr>
                <w:rFonts w:cstheme="minorHAnsi"/>
              </w:rPr>
              <w:t>32</w:t>
            </w:r>
            <w:r w:rsidR="00693EA1">
              <w:rPr>
                <w:rFonts w:cstheme="minorHAnsi"/>
              </w:rPr>
              <w:t>8.2</w:t>
            </w:r>
          </w:p>
        </w:tc>
        <w:tc>
          <w:tcPr>
            <w:tcW w:w="1134" w:type="dxa"/>
            <w:tcBorders>
              <w:bottom w:val="single" w:sz="4" w:space="0" w:color="000000"/>
            </w:tcBorders>
            <w:vAlign w:val="bottom"/>
          </w:tcPr>
          <w:p w14:paraId="043E7401" w14:textId="77777777" w:rsidR="00416253" w:rsidRPr="00416253" w:rsidRDefault="00416253" w:rsidP="00416253">
            <w:pPr>
              <w:pStyle w:val="Subtitle"/>
              <w:rPr>
                <w:rFonts w:cstheme="minorHAnsi"/>
                <w:b w:val="0"/>
              </w:rPr>
            </w:pPr>
            <w:r w:rsidRPr="00416253">
              <w:rPr>
                <w:rFonts w:cstheme="minorHAnsi"/>
                <w:b w:val="0"/>
              </w:rPr>
              <w:t>271.6</w:t>
            </w:r>
          </w:p>
        </w:tc>
      </w:tr>
      <w:tr w:rsidR="00416253" w14:paraId="344D83F3" w14:textId="77777777" w:rsidTr="005B36AA">
        <w:trPr>
          <w:trHeight w:val="227"/>
        </w:trPr>
        <w:tc>
          <w:tcPr>
            <w:tcW w:w="7257" w:type="dxa"/>
            <w:tcBorders>
              <w:top w:val="single" w:sz="4" w:space="0" w:color="000000"/>
            </w:tcBorders>
          </w:tcPr>
          <w:p w14:paraId="51DAE860" w14:textId="77777777" w:rsidR="00416253" w:rsidRDefault="00416253" w:rsidP="00416253">
            <w:pPr>
              <w:pStyle w:val="TableRowHead"/>
              <w:rPr>
                <w:rFonts w:ascii="Times New Roman"/>
                <w:sz w:val="16"/>
              </w:rPr>
            </w:pPr>
          </w:p>
        </w:tc>
        <w:tc>
          <w:tcPr>
            <w:tcW w:w="680" w:type="dxa"/>
            <w:tcBorders>
              <w:top w:val="single" w:sz="4" w:space="0" w:color="000000"/>
            </w:tcBorders>
            <w:vAlign w:val="bottom"/>
          </w:tcPr>
          <w:p w14:paraId="56118204" w14:textId="77777777" w:rsidR="00416253" w:rsidRPr="00635D3B" w:rsidRDefault="00416253" w:rsidP="00416253">
            <w:pPr>
              <w:pStyle w:val="Subtitle"/>
              <w:rPr>
                <w:rFonts w:cstheme="minorHAnsi"/>
                <w:b w:val="0"/>
                <w:highlight w:val="yellow"/>
              </w:rPr>
            </w:pPr>
          </w:p>
        </w:tc>
        <w:tc>
          <w:tcPr>
            <w:tcW w:w="1134" w:type="dxa"/>
            <w:tcBorders>
              <w:top w:val="single" w:sz="4" w:space="0" w:color="000000"/>
            </w:tcBorders>
            <w:vAlign w:val="bottom"/>
          </w:tcPr>
          <w:p w14:paraId="78B5B6CE" w14:textId="77777777" w:rsidR="00416253" w:rsidRPr="00CA2DA2" w:rsidRDefault="00FD3735" w:rsidP="00693EA1">
            <w:pPr>
              <w:pStyle w:val="Subtitle"/>
              <w:rPr>
                <w:rFonts w:cstheme="minorHAnsi"/>
              </w:rPr>
            </w:pPr>
            <w:r>
              <w:rPr>
                <w:rFonts w:cstheme="minorHAnsi"/>
              </w:rPr>
              <w:t>42</w:t>
            </w:r>
            <w:r w:rsidR="00693EA1">
              <w:rPr>
                <w:rFonts w:cstheme="minorHAnsi"/>
              </w:rPr>
              <w:t>3.2</w:t>
            </w:r>
          </w:p>
        </w:tc>
        <w:tc>
          <w:tcPr>
            <w:tcW w:w="1134" w:type="dxa"/>
            <w:tcBorders>
              <w:top w:val="single" w:sz="4" w:space="0" w:color="000000"/>
            </w:tcBorders>
            <w:vAlign w:val="bottom"/>
          </w:tcPr>
          <w:p w14:paraId="6E32F77E" w14:textId="77777777" w:rsidR="00416253" w:rsidRPr="00416253" w:rsidRDefault="00416253" w:rsidP="00416253">
            <w:pPr>
              <w:pStyle w:val="Subtitle"/>
              <w:rPr>
                <w:rFonts w:cstheme="minorHAnsi"/>
                <w:b w:val="0"/>
              </w:rPr>
            </w:pPr>
            <w:r w:rsidRPr="00416253">
              <w:rPr>
                <w:rFonts w:cstheme="minorHAnsi"/>
                <w:b w:val="0"/>
              </w:rPr>
              <w:t>276.5</w:t>
            </w:r>
          </w:p>
        </w:tc>
      </w:tr>
      <w:tr w:rsidR="00416253" w14:paraId="059F6D12" w14:textId="77777777" w:rsidTr="005B36AA">
        <w:trPr>
          <w:trHeight w:val="227"/>
        </w:trPr>
        <w:tc>
          <w:tcPr>
            <w:tcW w:w="7257" w:type="dxa"/>
            <w:tcBorders>
              <w:bottom w:val="single" w:sz="4" w:space="0" w:color="000000"/>
            </w:tcBorders>
          </w:tcPr>
          <w:p w14:paraId="1CCBDFC4" w14:textId="77777777" w:rsidR="00416253" w:rsidRPr="00D80872" w:rsidRDefault="00416253" w:rsidP="00416253">
            <w:pPr>
              <w:pStyle w:val="TableRowHead"/>
            </w:pPr>
            <w:r w:rsidRPr="00D80872">
              <w:t>Non-controlling interests</w:t>
            </w:r>
          </w:p>
        </w:tc>
        <w:tc>
          <w:tcPr>
            <w:tcW w:w="680" w:type="dxa"/>
            <w:tcBorders>
              <w:bottom w:val="single" w:sz="4" w:space="0" w:color="000000"/>
            </w:tcBorders>
            <w:vAlign w:val="bottom"/>
          </w:tcPr>
          <w:p w14:paraId="5454178D" w14:textId="77777777" w:rsidR="00416253" w:rsidRPr="00635D3B" w:rsidRDefault="00416253" w:rsidP="00416253">
            <w:pPr>
              <w:pStyle w:val="Subtitle"/>
              <w:rPr>
                <w:rFonts w:cstheme="minorHAnsi"/>
                <w:b w:val="0"/>
                <w:highlight w:val="yellow"/>
              </w:rPr>
            </w:pPr>
          </w:p>
        </w:tc>
        <w:tc>
          <w:tcPr>
            <w:tcW w:w="1134" w:type="dxa"/>
            <w:tcBorders>
              <w:bottom w:val="single" w:sz="4" w:space="0" w:color="000000"/>
            </w:tcBorders>
            <w:vAlign w:val="bottom"/>
          </w:tcPr>
          <w:p w14:paraId="391862A6" w14:textId="77777777" w:rsidR="00416253" w:rsidRPr="00CA2DA2" w:rsidRDefault="00FD3735" w:rsidP="00416253">
            <w:pPr>
              <w:pStyle w:val="Subtitle"/>
              <w:rPr>
                <w:rFonts w:cstheme="minorHAnsi"/>
              </w:rPr>
            </w:pPr>
            <w:r w:rsidRPr="0022291E">
              <w:rPr>
                <w:rFonts w:cstheme="minorHAnsi"/>
              </w:rPr>
              <w:t>–</w:t>
            </w:r>
          </w:p>
        </w:tc>
        <w:tc>
          <w:tcPr>
            <w:tcW w:w="1134" w:type="dxa"/>
            <w:tcBorders>
              <w:bottom w:val="single" w:sz="4" w:space="0" w:color="000000"/>
            </w:tcBorders>
            <w:vAlign w:val="bottom"/>
          </w:tcPr>
          <w:p w14:paraId="778D5FC1" w14:textId="77777777" w:rsidR="00416253" w:rsidRPr="00416253" w:rsidRDefault="00416253" w:rsidP="00416253">
            <w:pPr>
              <w:pStyle w:val="Subtitle"/>
              <w:rPr>
                <w:rFonts w:cstheme="minorHAnsi"/>
                <w:b w:val="0"/>
              </w:rPr>
            </w:pPr>
            <w:r w:rsidRPr="00416253">
              <w:rPr>
                <w:rFonts w:cstheme="minorHAnsi"/>
                <w:b w:val="0"/>
              </w:rPr>
              <w:t>5.7</w:t>
            </w:r>
          </w:p>
        </w:tc>
      </w:tr>
      <w:tr w:rsidR="00416253" w14:paraId="6C687F2B" w14:textId="77777777" w:rsidTr="005B36AA">
        <w:trPr>
          <w:trHeight w:val="227"/>
        </w:trPr>
        <w:tc>
          <w:tcPr>
            <w:tcW w:w="7257" w:type="dxa"/>
            <w:tcBorders>
              <w:top w:val="single" w:sz="4" w:space="0" w:color="000000"/>
              <w:bottom w:val="single" w:sz="4" w:space="0" w:color="auto"/>
            </w:tcBorders>
          </w:tcPr>
          <w:p w14:paraId="50280C0D" w14:textId="77777777" w:rsidR="00416253" w:rsidRPr="00926E11" w:rsidRDefault="00416253" w:rsidP="00416253">
            <w:pPr>
              <w:pStyle w:val="TableRowHead"/>
              <w:rPr>
                <w:b/>
              </w:rPr>
            </w:pPr>
            <w:r w:rsidRPr="00926E11">
              <w:rPr>
                <w:b/>
              </w:rPr>
              <w:t>Total equity</w:t>
            </w:r>
          </w:p>
        </w:tc>
        <w:tc>
          <w:tcPr>
            <w:tcW w:w="680" w:type="dxa"/>
            <w:tcBorders>
              <w:top w:val="single" w:sz="4" w:space="0" w:color="000000"/>
              <w:bottom w:val="single" w:sz="4" w:space="0" w:color="auto"/>
            </w:tcBorders>
            <w:vAlign w:val="bottom"/>
          </w:tcPr>
          <w:p w14:paraId="2B6337A0" w14:textId="77777777" w:rsidR="00416253" w:rsidRPr="00635D3B" w:rsidRDefault="00416253" w:rsidP="00416253">
            <w:pPr>
              <w:pStyle w:val="Subtitle"/>
              <w:rPr>
                <w:rFonts w:cstheme="minorHAnsi"/>
                <w:b w:val="0"/>
                <w:highlight w:val="yellow"/>
              </w:rPr>
            </w:pPr>
          </w:p>
        </w:tc>
        <w:tc>
          <w:tcPr>
            <w:tcW w:w="1134" w:type="dxa"/>
            <w:tcBorders>
              <w:top w:val="single" w:sz="4" w:space="0" w:color="000000"/>
              <w:bottom w:val="single" w:sz="4" w:space="0" w:color="auto"/>
            </w:tcBorders>
            <w:vAlign w:val="bottom"/>
          </w:tcPr>
          <w:p w14:paraId="1859B3FE" w14:textId="77777777" w:rsidR="00416253" w:rsidRPr="00CA2DA2" w:rsidRDefault="00FD3735" w:rsidP="00693EA1">
            <w:pPr>
              <w:pStyle w:val="Subtitle"/>
              <w:rPr>
                <w:rFonts w:cstheme="minorHAnsi"/>
              </w:rPr>
            </w:pPr>
            <w:r>
              <w:rPr>
                <w:rFonts w:cstheme="minorHAnsi"/>
              </w:rPr>
              <w:t>42</w:t>
            </w:r>
            <w:r w:rsidR="00693EA1">
              <w:rPr>
                <w:rFonts w:cstheme="minorHAnsi"/>
              </w:rPr>
              <w:t>3.2</w:t>
            </w:r>
          </w:p>
        </w:tc>
        <w:tc>
          <w:tcPr>
            <w:tcW w:w="1134" w:type="dxa"/>
            <w:tcBorders>
              <w:top w:val="single" w:sz="4" w:space="0" w:color="000000"/>
              <w:bottom w:val="single" w:sz="4" w:space="0" w:color="auto"/>
            </w:tcBorders>
            <w:vAlign w:val="bottom"/>
          </w:tcPr>
          <w:p w14:paraId="445AD9F6" w14:textId="77777777" w:rsidR="00416253" w:rsidRPr="00416253" w:rsidRDefault="00416253" w:rsidP="00416253">
            <w:pPr>
              <w:pStyle w:val="Subtitle"/>
              <w:rPr>
                <w:rFonts w:cstheme="minorHAnsi"/>
                <w:b w:val="0"/>
              </w:rPr>
            </w:pPr>
            <w:r w:rsidRPr="00416253">
              <w:rPr>
                <w:rFonts w:cstheme="minorHAnsi"/>
                <w:b w:val="0"/>
              </w:rPr>
              <w:t>282.2</w:t>
            </w:r>
          </w:p>
        </w:tc>
      </w:tr>
      <w:tr w:rsidR="004D30DE" w14:paraId="22B43E7E" w14:textId="77777777" w:rsidTr="005B36AA">
        <w:trPr>
          <w:trHeight w:val="227"/>
        </w:trPr>
        <w:tc>
          <w:tcPr>
            <w:tcW w:w="7257" w:type="dxa"/>
            <w:tcBorders>
              <w:top w:val="single" w:sz="4" w:space="0" w:color="auto"/>
            </w:tcBorders>
          </w:tcPr>
          <w:p w14:paraId="7FE3756D" w14:textId="77777777" w:rsidR="004D30DE" w:rsidRDefault="004D30DE" w:rsidP="004D30DE">
            <w:pPr>
              <w:pStyle w:val="TableRowHead"/>
              <w:rPr>
                <w:b/>
              </w:rPr>
            </w:pPr>
          </w:p>
          <w:p w14:paraId="541CCA83" w14:textId="77777777" w:rsidR="004D30DE" w:rsidRPr="00926E11" w:rsidRDefault="004D30DE" w:rsidP="004D30DE">
            <w:pPr>
              <w:pStyle w:val="TableRowHead"/>
              <w:rPr>
                <w:b/>
              </w:rPr>
            </w:pPr>
            <w:r w:rsidRPr="00926E11">
              <w:rPr>
                <w:b/>
              </w:rPr>
              <w:t>LIABILITIES</w:t>
            </w:r>
          </w:p>
        </w:tc>
        <w:tc>
          <w:tcPr>
            <w:tcW w:w="680" w:type="dxa"/>
            <w:tcBorders>
              <w:top w:val="single" w:sz="4" w:space="0" w:color="auto"/>
            </w:tcBorders>
            <w:vAlign w:val="bottom"/>
          </w:tcPr>
          <w:p w14:paraId="6F91DD6D" w14:textId="77777777" w:rsidR="004D30DE" w:rsidRPr="00635D3B" w:rsidRDefault="004D30DE" w:rsidP="004D30DE">
            <w:pPr>
              <w:pStyle w:val="Subtitle"/>
              <w:rPr>
                <w:rFonts w:cstheme="minorHAnsi"/>
                <w:b w:val="0"/>
                <w:highlight w:val="yellow"/>
              </w:rPr>
            </w:pPr>
          </w:p>
        </w:tc>
        <w:tc>
          <w:tcPr>
            <w:tcW w:w="1134" w:type="dxa"/>
            <w:tcBorders>
              <w:top w:val="single" w:sz="4" w:space="0" w:color="auto"/>
            </w:tcBorders>
            <w:vAlign w:val="bottom"/>
          </w:tcPr>
          <w:p w14:paraId="49E896A2" w14:textId="77777777" w:rsidR="004D30DE" w:rsidRPr="00CA2DA2" w:rsidRDefault="004D30DE" w:rsidP="004D30DE">
            <w:pPr>
              <w:pStyle w:val="Subtitle"/>
              <w:rPr>
                <w:rFonts w:cstheme="minorHAnsi"/>
              </w:rPr>
            </w:pPr>
          </w:p>
        </w:tc>
        <w:tc>
          <w:tcPr>
            <w:tcW w:w="1134" w:type="dxa"/>
            <w:tcBorders>
              <w:top w:val="single" w:sz="4" w:space="0" w:color="auto"/>
            </w:tcBorders>
            <w:vAlign w:val="bottom"/>
          </w:tcPr>
          <w:p w14:paraId="7AE79E63" w14:textId="77777777" w:rsidR="004D30DE" w:rsidRPr="0087242E" w:rsidRDefault="004D30DE" w:rsidP="004D30DE">
            <w:pPr>
              <w:pStyle w:val="Subtitle"/>
              <w:rPr>
                <w:rFonts w:cstheme="minorHAnsi"/>
                <w:b w:val="0"/>
              </w:rPr>
            </w:pPr>
          </w:p>
        </w:tc>
      </w:tr>
      <w:tr w:rsidR="004D30DE" w14:paraId="58D1D96E" w14:textId="77777777" w:rsidTr="005B36AA">
        <w:trPr>
          <w:trHeight w:val="227"/>
        </w:trPr>
        <w:tc>
          <w:tcPr>
            <w:tcW w:w="7257" w:type="dxa"/>
          </w:tcPr>
          <w:p w14:paraId="77CE2B6E" w14:textId="77777777" w:rsidR="004D30DE" w:rsidRPr="00926E11" w:rsidRDefault="004D30DE" w:rsidP="004D30DE">
            <w:pPr>
              <w:pStyle w:val="TableRowHead"/>
              <w:rPr>
                <w:b/>
              </w:rPr>
            </w:pPr>
            <w:r w:rsidRPr="00926E11">
              <w:rPr>
                <w:b/>
              </w:rPr>
              <w:t>Non-current liabilities</w:t>
            </w:r>
          </w:p>
        </w:tc>
        <w:tc>
          <w:tcPr>
            <w:tcW w:w="680" w:type="dxa"/>
            <w:vAlign w:val="bottom"/>
          </w:tcPr>
          <w:p w14:paraId="3B651BFD" w14:textId="77777777" w:rsidR="004D30DE" w:rsidRPr="00635D3B" w:rsidRDefault="004D30DE" w:rsidP="004D30DE">
            <w:pPr>
              <w:pStyle w:val="Subtitle"/>
              <w:rPr>
                <w:rFonts w:cstheme="minorHAnsi"/>
                <w:b w:val="0"/>
                <w:highlight w:val="yellow"/>
              </w:rPr>
            </w:pPr>
          </w:p>
        </w:tc>
        <w:tc>
          <w:tcPr>
            <w:tcW w:w="1134" w:type="dxa"/>
            <w:vAlign w:val="bottom"/>
          </w:tcPr>
          <w:p w14:paraId="30EF8AA8" w14:textId="77777777" w:rsidR="004D30DE" w:rsidRPr="00CA2DA2" w:rsidRDefault="004D30DE" w:rsidP="004D30DE">
            <w:pPr>
              <w:pStyle w:val="Subtitle"/>
              <w:rPr>
                <w:rFonts w:cstheme="minorHAnsi"/>
              </w:rPr>
            </w:pPr>
          </w:p>
        </w:tc>
        <w:tc>
          <w:tcPr>
            <w:tcW w:w="1134" w:type="dxa"/>
            <w:vAlign w:val="bottom"/>
          </w:tcPr>
          <w:p w14:paraId="70A72F63" w14:textId="77777777" w:rsidR="004D30DE" w:rsidRPr="0087242E" w:rsidRDefault="004D30DE" w:rsidP="004D30DE">
            <w:pPr>
              <w:pStyle w:val="Subtitle"/>
              <w:rPr>
                <w:rFonts w:cstheme="minorHAnsi"/>
                <w:b w:val="0"/>
              </w:rPr>
            </w:pPr>
          </w:p>
        </w:tc>
      </w:tr>
      <w:tr w:rsidR="00416253" w14:paraId="47E45AFB" w14:textId="77777777" w:rsidTr="005B36AA">
        <w:trPr>
          <w:trHeight w:val="227"/>
        </w:trPr>
        <w:tc>
          <w:tcPr>
            <w:tcW w:w="7257" w:type="dxa"/>
          </w:tcPr>
          <w:p w14:paraId="058F4388" w14:textId="77777777" w:rsidR="00416253" w:rsidRDefault="00416253" w:rsidP="00416253">
            <w:pPr>
              <w:pStyle w:val="TableRowHead"/>
            </w:pPr>
            <w:r>
              <w:t>Borrowings</w:t>
            </w:r>
          </w:p>
        </w:tc>
        <w:tc>
          <w:tcPr>
            <w:tcW w:w="680" w:type="dxa"/>
            <w:vAlign w:val="bottom"/>
          </w:tcPr>
          <w:p w14:paraId="641E6177" w14:textId="77777777" w:rsidR="00416253" w:rsidRPr="00211290" w:rsidRDefault="003F4CA8" w:rsidP="00416253">
            <w:pPr>
              <w:pStyle w:val="Subtitle"/>
              <w:rPr>
                <w:rFonts w:cstheme="minorHAnsi"/>
                <w:b w:val="0"/>
              </w:rPr>
            </w:pPr>
            <w:r>
              <w:rPr>
                <w:rFonts w:cstheme="minorHAnsi"/>
                <w:b w:val="0"/>
              </w:rPr>
              <w:t>8</w:t>
            </w:r>
          </w:p>
        </w:tc>
        <w:tc>
          <w:tcPr>
            <w:tcW w:w="1134" w:type="dxa"/>
            <w:vAlign w:val="bottom"/>
          </w:tcPr>
          <w:p w14:paraId="7C8E00BF" w14:textId="77777777" w:rsidR="00416253" w:rsidRPr="00CA2DA2" w:rsidRDefault="00172308" w:rsidP="00416253">
            <w:pPr>
              <w:pStyle w:val="Subtitle"/>
              <w:rPr>
                <w:rFonts w:cstheme="minorHAnsi"/>
              </w:rPr>
            </w:pPr>
            <w:r>
              <w:rPr>
                <w:rFonts w:cstheme="minorHAnsi"/>
              </w:rPr>
              <w:t>209.1</w:t>
            </w:r>
          </w:p>
        </w:tc>
        <w:tc>
          <w:tcPr>
            <w:tcW w:w="1134" w:type="dxa"/>
            <w:vAlign w:val="bottom"/>
          </w:tcPr>
          <w:p w14:paraId="6EBF9C84" w14:textId="77777777" w:rsidR="00416253" w:rsidRPr="00416253" w:rsidRDefault="00416253" w:rsidP="00416253">
            <w:pPr>
              <w:pStyle w:val="Subtitle"/>
              <w:rPr>
                <w:rFonts w:cstheme="minorHAnsi"/>
                <w:b w:val="0"/>
              </w:rPr>
            </w:pPr>
            <w:r w:rsidRPr="00416253">
              <w:rPr>
                <w:rFonts w:cstheme="minorHAnsi"/>
                <w:b w:val="0"/>
              </w:rPr>
              <w:t>397.5</w:t>
            </w:r>
          </w:p>
        </w:tc>
      </w:tr>
      <w:tr w:rsidR="00416253" w14:paraId="4CC1E4D7" w14:textId="77777777" w:rsidTr="005B36AA">
        <w:trPr>
          <w:trHeight w:val="227"/>
        </w:trPr>
        <w:tc>
          <w:tcPr>
            <w:tcW w:w="7257" w:type="dxa"/>
          </w:tcPr>
          <w:p w14:paraId="1E831FBC" w14:textId="77777777" w:rsidR="00416253" w:rsidRDefault="00416253" w:rsidP="00416253">
            <w:pPr>
              <w:pStyle w:val="TableRowHead"/>
            </w:pPr>
            <w:r>
              <w:t>Lease liabilities</w:t>
            </w:r>
          </w:p>
        </w:tc>
        <w:tc>
          <w:tcPr>
            <w:tcW w:w="680" w:type="dxa"/>
            <w:vAlign w:val="bottom"/>
          </w:tcPr>
          <w:p w14:paraId="27652CE4" w14:textId="77777777" w:rsidR="00416253" w:rsidRPr="00211290" w:rsidRDefault="00416253" w:rsidP="00416253">
            <w:pPr>
              <w:pStyle w:val="Subtitle"/>
              <w:rPr>
                <w:rFonts w:cstheme="minorHAnsi"/>
                <w:b w:val="0"/>
              </w:rPr>
            </w:pPr>
          </w:p>
        </w:tc>
        <w:tc>
          <w:tcPr>
            <w:tcW w:w="1134" w:type="dxa"/>
            <w:vAlign w:val="bottom"/>
          </w:tcPr>
          <w:p w14:paraId="6F77E624" w14:textId="77777777" w:rsidR="00416253" w:rsidRDefault="00FD3735" w:rsidP="00416253">
            <w:pPr>
              <w:pStyle w:val="Subtitle"/>
              <w:rPr>
                <w:rFonts w:cstheme="minorHAnsi"/>
              </w:rPr>
            </w:pPr>
            <w:r>
              <w:rPr>
                <w:rFonts w:cstheme="minorHAnsi"/>
              </w:rPr>
              <w:t>42.0</w:t>
            </w:r>
          </w:p>
        </w:tc>
        <w:tc>
          <w:tcPr>
            <w:tcW w:w="1134" w:type="dxa"/>
            <w:vAlign w:val="bottom"/>
          </w:tcPr>
          <w:p w14:paraId="65C4DF93" w14:textId="77777777" w:rsidR="00416253" w:rsidRPr="00416253" w:rsidRDefault="00416253" w:rsidP="00416253">
            <w:pPr>
              <w:pStyle w:val="Subtitle"/>
              <w:rPr>
                <w:rFonts w:cstheme="minorHAnsi"/>
                <w:b w:val="0"/>
              </w:rPr>
            </w:pPr>
            <w:r w:rsidRPr="00416253">
              <w:rPr>
                <w:rFonts w:cstheme="minorHAnsi"/>
                <w:b w:val="0"/>
              </w:rPr>
              <w:t>46.6</w:t>
            </w:r>
          </w:p>
        </w:tc>
      </w:tr>
      <w:tr w:rsidR="00416253" w14:paraId="73CFE1BA" w14:textId="77777777" w:rsidTr="005B36AA">
        <w:trPr>
          <w:trHeight w:val="227"/>
        </w:trPr>
        <w:tc>
          <w:tcPr>
            <w:tcW w:w="7257" w:type="dxa"/>
          </w:tcPr>
          <w:p w14:paraId="4574EF29" w14:textId="77777777" w:rsidR="00416253" w:rsidRDefault="00416253" w:rsidP="00416253">
            <w:pPr>
              <w:pStyle w:val="TableRowHead"/>
            </w:pPr>
            <w:r>
              <w:t>Other payables</w:t>
            </w:r>
          </w:p>
        </w:tc>
        <w:tc>
          <w:tcPr>
            <w:tcW w:w="680" w:type="dxa"/>
            <w:vAlign w:val="bottom"/>
          </w:tcPr>
          <w:p w14:paraId="3207D6AE" w14:textId="77777777" w:rsidR="00416253" w:rsidRPr="00211290" w:rsidRDefault="00416253" w:rsidP="00416253">
            <w:pPr>
              <w:pStyle w:val="Subtitle"/>
              <w:rPr>
                <w:rFonts w:cstheme="minorHAnsi"/>
                <w:b w:val="0"/>
              </w:rPr>
            </w:pPr>
          </w:p>
        </w:tc>
        <w:tc>
          <w:tcPr>
            <w:tcW w:w="1134" w:type="dxa"/>
            <w:vAlign w:val="bottom"/>
          </w:tcPr>
          <w:p w14:paraId="71C3A26E" w14:textId="77777777" w:rsidR="00416253" w:rsidRPr="00CA2DA2" w:rsidRDefault="00FD3735" w:rsidP="00416253">
            <w:pPr>
              <w:pStyle w:val="Subtitle"/>
              <w:rPr>
                <w:rFonts w:cstheme="minorHAnsi"/>
              </w:rPr>
            </w:pPr>
            <w:r>
              <w:rPr>
                <w:rFonts w:cstheme="minorHAnsi"/>
              </w:rPr>
              <w:t>3.7</w:t>
            </w:r>
          </w:p>
        </w:tc>
        <w:tc>
          <w:tcPr>
            <w:tcW w:w="1134" w:type="dxa"/>
            <w:vAlign w:val="bottom"/>
          </w:tcPr>
          <w:p w14:paraId="793B5244" w14:textId="77777777" w:rsidR="00416253" w:rsidRPr="00416253" w:rsidRDefault="00416253" w:rsidP="00416253">
            <w:pPr>
              <w:pStyle w:val="Subtitle"/>
              <w:rPr>
                <w:rFonts w:cstheme="minorHAnsi"/>
                <w:b w:val="0"/>
              </w:rPr>
            </w:pPr>
            <w:r w:rsidRPr="00416253">
              <w:rPr>
                <w:rFonts w:cstheme="minorHAnsi"/>
                <w:b w:val="0"/>
              </w:rPr>
              <w:t>3.7</w:t>
            </w:r>
          </w:p>
        </w:tc>
      </w:tr>
      <w:tr w:rsidR="00416253" w14:paraId="468EF4CB" w14:textId="77777777" w:rsidTr="005B36AA">
        <w:trPr>
          <w:trHeight w:val="227"/>
        </w:trPr>
        <w:tc>
          <w:tcPr>
            <w:tcW w:w="7257" w:type="dxa"/>
          </w:tcPr>
          <w:p w14:paraId="0913937C" w14:textId="77777777" w:rsidR="00416253" w:rsidRDefault="00416253" w:rsidP="00416253">
            <w:pPr>
              <w:pStyle w:val="TableRowHead"/>
            </w:pPr>
            <w:r>
              <w:t>Derivative financial instruments</w:t>
            </w:r>
          </w:p>
        </w:tc>
        <w:tc>
          <w:tcPr>
            <w:tcW w:w="680" w:type="dxa"/>
            <w:vAlign w:val="bottom"/>
          </w:tcPr>
          <w:p w14:paraId="4F0DB9B6" w14:textId="77777777" w:rsidR="00416253" w:rsidRPr="00211290" w:rsidRDefault="00416253" w:rsidP="00416253">
            <w:pPr>
              <w:pStyle w:val="Subtitle"/>
              <w:rPr>
                <w:rFonts w:cstheme="minorHAnsi"/>
                <w:b w:val="0"/>
              </w:rPr>
            </w:pPr>
          </w:p>
        </w:tc>
        <w:tc>
          <w:tcPr>
            <w:tcW w:w="1134" w:type="dxa"/>
            <w:vAlign w:val="bottom"/>
          </w:tcPr>
          <w:p w14:paraId="5C9A67C3" w14:textId="77777777" w:rsidR="00416253" w:rsidRPr="00CA2DA2" w:rsidRDefault="00FD3735" w:rsidP="00416253">
            <w:pPr>
              <w:pStyle w:val="Subtitle"/>
              <w:rPr>
                <w:rFonts w:cstheme="minorHAnsi"/>
              </w:rPr>
            </w:pPr>
            <w:r>
              <w:rPr>
                <w:rFonts w:cstheme="minorHAnsi"/>
              </w:rPr>
              <w:t>2.7</w:t>
            </w:r>
          </w:p>
        </w:tc>
        <w:tc>
          <w:tcPr>
            <w:tcW w:w="1134" w:type="dxa"/>
            <w:vAlign w:val="bottom"/>
          </w:tcPr>
          <w:p w14:paraId="2A8B8C37" w14:textId="77777777" w:rsidR="00416253" w:rsidRPr="00416253" w:rsidRDefault="00416253" w:rsidP="00416253">
            <w:pPr>
              <w:pStyle w:val="Subtitle"/>
              <w:rPr>
                <w:rFonts w:cstheme="minorHAnsi"/>
                <w:b w:val="0"/>
              </w:rPr>
            </w:pPr>
            <w:r w:rsidRPr="00416253">
              <w:rPr>
                <w:rFonts w:cstheme="minorHAnsi"/>
                <w:b w:val="0"/>
              </w:rPr>
              <w:t>2.5</w:t>
            </w:r>
          </w:p>
        </w:tc>
      </w:tr>
      <w:tr w:rsidR="00416253" w14:paraId="3F3C1FFC" w14:textId="77777777" w:rsidTr="005B36AA">
        <w:trPr>
          <w:trHeight w:val="227"/>
        </w:trPr>
        <w:tc>
          <w:tcPr>
            <w:tcW w:w="7257" w:type="dxa"/>
          </w:tcPr>
          <w:p w14:paraId="7551EF47" w14:textId="77777777" w:rsidR="00416253" w:rsidRDefault="00416253" w:rsidP="00416253">
            <w:pPr>
              <w:pStyle w:val="TableRowHead"/>
            </w:pPr>
            <w:r>
              <w:t>Provisions</w:t>
            </w:r>
          </w:p>
        </w:tc>
        <w:tc>
          <w:tcPr>
            <w:tcW w:w="680" w:type="dxa"/>
            <w:vAlign w:val="bottom"/>
          </w:tcPr>
          <w:p w14:paraId="63556755" w14:textId="77777777" w:rsidR="00416253" w:rsidRPr="00211290" w:rsidRDefault="00416253" w:rsidP="00416253">
            <w:pPr>
              <w:pStyle w:val="Subtitle"/>
              <w:rPr>
                <w:rFonts w:cstheme="minorHAnsi"/>
                <w:b w:val="0"/>
              </w:rPr>
            </w:pPr>
          </w:p>
        </w:tc>
        <w:tc>
          <w:tcPr>
            <w:tcW w:w="1134" w:type="dxa"/>
            <w:vAlign w:val="bottom"/>
          </w:tcPr>
          <w:p w14:paraId="5E6A217C" w14:textId="77777777" w:rsidR="00416253" w:rsidRDefault="00FD3735" w:rsidP="00416253">
            <w:pPr>
              <w:pStyle w:val="Subtitle"/>
              <w:rPr>
                <w:rFonts w:cstheme="minorHAnsi"/>
              </w:rPr>
            </w:pPr>
            <w:r>
              <w:rPr>
                <w:rFonts w:cstheme="minorHAnsi"/>
              </w:rPr>
              <w:t>5.5</w:t>
            </w:r>
          </w:p>
        </w:tc>
        <w:tc>
          <w:tcPr>
            <w:tcW w:w="1134" w:type="dxa"/>
            <w:vAlign w:val="bottom"/>
          </w:tcPr>
          <w:p w14:paraId="28938AAF" w14:textId="77777777" w:rsidR="00416253" w:rsidRPr="00416253" w:rsidRDefault="00416253" w:rsidP="00416253">
            <w:pPr>
              <w:pStyle w:val="Subtitle"/>
              <w:rPr>
                <w:rFonts w:cstheme="minorHAnsi"/>
                <w:b w:val="0"/>
              </w:rPr>
            </w:pPr>
            <w:r w:rsidRPr="00416253">
              <w:rPr>
                <w:rFonts w:cstheme="minorHAnsi"/>
                <w:b w:val="0"/>
              </w:rPr>
              <w:t>5.4</w:t>
            </w:r>
          </w:p>
        </w:tc>
      </w:tr>
      <w:tr w:rsidR="00416253" w14:paraId="76D9BD27" w14:textId="77777777" w:rsidTr="005B36AA">
        <w:trPr>
          <w:trHeight w:val="227"/>
        </w:trPr>
        <w:tc>
          <w:tcPr>
            <w:tcW w:w="7257" w:type="dxa"/>
          </w:tcPr>
          <w:p w14:paraId="00A3DA2C" w14:textId="77777777" w:rsidR="00416253" w:rsidRDefault="00416253" w:rsidP="00416253">
            <w:pPr>
              <w:pStyle w:val="TableRowHead"/>
            </w:pPr>
            <w:r>
              <w:t>Retirement benefit obligations</w:t>
            </w:r>
          </w:p>
        </w:tc>
        <w:tc>
          <w:tcPr>
            <w:tcW w:w="680" w:type="dxa"/>
            <w:vAlign w:val="bottom"/>
          </w:tcPr>
          <w:p w14:paraId="28F5725F" w14:textId="77777777" w:rsidR="00416253" w:rsidRPr="00211290" w:rsidRDefault="003F4CA8" w:rsidP="00416253">
            <w:pPr>
              <w:pStyle w:val="Subtitle"/>
              <w:rPr>
                <w:rFonts w:cstheme="minorHAnsi"/>
                <w:b w:val="0"/>
              </w:rPr>
            </w:pPr>
            <w:r>
              <w:rPr>
                <w:rFonts w:cstheme="minorHAnsi"/>
                <w:b w:val="0"/>
              </w:rPr>
              <w:t>9</w:t>
            </w:r>
          </w:p>
        </w:tc>
        <w:tc>
          <w:tcPr>
            <w:tcW w:w="1134" w:type="dxa"/>
            <w:vAlign w:val="bottom"/>
          </w:tcPr>
          <w:p w14:paraId="6B317CAE" w14:textId="77777777" w:rsidR="00416253" w:rsidRPr="00CA2DA2" w:rsidRDefault="00FD3735" w:rsidP="00416253">
            <w:pPr>
              <w:pStyle w:val="Subtitle"/>
              <w:rPr>
                <w:rFonts w:cstheme="minorHAnsi"/>
              </w:rPr>
            </w:pPr>
            <w:r>
              <w:rPr>
                <w:rFonts w:cstheme="minorHAnsi"/>
              </w:rPr>
              <w:t>88.1</w:t>
            </w:r>
          </w:p>
        </w:tc>
        <w:tc>
          <w:tcPr>
            <w:tcW w:w="1134" w:type="dxa"/>
            <w:vAlign w:val="bottom"/>
          </w:tcPr>
          <w:p w14:paraId="64890034" w14:textId="77777777" w:rsidR="00416253" w:rsidRPr="00416253" w:rsidRDefault="00416253" w:rsidP="00416253">
            <w:pPr>
              <w:pStyle w:val="Subtitle"/>
              <w:rPr>
                <w:rFonts w:cstheme="minorHAnsi"/>
                <w:b w:val="0"/>
              </w:rPr>
            </w:pPr>
            <w:r w:rsidRPr="00416253">
              <w:rPr>
                <w:rFonts w:cstheme="minorHAnsi"/>
                <w:b w:val="0"/>
              </w:rPr>
              <w:t>125.0</w:t>
            </w:r>
          </w:p>
        </w:tc>
      </w:tr>
      <w:tr w:rsidR="00416253" w14:paraId="5E25FDB3" w14:textId="77777777" w:rsidTr="005B36AA">
        <w:trPr>
          <w:trHeight w:val="227"/>
        </w:trPr>
        <w:tc>
          <w:tcPr>
            <w:tcW w:w="7257" w:type="dxa"/>
            <w:tcBorders>
              <w:bottom w:val="single" w:sz="4" w:space="0" w:color="000000"/>
            </w:tcBorders>
          </w:tcPr>
          <w:p w14:paraId="1A3A8173" w14:textId="77777777" w:rsidR="00416253" w:rsidRDefault="00416253" w:rsidP="00416253">
            <w:pPr>
              <w:pStyle w:val="TableRowHead"/>
            </w:pPr>
            <w:r>
              <w:t>Deferred tax liabilities</w:t>
            </w:r>
          </w:p>
        </w:tc>
        <w:tc>
          <w:tcPr>
            <w:tcW w:w="680" w:type="dxa"/>
            <w:tcBorders>
              <w:bottom w:val="single" w:sz="4" w:space="0" w:color="000000"/>
            </w:tcBorders>
            <w:vAlign w:val="bottom"/>
          </w:tcPr>
          <w:p w14:paraId="5184CB0E" w14:textId="77777777" w:rsidR="00416253" w:rsidRPr="00211290" w:rsidRDefault="00416253" w:rsidP="00416253">
            <w:pPr>
              <w:pStyle w:val="Subtitle"/>
              <w:rPr>
                <w:rFonts w:cstheme="minorHAnsi"/>
                <w:b w:val="0"/>
              </w:rPr>
            </w:pPr>
          </w:p>
        </w:tc>
        <w:tc>
          <w:tcPr>
            <w:tcW w:w="1134" w:type="dxa"/>
            <w:tcBorders>
              <w:bottom w:val="single" w:sz="4" w:space="0" w:color="000000"/>
            </w:tcBorders>
            <w:vAlign w:val="bottom"/>
          </w:tcPr>
          <w:p w14:paraId="6E6EAD5A" w14:textId="77777777" w:rsidR="00416253" w:rsidRPr="00CA2DA2" w:rsidRDefault="00FD3735" w:rsidP="008E46B3">
            <w:pPr>
              <w:pStyle w:val="Subtitle"/>
              <w:rPr>
                <w:rFonts w:cstheme="minorHAnsi"/>
              </w:rPr>
            </w:pPr>
            <w:r>
              <w:rPr>
                <w:rFonts w:cstheme="minorHAnsi"/>
              </w:rPr>
              <w:t>1</w:t>
            </w:r>
            <w:r w:rsidR="00BF3D27">
              <w:rPr>
                <w:rFonts w:cstheme="minorHAnsi"/>
              </w:rPr>
              <w:t>8.2</w:t>
            </w:r>
          </w:p>
        </w:tc>
        <w:tc>
          <w:tcPr>
            <w:tcW w:w="1134" w:type="dxa"/>
            <w:tcBorders>
              <w:bottom w:val="single" w:sz="4" w:space="0" w:color="000000"/>
            </w:tcBorders>
            <w:vAlign w:val="bottom"/>
          </w:tcPr>
          <w:p w14:paraId="26FD4AA9" w14:textId="77777777" w:rsidR="00416253" w:rsidRPr="00416253" w:rsidRDefault="00416253" w:rsidP="00416253">
            <w:pPr>
              <w:pStyle w:val="Subtitle"/>
              <w:rPr>
                <w:rFonts w:cstheme="minorHAnsi"/>
                <w:b w:val="0"/>
              </w:rPr>
            </w:pPr>
            <w:r w:rsidRPr="00416253">
              <w:rPr>
                <w:rFonts w:cstheme="minorHAnsi"/>
                <w:b w:val="0"/>
              </w:rPr>
              <w:t>11.5</w:t>
            </w:r>
          </w:p>
        </w:tc>
      </w:tr>
      <w:tr w:rsidR="00416253" w14:paraId="515D6156" w14:textId="77777777" w:rsidTr="005B36AA">
        <w:trPr>
          <w:trHeight w:val="227"/>
        </w:trPr>
        <w:tc>
          <w:tcPr>
            <w:tcW w:w="7257" w:type="dxa"/>
            <w:tcBorders>
              <w:top w:val="single" w:sz="4" w:space="0" w:color="000000"/>
              <w:bottom w:val="single" w:sz="4" w:space="0" w:color="auto"/>
            </w:tcBorders>
          </w:tcPr>
          <w:p w14:paraId="7282A0BA" w14:textId="77777777" w:rsidR="00416253" w:rsidRPr="00926E11" w:rsidRDefault="00416253" w:rsidP="00416253">
            <w:pPr>
              <w:pStyle w:val="TableRowHead"/>
              <w:rPr>
                <w:b/>
              </w:rPr>
            </w:pPr>
            <w:r w:rsidRPr="00926E11">
              <w:rPr>
                <w:b/>
              </w:rPr>
              <w:t>Total non-current liabilities</w:t>
            </w:r>
          </w:p>
        </w:tc>
        <w:tc>
          <w:tcPr>
            <w:tcW w:w="680" w:type="dxa"/>
            <w:tcBorders>
              <w:top w:val="single" w:sz="4" w:space="0" w:color="000000"/>
              <w:bottom w:val="single" w:sz="4" w:space="0" w:color="auto"/>
            </w:tcBorders>
            <w:vAlign w:val="bottom"/>
          </w:tcPr>
          <w:p w14:paraId="185D0492" w14:textId="77777777" w:rsidR="00416253" w:rsidRPr="00211290" w:rsidRDefault="00416253" w:rsidP="00416253">
            <w:pPr>
              <w:pStyle w:val="Subtitle"/>
              <w:rPr>
                <w:rFonts w:cstheme="minorHAnsi"/>
                <w:b w:val="0"/>
              </w:rPr>
            </w:pPr>
          </w:p>
        </w:tc>
        <w:tc>
          <w:tcPr>
            <w:tcW w:w="1134" w:type="dxa"/>
            <w:tcBorders>
              <w:top w:val="single" w:sz="4" w:space="0" w:color="000000"/>
              <w:bottom w:val="single" w:sz="4" w:space="0" w:color="auto"/>
            </w:tcBorders>
            <w:vAlign w:val="bottom"/>
          </w:tcPr>
          <w:p w14:paraId="43851866" w14:textId="77777777" w:rsidR="00416253" w:rsidRPr="00CA2DA2" w:rsidRDefault="00172308" w:rsidP="008E46B3">
            <w:pPr>
              <w:pStyle w:val="Subtitle"/>
              <w:rPr>
                <w:rFonts w:cstheme="minorHAnsi"/>
              </w:rPr>
            </w:pPr>
            <w:r>
              <w:rPr>
                <w:rFonts w:cstheme="minorHAnsi"/>
              </w:rPr>
              <w:t>3</w:t>
            </w:r>
            <w:r w:rsidR="00BF3D27">
              <w:rPr>
                <w:rFonts w:cstheme="minorHAnsi"/>
              </w:rPr>
              <w:t>69.3</w:t>
            </w:r>
          </w:p>
        </w:tc>
        <w:tc>
          <w:tcPr>
            <w:tcW w:w="1134" w:type="dxa"/>
            <w:tcBorders>
              <w:top w:val="single" w:sz="4" w:space="0" w:color="000000"/>
              <w:bottom w:val="single" w:sz="4" w:space="0" w:color="auto"/>
            </w:tcBorders>
            <w:vAlign w:val="bottom"/>
          </w:tcPr>
          <w:p w14:paraId="6405E635" w14:textId="77777777" w:rsidR="00416253" w:rsidRPr="00416253" w:rsidRDefault="00416253" w:rsidP="00416253">
            <w:pPr>
              <w:pStyle w:val="Subtitle"/>
              <w:rPr>
                <w:rFonts w:cstheme="minorHAnsi"/>
                <w:b w:val="0"/>
              </w:rPr>
            </w:pPr>
            <w:r w:rsidRPr="00416253">
              <w:rPr>
                <w:rFonts w:cstheme="minorHAnsi"/>
                <w:b w:val="0"/>
              </w:rPr>
              <w:t>592.2</w:t>
            </w:r>
          </w:p>
        </w:tc>
      </w:tr>
      <w:tr w:rsidR="004D30DE" w14:paraId="1F43A05D" w14:textId="77777777" w:rsidTr="005B36AA">
        <w:trPr>
          <w:trHeight w:val="227"/>
        </w:trPr>
        <w:tc>
          <w:tcPr>
            <w:tcW w:w="7257" w:type="dxa"/>
            <w:tcBorders>
              <w:top w:val="single" w:sz="4" w:space="0" w:color="auto"/>
            </w:tcBorders>
          </w:tcPr>
          <w:p w14:paraId="066BF12B" w14:textId="77777777" w:rsidR="004D30DE" w:rsidRDefault="004D30DE" w:rsidP="004D30DE">
            <w:pPr>
              <w:pStyle w:val="TableRowHead"/>
              <w:rPr>
                <w:b/>
              </w:rPr>
            </w:pPr>
          </w:p>
          <w:p w14:paraId="760FB8B0" w14:textId="77777777" w:rsidR="004D30DE" w:rsidRPr="00E66816" w:rsidRDefault="004D30DE" w:rsidP="004D30DE">
            <w:pPr>
              <w:pStyle w:val="TableRowHead"/>
              <w:rPr>
                <w:b/>
              </w:rPr>
            </w:pPr>
            <w:r w:rsidRPr="00E66816">
              <w:rPr>
                <w:b/>
              </w:rPr>
              <w:t>Current liabilities</w:t>
            </w:r>
          </w:p>
        </w:tc>
        <w:tc>
          <w:tcPr>
            <w:tcW w:w="680" w:type="dxa"/>
            <w:tcBorders>
              <w:top w:val="single" w:sz="4" w:space="0" w:color="auto"/>
            </w:tcBorders>
            <w:vAlign w:val="bottom"/>
          </w:tcPr>
          <w:p w14:paraId="542D2F5F" w14:textId="77777777" w:rsidR="004D30DE" w:rsidRPr="00211290" w:rsidRDefault="004D30DE" w:rsidP="004D30DE">
            <w:pPr>
              <w:pStyle w:val="Subtitle"/>
              <w:rPr>
                <w:rFonts w:cstheme="minorHAnsi"/>
                <w:b w:val="0"/>
              </w:rPr>
            </w:pPr>
          </w:p>
        </w:tc>
        <w:tc>
          <w:tcPr>
            <w:tcW w:w="1134" w:type="dxa"/>
            <w:tcBorders>
              <w:top w:val="single" w:sz="4" w:space="0" w:color="auto"/>
            </w:tcBorders>
            <w:vAlign w:val="bottom"/>
          </w:tcPr>
          <w:p w14:paraId="647F3E07" w14:textId="77777777" w:rsidR="004D30DE" w:rsidRPr="00CA2DA2" w:rsidRDefault="004D30DE" w:rsidP="004D30DE">
            <w:pPr>
              <w:pStyle w:val="Subtitle"/>
              <w:rPr>
                <w:rFonts w:cstheme="minorHAnsi"/>
              </w:rPr>
            </w:pPr>
          </w:p>
        </w:tc>
        <w:tc>
          <w:tcPr>
            <w:tcW w:w="1134" w:type="dxa"/>
            <w:tcBorders>
              <w:top w:val="single" w:sz="4" w:space="0" w:color="auto"/>
            </w:tcBorders>
            <w:vAlign w:val="bottom"/>
          </w:tcPr>
          <w:p w14:paraId="007B8FAD" w14:textId="77777777" w:rsidR="004D30DE" w:rsidRPr="00863CD7" w:rsidRDefault="004D30DE" w:rsidP="004D30DE">
            <w:pPr>
              <w:pStyle w:val="Subtitle"/>
              <w:rPr>
                <w:rFonts w:ascii="Times New Roman"/>
                <w:b w:val="0"/>
              </w:rPr>
            </w:pPr>
          </w:p>
        </w:tc>
      </w:tr>
      <w:tr w:rsidR="00416253" w:rsidRPr="0087242E" w14:paraId="160319D7" w14:textId="77777777" w:rsidTr="005B36AA">
        <w:trPr>
          <w:trHeight w:val="227"/>
        </w:trPr>
        <w:tc>
          <w:tcPr>
            <w:tcW w:w="7257" w:type="dxa"/>
          </w:tcPr>
          <w:p w14:paraId="006BD254" w14:textId="77777777" w:rsidR="00416253" w:rsidRDefault="00416253" w:rsidP="00416253">
            <w:pPr>
              <w:pStyle w:val="TableRowHead"/>
            </w:pPr>
            <w:r>
              <w:t>Borrowings</w:t>
            </w:r>
          </w:p>
        </w:tc>
        <w:tc>
          <w:tcPr>
            <w:tcW w:w="680" w:type="dxa"/>
            <w:vAlign w:val="bottom"/>
          </w:tcPr>
          <w:p w14:paraId="43708485" w14:textId="77777777" w:rsidR="00416253" w:rsidRPr="00211290" w:rsidRDefault="003F4CA8" w:rsidP="00416253">
            <w:pPr>
              <w:pStyle w:val="Subtitle"/>
              <w:rPr>
                <w:rFonts w:cstheme="minorHAnsi"/>
                <w:b w:val="0"/>
              </w:rPr>
            </w:pPr>
            <w:r>
              <w:rPr>
                <w:rFonts w:cstheme="minorHAnsi"/>
                <w:b w:val="0"/>
              </w:rPr>
              <w:t>8</w:t>
            </w:r>
          </w:p>
        </w:tc>
        <w:tc>
          <w:tcPr>
            <w:tcW w:w="1134" w:type="dxa"/>
            <w:vAlign w:val="bottom"/>
          </w:tcPr>
          <w:p w14:paraId="4E98B3A7" w14:textId="77777777" w:rsidR="00416253" w:rsidRDefault="00FD3735" w:rsidP="00172308">
            <w:pPr>
              <w:pStyle w:val="Subtitle"/>
              <w:rPr>
                <w:rFonts w:cstheme="minorHAnsi"/>
              </w:rPr>
            </w:pPr>
            <w:r>
              <w:rPr>
                <w:rFonts w:cstheme="minorHAnsi"/>
              </w:rPr>
              <w:t>93.</w:t>
            </w:r>
            <w:r w:rsidR="00172308">
              <w:rPr>
                <w:rFonts w:cstheme="minorHAnsi"/>
              </w:rPr>
              <w:t>1</w:t>
            </w:r>
          </w:p>
        </w:tc>
        <w:tc>
          <w:tcPr>
            <w:tcW w:w="1134" w:type="dxa"/>
            <w:vAlign w:val="bottom"/>
          </w:tcPr>
          <w:p w14:paraId="5330E662" w14:textId="77777777" w:rsidR="00416253" w:rsidRPr="00416253" w:rsidRDefault="00416253" w:rsidP="00416253">
            <w:pPr>
              <w:pStyle w:val="Subtitle"/>
              <w:rPr>
                <w:rFonts w:cstheme="minorHAnsi"/>
                <w:b w:val="0"/>
              </w:rPr>
            </w:pPr>
            <w:r w:rsidRPr="00416253">
              <w:rPr>
                <w:rFonts w:cstheme="minorHAnsi"/>
                <w:b w:val="0"/>
              </w:rPr>
              <w:t>220.0</w:t>
            </w:r>
          </w:p>
        </w:tc>
      </w:tr>
      <w:tr w:rsidR="00416253" w:rsidRPr="0087242E" w14:paraId="300601A0" w14:textId="77777777" w:rsidTr="005B36AA">
        <w:trPr>
          <w:trHeight w:val="227"/>
        </w:trPr>
        <w:tc>
          <w:tcPr>
            <w:tcW w:w="7257" w:type="dxa"/>
          </w:tcPr>
          <w:p w14:paraId="10031796" w14:textId="77777777" w:rsidR="00416253" w:rsidRDefault="00416253" w:rsidP="00416253">
            <w:pPr>
              <w:pStyle w:val="TableRowHead"/>
            </w:pPr>
            <w:r>
              <w:t>Trade and other payables</w:t>
            </w:r>
          </w:p>
        </w:tc>
        <w:tc>
          <w:tcPr>
            <w:tcW w:w="680" w:type="dxa"/>
            <w:vAlign w:val="bottom"/>
          </w:tcPr>
          <w:p w14:paraId="61AC9E19" w14:textId="77777777" w:rsidR="00416253" w:rsidRPr="00211290" w:rsidRDefault="00416253" w:rsidP="00416253">
            <w:pPr>
              <w:pStyle w:val="Subtitle"/>
              <w:rPr>
                <w:rFonts w:cstheme="minorHAnsi"/>
                <w:b w:val="0"/>
              </w:rPr>
            </w:pPr>
          </w:p>
        </w:tc>
        <w:tc>
          <w:tcPr>
            <w:tcW w:w="1134" w:type="dxa"/>
            <w:vAlign w:val="bottom"/>
          </w:tcPr>
          <w:p w14:paraId="3639FF4C" w14:textId="77777777" w:rsidR="00416253" w:rsidRPr="00FD3735" w:rsidRDefault="00FD3735" w:rsidP="00693EA1">
            <w:pPr>
              <w:pStyle w:val="Subtitle"/>
            </w:pPr>
            <w:r w:rsidRPr="00FD3735">
              <w:t>37</w:t>
            </w:r>
            <w:r w:rsidR="00693EA1">
              <w:t>5.8</w:t>
            </w:r>
          </w:p>
        </w:tc>
        <w:tc>
          <w:tcPr>
            <w:tcW w:w="1134" w:type="dxa"/>
            <w:vAlign w:val="bottom"/>
          </w:tcPr>
          <w:p w14:paraId="6A03D4C2" w14:textId="77777777" w:rsidR="00416253" w:rsidRPr="00416253" w:rsidRDefault="00416253" w:rsidP="00416253">
            <w:pPr>
              <w:pStyle w:val="Subtitle"/>
              <w:rPr>
                <w:rFonts w:cstheme="minorHAnsi"/>
                <w:b w:val="0"/>
              </w:rPr>
            </w:pPr>
            <w:r w:rsidRPr="00416253">
              <w:rPr>
                <w:rFonts w:cstheme="minorHAnsi"/>
                <w:b w:val="0"/>
              </w:rPr>
              <w:t>302.0</w:t>
            </w:r>
          </w:p>
        </w:tc>
      </w:tr>
      <w:tr w:rsidR="00416253" w:rsidRPr="0087242E" w14:paraId="6BAB4B61" w14:textId="77777777" w:rsidTr="005B36AA">
        <w:trPr>
          <w:trHeight w:val="227"/>
        </w:trPr>
        <w:tc>
          <w:tcPr>
            <w:tcW w:w="7257" w:type="dxa"/>
          </w:tcPr>
          <w:p w14:paraId="71792738" w14:textId="77777777" w:rsidR="00416253" w:rsidRDefault="00416253" w:rsidP="00416253">
            <w:pPr>
              <w:pStyle w:val="TableRowHead"/>
            </w:pPr>
            <w:r>
              <w:t>Lease liabilities</w:t>
            </w:r>
          </w:p>
        </w:tc>
        <w:tc>
          <w:tcPr>
            <w:tcW w:w="680" w:type="dxa"/>
            <w:vAlign w:val="bottom"/>
          </w:tcPr>
          <w:p w14:paraId="4FE29637" w14:textId="77777777" w:rsidR="00416253" w:rsidRPr="00211290" w:rsidRDefault="00416253" w:rsidP="00416253">
            <w:pPr>
              <w:pStyle w:val="Subtitle"/>
              <w:rPr>
                <w:rFonts w:cstheme="minorHAnsi"/>
                <w:b w:val="0"/>
              </w:rPr>
            </w:pPr>
          </w:p>
        </w:tc>
        <w:tc>
          <w:tcPr>
            <w:tcW w:w="1134" w:type="dxa"/>
            <w:vAlign w:val="bottom"/>
          </w:tcPr>
          <w:p w14:paraId="42A99405" w14:textId="77777777" w:rsidR="00416253" w:rsidRPr="00CA2DA2" w:rsidRDefault="00FD3735" w:rsidP="00416253">
            <w:pPr>
              <w:pStyle w:val="Subtitle"/>
              <w:rPr>
                <w:rFonts w:cstheme="minorHAnsi"/>
              </w:rPr>
            </w:pPr>
            <w:r>
              <w:rPr>
                <w:rFonts w:cstheme="minorHAnsi"/>
              </w:rPr>
              <w:t>17.6</w:t>
            </w:r>
          </w:p>
        </w:tc>
        <w:tc>
          <w:tcPr>
            <w:tcW w:w="1134" w:type="dxa"/>
            <w:vAlign w:val="bottom"/>
          </w:tcPr>
          <w:p w14:paraId="7EA06E10" w14:textId="77777777" w:rsidR="00416253" w:rsidRPr="00416253" w:rsidRDefault="00416253" w:rsidP="00416253">
            <w:pPr>
              <w:pStyle w:val="Subtitle"/>
              <w:rPr>
                <w:rFonts w:cstheme="minorHAnsi"/>
                <w:b w:val="0"/>
              </w:rPr>
            </w:pPr>
            <w:r w:rsidRPr="00416253">
              <w:rPr>
                <w:rFonts w:cstheme="minorHAnsi"/>
                <w:b w:val="0"/>
              </w:rPr>
              <w:t>14.1</w:t>
            </w:r>
          </w:p>
        </w:tc>
      </w:tr>
      <w:tr w:rsidR="00416253" w:rsidRPr="0087242E" w14:paraId="328A370D" w14:textId="77777777" w:rsidTr="005B36AA">
        <w:trPr>
          <w:trHeight w:val="227"/>
        </w:trPr>
        <w:tc>
          <w:tcPr>
            <w:tcW w:w="7257" w:type="dxa"/>
          </w:tcPr>
          <w:p w14:paraId="2577B3EA" w14:textId="77777777" w:rsidR="00416253" w:rsidRDefault="00416253" w:rsidP="00416253">
            <w:pPr>
              <w:pStyle w:val="TableRowHead"/>
            </w:pPr>
            <w:r>
              <w:t>Derivative financial instruments</w:t>
            </w:r>
          </w:p>
        </w:tc>
        <w:tc>
          <w:tcPr>
            <w:tcW w:w="680" w:type="dxa"/>
            <w:vAlign w:val="bottom"/>
          </w:tcPr>
          <w:p w14:paraId="7C3DCC3B" w14:textId="77777777" w:rsidR="00416253" w:rsidRPr="00211290" w:rsidRDefault="00416253" w:rsidP="00416253">
            <w:pPr>
              <w:pStyle w:val="Subtitle"/>
              <w:rPr>
                <w:rFonts w:cstheme="minorHAnsi"/>
                <w:b w:val="0"/>
              </w:rPr>
            </w:pPr>
          </w:p>
        </w:tc>
        <w:tc>
          <w:tcPr>
            <w:tcW w:w="1134" w:type="dxa"/>
            <w:vAlign w:val="bottom"/>
          </w:tcPr>
          <w:p w14:paraId="69D0E46C" w14:textId="77777777" w:rsidR="00416253" w:rsidRPr="0023663C" w:rsidRDefault="00FD3735" w:rsidP="00416253">
            <w:pPr>
              <w:pStyle w:val="Subtitle"/>
              <w:rPr>
                <w:rFonts w:cstheme="minorHAnsi"/>
              </w:rPr>
            </w:pPr>
            <w:r>
              <w:rPr>
                <w:rFonts w:cstheme="minorHAnsi"/>
              </w:rPr>
              <w:t>2.9</w:t>
            </w:r>
          </w:p>
        </w:tc>
        <w:tc>
          <w:tcPr>
            <w:tcW w:w="1134" w:type="dxa"/>
            <w:vAlign w:val="bottom"/>
          </w:tcPr>
          <w:p w14:paraId="0DD80025" w14:textId="77777777" w:rsidR="00416253" w:rsidRPr="00416253" w:rsidRDefault="00416253" w:rsidP="00416253">
            <w:pPr>
              <w:pStyle w:val="Subtitle"/>
              <w:rPr>
                <w:rFonts w:cstheme="minorHAnsi"/>
                <w:b w:val="0"/>
              </w:rPr>
            </w:pPr>
            <w:r w:rsidRPr="00416253">
              <w:rPr>
                <w:b w:val="0"/>
              </w:rPr>
              <w:t>–</w:t>
            </w:r>
          </w:p>
        </w:tc>
      </w:tr>
      <w:tr w:rsidR="00416253" w:rsidRPr="0087242E" w14:paraId="6A555762" w14:textId="77777777" w:rsidTr="005B36AA">
        <w:trPr>
          <w:trHeight w:val="227"/>
        </w:trPr>
        <w:tc>
          <w:tcPr>
            <w:tcW w:w="7257" w:type="dxa"/>
          </w:tcPr>
          <w:p w14:paraId="7B6EBC9E" w14:textId="77777777" w:rsidR="00416253" w:rsidRDefault="00416253" w:rsidP="00416253">
            <w:pPr>
              <w:pStyle w:val="TableRowHead"/>
            </w:pPr>
            <w:r>
              <w:t>Provisions</w:t>
            </w:r>
          </w:p>
        </w:tc>
        <w:tc>
          <w:tcPr>
            <w:tcW w:w="680" w:type="dxa"/>
            <w:vAlign w:val="bottom"/>
          </w:tcPr>
          <w:p w14:paraId="624703DD" w14:textId="77777777" w:rsidR="00416253" w:rsidRPr="00635D3B" w:rsidRDefault="00416253" w:rsidP="00416253">
            <w:pPr>
              <w:pStyle w:val="Subtitle"/>
              <w:rPr>
                <w:rFonts w:cstheme="minorHAnsi"/>
                <w:b w:val="0"/>
                <w:highlight w:val="yellow"/>
              </w:rPr>
            </w:pPr>
          </w:p>
        </w:tc>
        <w:tc>
          <w:tcPr>
            <w:tcW w:w="1134" w:type="dxa"/>
            <w:vAlign w:val="bottom"/>
          </w:tcPr>
          <w:p w14:paraId="596C28E6" w14:textId="77777777" w:rsidR="00416253" w:rsidRPr="00CA2DA2" w:rsidRDefault="00FD3735" w:rsidP="00416253">
            <w:pPr>
              <w:pStyle w:val="Subtitle"/>
              <w:rPr>
                <w:rFonts w:cstheme="minorHAnsi"/>
              </w:rPr>
            </w:pPr>
            <w:r>
              <w:rPr>
                <w:rFonts w:cstheme="minorHAnsi"/>
              </w:rPr>
              <w:t>2.1</w:t>
            </w:r>
          </w:p>
        </w:tc>
        <w:tc>
          <w:tcPr>
            <w:tcW w:w="1134" w:type="dxa"/>
            <w:vAlign w:val="bottom"/>
          </w:tcPr>
          <w:p w14:paraId="2569E3D0" w14:textId="77777777" w:rsidR="00416253" w:rsidRPr="00416253" w:rsidRDefault="00416253" w:rsidP="00416253">
            <w:pPr>
              <w:pStyle w:val="Subtitle"/>
              <w:rPr>
                <w:rFonts w:cstheme="minorHAnsi"/>
                <w:b w:val="0"/>
              </w:rPr>
            </w:pPr>
            <w:r w:rsidRPr="00416253">
              <w:rPr>
                <w:rFonts w:cstheme="minorHAnsi"/>
                <w:b w:val="0"/>
              </w:rPr>
              <w:t>4.5</w:t>
            </w:r>
          </w:p>
        </w:tc>
      </w:tr>
      <w:tr w:rsidR="00416253" w:rsidRPr="0087242E" w14:paraId="158E6853" w14:textId="77777777" w:rsidTr="005B36AA">
        <w:trPr>
          <w:trHeight w:val="227"/>
        </w:trPr>
        <w:tc>
          <w:tcPr>
            <w:tcW w:w="7257" w:type="dxa"/>
          </w:tcPr>
          <w:p w14:paraId="67064CFA" w14:textId="77777777" w:rsidR="00416253" w:rsidRDefault="00416253" w:rsidP="00416253">
            <w:pPr>
              <w:pStyle w:val="TableRowHead"/>
            </w:pPr>
            <w:r>
              <w:t>Current tax payable</w:t>
            </w:r>
          </w:p>
        </w:tc>
        <w:tc>
          <w:tcPr>
            <w:tcW w:w="680" w:type="dxa"/>
            <w:vAlign w:val="bottom"/>
          </w:tcPr>
          <w:p w14:paraId="77C3EEC1" w14:textId="77777777" w:rsidR="00416253" w:rsidRPr="00863CD7" w:rsidRDefault="00416253" w:rsidP="00416253">
            <w:pPr>
              <w:pStyle w:val="Subtitle"/>
              <w:rPr>
                <w:rFonts w:cstheme="minorHAnsi"/>
                <w:b w:val="0"/>
              </w:rPr>
            </w:pPr>
          </w:p>
        </w:tc>
        <w:tc>
          <w:tcPr>
            <w:tcW w:w="1134" w:type="dxa"/>
            <w:vAlign w:val="bottom"/>
          </w:tcPr>
          <w:p w14:paraId="32AB5D72" w14:textId="77777777" w:rsidR="00416253" w:rsidRPr="00CA2DA2" w:rsidRDefault="00693EA1" w:rsidP="008E46B3">
            <w:pPr>
              <w:pStyle w:val="Subtitle"/>
              <w:rPr>
                <w:rFonts w:cstheme="minorHAnsi"/>
              </w:rPr>
            </w:pPr>
            <w:r>
              <w:rPr>
                <w:rFonts w:cstheme="minorHAnsi"/>
              </w:rPr>
              <w:t>7.</w:t>
            </w:r>
            <w:r w:rsidR="00BF3D27">
              <w:rPr>
                <w:rFonts w:cstheme="minorHAnsi"/>
              </w:rPr>
              <w:t>5</w:t>
            </w:r>
          </w:p>
        </w:tc>
        <w:tc>
          <w:tcPr>
            <w:tcW w:w="1134" w:type="dxa"/>
            <w:vAlign w:val="bottom"/>
          </w:tcPr>
          <w:p w14:paraId="732CB7A7" w14:textId="77777777" w:rsidR="00416253" w:rsidRPr="00416253" w:rsidRDefault="00416253" w:rsidP="00416253">
            <w:pPr>
              <w:pStyle w:val="Subtitle"/>
              <w:rPr>
                <w:rFonts w:cstheme="minorHAnsi"/>
                <w:b w:val="0"/>
              </w:rPr>
            </w:pPr>
            <w:r w:rsidRPr="00416253">
              <w:rPr>
                <w:rFonts w:cstheme="minorHAnsi"/>
                <w:b w:val="0"/>
              </w:rPr>
              <w:t>10.4</w:t>
            </w:r>
          </w:p>
        </w:tc>
      </w:tr>
      <w:tr w:rsidR="00416253" w:rsidRPr="0087242E" w14:paraId="7B468418" w14:textId="77777777" w:rsidTr="005B36AA">
        <w:trPr>
          <w:trHeight w:val="227"/>
        </w:trPr>
        <w:tc>
          <w:tcPr>
            <w:tcW w:w="7257" w:type="dxa"/>
            <w:tcBorders>
              <w:bottom w:val="single" w:sz="4" w:space="0" w:color="auto"/>
            </w:tcBorders>
          </w:tcPr>
          <w:p w14:paraId="1344E5F0" w14:textId="77777777" w:rsidR="00416253" w:rsidRPr="00050D12" w:rsidRDefault="00416253" w:rsidP="00416253">
            <w:pPr>
              <w:pStyle w:val="TableRowHead"/>
            </w:pPr>
            <w:r w:rsidRPr="00050D12">
              <w:t>Liabilities held for sale</w:t>
            </w:r>
          </w:p>
        </w:tc>
        <w:tc>
          <w:tcPr>
            <w:tcW w:w="680" w:type="dxa"/>
            <w:tcBorders>
              <w:bottom w:val="single" w:sz="4" w:space="0" w:color="auto"/>
            </w:tcBorders>
            <w:vAlign w:val="bottom"/>
          </w:tcPr>
          <w:p w14:paraId="5535DAFD" w14:textId="77777777" w:rsidR="00416253" w:rsidRPr="00050D12" w:rsidRDefault="00416253" w:rsidP="00416253">
            <w:pPr>
              <w:pStyle w:val="Subtitle"/>
              <w:rPr>
                <w:rFonts w:cstheme="minorHAnsi"/>
                <w:b w:val="0"/>
              </w:rPr>
            </w:pPr>
          </w:p>
        </w:tc>
        <w:tc>
          <w:tcPr>
            <w:tcW w:w="1134" w:type="dxa"/>
            <w:tcBorders>
              <w:bottom w:val="single" w:sz="4" w:space="0" w:color="auto"/>
            </w:tcBorders>
            <w:vAlign w:val="bottom"/>
          </w:tcPr>
          <w:p w14:paraId="0E1EFB99" w14:textId="77777777" w:rsidR="00416253" w:rsidRPr="00050D12" w:rsidRDefault="00FD3735" w:rsidP="00416253">
            <w:pPr>
              <w:pStyle w:val="Subtitle"/>
              <w:rPr>
                <w:rFonts w:cstheme="minorHAnsi"/>
              </w:rPr>
            </w:pPr>
            <w:r w:rsidRPr="0022291E">
              <w:rPr>
                <w:rFonts w:cstheme="minorHAnsi"/>
              </w:rPr>
              <w:t>–</w:t>
            </w:r>
          </w:p>
        </w:tc>
        <w:tc>
          <w:tcPr>
            <w:tcW w:w="1134" w:type="dxa"/>
            <w:tcBorders>
              <w:bottom w:val="single" w:sz="4" w:space="0" w:color="auto"/>
            </w:tcBorders>
            <w:vAlign w:val="bottom"/>
          </w:tcPr>
          <w:p w14:paraId="55A6CE55" w14:textId="77777777" w:rsidR="00416253" w:rsidRPr="00416253" w:rsidRDefault="00416253" w:rsidP="00416253">
            <w:pPr>
              <w:pStyle w:val="Subtitle"/>
              <w:rPr>
                <w:rFonts w:cstheme="minorHAnsi"/>
                <w:b w:val="0"/>
              </w:rPr>
            </w:pPr>
            <w:r w:rsidRPr="00416253">
              <w:rPr>
                <w:rFonts w:cstheme="minorHAnsi"/>
                <w:b w:val="0"/>
              </w:rPr>
              <w:t>1.7</w:t>
            </w:r>
          </w:p>
        </w:tc>
      </w:tr>
      <w:tr w:rsidR="00416253" w:rsidRPr="0087242E" w14:paraId="15AFE691" w14:textId="77777777" w:rsidTr="005B36AA">
        <w:trPr>
          <w:trHeight w:val="227"/>
        </w:trPr>
        <w:tc>
          <w:tcPr>
            <w:tcW w:w="7257" w:type="dxa"/>
            <w:tcBorders>
              <w:top w:val="single" w:sz="4" w:space="0" w:color="auto"/>
              <w:bottom w:val="single" w:sz="4" w:space="0" w:color="000000"/>
            </w:tcBorders>
          </w:tcPr>
          <w:p w14:paraId="5B46782A" w14:textId="77777777" w:rsidR="00416253" w:rsidRPr="00A35825" w:rsidRDefault="00416253" w:rsidP="00416253">
            <w:pPr>
              <w:pStyle w:val="TableRowHead"/>
              <w:rPr>
                <w:b/>
              </w:rPr>
            </w:pPr>
            <w:r w:rsidRPr="00A35825">
              <w:rPr>
                <w:b/>
              </w:rPr>
              <w:t>Total current liabilities</w:t>
            </w:r>
          </w:p>
        </w:tc>
        <w:tc>
          <w:tcPr>
            <w:tcW w:w="680" w:type="dxa"/>
            <w:tcBorders>
              <w:top w:val="single" w:sz="4" w:space="0" w:color="auto"/>
              <w:bottom w:val="single" w:sz="4" w:space="0" w:color="000000"/>
            </w:tcBorders>
            <w:vAlign w:val="bottom"/>
          </w:tcPr>
          <w:p w14:paraId="397CCF61" w14:textId="77777777" w:rsidR="00416253" w:rsidRPr="00863CD7" w:rsidRDefault="00416253" w:rsidP="00416253">
            <w:pPr>
              <w:pStyle w:val="Subtitle"/>
              <w:rPr>
                <w:rFonts w:cstheme="minorHAnsi"/>
                <w:b w:val="0"/>
              </w:rPr>
            </w:pPr>
          </w:p>
        </w:tc>
        <w:tc>
          <w:tcPr>
            <w:tcW w:w="1134" w:type="dxa"/>
            <w:tcBorders>
              <w:top w:val="single" w:sz="4" w:space="0" w:color="auto"/>
              <w:bottom w:val="single" w:sz="4" w:space="0" w:color="000000"/>
            </w:tcBorders>
            <w:vAlign w:val="bottom"/>
          </w:tcPr>
          <w:p w14:paraId="042C9A34" w14:textId="77777777" w:rsidR="00416253" w:rsidRPr="00CA2DA2" w:rsidRDefault="00693EA1" w:rsidP="008E46B3">
            <w:pPr>
              <w:pStyle w:val="Subtitle"/>
              <w:rPr>
                <w:rFonts w:cstheme="minorHAnsi"/>
              </w:rPr>
            </w:pPr>
            <w:r>
              <w:rPr>
                <w:rFonts w:cstheme="minorHAnsi"/>
              </w:rPr>
              <w:t>499.</w:t>
            </w:r>
            <w:r w:rsidR="00BF3D27">
              <w:rPr>
                <w:rFonts w:cstheme="minorHAnsi"/>
              </w:rPr>
              <w:t>0</w:t>
            </w:r>
          </w:p>
        </w:tc>
        <w:tc>
          <w:tcPr>
            <w:tcW w:w="1134" w:type="dxa"/>
            <w:tcBorders>
              <w:top w:val="single" w:sz="4" w:space="0" w:color="auto"/>
              <w:bottom w:val="single" w:sz="4" w:space="0" w:color="000000"/>
            </w:tcBorders>
            <w:vAlign w:val="bottom"/>
          </w:tcPr>
          <w:p w14:paraId="3E2467D3" w14:textId="77777777" w:rsidR="00416253" w:rsidRPr="00416253" w:rsidRDefault="00416253" w:rsidP="00416253">
            <w:pPr>
              <w:pStyle w:val="Subtitle"/>
              <w:rPr>
                <w:rFonts w:cstheme="minorHAnsi"/>
                <w:b w:val="0"/>
              </w:rPr>
            </w:pPr>
            <w:r w:rsidRPr="00416253">
              <w:rPr>
                <w:rFonts w:cstheme="minorHAnsi"/>
                <w:b w:val="0"/>
              </w:rPr>
              <w:t>552.7</w:t>
            </w:r>
          </w:p>
        </w:tc>
      </w:tr>
      <w:tr w:rsidR="00416253" w:rsidRPr="0087242E" w14:paraId="5246CFD1" w14:textId="77777777" w:rsidTr="005B36AA">
        <w:trPr>
          <w:trHeight w:val="227"/>
        </w:trPr>
        <w:tc>
          <w:tcPr>
            <w:tcW w:w="7257" w:type="dxa"/>
            <w:tcBorders>
              <w:top w:val="single" w:sz="4" w:space="0" w:color="000000"/>
              <w:bottom w:val="single" w:sz="4" w:space="0" w:color="000000"/>
            </w:tcBorders>
          </w:tcPr>
          <w:p w14:paraId="182D0525" w14:textId="77777777" w:rsidR="00416253" w:rsidRPr="00A35825" w:rsidRDefault="00416253" w:rsidP="00416253">
            <w:pPr>
              <w:pStyle w:val="TableRowHead"/>
              <w:rPr>
                <w:b/>
              </w:rPr>
            </w:pPr>
            <w:r w:rsidRPr="00A35825">
              <w:rPr>
                <w:b/>
              </w:rPr>
              <w:t>Total liabilities</w:t>
            </w:r>
          </w:p>
        </w:tc>
        <w:tc>
          <w:tcPr>
            <w:tcW w:w="680" w:type="dxa"/>
            <w:tcBorders>
              <w:top w:val="single" w:sz="4" w:space="0" w:color="000000"/>
              <w:bottom w:val="single" w:sz="4" w:space="0" w:color="000000"/>
            </w:tcBorders>
            <w:vAlign w:val="bottom"/>
          </w:tcPr>
          <w:p w14:paraId="122B2653" w14:textId="77777777" w:rsidR="00416253" w:rsidRPr="00863CD7" w:rsidRDefault="00416253" w:rsidP="00416253">
            <w:pPr>
              <w:pStyle w:val="Subtitle"/>
              <w:rPr>
                <w:rFonts w:cstheme="minorHAnsi"/>
                <w:b w:val="0"/>
              </w:rPr>
            </w:pPr>
          </w:p>
        </w:tc>
        <w:tc>
          <w:tcPr>
            <w:tcW w:w="1134" w:type="dxa"/>
            <w:tcBorders>
              <w:top w:val="single" w:sz="4" w:space="0" w:color="000000"/>
              <w:bottom w:val="single" w:sz="4" w:space="0" w:color="000000"/>
            </w:tcBorders>
            <w:vAlign w:val="bottom"/>
          </w:tcPr>
          <w:p w14:paraId="1C69F561" w14:textId="77777777" w:rsidR="00416253" w:rsidRPr="00CA2DA2" w:rsidRDefault="00FD3735" w:rsidP="008E46B3">
            <w:pPr>
              <w:pStyle w:val="Subtitle"/>
              <w:rPr>
                <w:rFonts w:cstheme="minorHAnsi"/>
              </w:rPr>
            </w:pPr>
            <w:r>
              <w:rPr>
                <w:rFonts w:cstheme="minorHAnsi"/>
              </w:rPr>
              <w:t>86</w:t>
            </w:r>
            <w:r w:rsidR="00BF3D27">
              <w:rPr>
                <w:rFonts w:cstheme="minorHAnsi"/>
              </w:rPr>
              <w:t>8.3</w:t>
            </w:r>
          </w:p>
        </w:tc>
        <w:tc>
          <w:tcPr>
            <w:tcW w:w="1134" w:type="dxa"/>
            <w:tcBorders>
              <w:top w:val="single" w:sz="4" w:space="0" w:color="000000"/>
              <w:bottom w:val="single" w:sz="4" w:space="0" w:color="000000"/>
            </w:tcBorders>
            <w:vAlign w:val="bottom"/>
          </w:tcPr>
          <w:p w14:paraId="27F738B2" w14:textId="77777777" w:rsidR="00416253" w:rsidRPr="00416253" w:rsidRDefault="00416253" w:rsidP="00416253">
            <w:pPr>
              <w:pStyle w:val="Subtitle"/>
              <w:rPr>
                <w:rFonts w:cstheme="minorHAnsi"/>
                <w:b w:val="0"/>
              </w:rPr>
            </w:pPr>
            <w:r w:rsidRPr="00416253">
              <w:rPr>
                <w:rFonts w:cstheme="minorHAnsi"/>
                <w:b w:val="0"/>
              </w:rPr>
              <w:t>1,144.9</w:t>
            </w:r>
          </w:p>
        </w:tc>
      </w:tr>
      <w:tr w:rsidR="00416253" w:rsidRPr="0087242E" w14:paraId="247940FC" w14:textId="77777777" w:rsidTr="005B36AA">
        <w:trPr>
          <w:trHeight w:val="227"/>
        </w:trPr>
        <w:tc>
          <w:tcPr>
            <w:tcW w:w="7257" w:type="dxa"/>
            <w:tcBorders>
              <w:top w:val="single" w:sz="4" w:space="0" w:color="000000"/>
              <w:bottom w:val="single" w:sz="8" w:space="0" w:color="auto"/>
            </w:tcBorders>
          </w:tcPr>
          <w:p w14:paraId="019F65E3" w14:textId="77777777" w:rsidR="00416253" w:rsidRPr="00A35825" w:rsidRDefault="00416253" w:rsidP="00416253">
            <w:pPr>
              <w:pStyle w:val="TableRowHead"/>
              <w:rPr>
                <w:b/>
              </w:rPr>
            </w:pPr>
            <w:r w:rsidRPr="00A35825">
              <w:rPr>
                <w:b/>
              </w:rPr>
              <w:t>Total equity and liabilities</w:t>
            </w:r>
          </w:p>
        </w:tc>
        <w:tc>
          <w:tcPr>
            <w:tcW w:w="680" w:type="dxa"/>
            <w:tcBorders>
              <w:top w:val="single" w:sz="4" w:space="0" w:color="000000"/>
              <w:bottom w:val="single" w:sz="8" w:space="0" w:color="auto"/>
            </w:tcBorders>
            <w:vAlign w:val="bottom"/>
          </w:tcPr>
          <w:p w14:paraId="5B146A96" w14:textId="77777777" w:rsidR="00416253" w:rsidRPr="00863CD7" w:rsidRDefault="00416253" w:rsidP="00416253">
            <w:pPr>
              <w:pStyle w:val="Subtitle"/>
              <w:rPr>
                <w:rFonts w:cstheme="minorHAnsi"/>
                <w:b w:val="0"/>
              </w:rPr>
            </w:pPr>
          </w:p>
        </w:tc>
        <w:tc>
          <w:tcPr>
            <w:tcW w:w="1134" w:type="dxa"/>
            <w:tcBorders>
              <w:top w:val="single" w:sz="4" w:space="0" w:color="000000"/>
              <w:bottom w:val="single" w:sz="8" w:space="0" w:color="auto"/>
            </w:tcBorders>
            <w:vAlign w:val="bottom"/>
          </w:tcPr>
          <w:p w14:paraId="3949F461" w14:textId="77777777" w:rsidR="00416253" w:rsidRPr="00CA2DA2" w:rsidRDefault="00FD3735" w:rsidP="008E46B3">
            <w:pPr>
              <w:pStyle w:val="Subtitle"/>
              <w:rPr>
                <w:rFonts w:cstheme="minorHAnsi"/>
              </w:rPr>
            </w:pPr>
            <w:r>
              <w:rPr>
                <w:rFonts w:cstheme="minorHAnsi"/>
              </w:rPr>
              <w:t>1,2</w:t>
            </w:r>
            <w:r w:rsidR="00BF3D27">
              <w:rPr>
                <w:rFonts w:cstheme="minorHAnsi"/>
              </w:rPr>
              <w:t>91.5</w:t>
            </w:r>
          </w:p>
        </w:tc>
        <w:tc>
          <w:tcPr>
            <w:tcW w:w="1134" w:type="dxa"/>
            <w:tcBorders>
              <w:top w:val="single" w:sz="4" w:space="0" w:color="000000"/>
              <w:bottom w:val="single" w:sz="8" w:space="0" w:color="auto"/>
            </w:tcBorders>
            <w:vAlign w:val="bottom"/>
          </w:tcPr>
          <w:p w14:paraId="65310427" w14:textId="77777777" w:rsidR="00416253" w:rsidRPr="00416253" w:rsidRDefault="00416253" w:rsidP="00416253">
            <w:pPr>
              <w:pStyle w:val="Subtitle"/>
              <w:rPr>
                <w:rFonts w:cstheme="minorHAnsi"/>
                <w:b w:val="0"/>
              </w:rPr>
            </w:pPr>
            <w:r w:rsidRPr="00416253">
              <w:rPr>
                <w:rFonts w:cstheme="minorHAnsi"/>
                <w:b w:val="0"/>
              </w:rPr>
              <w:t>1,427.1</w:t>
            </w:r>
          </w:p>
        </w:tc>
      </w:tr>
      <w:tr w:rsidR="00942659" w14:paraId="6285C715" w14:textId="77777777" w:rsidTr="009B1C1E">
        <w:trPr>
          <w:trHeight w:val="227"/>
        </w:trPr>
        <w:tc>
          <w:tcPr>
            <w:tcW w:w="10205" w:type="dxa"/>
            <w:gridSpan w:val="4"/>
            <w:tcBorders>
              <w:top w:val="single" w:sz="8" w:space="0" w:color="auto"/>
              <w:bottom w:val="single" w:sz="8" w:space="0" w:color="auto"/>
            </w:tcBorders>
          </w:tcPr>
          <w:p w14:paraId="5ABEBDD7" w14:textId="77777777" w:rsidR="00942659" w:rsidRPr="00942659" w:rsidRDefault="00942659" w:rsidP="00416253">
            <w:pPr>
              <w:pStyle w:val="Subtitle"/>
              <w:jc w:val="left"/>
              <w:rPr>
                <w:b w:val="0"/>
              </w:rPr>
            </w:pPr>
          </w:p>
        </w:tc>
      </w:tr>
      <w:tr w:rsidR="009B1C1E" w14:paraId="7CE53040" w14:textId="77777777" w:rsidTr="00416253">
        <w:trPr>
          <w:trHeight w:val="227"/>
        </w:trPr>
        <w:tc>
          <w:tcPr>
            <w:tcW w:w="10205" w:type="dxa"/>
            <w:gridSpan w:val="4"/>
            <w:tcBorders>
              <w:top w:val="single" w:sz="8" w:space="0" w:color="auto"/>
            </w:tcBorders>
          </w:tcPr>
          <w:p w14:paraId="552EBBBD" w14:textId="77777777" w:rsidR="009B1C1E" w:rsidRPr="00942659" w:rsidRDefault="009B1C1E" w:rsidP="00416253">
            <w:pPr>
              <w:pStyle w:val="Subtitle"/>
              <w:jc w:val="left"/>
              <w:rPr>
                <w:b w:val="0"/>
              </w:rPr>
            </w:pPr>
          </w:p>
        </w:tc>
      </w:tr>
    </w:tbl>
    <w:p w14:paraId="68F6012B" w14:textId="77777777" w:rsidR="005B36AA" w:rsidRDefault="005B36AA" w:rsidP="005B36AA">
      <w:pPr>
        <w:pStyle w:val="BodyText"/>
      </w:pPr>
    </w:p>
    <w:p w14:paraId="097E58D1" w14:textId="77777777" w:rsidR="009B1C1E" w:rsidRDefault="009B1C1E" w:rsidP="009B1C1E">
      <w:pPr>
        <w:tabs>
          <w:tab w:val="left" w:pos="9356"/>
          <w:tab w:val="left" w:pos="9639"/>
        </w:tabs>
        <w:spacing w:before="59"/>
        <w:rPr>
          <w:b/>
          <w:sz w:val="20"/>
        </w:rPr>
      </w:pPr>
      <w:r>
        <w:rPr>
          <w:b/>
          <w:color w:val="001F5F"/>
          <w:sz w:val="20"/>
        </w:rPr>
        <w:t>GROUP STATEMENT OF CASH FLOWS</w:t>
      </w:r>
    </w:p>
    <w:p w14:paraId="4F220F29" w14:textId="77777777" w:rsidR="009B1C1E" w:rsidRDefault="009B1C1E" w:rsidP="009B1C1E">
      <w:pPr>
        <w:spacing w:before="20"/>
        <w:rPr>
          <w:b/>
          <w:sz w:val="20"/>
        </w:rPr>
      </w:pPr>
      <w:r>
        <w:rPr>
          <w:b/>
          <w:color w:val="001F5F"/>
          <w:sz w:val="20"/>
        </w:rPr>
        <w:t>for the year ended 24 September 2021</w:t>
      </w:r>
    </w:p>
    <w:p w14:paraId="7F790B58" w14:textId="77777777" w:rsidR="009B1C1E" w:rsidRDefault="009B1C1E" w:rsidP="005B36AA">
      <w:pPr>
        <w:pStyle w:val="BodyText"/>
      </w:pPr>
    </w:p>
    <w:tbl>
      <w:tblPr>
        <w:tblW w:w="0" w:type="auto"/>
        <w:tblLayout w:type="fixed"/>
        <w:tblLook w:val="01E0" w:firstRow="1" w:lastRow="1" w:firstColumn="1" w:lastColumn="1" w:noHBand="0" w:noVBand="0"/>
      </w:tblPr>
      <w:tblGrid>
        <w:gridCol w:w="7257"/>
        <w:gridCol w:w="680"/>
        <w:gridCol w:w="1134"/>
        <w:gridCol w:w="1134"/>
      </w:tblGrid>
      <w:tr w:rsidR="005B36AA" w14:paraId="6E849ECC" w14:textId="77777777" w:rsidTr="005B36AA">
        <w:trPr>
          <w:trHeight w:val="227"/>
        </w:trPr>
        <w:tc>
          <w:tcPr>
            <w:tcW w:w="7257" w:type="dxa"/>
            <w:tcBorders>
              <w:bottom w:val="single" w:sz="2" w:space="0" w:color="000000"/>
            </w:tcBorders>
          </w:tcPr>
          <w:p w14:paraId="4097B32D" w14:textId="77777777" w:rsidR="005B36AA" w:rsidRDefault="005B36AA" w:rsidP="005B36AA">
            <w:pPr>
              <w:pStyle w:val="TableParagraph"/>
              <w:rPr>
                <w:rFonts w:ascii="Times New Roman"/>
                <w:sz w:val="18"/>
              </w:rPr>
            </w:pPr>
          </w:p>
        </w:tc>
        <w:tc>
          <w:tcPr>
            <w:tcW w:w="680" w:type="dxa"/>
            <w:tcBorders>
              <w:bottom w:val="single" w:sz="2" w:space="0" w:color="000000"/>
            </w:tcBorders>
            <w:vAlign w:val="bottom"/>
          </w:tcPr>
          <w:p w14:paraId="16C1960C" w14:textId="77777777" w:rsidR="005B36AA" w:rsidRPr="00234324" w:rsidRDefault="005B36AA" w:rsidP="005B36AA">
            <w:pPr>
              <w:pStyle w:val="Subtitle"/>
              <w:rPr>
                <w:b w:val="0"/>
                <w:bCs/>
              </w:rPr>
            </w:pPr>
            <w:r w:rsidRPr="00234324">
              <w:rPr>
                <w:b w:val="0"/>
                <w:bCs/>
              </w:rPr>
              <w:t>Notes</w:t>
            </w:r>
          </w:p>
        </w:tc>
        <w:tc>
          <w:tcPr>
            <w:tcW w:w="1134" w:type="dxa"/>
            <w:tcBorders>
              <w:bottom w:val="single" w:sz="2" w:space="0" w:color="000000"/>
            </w:tcBorders>
            <w:vAlign w:val="bottom"/>
          </w:tcPr>
          <w:p w14:paraId="1BA615E4" w14:textId="77777777" w:rsidR="005B36AA" w:rsidRDefault="00416253" w:rsidP="005B36AA">
            <w:pPr>
              <w:pStyle w:val="Subtitle"/>
            </w:pPr>
            <w:r>
              <w:t>2021</w:t>
            </w:r>
            <w:r w:rsidR="005B36AA">
              <w:br/>
              <w:t>£m</w:t>
            </w:r>
          </w:p>
        </w:tc>
        <w:tc>
          <w:tcPr>
            <w:tcW w:w="1134" w:type="dxa"/>
            <w:tcBorders>
              <w:bottom w:val="single" w:sz="2" w:space="0" w:color="000000"/>
            </w:tcBorders>
            <w:vAlign w:val="bottom"/>
          </w:tcPr>
          <w:p w14:paraId="4DA282E6" w14:textId="77777777" w:rsidR="005B36AA" w:rsidRPr="00FA4C7A" w:rsidRDefault="00416253" w:rsidP="005B36AA">
            <w:pPr>
              <w:pStyle w:val="Subtitle"/>
              <w:rPr>
                <w:b w:val="0"/>
              </w:rPr>
            </w:pPr>
            <w:r>
              <w:rPr>
                <w:b w:val="0"/>
              </w:rPr>
              <w:t>2020</w:t>
            </w:r>
            <w:r w:rsidR="005B36AA" w:rsidRPr="00FA4C7A">
              <w:rPr>
                <w:b w:val="0"/>
              </w:rPr>
              <w:br/>
              <w:t>£m</w:t>
            </w:r>
          </w:p>
        </w:tc>
      </w:tr>
      <w:tr w:rsidR="00416253" w14:paraId="191DA3DF" w14:textId="77777777" w:rsidTr="005B36AA">
        <w:trPr>
          <w:trHeight w:val="227"/>
        </w:trPr>
        <w:tc>
          <w:tcPr>
            <w:tcW w:w="7257" w:type="dxa"/>
            <w:tcBorders>
              <w:top w:val="single" w:sz="2" w:space="0" w:color="000000"/>
            </w:tcBorders>
            <w:vAlign w:val="bottom"/>
          </w:tcPr>
          <w:p w14:paraId="70CCF1DD" w14:textId="77777777" w:rsidR="00416253" w:rsidRDefault="00FD3735" w:rsidP="00FD3735">
            <w:pPr>
              <w:pStyle w:val="TableParagraph"/>
              <w:spacing w:line="216" w:lineRule="exact"/>
              <w:rPr>
                <w:sz w:val="18"/>
              </w:rPr>
            </w:pPr>
            <w:r>
              <w:rPr>
                <w:sz w:val="18"/>
              </w:rPr>
              <w:t>P</w:t>
            </w:r>
            <w:r w:rsidR="00416253">
              <w:rPr>
                <w:sz w:val="18"/>
              </w:rPr>
              <w:t>rofit</w:t>
            </w:r>
            <w:r>
              <w:rPr>
                <w:sz w:val="18"/>
              </w:rPr>
              <w:t>/(loss)</w:t>
            </w:r>
            <w:r w:rsidR="00416253">
              <w:rPr>
                <w:sz w:val="18"/>
              </w:rPr>
              <w:t xml:space="preserve"> before taxation</w:t>
            </w:r>
          </w:p>
        </w:tc>
        <w:tc>
          <w:tcPr>
            <w:tcW w:w="680" w:type="dxa"/>
            <w:tcBorders>
              <w:top w:val="single" w:sz="2" w:space="0" w:color="000000"/>
            </w:tcBorders>
          </w:tcPr>
          <w:p w14:paraId="0167B1EF" w14:textId="77777777" w:rsidR="00416253" w:rsidRPr="00123C38" w:rsidRDefault="00416253" w:rsidP="00416253">
            <w:pPr>
              <w:pStyle w:val="Subtitle"/>
              <w:rPr>
                <w:rFonts w:cstheme="minorHAnsi"/>
              </w:rPr>
            </w:pPr>
          </w:p>
        </w:tc>
        <w:tc>
          <w:tcPr>
            <w:tcW w:w="1134" w:type="dxa"/>
            <w:tcBorders>
              <w:top w:val="single" w:sz="2" w:space="0" w:color="000000"/>
            </w:tcBorders>
          </w:tcPr>
          <w:p w14:paraId="0221E10A" w14:textId="77777777" w:rsidR="00416253" w:rsidRPr="004F0499" w:rsidRDefault="00FD3735" w:rsidP="00416253">
            <w:pPr>
              <w:pStyle w:val="Subtitle"/>
              <w:rPr>
                <w:rFonts w:cstheme="minorHAnsi"/>
              </w:rPr>
            </w:pPr>
            <w:r>
              <w:rPr>
                <w:rFonts w:cstheme="minorHAnsi"/>
              </w:rPr>
              <w:t>27.8</w:t>
            </w:r>
          </w:p>
        </w:tc>
        <w:tc>
          <w:tcPr>
            <w:tcW w:w="1134" w:type="dxa"/>
            <w:tcBorders>
              <w:top w:val="single" w:sz="2" w:space="0" w:color="000000"/>
            </w:tcBorders>
          </w:tcPr>
          <w:p w14:paraId="68C2ED7C" w14:textId="77777777" w:rsidR="00416253" w:rsidRPr="00416253" w:rsidRDefault="00416253" w:rsidP="00416253">
            <w:pPr>
              <w:pStyle w:val="Subtitle"/>
              <w:rPr>
                <w:rFonts w:cstheme="minorHAnsi"/>
                <w:b w:val="0"/>
              </w:rPr>
            </w:pPr>
            <w:r w:rsidRPr="00416253">
              <w:rPr>
                <w:rFonts w:cstheme="minorHAnsi"/>
                <w:b w:val="0"/>
              </w:rPr>
              <w:t>(10.8)</w:t>
            </w:r>
          </w:p>
        </w:tc>
      </w:tr>
      <w:tr w:rsidR="00416253" w14:paraId="7E68391D" w14:textId="77777777" w:rsidTr="005B36AA">
        <w:trPr>
          <w:trHeight w:val="227"/>
        </w:trPr>
        <w:tc>
          <w:tcPr>
            <w:tcW w:w="7257" w:type="dxa"/>
            <w:vAlign w:val="bottom"/>
          </w:tcPr>
          <w:p w14:paraId="212469DF" w14:textId="77777777" w:rsidR="00416253" w:rsidRDefault="00416253" w:rsidP="00416253">
            <w:pPr>
              <w:pStyle w:val="TableParagraph"/>
              <w:spacing w:line="200" w:lineRule="exact"/>
              <w:rPr>
                <w:sz w:val="18"/>
              </w:rPr>
            </w:pPr>
            <w:r>
              <w:rPr>
                <w:sz w:val="18"/>
              </w:rPr>
              <w:t>Finance income</w:t>
            </w:r>
          </w:p>
        </w:tc>
        <w:tc>
          <w:tcPr>
            <w:tcW w:w="680" w:type="dxa"/>
          </w:tcPr>
          <w:p w14:paraId="0CFE4AE9" w14:textId="2F49A2FB" w:rsidR="00416253" w:rsidRPr="00123C38" w:rsidRDefault="002D3D01" w:rsidP="00416253">
            <w:pPr>
              <w:pStyle w:val="Subtitle"/>
              <w:rPr>
                <w:rFonts w:cstheme="minorHAnsi"/>
                <w:b w:val="0"/>
                <w:bCs/>
              </w:rPr>
            </w:pPr>
            <w:r>
              <w:rPr>
                <w:rFonts w:cstheme="minorHAnsi"/>
                <w:b w:val="0"/>
                <w:bCs/>
              </w:rPr>
              <w:t>5</w:t>
            </w:r>
          </w:p>
        </w:tc>
        <w:tc>
          <w:tcPr>
            <w:tcW w:w="1134" w:type="dxa"/>
          </w:tcPr>
          <w:p w14:paraId="128C7748" w14:textId="77777777" w:rsidR="00416253" w:rsidRPr="004F0499" w:rsidRDefault="00FD3735" w:rsidP="00416253">
            <w:pPr>
              <w:pStyle w:val="Subtitle"/>
              <w:rPr>
                <w:rFonts w:cstheme="minorHAnsi"/>
              </w:rPr>
            </w:pPr>
            <w:r>
              <w:rPr>
                <w:rFonts w:cstheme="minorHAnsi"/>
              </w:rPr>
              <w:t>(0.1)</w:t>
            </w:r>
          </w:p>
        </w:tc>
        <w:tc>
          <w:tcPr>
            <w:tcW w:w="1134" w:type="dxa"/>
          </w:tcPr>
          <w:p w14:paraId="31C8C632" w14:textId="77777777" w:rsidR="00416253" w:rsidRPr="00416253" w:rsidRDefault="00416253" w:rsidP="00416253">
            <w:pPr>
              <w:pStyle w:val="Subtitle"/>
              <w:rPr>
                <w:rFonts w:cstheme="minorHAnsi"/>
                <w:b w:val="0"/>
              </w:rPr>
            </w:pPr>
            <w:r w:rsidRPr="00416253">
              <w:rPr>
                <w:rFonts w:cstheme="minorHAnsi"/>
                <w:b w:val="0"/>
              </w:rPr>
              <w:t>(0.1)</w:t>
            </w:r>
          </w:p>
        </w:tc>
      </w:tr>
      <w:tr w:rsidR="00416253" w14:paraId="1D259652" w14:textId="77777777" w:rsidTr="005B36AA">
        <w:trPr>
          <w:trHeight w:val="227"/>
        </w:trPr>
        <w:tc>
          <w:tcPr>
            <w:tcW w:w="7257" w:type="dxa"/>
            <w:vAlign w:val="bottom"/>
          </w:tcPr>
          <w:p w14:paraId="7F63FC47" w14:textId="77777777" w:rsidR="00416253" w:rsidRDefault="00416253" w:rsidP="00416253">
            <w:pPr>
              <w:pStyle w:val="TableParagraph"/>
              <w:spacing w:line="200" w:lineRule="exact"/>
              <w:rPr>
                <w:sz w:val="18"/>
              </w:rPr>
            </w:pPr>
            <w:r>
              <w:rPr>
                <w:sz w:val="18"/>
              </w:rPr>
              <w:t>Finance costs</w:t>
            </w:r>
          </w:p>
        </w:tc>
        <w:tc>
          <w:tcPr>
            <w:tcW w:w="680" w:type="dxa"/>
          </w:tcPr>
          <w:p w14:paraId="39D21B9E" w14:textId="36FE4782" w:rsidR="00416253" w:rsidRPr="00123C38" w:rsidRDefault="002D3D01" w:rsidP="00416253">
            <w:pPr>
              <w:pStyle w:val="Subtitle"/>
              <w:rPr>
                <w:rFonts w:cstheme="minorHAnsi"/>
                <w:b w:val="0"/>
                <w:bCs/>
              </w:rPr>
            </w:pPr>
            <w:r>
              <w:rPr>
                <w:rFonts w:cstheme="minorHAnsi"/>
                <w:b w:val="0"/>
                <w:bCs/>
              </w:rPr>
              <w:t>5</w:t>
            </w:r>
          </w:p>
        </w:tc>
        <w:tc>
          <w:tcPr>
            <w:tcW w:w="1134" w:type="dxa"/>
          </w:tcPr>
          <w:p w14:paraId="4C7A3E8F" w14:textId="77777777" w:rsidR="00416253" w:rsidRPr="004F0499" w:rsidRDefault="00FD3735" w:rsidP="00416253">
            <w:pPr>
              <w:pStyle w:val="Subtitle"/>
              <w:rPr>
                <w:rFonts w:cstheme="minorHAnsi"/>
              </w:rPr>
            </w:pPr>
            <w:r>
              <w:rPr>
                <w:rFonts w:cstheme="minorHAnsi"/>
              </w:rPr>
              <w:t>19.1</w:t>
            </w:r>
          </w:p>
        </w:tc>
        <w:tc>
          <w:tcPr>
            <w:tcW w:w="1134" w:type="dxa"/>
          </w:tcPr>
          <w:p w14:paraId="08BEDCB4" w14:textId="77777777" w:rsidR="00416253" w:rsidRPr="00416253" w:rsidRDefault="00416253" w:rsidP="00416253">
            <w:pPr>
              <w:pStyle w:val="Subtitle"/>
              <w:rPr>
                <w:rFonts w:cstheme="minorHAnsi"/>
                <w:b w:val="0"/>
              </w:rPr>
            </w:pPr>
            <w:r w:rsidRPr="00416253">
              <w:rPr>
                <w:rFonts w:cstheme="minorHAnsi"/>
                <w:b w:val="0"/>
              </w:rPr>
              <w:t>17.3</w:t>
            </w:r>
          </w:p>
        </w:tc>
      </w:tr>
      <w:tr w:rsidR="00416253" w14:paraId="1CBC9FB6" w14:textId="77777777" w:rsidTr="005B36AA">
        <w:trPr>
          <w:trHeight w:val="227"/>
        </w:trPr>
        <w:tc>
          <w:tcPr>
            <w:tcW w:w="7257" w:type="dxa"/>
            <w:vAlign w:val="bottom"/>
          </w:tcPr>
          <w:p w14:paraId="460492B8" w14:textId="77777777" w:rsidR="00416253" w:rsidRDefault="00416253" w:rsidP="00416253">
            <w:pPr>
              <w:pStyle w:val="TableParagraph"/>
              <w:spacing w:line="200" w:lineRule="exact"/>
              <w:rPr>
                <w:sz w:val="18"/>
              </w:rPr>
            </w:pPr>
            <w:r>
              <w:rPr>
                <w:sz w:val="18"/>
              </w:rPr>
              <w:t>Share of profit of associates after tax</w:t>
            </w:r>
          </w:p>
        </w:tc>
        <w:tc>
          <w:tcPr>
            <w:tcW w:w="680" w:type="dxa"/>
          </w:tcPr>
          <w:p w14:paraId="387D68E6" w14:textId="77777777" w:rsidR="00416253" w:rsidRPr="00123C38" w:rsidRDefault="00416253" w:rsidP="00416253">
            <w:pPr>
              <w:pStyle w:val="Subtitle"/>
              <w:rPr>
                <w:rFonts w:cstheme="minorHAnsi"/>
                <w:b w:val="0"/>
                <w:bCs/>
              </w:rPr>
            </w:pPr>
          </w:p>
        </w:tc>
        <w:tc>
          <w:tcPr>
            <w:tcW w:w="1134" w:type="dxa"/>
          </w:tcPr>
          <w:p w14:paraId="3E2E010B" w14:textId="77777777" w:rsidR="00416253" w:rsidRPr="004F0499" w:rsidRDefault="00FD3735" w:rsidP="00416253">
            <w:pPr>
              <w:pStyle w:val="Subtitle"/>
              <w:rPr>
                <w:rFonts w:cstheme="minorHAnsi"/>
              </w:rPr>
            </w:pPr>
            <w:r w:rsidRPr="0022291E">
              <w:rPr>
                <w:rFonts w:cstheme="minorHAnsi"/>
              </w:rPr>
              <w:t>–</w:t>
            </w:r>
          </w:p>
        </w:tc>
        <w:tc>
          <w:tcPr>
            <w:tcW w:w="1134" w:type="dxa"/>
          </w:tcPr>
          <w:p w14:paraId="05EAD366" w14:textId="77777777" w:rsidR="00416253" w:rsidRPr="00416253" w:rsidRDefault="00416253" w:rsidP="00416253">
            <w:pPr>
              <w:pStyle w:val="Subtitle"/>
              <w:rPr>
                <w:rFonts w:cstheme="minorHAnsi"/>
                <w:b w:val="0"/>
              </w:rPr>
            </w:pPr>
            <w:r w:rsidRPr="00416253">
              <w:rPr>
                <w:rFonts w:cstheme="minorHAnsi"/>
                <w:b w:val="0"/>
              </w:rPr>
              <w:t>(0.6)</w:t>
            </w:r>
          </w:p>
        </w:tc>
      </w:tr>
      <w:tr w:rsidR="00416253" w14:paraId="4227E5AF" w14:textId="77777777" w:rsidTr="005B36AA">
        <w:trPr>
          <w:trHeight w:val="227"/>
        </w:trPr>
        <w:tc>
          <w:tcPr>
            <w:tcW w:w="7257" w:type="dxa"/>
            <w:tcBorders>
              <w:bottom w:val="single" w:sz="4" w:space="0" w:color="000000"/>
            </w:tcBorders>
            <w:vAlign w:val="bottom"/>
          </w:tcPr>
          <w:p w14:paraId="0B47D0AD" w14:textId="77777777" w:rsidR="00416253" w:rsidRDefault="00416253" w:rsidP="00416253">
            <w:pPr>
              <w:pStyle w:val="TableParagraph"/>
              <w:spacing w:line="182" w:lineRule="exact"/>
              <w:rPr>
                <w:sz w:val="18"/>
              </w:rPr>
            </w:pPr>
            <w:r>
              <w:rPr>
                <w:sz w:val="18"/>
              </w:rPr>
              <w:t>Exceptional items</w:t>
            </w:r>
          </w:p>
        </w:tc>
        <w:tc>
          <w:tcPr>
            <w:tcW w:w="680" w:type="dxa"/>
            <w:tcBorders>
              <w:bottom w:val="single" w:sz="4" w:space="0" w:color="000000"/>
            </w:tcBorders>
          </w:tcPr>
          <w:p w14:paraId="5D1D423B" w14:textId="77777777" w:rsidR="00416253" w:rsidRPr="00123C38" w:rsidRDefault="003F4CA8" w:rsidP="00416253">
            <w:pPr>
              <w:pStyle w:val="Subtitle"/>
              <w:rPr>
                <w:rFonts w:cstheme="minorHAnsi"/>
                <w:b w:val="0"/>
                <w:bCs/>
              </w:rPr>
            </w:pPr>
            <w:r>
              <w:rPr>
                <w:rFonts w:cstheme="minorHAnsi"/>
                <w:b w:val="0"/>
                <w:bCs/>
              </w:rPr>
              <w:t>4</w:t>
            </w:r>
          </w:p>
        </w:tc>
        <w:tc>
          <w:tcPr>
            <w:tcW w:w="1134" w:type="dxa"/>
            <w:tcBorders>
              <w:bottom w:val="single" w:sz="4" w:space="0" w:color="000000"/>
            </w:tcBorders>
          </w:tcPr>
          <w:p w14:paraId="4682B2EA" w14:textId="77777777" w:rsidR="00416253" w:rsidRPr="004F0499" w:rsidRDefault="00FD3735" w:rsidP="00416253">
            <w:pPr>
              <w:pStyle w:val="Subtitle"/>
              <w:rPr>
                <w:rFonts w:cstheme="minorHAnsi"/>
              </w:rPr>
            </w:pPr>
            <w:r>
              <w:rPr>
                <w:rFonts w:cstheme="minorHAnsi"/>
              </w:rPr>
              <w:t>(11.7)</w:t>
            </w:r>
          </w:p>
        </w:tc>
        <w:tc>
          <w:tcPr>
            <w:tcW w:w="1134" w:type="dxa"/>
            <w:tcBorders>
              <w:bottom w:val="single" w:sz="4" w:space="0" w:color="000000"/>
            </w:tcBorders>
          </w:tcPr>
          <w:p w14:paraId="1F16A0EA" w14:textId="77777777" w:rsidR="00416253" w:rsidRPr="00416253" w:rsidRDefault="00416253" w:rsidP="00416253">
            <w:pPr>
              <w:pStyle w:val="Subtitle"/>
              <w:rPr>
                <w:rFonts w:cstheme="minorHAnsi"/>
                <w:b w:val="0"/>
              </w:rPr>
            </w:pPr>
            <w:r w:rsidRPr="00416253">
              <w:rPr>
                <w:rFonts w:cstheme="minorHAnsi"/>
                <w:b w:val="0"/>
              </w:rPr>
              <w:t>22.8</w:t>
            </w:r>
          </w:p>
        </w:tc>
      </w:tr>
      <w:tr w:rsidR="00416253" w14:paraId="36C1BA4E" w14:textId="77777777" w:rsidTr="005B36AA">
        <w:trPr>
          <w:trHeight w:val="227"/>
        </w:trPr>
        <w:tc>
          <w:tcPr>
            <w:tcW w:w="7257" w:type="dxa"/>
            <w:tcBorders>
              <w:top w:val="single" w:sz="4" w:space="0" w:color="000000"/>
            </w:tcBorders>
            <w:vAlign w:val="bottom"/>
          </w:tcPr>
          <w:p w14:paraId="0FA338A7" w14:textId="77777777" w:rsidR="00416253" w:rsidRDefault="00416253" w:rsidP="00416253">
            <w:pPr>
              <w:pStyle w:val="TableParagraph"/>
              <w:spacing w:line="216" w:lineRule="exact"/>
              <w:rPr>
                <w:b/>
                <w:sz w:val="18"/>
              </w:rPr>
            </w:pPr>
            <w:r>
              <w:rPr>
                <w:b/>
                <w:sz w:val="18"/>
              </w:rPr>
              <w:t>Operating profit (pre-exceptional)</w:t>
            </w:r>
          </w:p>
        </w:tc>
        <w:tc>
          <w:tcPr>
            <w:tcW w:w="680" w:type="dxa"/>
            <w:tcBorders>
              <w:top w:val="single" w:sz="4" w:space="0" w:color="000000"/>
            </w:tcBorders>
          </w:tcPr>
          <w:p w14:paraId="03C11C7D" w14:textId="77777777" w:rsidR="00416253" w:rsidRPr="00123C38" w:rsidRDefault="00416253" w:rsidP="00416253">
            <w:pPr>
              <w:pStyle w:val="Subtitle"/>
              <w:rPr>
                <w:rFonts w:cstheme="minorHAnsi"/>
              </w:rPr>
            </w:pPr>
          </w:p>
        </w:tc>
        <w:tc>
          <w:tcPr>
            <w:tcW w:w="1134" w:type="dxa"/>
            <w:tcBorders>
              <w:top w:val="single" w:sz="4" w:space="0" w:color="000000"/>
            </w:tcBorders>
          </w:tcPr>
          <w:p w14:paraId="226E9545" w14:textId="77777777" w:rsidR="00416253" w:rsidRPr="004F0499" w:rsidRDefault="00FD3735" w:rsidP="00416253">
            <w:pPr>
              <w:pStyle w:val="Subtitle"/>
              <w:rPr>
                <w:rFonts w:cstheme="minorHAnsi"/>
              </w:rPr>
            </w:pPr>
            <w:r>
              <w:rPr>
                <w:rFonts w:cstheme="minorHAnsi"/>
              </w:rPr>
              <w:t>35.1</w:t>
            </w:r>
          </w:p>
        </w:tc>
        <w:tc>
          <w:tcPr>
            <w:tcW w:w="1134" w:type="dxa"/>
            <w:tcBorders>
              <w:top w:val="single" w:sz="4" w:space="0" w:color="000000"/>
            </w:tcBorders>
          </w:tcPr>
          <w:p w14:paraId="076131D7" w14:textId="77777777" w:rsidR="00416253" w:rsidRPr="00416253" w:rsidRDefault="00416253" w:rsidP="00416253">
            <w:pPr>
              <w:pStyle w:val="Subtitle"/>
              <w:rPr>
                <w:rFonts w:cstheme="minorHAnsi"/>
                <w:b w:val="0"/>
              </w:rPr>
            </w:pPr>
            <w:r w:rsidRPr="00416253">
              <w:rPr>
                <w:rFonts w:cstheme="minorHAnsi"/>
                <w:b w:val="0"/>
              </w:rPr>
              <w:t>28.6</w:t>
            </w:r>
          </w:p>
        </w:tc>
      </w:tr>
      <w:tr w:rsidR="00416253" w14:paraId="1DB745CC" w14:textId="77777777" w:rsidTr="005B36AA">
        <w:trPr>
          <w:trHeight w:val="227"/>
        </w:trPr>
        <w:tc>
          <w:tcPr>
            <w:tcW w:w="7257" w:type="dxa"/>
            <w:vAlign w:val="bottom"/>
          </w:tcPr>
          <w:p w14:paraId="41151AD4" w14:textId="2B4C61D7" w:rsidR="00416253" w:rsidRDefault="00F73561" w:rsidP="00F73561">
            <w:pPr>
              <w:pStyle w:val="TableParagraph"/>
              <w:spacing w:line="200" w:lineRule="exact"/>
              <w:rPr>
                <w:sz w:val="18"/>
              </w:rPr>
            </w:pPr>
            <w:r>
              <w:rPr>
                <w:sz w:val="18"/>
              </w:rPr>
              <w:t>Depreciation</w:t>
            </w:r>
            <w:r w:rsidR="00AD6E4F">
              <w:rPr>
                <w:sz w:val="18"/>
              </w:rPr>
              <w:t xml:space="preserve"> and impairment</w:t>
            </w:r>
            <w:r>
              <w:rPr>
                <w:sz w:val="18"/>
              </w:rPr>
              <w:t xml:space="preserve"> of property, plant and equipment (including right-of-use assets)</w:t>
            </w:r>
            <w:r w:rsidR="00E358A8">
              <w:rPr>
                <w:sz w:val="18"/>
              </w:rPr>
              <w:t xml:space="preserve"> </w:t>
            </w:r>
          </w:p>
        </w:tc>
        <w:tc>
          <w:tcPr>
            <w:tcW w:w="680" w:type="dxa"/>
          </w:tcPr>
          <w:p w14:paraId="61B2FE58" w14:textId="77777777" w:rsidR="00416253" w:rsidRPr="00123C38" w:rsidRDefault="00416253" w:rsidP="00416253">
            <w:pPr>
              <w:pStyle w:val="Subtitle"/>
              <w:rPr>
                <w:rFonts w:cstheme="minorHAnsi"/>
                <w:b w:val="0"/>
                <w:bCs/>
              </w:rPr>
            </w:pPr>
          </w:p>
        </w:tc>
        <w:tc>
          <w:tcPr>
            <w:tcW w:w="1134" w:type="dxa"/>
          </w:tcPr>
          <w:p w14:paraId="2AD4732D" w14:textId="77777777" w:rsidR="00416253" w:rsidRPr="004F0499" w:rsidRDefault="00E358A8" w:rsidP="00416253">
            <w:pPr>
              <w:pStyle w:val="Subtitle"/>
              <w:rPr>
                <w:rFonts w:cstheme="minorHAnsi"/>
              </w:rPr>
            </w:pPr>
            <w:r>
              <w:rPr>
                <w:rFonts w:cstheme="minorHAnsi"/>
              </w:rPr>
              <w:t>54.6</w:t>
            </w:r>
          </w:p>
        </w:tc>
        <w:tc>
          <w:tcPr>
            <w:tcW w:w="1134" w:type="dxa"/>
          </w:tcPr>
          <w:p w14:paraId="33534CD5" w14:textId="77777777" w:rsidR="00416253" w:rsidRPr="00416253" w:rsidRDefault="00416253" w:rsidP="00416253">
            <w:pPr>
              <w:pStyle w:val="Subtitle"/>
              <w:rPr>
                <w:rFonts w:cstheme="minorHAnsi"/>
                <w:b w:val="0"/>
              </w:rPr>
            </w:pPr>
            <w:r w:rsidRPr="00416253">
              <w:rPr>
                <w:rFonts w:cstheme="minorHAnsi"/>
                <w:b w:val="0"/>
              </w:rPr>
              <w:t>49.6</w:t>
            </w:r>
          </w:p>
        </w:tc>
      </w:tr>
      <w:tr w:rsidR="00416253" w14:paraId="55626E17" w14:textId="77777777" w:rsidTr="005B36AA">
        <w:trPr>
          <w:trHeight w:val="60"/>
        </w:trPr>
        <w:tc>
          <w:tcPr>
            <w:tcW w:w="7257" w:type="dxa"/>
            <w:vAlign w:val="bottom"/>
          </w:tcPr>
          <w:p w14:paraId="1AFD625A" w14:textId="77777777" w:rsidR="00416253" w:rsidRDefault="00416253" w:rsidP="00416253">
            <w:pPr>
              <w:pStyle w:val="TableParagraph"/>
              <w:spacing w:line="200" w:lineRule="exact"/>
              <w:rPr>
                <w:sz w:val="18"/>
              </w:rPr>
            </w:pPr>
            <w:r>
              <w:rPr>
                <w:sz w:val="18"/>
              </w:rPr>
              <w:t>Amortisation of intangible assets</w:t>
            </w:r>
          </w:p>
        </w:tc>
        <w:tc>
          <w:tcPr>
            <w:tcW w:w="680" w:type="dxa"/>
          </w:tcPr>
          <w:p w14:paraId="05B2D5DD" w14:textId="77777777" w:rsidR="00416253" w:rsidRPr="00123C38" w:rsidRDefault="00416253" w:rsidP="00416253">
            <w:pPr>
              <w:pStyle w:val="Subtitle"/>
              <w:rPr>
                <w:rFonts w:cstheme="minorHAnsi"/>
                <w:b w:val="0"/>
                <w:bCs/>
              </w:rPr>
            </w:pPr>
          </w:p>
        </w:tc>
        <w:tc>
          <w:tcPr>
            <w:tcW w:w="1134" w:type="dxa"/>
          </w:tcPr>
          <w:p w14:paraId="38C3377B" w14:textId="77777777" w:rsidR="00416253" w:rsidRPr="004F0499" w:rsidRDefault="00FD3735" w:rsidP="00416253">
            <w:pPr>
              <w:pStyle w:val="Subtitle"/>
              <w:rPr>
                <w:rFonts w:cstheme="minorHAnsi"/>
              </w:rPr>
            </w:pPr>
            <w:r>
              <w:rPr>
                <w:rFonts w:cstheme="minorHAnsi"/>
              </w:rPr>
              <w:t>7.0</w:t>
            </w:r>
          </w:p>
        </w:tc>
        <w:tc>
          <w:tcPr>
            <w:tcW w:w="1134" w:type="dxa"/>
          </w:tcPr>
          <w:p w14:paraId="34344C5D" w14:textId="77777777" w:rsidR="00416253" w:rsidRPr="00416253" w:rsidRDefault="00416253" w:rsidP="00416253">
            <w:pPr>
              <w:pStyle w:val="Subtitle"/>
              <w:rPr>
                <w:rFonts w:cstheme="minorHAnsi"/>
                <w:b w:val="0"/>
              </w:rPr>
            </w:pPr>
            <w:r w:rsidRPr="00416253">
              <w:rPr>
                <w:rFonts w:cstheme="minorHAnsi"/>
                <w:b w:val="0"/>
              </w:rPr>
              <w:t>6.8</w:t>
            </w:r>
          </w:p>
        </w:tc>
      </w:tr>
      <w:tr w:rsidR="00416253" w14:paraId="53F9128E" w14:textId="77777777" w:rsidTr="005B36AA">
        <w:trPr>
          <w:trHeight w:val="227"/>
        </w:trPr>
        <w:tc>
          <w:tcPr>
            <w:tcW w:w="7257" w:type="dxa"/>
            <w:vAlign w:val="bottom"/>
          </w:tcPr>
          <w:p w14:paraId="3C264E2F" w14:textId="77777777" w:rsidR="00416253" w:rsidRDefault="00416253" w:rsidP="00416253">
            <w:pPr>
              <w:pStyle w:val="TableParagraph"/>
              <w:spacing w:line="200" w:lineRule="exact"/>
              <w:rPr>
                <w:sz w:val="18"/>
              </w:rPr>
            </w:pPr>
            <w:r>
              <w:rPr>
                <w:sz w:val="18"/>
              </w:rPr>
              <w:t>Employee share-based payment expense</w:t>
            </w:r>
          </w:p>
        </w:tc>
        <w:tc>
          <w:tcPr>
            <w:tcW w:w="680" w:type="dxa"/>
          </w:tcPr>
          <w:p w14:paraId="24923525" w14:textId="77777777" w:rsidR="00416253" w:rsidRPr="00123C38" w:rsidRDefault="00416253" w:rsidP="00416253">
            <w:pPr>
              <w:pStyle w:val="Subtitle"/>
              <w:rPr>
                <w:rFonts w:cstheme="minorHAnsi"/>
                <w:b w:val="0"/>
                <w:bCs/>
              </w:rPr>
            </w:pPr>
          </w:p>
        </w:tc>
        <w:tc>
          <w:tcPr>
            <w:tcW w:w="1134" w:type="dxa"/>
          </w:tcPr>
          <w:p w14:paraId="180D9EA4" w14:textId="77777777" w:rsidR="00416253" w:rsidRPr="004F0499" w:rsidRDefault="00FD3735" w:rsidP="00416253">
            <w:pPr>
              <w:pStyle w:val="Subtitle"/>
              <w:rPr>
                <w:rFonts w:cstheme="minorHAnsi"/>
              </w:rPr>
            </w:pPr>
            <w:r>
              <w:rPr>
                <w:rFonts w:cstheme="minorHAnsi"/>
              </w:rPr>
              <w:t>2.1</w:t>
            </w:r>
          </w:p>
        </w:tc>
        <w:tc>
          <w:tcPr>
            <w:tcW w:w="1134" w:type="dxa"/>
          </w:tcPr>
          <w:p w14:paraId="5D8BB705" w14:textId="77777777" w:rsidR="00416253" w:rsidRPr="00416253" w:rsidRDefault="00416253" w:rsidP="00416253">
            <w:pPr>
              <w:pStyle w:val="Subtitle"/>
              <w:rPr>
                <w:rFonts w:cstheme="minorHAnsi"/>
                <w:b w:val="0"/>
              </w:rPr>
            </w:pPr>
            <w:r w:rsidRPr="00416253">
              <w:rPr>
                <w:rFonts w:cstheme="minorHAnsi"/>
                <w:b w:val="0"/>
              </w:rPr>
              <w:t>2.0</w:t>
            </w:r>
          </w:p>
        </w:tc>
      </w:tr>
      <w:tr w:rsidR="00416253" w14:paraId="4D202328" w14:textId="77777777" w:rsidTr="005B36AA">
        <w:trPr>
          <w:trHeight w:val="227"/>
        </w:trPr>
        <w:tc>
          <w:tcPr>
            <w:tcW w:w="7257" w:type="dxa"/>
            <w:vAlign w:val="bottom"/>
          </w:tcPr>
          <w:p w14:paraId="1549C654" w14:textId="77777777" w:rsidR="00416253" w:rsidRDefault="00416253" w:rsidP="00416253">
            <w:pPr>
              <w:pStyle w:val="TableParagraph"/>
              <w:spacing w:line="200" w:lineRule="exact"/>
              <w:rPr>
                <w:sz w:val="18"/>
              </w:rPr>
            </w:pPr>
            <w:r>
              <w:rPr>
                <w:sz w:val="18"/>
              </w:rPr>
              <w:t>Contributions to Group legacy defined benefit pension scheme</w:t>
            </w:r>
          </w:p>
        </w:tc>
        <w:tc>
          <w:tcPr>
            <w:tcW w:w="680" w:type="dxa"/>
          </w:tcPr>
          <w:p w14:paraId="4A4A37D7" w14:textId="77777777" w:rsidR="00416253" w:rsidRPr="00123C38" w:rsidRDefault="003F4CA8" w:rsidP="00416253">
            <w:pPr>
              <w:pStyle w:val="Subtitle"/>
              <w:rPr>
                <w:rFonts w:cstheme="minorHAnsi"/>
                <w:b w:val="0"/>
                <w:bCs/>
              </w:rPr>
            </w:pPr>
            <w:r>
              <w:rPr>
                <w:rFonts w:cstheme="minorHAnsi"/>
                <w:b w:val="0"/>
                <w:bCs/>
              </w:rPr>
              <w:t>9</w:t>
            </w:r>
          </w:p>
        </w:tc>
        <w:tc>
          <w:tcPr>
            <w:tcW w:w="1134" w:type="dxa"/>
          </w:tcPr>
          <w:p w14:paraId="1C4D1D35" w14:textId="77777777" w:rsidR="00416253" w:rsidRPr="004F0499" w:rsidRDefault="00FD3735" w:rsidP="00CD4E03">
            <w:pPr>
              <w:pStyle w:val="Subtitle"/>
              <w:rPr>
                <w:rFonts w:cstheme="minorHAnsi"/>
              </w:rPr>
            </w:pPr>
            <w:r>
              <w:rPr>
                <w:rFonts w:cstheme="minorHAnsi"/>
              </w:rPr>
              <w:t>(</w:t>
            </w:r>
            <w:r w:rsidR="00CD4E03">
              <w:rPr>
                <w:rFonts w:cstheme="minorHAnsi"/>
              </w:rPr>
              <w:t>7.0</w:t>
            </w:r>
            <w:r>
              <w:rPr>
                <w:rFonts w:cstheme="minorHAnsi"/>
              </w:rPr>
              <w:t>)</w:t>
            </w:r>
          </w:p>
        </w:tc>
        <w:tc>
          <w:tcPr>
            <w:tcW w:w="1134" w:type="dxa"/>
          </w:tcPr>
          <w:p w14:paraId="55663585" w14:textId="77777777" w:rsidR="00416253" w:rsidRPr="00416253" w:rsidRDefault="00416253" w:rsidP="00416253">
            <w:pPr>
              <w:pStyle w:val="Subtitle"/>
              <w:rPr>
                <w:rFonts w:cstheme="minorHAnsi"/>
                <w:b w:val="0"/>
              </w:rPr>
            </w:pPr>
            <w:r w:rsidRPr="00416253">
              <w:rPr>
                <w:rFonts w:cstheme="minorHAnsi"/>
                <w:b w:val="0"/>
              </w:rPr>
              <w:t>(9.4)</w:t>
            </w:r>
          </w:p>
        </w:tc>
      </w:tr>
      <w:tr w:rsidR="00416253" w14:paraId="4E8A7F92" w14:textId="77777777" w:rsidTr="005B36AA">
        <w:trPr>
          <w:trHeight w:val="60"/>
        </w:trPr>
        <w:tc>
          <w:tcPr>
            <w:tcW w:w="7257" w:type="dxa"/>
            <w:vAlign w:val="bottom"/>
          </w:tcPr>
          <w:p w14:paraId="64F18853" w14:textId="77777777" w:rsidR="00416253" w:rsidRDefault="00416253" w:rsidP="00416253">
            <w:pPr>
              <w:pStyle w:val="TableParagraph"/>
              <w:spacing w:line="201" w:lineRule="exact"/>
              <w:rPr>
                <w:sz w:val="18"/>
              </w:rPr>
            </w:pPr>
            <w:r>
              <w:rPr>
                <w:sz w:val="18"/>
              </w:rPr>
              <w:t>Working capital movement</w:t>
            </w:r>
          </w:p>
        </w:tc>
        <w:tc>
          <w:tcPr>
            <w:tcW w:w="680" w:type="dxa"/>
          </w:tcPr>
          <w:p w14:paraId="2107CD58" w14:textId="77777777" w:rsidR="00416253" w:rsidRPr="00123C38" w:rsidRDefault="00416253" w:rsidP="00416253">
            <w:pPr>
              <w:pStyle w:val="Subtitle"/>
              <w:rPr>
                <w:rFonts w:cstheme="minorHAnsi"/>
                <w:b w:val="0"/>
                <w:bCs/>
              </w:rPr>
            </w:pPr>
          </w:p>
        </w:tc>
        <w:tc>
          <w:tcPr>
            <w:tcW w:w="1134" w:type="dxa"/>
          </w:tcPr>
          <w:p w14:paraId="435D5FBE" w14:textId="77777777" w:rsidR="00416253" w:rsidRPr="004F0499" w:rsidRDefault="00FD3735" w:rsidP="00CD4E03">
            <w:pPr>
              <w:pStyle w:val="Subtitle"/>
              <w:rPr>
                <w:rFonts w:cstheme="minorHAnsi"/>
              </w:rPr>
            </w:pPr>
            <w:r>
              <w:rPr>
                <w:rFonts w:cstheme="minorHAnsi"/>
              </w:rPr>
              <w:t>33.</w:t>
            </w:r>
            <w:r w:rsidR="00F73561">
              <w:rPr>
                <w:rFonts w:cstheme="minorHAnsi"/>
              </w:rPr>
              <w:t>2</w:t>
            </w:r>
          </w:p>
        </w:tc>
        <w:tc>
          <w:tcPr>
            <w:tcW w:w="1134" w:type="dxa"/>
          </w:tcPr>
          <w:p w14:paraId="702ECD65" w14:textId="77777777" w:rsidR="00416253" w:rsidRPr="00416253" w:rsidRDefault="00416253" w:rsidP="00416253">
            <w:pPr>
              <w:pStyle w:val="Subtitle"/>
              <w:rPr>
                <w:rFonts w:cstheme="minorHAnsi"/>
                <w:b w:val="0"/>
              </w:rPr>
            </w:pPr>
            <w:r w:rsidRPr="00416253">
              <w:rPr>
                <w:rFonts w:cstheme="minorHAnsi"/>
                <w:b w:val="0"/>
              </w:rPr>
              <w:t>(46.1)</w:t>
            </w:r>
          </w:p>
        </w:tc>
      </w:tr>
      <w:tr w:rsidR="00416253" w14:paraId="187280E5" w14:textId="77777777" w:rsidTr="005B36AA">
        <w:trPr>
          <w:trHeight w:val="227"/>
        </w:trPr>
        <w:tc>
          <w:tcPr>
            <w:tcW w:w="7257" w:type="dxa"/>
            <w:tcBorders>
              <w:top w:val="single" w:sz="4" w:space="0" w:color="000000"/>
            </w:tcBorders>
            <w:vAlign w:val="bottom"/>
          </w:tcPr>
          <w:p w14:paraId="324CE2D3" w14:textId="77777777" w:rsidR="00416253" w:rsidRDefault="00416253" w:rsidP="00416253">
            <w:pPr>
              <w:pStyle w:val="TableParagraph"/>
              <w:spacing w:line="216" w:lineRule="exact"/>
              <w:rPr>
                <w:b/>
                <w:sz w:val="18"/>
              </w:rPr>
            </w:pPr>
            <w:r>
              <w:rPr>
                <w:b/>
                <w:sz w:val="18"/>
              </w:rPr>
              <w:t xml:space="preserve">Net cash inflow from operating activities before exceptional items </w:t>
            </w:r>
          </w:p>
        </w:tc>
        <w:tc>
          <w:tcPr>
            <w:tcW w:w="680" w:type="dxa"/>
            <w:tcBorders>
              <w:top w:val="single" w:sz="4" w:space="0" w:color="000000"/>
            </w:tcBorders>
          </w:tcPr>
          <w:p w14:paraId="4AA689E0" w14:textId="77777777" w:rsidR="00416253" w:rsidRPr="00123C38" w:rsidRDefault="00416253" w:rsidP="00416253">
            <w:pPr>
              <w:pStyle w:val="Subtitle"/>
              <w:rPr>
                <w:rFonts w:cstheme="minorHAnsi"/>
              </w:rPr>
            </w:pPr>
          </w:p>
        </w:tc>
        <w:tc>
          <w:tcPr>
            <w:tcW w:w="1134" w:type="dxa"/>
            <w:tcBorders>
              <w:top w:val="single" w:sz="4" w:space="0" w:color="000000"/>
            </w:tcBorders>
          </w:tcPr>
          <w:p w14:paraId="72042C51" w14:textId="77777777" w:rsidR="00416253" w:rsidRPr="004F0499" w:rsidRDefault="00FD3735" w:rsidP="00416253">
            <w:pPr>
              <w:pStyle w:val="Subtitle"/>
              <w:rPr>
                <w:rFonts w:cstheme="minorHAnsi"/>
              </w:rPr>
            </w:pPr>
            <w:r>
              <w:rPr>
                <w:rFonts w:cstheme="minorHAnsi"/>
              </w:rPr>
              <w:t>125.0</w:t>
            </w:r>
          </w:p>
        </w:tc>
        <w:tc>
          <w:tcPr>
            <w:tcW w:w="1134" w:type="dxa"/>
            <w:tcBorders>
              <w:top w:val="single" w:sz="4" w:space="0" w:color="000000"/>
            </w:tcBorders>
          </w:tcPr>
          <w:p w14:paraId="25250661" w14:textId="77777777" w:rsidR="00416253" w:rsidRPr="00416253" w:rsidRDefault="00416253" w:rsidP="00416253">
            <w:pPr>
              <w:pStyle w:val="Subtitle"/>
              <w:rPr>
                <w:rFonts w:cstheme="minorHAnsi"/>
                <w:b w:val="0"/>
              </w:rPr>
            </w:pPr>
            <w:r w:rsidRPr="00416253">
              <w:rPr>
                <w:rFonts w:cstheme="minorHAnsi"/>
                <w:b w:val="0"/>
              </w:rPr>
              <w:t>31.5</w:t>
            </w:r>
          </w:p>
        </w:tc>
      </w:tr>
      <w:tr w:rsidR="00416253" w14:paraId="298CEA9F" w14:textId="77777777" w:rsidTr="005B36AA">
        <w:trPr>
          <w:trHeight w:val="227"/>
        </w:trPr>
        <w:tc>
          <w:tcPr>
            <w:tcW w:w="7257" w:type="dxa"/>
            <w:vAlign w:val="bottom"/>
          </w:tcPr>
          <w:p w14:paraId="7BC799DE" w14:textId="77777777" w:rsidR="00416253" w:rsidRDefault="00416253" w:rsidP="00416253">
            <w:pPr>
              <w:pStyle w:val="TableParagraph"/>
              <w:spacing w:line="200" w:lineRule="exact"/>
              <w:rPr>
                <w:sz w:val="18"/>
              </w:rPr>
            </w:pPr>
            <w:r>
              <w:rPr>
                <w:sz w:val="18"/>
              </w:rPr>
              <w:t>Cash outflow related to exceptional items</w:t>
            </w:r>
          </w:p>
        </w:tc>
        <w:tc>
          <w:tcPr>
            <w:tcW w:w="680" w:type="dxa"/>
          </w:tcPr>
          <w:p w14:paraId="3366E132" w14:textId="77777777" w:rsidR="00416253" w:rsidRPr="00123C38" w:rsidRDefault="00416253" w:rsidP="00416253">
            <w:pPr>
              <w:pStyle w:val="Subtitle"/>
              <w:rPr>
                <w:rFonts w:cstheme="minorHAnsi"/>
                <w:b w:val="0"/>
                <w:bCs/>
              </w:rPr>
            </w:pPr>
          </w:p>
        </w:tc>
        <w:tc>
          <w:tcPr>
            <w:tcW w:w="1134" w:type="dxa"/>
          </w:tcPr>
          <w:p w14:paraId="0CDA0546" w14:textId="77777777" w:rsidR="00416253" w:rsidRPr="004F0499" w:rsidRDefault="00FD3735" w:rsidP="00416253">
            <w:pPr>
              <w:pStyle w:val="Subtitle"/>
              <w:rPr>
                <w:rFonts w:cstheme="minorHAnsi"/>
              </w:rPr>
            </w:pPr>
            <w:r>
              <w:rPr>
                <w:rFonts w:cstheme="minorHAnsi"/>
              </w:rPr>
              <w:t>(3.3)</w:t>
            </w:r>
          </w:p>
        </w:tc>
        <w:tc>
          <w:tcPr>
            <w:tcW w:w="1134" w:type="dxa"/>
          </w:tcPr>
          <w:p w14:paraId="2308F432" w14:textId="77777777" w:rsidR="00416253" w:rsidRPr="00416253" w:rsidRDefault="00416253" w:rsidP="00416253">
            <w:pPr>
              <w:pStyle w:val="Subtitle"/>
              <w:rPr>
                <w:rFonts w:cstheme="minorHAnsi"/>
                <w:b w:val="0"/>
              </w:rPr>
            </w:pPr>
            <w:r w:rsidRPr="00416253">
              <w:rPr>
                <w:rFonts w:cstheme="minorHAnsi"/>
                <w:b w:val="0"/>
              </w:rPr>
              <w:t>(10.1)</w:t>
            </w:r>
          </w:p>
        </w:tc>
      </w:tr>
      <w:tr w:rsidR="00416253" w14:paraId="4AF35BA3" w14:textId="77777777" w:rsidTr="005B36AA">
        <w:trPr>
          <w:trHeight w:val="227"/>
        </w:trPr>
        <w:tc>
          <w:tcPr>
            <w:tcW w:w="7257" w:type="dxa"/>
            <w:vAlign w:val="bottom"/>
          </w:tcPr>
          <w:p w14:paraId="1E11A20B" w14:textId="77777777" w:rsidR="00416253" w:rsidRDefault="00416253" w:rsidP="00416253">
            <w:pPr>
              <w:pStyle w:val="TableParagraph"/>
              <w:spacing w:line="200" w:lineRule="exact"/>
              <w:rPr>
                <w:sz w:val="18"/>
              </w:rPr>
            </w:pPr>
            <w:r>
              <w:rPr>
                <w:sz w:val="18"/>
              </w:rPr>
              <w:t>Interest paid (including lease liability interest)</w:t>
            </w:r>
          </w:p>
        </w:tc>
        <w:tc>
          <w:tcPr>
            <w:tcW w:w="680" w:type="dxa"/>
          </w:tcPr>
          <w:p w14:paraId="25823007" w14:textId="77777777" w:rsidR="00416253" w:rsidRPr="00123C38" w:rsidRDefault="00416253" w:rsidP="00416253">
            <w:pPr>
              <w:pStyle w:val="Subtitle"/>
              <w:rPr>
                <w:rFonts w:cstheme="minorHAnsi"/>
              </w:rPr>
            </w:pPr>
          </w:p>
        </w:tc>
        <w:tc>
          <w:tcPr>
            <w:tcW w:w="1134" w:type="dxa"/>
          </w:tcPr>
          <w:p w14:paraId="0E794095" w14:textId="77777777" w:rsidR="00416253" w:rsidRPr="004F0499" w:rsidRDefault="00FD3735" w:rsidP="00416253">
            <w:pPr>
              <w:pStyle w:val="Subtitle"/>
              <w:rPr>
                <w:rFonts w:cstheme="minorHAnsi"/>
              </w:rPr>
            </w:pPr>
            <w:r>
              <w:rPr>
                <w:rFonts w:cstheme="minorHAnsi"/>
              </w:rPr>
              <w:t>(18.8)</w:t>
            </w:r>
          </w:p>
        </w:tc>
        <w:tc>
          <w:tcPr>
            <w:tcW w:w="1134" w:type="dxa"/>
          </w:tcPr>
          <w:p w14:paraId="5CAF44E8" w14:textId="77777777" w:rsidR="00416253" w:rsidRPr="00416253" w:rsidRDefault="00416253" w:rsidP="00416253">
            <w:pPr>
              <w:pStyle w:val="Subtitle"/>
              <w:rPr>
                <w:rFonts w:cstheme="minorHAnsi"/>
                <w:b w:val="0"/>
              </w:rPr>
            </w:pPr>
            <w:r w:rsidRPr="00416253">
              <w:rPr>
                <w:rFonts w:cstheme="minorHAnsi"/>
                <w:b w:val="0"/>
              </w:rPr>
              <w:t>(14.3)</w:t>
            </w:r>
          </w:p>
        </w:tc>
      </w:tr>
      <w:tr w:rsidR="00416253" w14:paraId="0BBAF0D3" w14:textId="77777777" w:rsidTr="005B36AA">
        <w:trPr>
          <w:trHeight w:val="227"/>
        </w:trPr>
        <w:tc>
          <w:tcPr>
            <w:tcW w:w="7257" w:type="dxa"/>
            <w:tcBorders>
              <w:bottom w:val="single" w:sz="4" w:space="0" w:color="000000"/>
            </w:tcBorders>
            <w:vAlign w:val="bottom"/>
          </w:tcPr>
          <w:p w14:paraId="750F5082" w14:textId="77777777" w:rsidR="00416253" w:rsidRDefault="00416253" w:rsidP="00416253">
            <w:pPr>
              <w:pStyle w:val="TableParagraph"/>
              <w:spacing w:line="183" w:lineRule="exact"/>
              <w:rPr>
                <w:sz w:val="18"/>
              </w:rPr>
            </w:pPr>
            <w:r>
              <w:rPr>
                <w:sz w:val="18"/>
              </w:rPr>
              <w:t>Tax paid</w:t>
            </w:r>
          </w:p>
        </w:tc>
        <w:tc>
          <w:tcPr>
            <w:tcW w:w="680" w:type="dxa"/>
            <w:tcBorders>
              <w:bottom w:val="single" w:sz="4" w:space="0" w:color="000000"/>
            </w:tcBorders>
          </w:tcPr>
          <w:p w14:paraId="67907253" w14:textId="77777777" w:rsidR="00416253" w:rsidRPr="00123C38" w:rsidRDefault="00416253" w:rsidP="00416253">
            <w:pPr>
              <w:pStyle w:val="Subtitle"/>
              <w:rPr>
                <w:rFonts w:cstheme="minorHAnsi"/>
              </w:rPr>
            </w:pPr>
          </w:p>
        </w:tc>
        <w:tc>
          <w:tcPr>
            <w:tcW w:w="1134" w:type="dxa"/>
            <w:tcBorders>
              <w:bottom w:val="single" w:sz="4" w:space="0" w:color="000000"/>
            </w:tcBorders>
          </w:tcPr>
          <w:p w14:paraId="2B7ED7F5" w14:textId="77777777" w:rsidR="00416253" w:rsidRPr="004F0499" w:rsidRDefault="00FD3735" w:rsidP="00416253">
            <w:pPr>
              <w:pStyle w:val="Subtitle"/>
              <w:rPr>
                <w:rFonts w:cstheme="minorHAnsi"/>
              </w:rPr>
            </w:pPr>
            <w:r>
              <w:rPr>
                <w:rFonts w:cstheme="minorHAnsi"/>
              </w:rPr>
              <w:t>(0.2)</w:t>
            </w:r>
          </w:p>
        </w:tc>
        <w:tc>
          <w:tcPr>
            <w:tcW w:w="1134" w:type="dxa"/>
            <w:tcBorders>
              <w:bottom w:val="single" w:sz="4" w:space="0" w:color="000000"/>
            </w:tcBorders>
          </w:tcPr>
          <w:p w14:paraId="3C2FAADF" w14:textId="77777777" w:rsidR="00416253" w:rsidRPr="00416253" w:rsidRDefault="00416253" w:rsidP="00416253">
            <w:pPr>
              <w:pStyle w:val="Subtitle"/>
              <w:rPr>
                <w:rFonts w:cstheme="minorHAnsi"/>
                <w:b w:val="0"/>
              </w:rPr>
            </w:pPr>
            <w:r w:rsidRPr="00416253">
              <w:rPr>
                <w:rFonts w:cstheme="minorHAnsi"/>
                <w:b w:val="0"/>
              </w:rPr>
              <w:t>(4.6)</w:t>
            </w:r>
          </w:p>
        </w:tc>
      </w:tr>
      <w:tr w:rsidR="00416253" w14:paraId="6F448E54" w14:textId="77777777" w:rsidTr="005B36AA">
        <w:trPr>
          <w:trHeight w:val="227"/>
        </w:trPr>
        <w:tc>
          <w:tcPr>
            <w:tcW w:w="7257" w:type="dxa"/>
            <w:tcBorders>
              <w:top w:val="single" w:sz="4" w:space="0" w:color="000000"/>
              <w:bottom w:val="single" w:sz="8" w:space="0" w:color="auto"/>
            </w:tcBorders>
            <w:vAlign w:val="bottom"/>
          </w:tcPr>
          <w:p w14:paraId="1DB590E4" w14:textId="77777777" w:rsidR="00416253" w:rsidRDefault="00416253" w:rsidP="00416253">
            <w:pPr>
              <w:pStyle w:val="TableParagraph"/>
              <w:spacing w:line="198" w:lineRule="exact"/>
              <w:rPr>
                <w:b/>
                <w:sz w:val="18"/>
              </w:rPr>
            </w:pPr>
            <w:r>
              <w:rPr>
                <w:b/>
                <w:sz w:val="18"/>
              </w:rPr>
              <w:t>Net cash inflow from operating activities</w:t>
            </w:r>
          </w:p>
        </w:tc>
        <w:tc>
          <w:tcPr>
            <w:tcW w:w="680" w:type="dxa"/>
            <w:tcBorders>
              <w:top w:val="single" w:sz="4" w:space="0" w:color="000000"/>
              <w:bottom w:val="single" w:sz="8" w:space="0" w:color="auto"/>
            </w:tcBorders>
          </w:tcPr>
          <w:p w14:paraId="5984442F" w14:textId="77777777" w:rsidR="00416253" w:rsidRPr="00123C38" w:rsidRDefault="00416253" w:rsidP="00416253">
            <w:pPr>
              <w:pStyle w:val="Subtitle"/>
              <w:rPr>
                <w:rFonts w:cstheme="minorHAnsi"/>
              </w:rPr>
            </w:pPr>
          </w:p>
        </w:tc>
        <w:tc>
          <w:tcPr>
            <w:tcW w:w="1134" w:type="dxa"/>
            <w:tcBorders>
              <w:top w:val="single" w:sz="4" w:space="0" w:color="000000"/>
              <w:bottom w:val="single" w:sz="8" w:space="0" w:color="auto"/>
            </w:tcBorders>
          </w:tcPr>
          <w:p w14:paraId="4238923F" w14:textId="77777777" w:rsidR="00416253" w:rsidRPr="004F0499" w:rsidRDefault="00FD3735" w:rsidP="00416253">
            <w:pPr>
              <w:pStyle w:val="Subtitle"/>
              <w:rPr>
                <w:rFonts w:cstheme="minorHAnsi"/>
              </w:rPr>
            </w:pPr>
            <w:r>
              <w:rPr>
                <w:rFonts w:cstheme="minorHAnsi"/>
              </w:rPr>
              <w:t>102.7</w:t>
            </w:r>
          </w:p>
        </w:tc>
        <w:tc>
          <w:tcPr>
            <w:tcW w:w="1134" w:type="dxa"/>
            <w:tcBorders>
              <w:top w:val="single" w:sz="4" w:space="0" w:color="000000"/>
              <w:bottom w:val="single" w:sz="8" w:space="0" w:color="auto"/>
            </w:tcBorders>
          </w:tcPr>
          <w:p w14:paraId="0F4F4631" w14:textId="77777777" w:rsidR="00416253" w:rsidRPr="00416253" w:rsidRDefault="00416253" w:rsidP="00416253">
            <w:pPr>
              <w:pStyle w:val="Subtitle"/>
              <w:rPr>
                <w:rFonts w:cstheme="minorHAnsi"/>
                <w:b w:val="0"/>
              </w:rPr>
            </w:pPr>
            <w:r w:rsidRPr="00416253">
              <w:rPr>
                <w:rFonts w:cstheme="minorHAnsi"/>
                <w:b w:val="0"/>
              </w:rPr>
              <w:t>2.5</w:t>
            </w:r>
          </w:p>
        </w:tc>
      </w:tr>
      <w:tr w:rsidR="005B36AA" w14:paraId="199E20A6" w14:textId="77777777" w:rsidTr="005B36AA">
        <w:trPr>
          <w:trHeight w:val="227"/>
        </w:trPr>
        <w:tc>
          <w:tcPr>
            <w:tcW w:w="7257" w:type="dxa"/>
            <w:tcBorders>
              <w:top w:val="single" w:sz="8" w:space="0" w:color="auto"/>
            </w:tcBorders>
            <w:vAlign w:val="bottom"/>
          </w:tcPr>
          <w:p w14:paraId="34152620" w14:textId="77777777" w:rsidR="005B36AA" w:rsidRDefault="005B36AA" w:rsidP="005B36AA">
            <w:pPr>
              <w:pStyle w:val="TableParagraph"/>
              <w:spacing w:line="216" w:lineRule="exact"/>
              <w:rPr>
                <w:b/>
                <w:sz w:val="18"/>
              </w:rPr>
            </w:pPr>
          </w:p>
        </w:tc>
        <w:tc>
          <w:tcPr>
            <w:tcW w:w="680" w:type="dxa"/>
            <w:tcBorders>
              <w:top w:val="single" w:sz="8" w:space="0" w:color="auto"/>
            </w:tcBorders>
          </w:tcPr>
          <w:p w14:paraId="2A646BF9" w14:textId="77777777" w:rsidR="005B36AA" w:rsidRPr="00123C38" w:rsidRDefault="005B36AA" w:rsidP="005B36AA">
            <w:pPr>
              <w:pStyle w:val="Subtitle"/>
              <w:rPr>
                <w:rFonts w:cstheme="minorHAnsi"/>
              </w:rPr>
            </w:pPr>
          </w:p>
        </w:tc>
        <w:tc>
          <w:tcPr>
            <w:tcW w:w="1134" w:type="dxa"/>
            <w:tcBorders>
              <w:top w:val="single" w:sz="8" w:space="0" w:color="auto"/>
            </w:tcBorders>
          </w:tcPr>
          <w:p w14:paraId="698EFAD5" w14:textId="77777777" w:rsidR="005B36AA" w:rsidRPr="004F0499" w:rsidRDefault="005B36AA" w:rsidP="005B36AA">
            <w:pPr>
              <w:pStyle w:val="Subtitle"/>
              <w:rPr>
                <w:rFonts w:cstheme="minorHAnsi"/>
              </w:rPr>
            </w:pPr>
          </w:p>
        </w:tc>
        <w:tc>
          <w:tcPr>
            <w:tcW w:w="1134" w:type="dxa"/>
            <w:tcBorders>
              <w:top w:val="single" w:sz="8" w:space="0" w:color="auto"/>
            </w:tcBorders>
          </w:tcPr>
          <w:p w14:paraId="2D39B33E" w14:textId="77777777" w:rsidR="005B36AA" w:rsidRPr="00FA4C7A" w:rsidRDefault="005B36AA" w:rsidP="005B36AA">
            <w:pPr>
              <w:pStyle w:val="Subtitle"/>
              <w:rPr>
                <w:rFonts w:ascii="Times New Roman"/>
                <w:b w:val="0"/>
              </w:rPr>
            </w:pPr>
          </w:p>
        </w:tc>
      </w:tr>
      <w:tr w:rsidR="005B36AA" w14:paraId="61B9067B" w14:textId="77777777" w:rsidTr="005B36AA">
        <w:trPr>
          <w:trHeight w:val="227"/>
        </w:trPr>
        <w:tc>
          <w:tcPr>
            <w:tcW w:w="7257" w:type="dxa"/>
            <w:vAlign w:val="bottom"/>
          </w:tcPr>
          <w:p w14:paraId="625752F3" w14:textId="77777777" w:rsidR="005B36AA" w:rsidRDefault="005B36AA" w:rsidP="005B36AA">
            <w:pPr>
              <w:pStyle w:val="TableParagraph"/>
              <w:spacing w:line="216" w:lineRule="exact"/>
              <w:rPr>
                <w:b/>
                <w:sz w:val="18"/>
              </w:rPr>
            </w:pPr>
            <w:r>
              <w:rPr>
                <w:b/>
                <w:sz w:val="18"/>
              </w:rPr>
              <w:t>Cash flow from investing activities</w:t>
            </w:r>
          </w:p>
        </w:tc>
        <w:tc>
          <w:tcPr>
            <w:tcW w:w="680" w:type="dxa"/>
          </w:tcPr>
          <w:p w14:paraId="4B161B87" w14:textId="77777777" w:rsidR="005B36AA" w:rsidRPr="00123C38" w:rsidRDefault="005B36AA" w:rsidP="005B36AA">
            <w:pPr>
              <w:pStyle w:val="Subtitle"/>
              <w:rPr>
                <w:rFonts w:cstheme="minorHAnsi"/>
              </w:rPr>
            </w:pPr>
          </w:p>
        </w:tc>
        <w:tc>
          <w:tcPr>
            <w:tcW w:w="1134" w:type="dxa"/>
          </w:tcPr>
          <w:p w14:paraId="2A2AEF6C" w14:textId="77777777" w:rsidR="005B36AA" w:rsidRPr="004F0499" w:rsidRDefault="005B36AA" w:rsidP="005B36AA">
            <w:pPr>
              <w:pStyle w:val="Subtitle"/>
              <w:rPr>
                <w:rFonts w:cstheme="minorHAnsi"/>
              </w:rPr>
            </w:pPr>
          </w:p>
        </w:tc>
        <w:tc>
          <w:tcPr>
            <w:tcW w:w="1134" w:type="dxa"/>
          </w:tcPr>
          <w:p w14:paraId="4C2FD2DB" w14:textId="77777777" w:rsidR="005B36AA" w:rsidRPr="00FA4C7A" w:rsidRDefault="005B36AA" w:rsidP="005B36AA">
            <w:pPr>
              <w:pStyle w:val="Subtitle"/>
              <w:rPr>
                <w:rFonts w:ascii="Times New Roman"/>
                <w:b w:val="0"/>
              </w:rPr>
            </w:pPr>
          </w:p>
        </w:tc>
      </w:tr>
      <w:tr w:rsidR="00416253" w14:paraId="5635A31A" w14:textId="77777777" w:rsidTr="005B36AA">
        <w:trPr>
          <w:trHeight w:val="227"/>
        </w:trPr>
        <w:tc>
          <w:tcPr>
            <w:tcW w:w="7257" w:type="dxa"/>
            <w:vAlign w:val="bottom"/>
          </w:tcPr>
          <w:p w14:paraId="123A7E3E" w14:textId="77777777" w:rsidR="00416253" w:rsidRDefault="00416253" w:rsidP="00416253">
            <w:pPr>
              <w:pStyle w:val="TableParagraph"/>
              <w:spacing w:line="200" w:lineRule="exact"/>
              <w:rPr>
                <w:sz w:val="18"/>
              </w:rPr>
            </w:pPr>
            <w:r>
              <w:rPr>
                <w:sz w:val="18"/>
              </w:rPr>
              <w:t>Dividends received from associates</w:t>
            </w:r>
          </w:p>
        </w:tc>
        <w:tc>
          <w:tcPr>
            <w:tcW w:w="680" w:type="dxa"/>
          </w:tcPr>
          <w:p w14:paraId="6909D707" w14:textId="77777777" w:rsidR="00416253" w:rsidRPr="00123C38" w:rsidRDefault="00416253" w:rsidP="00416253">
            <w:pPr>
              <w:pStyle w:val="Subtitle"/>
              <w:rPr>
                <w:rFonts w:cstheme="minorHAnsi"/>
                <w:b w:val="0"/>
                <w:bCs/>
              </w:rPr>
            </w:pPr>
          </w:p>
        </w:tc>
        <w:tc>
          <w:tcPr>
            <w:tcW w:w="1134" w:type="dxa"/>
          </w:tcPr>
          <w:p w14:paraId="398B24D3" w14:textId="77777777" w:rsidR="00416253" w:rsidRPr="004F0499" w:rsidRDefault="00FD3735" w:rsidP="00416253">
            <w:pPr>
              <w:pStyle w:val="Subtitle"/>
              <w:rPr>
                <w:rFonts w:cstheme="minorHAnsi"/>
              </w:rPr>
            </w:pPr>
            <w:r w:rsidRPr="0022291E">
              <w:rPr>
                <w:rFonts w:cstheme="minorHAnsi"/>
              </w:rPr>
              <w:t>–</w:t>
            </w:r>
          </w:p>
        </w:tc>
        <w:tc>
          <w:tcPr>
            <w:tcW w:w="1134" w:type="dxa"/>
          </w:tcPr>
          <w:p w14:paraId="2A10811B" w14:textId="77777777" w:rsidR="00416253" w:rsidRPr="00416253" w:rsidRDefault="00416253" w:rsidP="00416253">
            <w:pPr>
              <w:pStyle w:val="Subtitle"/>
              <w:rPr>
                <w:rFonts w:cstheme="minorHAnsi"/>
                <w:b w:val="0"/>
              </w:rPr>
            </w:pPr>
            <w:r w:rsidRPr="00416253">
              <w:rPr>
                <w:rFonts w:cstheme="minorHAnsi"/>
                <w:b w:val="0"/>
              </w:rPr>
              <w:t>0.3</w:t>
            </w:r>
          </w:p>
        </w:tc>
      </w:tr>
      <w:tr w:rsidR="00416253" w14:paraId="0ABB0914" w14:textId="77777777" w:rsidTr="005B36AA">
        <w:trPr>
          <w:trHeight w:val="227"/>
        </w:trPr>
        <w:tc>
          <w:tcPr>
            <w:tcW w:w="7257" w:type="dxa"/>
            <w:vAlign w:val="bottom"/>
          </w:tcPr>
          <w:p w14:paraId="62BF026C" w14:textId="77777777" w:rsidR="00416253" w:rsidRDefault="00416253" w:rsidP="00416253">
            <w:pPr>
              <w:pStyle w:val="TableParagraph"/>
              <w:spacing w:line="200" w:lineRule="exact"/>
              <w:rPr>
                <w:sz w:val="18"/>
              </w:rPr>
            </w:pPr>
            <w:r>
              <w:rPr>
                <w:sz w:val="18"/>
              </w:rPr>
              <w:t>Purchase of property, plant and equipment</w:t>
            </w:r>
          </w:p>
        </w:tc>
        <w:tc>
          <w:tcPr>
            <w:tcW w:w="680" w:type="dxa"/>
          </w:tcPr>
          <w:p w14:paraId="54CCCB3D" w14:textId="77777777" w:rsidR="00416253" w:rsidRPr="00123C38" w:rsidRDefault="00416253" w:rsidP="00416253">
            <w:pPr>
              <w:pStyle w:val="Subtitle"/>
              <w:rPr>
                <w:rFonts w:cstheme="minorHAnsi"/>
                <w:b w:val="0"/>
                <w:bCs/>
              </w:rPr>
            </w:pPr>
          </w:p>
        </w:tc>
        <w:tc>
          <w:tcPr>
            <w:tcW w:w="1134" w:type="dxa"/>
          </w:tcPr>
          <w:p w14:paraId="4F9DD37A" w14:textId="2C52382B" w:rsidR="00416253" w:rsidRPr="004F0499" w:rsidRDefault="00FD3735" w:rsidP="00416253">
            <w:pPr>
              <w:pStyle w:val="Subtitle"/>
              <w:rPr>
                <w:rFonts w:cstheme="minorHAnsi"/>
              </w:rPr>
            </w:pPr>
            <w:r>
              <w:rPr>
                <w:rFonts w:cstheme="minorHAnsi"/>
              </w:rPr>
              <w:t>(37.</w:t>
            </w:r>
            <w:r w:rsidR="00AD6E4F">
              <w:rPr>
                <w:rFonts w:cstheme="minorHAnsi"/>
              </w:rPr>
              <w:t>1</w:t>
            </w:r>
            <w:r>
              <w:rPr>
                <w:rFonts w:cstheme="minorHAnsi"/>
              </w:rPr>
              <w:t>)</w:t>
            </w:r>
          </w:p>
        </w:tc>
        <w:tc>
          <w:tcPr>
            <w:tcW w:w="1134" w:type="dxa"/>
          </w:tcPr>
          <w:p w14:paraId="74C6D3DF" w14:textId="77777777" w:rsidR="00416253" w:rsidRPr="00416253" w:rsidRDefault="00416253" w:rsidP="00416253">
            <w:pPr>
              <w:pStyle w:val="Subtitle"/>
              <w:rPr>
                <w:rFonts w:cstheme="minorHAnsi"/>
                <w:b w:val="0"/>
              </w:rPr>
            </w:pPr>
            <w:r w:rsidRPr="00416253">
              <w:rPr>
                <w:rFonts w:cstheme="minorHAnsi"/>
                <w:b w:val="0"/>
              </w:rPr>
              <w:t>(29.8)</w:t>
            </w:r>
          </w:p>
        </w:tc>
      </w:tr>
      <w:tr w:rsidR="00416253" w14:paraId="0C360A94" w14:textId="77777777" w:rsidTr="005B36AA">
        <w:trPr>
          <w:trHeight w:val="227"/>
        </w:trPr>
        <w:tc>
          <w:tcPr>
            <w:tcW w:w="7257" w:type="dxa"/>
            <w:vAlign w:val="bottom"/>
          </w:tcPr>
          <w:p w14:paraId="4457E981" w14:textId="77777777" w:rsidR="00416253" w:rsidRDefault="00416253" w:rsidP="00416253">
            <w:pPr>
              <w:pStyle w:val="TableParagraph"/>
              <w:spacing w:line="200" w:lineRule="exact"/>
              <w:rPr>
                <w:sz w:val="18"/>
              </w:rPr>
            </w:pPr>
            <w:r>
              <w:rPr>
                <w:sz w:val="18"/>
              </w:rPr>
              <w:t>Purchase of intangible assets</w:t>
            </w:r>
          </w:p>
        </w:tc>
        <w:tc>
          <w:tcPr>
            <w:tcW w:w="680" w:type="dxa"/>
          </w:tcPr>
          <w:p w14:paraId="7BA5DE44" w14:textId="77777777" w:rsidR="00416253" w:rsidRPr="00123C38" w:rsidRDefault="00416253" w:rsidP="00416253">
            <w:pPr>
              <w:pStyle w:val="Subtitle"/>
              <w:rPr>
                <w:rFonts w:cstheme="minorHAnsi"/>
                <w:b w:val="0"/>
                <w:bCs/>
              </w:rPr>
            </w:pPr>
          </w:p>
        </w:tc>
        <w:tc>
          <w:tcPr>
            <w:tcW w:w="1134" w:type="dxa"/>
          </w:tcPr>
          <w:p w14:paraId="254CBFD4" w14:textId="694192E6" w:rsidR="00416253" w:rsidRPr="004F0499" w:rsidRDefault="00FD3735" w:rsidP="00416253">
            <w:pPr>
              <w:pStyle w:val="Subtitle"/>
              <w:rPr>
                <w:rFonts w:cstheme="minorHAnsi"/>
              </w:rPr>
            </w:pPr>
            <w:r>
              <w:rPr>
                <w:rFonts w:cstheme="minorHAnsi"/>
              </w:rPr>
              <w:t>(</w:t>
            </w:r>
            <w:r w:rsidR="00AD6E4F">
              <w:rPr>
                <w:rFonts w:cstheme="minorHAnsi"/>
              </w:rPr>
              <w:t>3.1</w:t>
            </w:r>
            <w:r>
              <w:rPr>
                <w:rFonts w:cstheme="minorHAnsi"/>
              </w:rPr>
              <w:t>)</w:t>
            </w:r>
          </w:p>
        </w:tc>
        <w:tc>
          <w:tcPr>
            <w:tcW w:w="1134" w:type="dxa"/>
          </w:tcPr>
          <w:p w14:paraId="0C67FBDD" w14:textId="77777777" w:rsidR="00416253" w:rsidRPr="00416253" w:rsidRDefault="00416253" w:rsidP="00416253">
            <w:pPr>
              <w:pStyle w:val="Subtitle"/>
              <w:rPr>
                <w:rFonts w:cstheme="minorHAnsi"/>
                <w:b w:val="0"/>
              </w:rPr>
            </w:pPr>
            <w:r w:rsidRPr="00416253">
              <w:rPr>
                <w:rFonts w:cstheme="minorHAnsi"/>
                <w:b w:val="0"/>
              </w:rPr>
              <w:t>(2.1)</w:t>
            </w:r>
          </w:p>
        </w:tc>
      </w:tr>
      <w:tr w:rsidR="00416253" w14:paraId="67C81A46" w14:textId="77777777" w:rsidTr="005B36AA">
        <w:trPr>
          <w:trHeight w:val="227"/>
        </w:trPr>
        <w:tc>
          <w:tcPr>
            <w:tcW w:w="7257" w:type="dxa"/>
            <w:vAlign w:val="bottom"/>
          </w:tcPr>
          <w:p w14:paraId="10409993" w14:textId="77777777" w:rsidR="00416253" w:rsidRDefault="00416253" w:rsidP="00416253">
            <w:pPr>
              <w:pStyle w:val="TableParagraph"/>
              <w:spacing w:line="182" w:lineRule="exact"/>
              <w:rPr>
                <w:sz w:val="18"/>
              </w:rPr>
            </w:pPr>
            <w:r>
              <w:rPr>
                <w:sz w:val="18"/>
              </w:rPr>
              <w:t>Disposal of undertakings</w:t>
            </w:r>
          </w:p>
        </w:tc>
        <w:tc>
          <w:tcPr>
            <w:tcW w:w="680" w:type="dxa"/>
          </w:tcPr>
          <w:p w14:paraId="19504CA9" w14:textId="77777777" w:rsidR="00416253" w:rsidRPr="00123C38" w:rsidRDefault="00416253" w:rsidP="00416253">
            <w:pPr>
              <w:pStyle w:val="Subtitle"/>
              <w:rPr>
                <w:rFonts w:cstheme="minorHAnsi"/>
                <w:b w:val="0"/>
                <w:bCs/>
              </w:rPr>
            </w:pPr>
          </w:p>
        </w:tc>
        <w:tc>
          <w:tcPr>
            <w:tcW w:w="1134" w:type="dxa"/>
          </w:tcPr>
          <w:p w14:paraId="3899A1F9" w14:textId="77777777" w:rsidR="00416253" w:rsidRPr="004F0499" w:rsidRDefault="00FD3735" w:rsidP="00416253">
            <w:pPr>
              <w:pStyle w:val="Subtitle"/>
              <w:rPr>
                <w:rFonts w:cstheme="minorHAnsi"/>
              </w:rPr>
            </w:pPr>
            <w:r>
              <w:rPr>
                <w:rFonts w:cstheme="minorHAnsi"/>
              </w:rPr>
              <w:t>16.3</w:t>
            </w:r>
          </w:p>
        </w:tc>
        <w:tc>
          <w:tcPr>
            <w:tcW w:w="1134" w:type="dxa"/>
          </w:tcPr>
          <w:p w14:paraId="78E7983B" w14:textId="77777777" w:rsidR="00416253" w:rsidRPr="00416253" w:rsidRDefault="00416253" w:rsidP="00416253">
            <w:pPr>
              <w:pStyle w:val="Subtitle"/>
              <w:rPr>
                <w:rFonts w:cstheme="minorHAnsi"/>
                <w:b w:val="0"/>
              </w:rPr>
            </w:pPr>
            <w:r w:rsidRPr="00416253">
              <w:rPr>
                <w:b w:val="0"/>
              </w:rPr>
              <w:t>–</w:t>
            </w:r>
          </w:p>
        </w:tc>
      </w:tr>
      <w:tr w:rsidR="00416253" w14:paraId="13A4335B" w14:textId="77777777" w:rsidTr="005B36AA">
        <w:trPr>
          <w:trHeight w:val="227"/>
        </w:trPr>
        <w:tc>
          <w:tcPr>
            <w:tcW w:w="7257" w:type="dxa"/>
            <w:tcBorders>
              <w:bottom w:val="single" w:sz="4" w:space="0" w:color="000000"/>
            </w:tcBorders>
            <w:vAlign w:val="bottom"/>
          </w:tcPr>
          <w:p w14:paraId="02A4DF9A" w14:textId="77777777" w:rsidR="00416253" w:rsidRDefault="00416253" w:rsidP="00416253">
            <w:pPr>
              <w:pStyle w:val="TableParagraph"/>
              <w:spacing w:line="182" w:lineRule="exact"/>
              <w:rPr>
                <w:sz w:val="18"/>
              </w:rPr>
            </w:pPr>
            <w:r>
              <w:rPr>
                <w:sz w:val="18"/>
              </w:rPr>
              <w:t>Disposal of investment property</w:t>
            </w:r>
          </w:p>
        </w:tc>
        <w:tc>
          <w:tcPr>
            <w:tcW w:w="680" w:type="dxa"/>
            <w:tcBorders>
              <w:bottom w:val="single" w:sz="4" w:space="0" w:color="000000"/>
            </w:tcBorders>
          </w:tcPr>
          <w:p w14:paraId="0A22C734" w14:textId="77777777" w:rsidR="00416253" w:rsidRPr="00123C38" w:rsidRDefault="00416253" w:rsidP="00416253">
            <w:pPr>
              <w:pStyle w:val="Subtitle"/>
              <w:rPr>
                <w:rFonts w:cstheme="minorHAnsi"/>
              </w:rPr>
            </w:pPr>
          </w:p>
        </w:tc>
        <w:tc>
          <w:tcPr>
            <w:tcW w:w="1134" w:type="dxa"/>
            <w:tcBorders>
              <w:bottom w:val="single" w:sz="4" w:space="0" w:color="000000"/>
            </w:tcBorders>
          </w:tcPr>
          <w:p w14:paraId="7340C877" w14:textId="77777777" w:rsidR="00416253" w:rsidRPr="004F0499" w:rsidRDefault="00FD3735" w:rsidP="00416253">
            <w:pPr>
              <w:pStyle w:val="Subtitle"/>
              <w:rPr>
                <w:rFonts w:cstheme="minorHAnsi"/>
              </w:rPr>
            </w:pPr>
            <w:r>
              <w:rPr>
                <w:rFonts w:cstheme="minorHAnsi"/>
              </w:rPr>
              <w:t>6.3</w:t>
            </w:r>
          </w:p>
        </w:tc>
        <w:tc>
          <w:tcPr>
            <w:tcW w:w="1134" w:type="dxa"/>
            <w:tcBorders>
              <w:bottom w:val="single" w:sz="4" w:space="0" w:color="000000"/>
            </w:tcBorders>
          </w:tcPr>
          <w:p w14:paraId="1757855E" w14:textId="77777777" w:rsidR="00416253" w:rsidRPr="00416253" w:rsidRDefault="00416253" w:rsidP="00416253">
            <w:pPr>
              <w:pStyle w:val="Subtitle"/>
              <w:rPr>
                <w:rFonts w:cstheme="minorHAnsi"/>
                <w:b w:val="0"/>
              </w:rPr>
            </w:pPr>
            <w:r w:rsidRPr="00416253">
              <w:rPr>
                <w:b w:val="0"/>
              </w:rPr>
              <w:t>–</w:t>
            </w:r>
          </w:p>
        </w:tc>
      </w:tr>
      <w:tr w:rsidR="00416253" w14:paraId="1C685A42" w14:textId="77777777" w:rsidTr="005B36AA">
        <w:trPr>
          <w:trHeight w:val="227"/>
        </w:trPr>
        <w:tc>
          <w:tcPr>
            <w:tcW w:w="7257" w:type="dxa"/>
            <w:tcBorders>
              <w:top w:val="single" w:sz="4" w:space="0" w:color="000000"/>
              <w:bottom w:val="single" w:sz="8" w:space="0" w:color="auto"/>
            </w:tcBorders>
            <w:vAlign w:val="bottom"/>
          </w:tcPr>
          <w:p w14:paraId="1D52D31F" w14:textId="77777777" w:rsidR="00416253" w:rsidRDefault="00FD3735" w:rsidP="00FD3735">
            <w:pPr>
              <w:pStyle w:val="TableParagraph"/>
              <w:spacing w:before="1" w:line="199" w:lineRule="exact"/>
              <w:rPr>
                <w:b/>
                <w:sz w:val="18"/>
              </w:rPr>
            </w:pPr>
            <w:r>
              <w:rPr>
                <w:b/>
                <w:sz w:val="18"/>
              </w:rPr>
              <w:t xml:space="preserve">Net cash </w:t>
            </w:r>
            <w:r w:rsidR="00416253">
              <w:rPr>
                <w:b/>
                <w:sz w:val="18"/>
              </w:rPr>
              <w:t>outflow from investing activities</w:t>
            </w:r>
          </w:p>
        </w:tc>
        <w:tc>
          <w:tcPr>
            <w:tcW w:w="680" w:type="dxa"/>
            <w:tcBorders>
              <w:top w:val="single" w:sz="4" w:space="0" w:color="000000"/>
              <w:bottom w:val="single" w:sz="8" w:space="0" w:color="auto"/>
            </w:tcBorders>
          </w:tcPr>
          <w:p w14:paraId="0D7A146C" w14:textId="77777777" w:rsidR="00416253" w:rsidRPr="00123C38" w:rsidRDefault="00416253" w:rsidP="00416253">
            <w:pPr>
              <w:pStyle w:val="Subtitle"/>
              <w:rPr>
                <w:rFonts w:cstheme="minorHAnsi"/>
              </w:rPr>
            </w:pPr>
          </w:p>
        </w:tc>
        <w:tc>
          <w:tcPr>
            <w:tcW w:w="1134" w:type="dxa"/>
            <w:tcBorders>
              <w:top w:val="single" w:sz="4" w:space="0" w:color="000000"/>
              <w:bottom w:val="single" w:sz="8" w:space="0" w:color="auto"/>
            </w:tcBorders>
          </w:tcPr>
          <w:p w14:paraId="1F6E23A4" w14:textId="77777777" w:rsidR="00416253" w:rsidRPr="004F0499" w:rsidRDefault="00FD3735" w:rsidP="00416253">
            <w:pPr>
              <w:pStyle w:val="Subtitle"/>
              <w:rPr>
                <w:rFonts w:cstheme="minorHAnsi"/>
              </w:rPr>
            </w:pPr>
            <w:r>
              <w:rPr>
                <w:rFonts w:cstheme="minorHAnsi"/>
              </w:rPr>
              <w:t>(17.6)</w:t>
            </w:r>
          </w:p>
        </w:tc>
        <w:tc>
          <w:tcPr>
            <w:tcW w:w="1134" w:type="dxa"/>
            <w:tcBorders>
              <w:top w:val="single" w:sz="4" w:space="0" w:color="000000"/>
              <w:bottom w:val="single" w:sz="8" w:space="0" w:color="auto"/>
            </w:tcBorders>
          </w:tcPr>
          <w:p w14:paraId="5F5A0B17" w14:textId="77777777" w:rsidR="00416253" w:rsidRPr="00416253" w:rsidRDefault="00416253" w:rsidP="00416253">
            <w:pPr>
              <w:pStyle w:val="Subtitle"/>
              <w:rPr>
                <w:rFonts w:cstheme="minorHAnsi"/>
                <w:b w:val="0"/>
              </w:rPr>
            </w:pPr>
            <w:r w:rsidRPr="00416253">
              <w:rPr>
                <w:rFonts w:cstheme="minorHAnsi"/>
                <w:b w:val="0"/>
              </w:rPr>
              <w:t>(31.6)</w:t>
            </w:r>
          </w:p>
        </w:tc>
      </w:tr>
      <w:tr w:rsidR="005B36AA" w14:paraId="6768D27C" w14:textId="77777777" w:rsidTr="005B36AA">
        <w:trPr>
          <w:trHeight w:val="227"/>
        </w:trPr>
        <w:tc>
          <w:tcPr>
            <w:tcW w:w="7257" w:type="dxa"/>
            <w:tcBorders>
              <w:top w:val="single" w:sz="8" w:space="0" w:color="auto"/>
            </w:tcBorders>
            <w:vAlign w:val="bottom"/>
          </w:tcPr>
          <w:p w14:paraId="6A5B54D7" w14:textId="77777777" w:rsidR="005B36AA" w:rsidRDefault="005B36AA" w:rsidP="005B36AA">
            <w:pPr>
              <w:pStyle w:val="TableParagraph"/>
              <w:spacing w:line="217" w:lineRule="exact"/>
              <w:rPr>
                <w:b/>
                <w:sz w:val="18"/>
              </w:rPr>
            </w:pPr>
          </w:p>
        </w:tc>
        <w:tc>
          <w:tcPr>
            <w:tcW w:w="680" w:type="dxa"/>
            <w:tcBorders>
              <w:top w:val="single" w:sz="8" w:space="0" w:color="auto"/>
            </w:tcBorders>
          </w:tcPr>
          <w:p w14:paraId="4CD2A528" w14:textId="77777777" w:rsidR="005B36AA" w:rsidRPr="00123C38" w:rsidRDefault="005B36AA" w:rsidP="005B36AA">
            <w:pPr>
              <w:pStyle w:val="Subtitle"/>
              <w:rPr>
                <w:rFonts w:cstheme="minorHAnsi"/>
              </w:rPr>
            </w:pPr>
          </w:p>
        </w:tc>
        <w:tc>
          <w:tcPr>
            <w:tcW w:w="1134" w:type="dxa"/>
            <w:tcBorders>
              <w:top w:val="single" w:sz="8" w:space="0" w:color="auto"/>
            </w:tcBorders>
          </w:tcPr>
          <w:p w14:paraId="4816BC55" w14:textId="77777777" w:rsidR="005B36AA" w:rsidRPr="004F0499" w:rsidRDefault="005B36AA" w:rsidP="005B36AA">
            <w:pPr>
              <w:pStyle w:val="Subtitle"/>
              <w:rPr>
                <w:rFonts w:cstheme="minorHAnsi"/>
              </w:rPr>
            </w:pPr>
          </w:p>
        </w:tc>
        <w:tc>
          <w:tcPr>
            <w:tcW w:w="1134" w:type="dxa"/>
            <w:tcBorders>
              <w:top w:val="single" w:sz="8" w:space="0" w:color="auto"/>
            </w:tcBorders>
          </w:tcPr>
          <w:p w14:paraId="2B43E9B0" w14:textId="77777777" w:rsidR="005B36AA" w:rsidRPr="00D21FF5" w:rsidRDefault="005B36AA" w:rsidP="005B36AA">
            <w:pPr>
              <w:pStyle w:val="Subtitle"/>
              <w:rPr>
                <w:rFonts w:cstheme="minorHAnsi"/>
                <w:b w:val="0"/>
              </w:rPr>
            </w:pPr>
          </w:p>
        </w:tc>
      </w:tr>
      <w:tr w:rsidR="005B36AA" w14:paraId="2DCB7A95" w14:textId="77777777" w:rsidTr="005B36AA">
        <w:trPr>
          <w:trHeight w:val="227"/>
        </w:trPr>
        <w:tc>
          <w:tcPr>
            <w:tcW w:w="7257" w:type="dxa"/>
            <w:vAlign w:val="bottom"/>
          </w:tcPr>
          <w:p w14:paraId="3B5FDF2D" w14:textId="77777777" w:rsidR="005B36AA" w:rsidRDefault="005B36AA" w:rsidP="005B36AA">
            <w:pPr>
              <w:pStyle w:val="TableParagraph"/>
              <w:spacing w:line="217" w:lineRule="exact"/>
              <w:rPr>
                <w:b/>
                <w:sz w:val="18"/>
              </w:rPr>
            </w:pPr>
            <w:r>
              <w:rPr>
                <w:b/>
                <w:sz w:val="18"/>
              </w:rPr>
              <w:t>Cash flow from financing activities</w:t>
            </w:r>
          </w:p>
        </w:tc>
        <w:tc>
          <w:tcPr>
            <w:tcW w:w="680" w:type="dxa"/>
          </w:tcPr>
          <w:p w14:paraId="68018C0D" w14:textId="77777777" w:rsidR="005B36AA" w:rsidRPr="00123C38" w:rsidRDefault="005B36AA" w:rsidP="005B36AA">
            <w:pPr>
              <w:pStyle w:val="Subtitle"/>
              <w:rPr>
                <w:rFonts w:cstheme="minorHAnsi"/>
              </w:rPr>
            </w:pPr>
          </w:p>
        </w:tc>
        <w:tc>
          <w:tcPr>
            <w:tcW w:w="1134" w:type="dxa"/>
          </w:tcPr>
          <w:p w14:paraId="1E66AC3C" w14:textId="77777777" w:rsidR="005B36AA" w:rsidRPr="004F0499" w:rsidRDefault="005B36AA" w:rsidP="005B36AA">
            <w:pPr>
              <w:pStyle w:val="Subtitle"/>
              <w:rPr>
                <w:rFonts w:cstheme="minorHAnsi"/>
              </w:rPr>
            </w:pPr>
          </w:p>
        </w:tc>
        <w:tc>
          <w:tcPr>
            <w:tcW w:w="1134" w:type="dxa"/>
          </w:tcPr>
          <w:p w14:paraId="63EA47A5" w14:textId="77777777" w:rsidR="005B36AA" w:rsidRPr="00D21FF5" w:rsidRDefault="005B36AA" w:rsidP="005B36AA">
            <w:pPr>
              <w:pStyle w:val="Subtitle"/>
              <w:rPr>
                <w:rFonts w:cstheme="minorHAnsi"/>
                <w:b w:val="0"/>
              </w:rPr>
            </w:pPr>
          </w:p>
        </w:tc>
      </w:tr>
      <w:tr w:rsidR="00416253" w14:paraId="3C608A73" w14:textId="77777777" w:rsidTr="005B36AA">
        <w:trPr>
          <w:trHeight w:val="227"/>
        </w:trPr>
        <w:tc>
          <w:tcPr>
            <w:tcW w:w="7257" w:type="dxa"/>
            <w:vAlign w:val="bottom"/>
          </w:tcPr>
          <w:p w14:paraId="722A6058" w14:textId="77777777" w:rsidR="00416253" w:rsidRDefault="00416253" w:rsidP="00416253">
            <w:pPr>
              <w:pStyle w:val="TableParagraph"/>
              <w:spacing w:line="200" w:lineRule="exact"/>
              <w:rPr>
                <w:sz w:val="18"/>
              </w:rPr>
            </w:pPr>
            <w:r>
              <w:rPr>
                <w:sz w:val="18"/>
              </w:rPr>
              <w:t>Proceeds from issue of shares</w:t>
            </w:r>
            <w:r w:rsidR="00E82061">
              <w:rPr>
                <w:sz w:val="18"/>
              </w:rPr>
              <w:t xml:space="preserve"> (net of transaction costs)</w:t>
            </w:r>
          </w:p>
        </w:tc>
        <w:tc>
          <w:tcPr>
            <w:tcW w:w="680" w:type="dxa"/>
          </w:tcPr>
          <w:p w14:paraId="5EBF1557" w14:textId="77777777" w:rsidR="00416253" w:rsidRPr="00123C38" w:rsidRDefault="00416253" w:rsidP="00416253">
            <w:pPr>
              <w:pStyle w:val="Subtitle"/>
              <w:rPr>
                <w:rFonts w:cstheme="minorHAnsi"/>
              </w:rPr>
            </w:pPr>
          </w:p>
        </w:tc>
        <w:tc>
          <w:tcPr>
            <w:tcW w:w="1134" w:type="dxa"/>
          </w:tcPr>
          <w:p w14:paraId="63A290BB" w14:textId="77777777" w:rsidR="00416253" w:rsidRPr="004F0499" w:rsidRDefault="00FD3735" w:rsidP="00416253">
            <w:pPr>
              <w:pStyle w:val="Subtitle"/>
              <w:rPr>
                <w:rFonts w:cstheme="minorHAnsi"/>
              </w:rPr>
            </w:pPr>
            <w:r>
              <w:rPr>
                <w:rFonts w:cstheme="minorHAnsi"/>
              </w:rPr>
              <w:t>87.1</w:t>
            </w:r>
          </w:p>
        </w:tc>
        <w:tc>
          <w:tcPr>
            <w:tcW w:w="1134" w:type="dxa"/>
          </w:tcPr>
          <w:p w14:paraId="6E9745E0" w14:textId="77777777" w:rsidR="00416253" w:rsidRPr="00416253" w:rsidRDefault="00416253" w:rsidP="00416253">
            <w:pPr>
              <w:pStyle w:val="Subtitle"/>
              <w:rPr>
                <w:rFonts w:cstheme="minorHAnsi"/>
                <w:b w:val="0"/>
              </w:rPr>
            </w:pPr>
            <w:r w:rsidRPr="00416253">
              <w:rPr>
                <w:rFonts w:cstheme="minorHAnsi"/>
                <w:b w:val="0"/>
              </w:rPr>
              <w:t>0.3</w:t>
            </w:r>
          </w:p>
        </w:tc>
      </w:tr>
      <w:tr w:rsidR="00416253" w14:paraId="44CFD784" w14:textId="77777777" w:rsidTr="005B36AA">
        <w:trPr>
          <w:trHeight w:val="227"/>
        </w:trPr>
        <w:tc>
          <w:tcPr>
            <w:tcW w:w="7257" w:type="dxa"/>
            <w:vAlign w:val="bottom"/>
          </w:tcPr>
          <w:p w14:paraId="5EAC4327" w14:textId="77777777" w:rsidR="00416253" w:rsidRDefault="00E82061" w:rsidP="008E46B3">
            <w:pPr>
              <w:pStyle w:val="TableParagraph"/>
              <w:spacing w:line="200" w:lineRule="exact"/>
              <w:rPr>
                <w:sz w:val="18"/>
              </w:rPr>
            </w:pPr>
            <w:r>
              <w:rPr>
                <w:sz w:val="18"/>
              </w:rPr>
              <w:t>(Repayment)/d</w:t>
            </w:r>
            <w:r w:rsidR="00416253">
              <w:rPr>
                <w:sz w:val="18"/>
              </w:rPr>
              <w:t>rawdown of bank borrowings</w:t>
            </w:r>
          </w:p>
        </w:tc>
        <w:tc>
          <w:tcPr>
            <w:tcW w:w="680" w:type="dxa"/>
            <w:shd w:val="clear" w:color="auto" w:fill="auto"/>
          </w:tcPr>
          <w:p w14:paraId="11992628" w14:textId="77777777" w:rsidR="00416253" w:rsidRPr="00123C38" w:rsidRDefault="00416253" w:rsidP="00416253">
            <w:pPr>
              <w:pStyle w:val="Subtitle"/>
              <w:rPr>
                <w:rFonts w:cstheme="minorHAnsi"/>
                <w:b w:val="0"/>
                <w:bCs/>
              </w:rPr>
            </w:pPr>
          </w:p>
        </w:tc>
        <w:tc>
          <w:tcPr>
            <w:tcW w:w="1134" w:type="dxa"/>
          </w:tcPr>
          <w:p w14:paraId="3B599117" w14:textId="77777777" w:rsidR="00416253" w:rsidRPr="004F0499" w:rsidRDefault="00E82061" w:rsidP="00416253">
            <w:pPr>
              <w:pStyle w:val="Subtitle"/>
              <w:rPr>
                <w:rFonts w:cstheme="minorHAnsi"/>
              </w:rPr>
            </w:pPr>
            <w:r>
              <w:rPr>
                <w:rFonts w:cstheme="minorHAnsi"/>
              </w:rPr>
              <w:t>(130.9)</w:t>
            </w:r>
          </w:p>
        </w:tc>
        <w:tc>
          <w:tcPr>
            <w:tcW w:w="1134" w:type="dxa"/>
          </w:tcPr>
          <w:p w14:paraId="762000E9" w14:textId="77777777" w:rsidR="00416253" w:rsidRPr="00416253" w:rsidRDefault="00416253" w:rsidP="00416253">
            <w:pPr>
              <w:pStyle w:val="Subtitle"/>
              <w:rPr>
                <w:rFonts w:cstheme="minorHAnsi"/>
                <w:b w:val="0"/>
              </w:rPr>
            </w:pPr>
            <w:r w:rsidRPr="00416253">
              <w:rPr>
                <w:rFonts w:cstheme="minorHAnsi"/>
                <w:b w:val="0"/>
              </w:rPr>
              <w:t>64.6</w:t>
            </w:r>
          </w:p>
        </w:tc>
      </w:tr>
      <w:tr w:rsidR="00416253" w:rsidRPr="006C4AE5" w14:paraId="0A5F258F" w14:textId="77777777" w:rsidTr="005B36AA">
        <w:trPr>
          <w:trHeight w:val="227"/>
        </w:trPr>
        <w:tc>
          <w:tcPr>
            <w:tcW w:w="7257" w:type="dxa"/>
            <w:vAlign w:val="bottom"/>
          </w:tcPr>
          <w:p w14:paraId="748BB9F1" w14:textId="77777777" w:rsidR="00416253" w:rsidRDefault="00416253" w:rsidP="00416253">
            <w:pPr>
              <w:pStyle w:val="TableParagraph"/>
              <w:spacing w:line="200" w:lineRule="exact"/>
              <w:rPr>
                <w:sz w:val="18"/>
              </w:rPr>
            </w:pPr>
            <w:r>
              <w:rPr>
                <w:sz w:val="18"/>
              </w:rPr>
              <w:t>Repayment of lease liabilities</w:t>
            </w:r>
          </w:p>
        </w:tc>
        <w:tc>
          <w:tcPr>
            <w:tcW w:w="680" w:type="dxa"/>
          </w:tcPr>
          <w:p w14:paraId="2F694E55" w14:textId="77777777" w:rsidR="00416253" w:rsidRPr="00123C38" w:rsidRDefault="00416253" w:rsidP="00416253">
            <w:pPr>
              <w:pStyle w:val="Subtitle"/>
              <w:rPr>
                <w:rFonts w:cstheme="minorHAnsi"/>
                <w:b w:val="0"/>
                <w:bCs/>
              </w:rPr>
            </w:pPr>
          </w:p>
        </w:tc>
        <w:tc>
          <w:tcPr>
            <w:tcW w:w="1134" w:type="dxa"/>
          </w:tcPr>
          <w:p w14:paraId="75EEEF6A" w14:textId="77777777" w:rsidR="00416253" w:rsidRPr="004F0499" w:rsidRDefault="00FD3735" w:rsidP="00416253">
            <w:pPr>
              <w:pStyle w:val="Subtitle"/>
              <w:rPr>
                <w:rFonts w:cstheme="minorHAnsi"/>
              </w:rPr>
            </w:pPr>
            <w:r>
              <w:rPr>
                <w:rFonts w:cstheme="minorHAnsi"/>
              </w:rPr>
              <w:t>(14.3)</w:t>
            </w:r>
          </w:p>
        </w:tc>
        <w:tc>
          <w:tcPr>
            <w:tcW w:w="1134" w:type="dxa"/>
          </w:tcPr>
          <w:p w14:paraId="6A639BDC" w14:textId="77777777" w:rsidR="00416253" w:rsidRPr="00416253" w:rsidRDefault="00416253" w:rsidP="00416253">
            <w:pPr>
              <w:pStyle w:val="Subtitle"/>
              <w:rPr>
                <w:rFonts w:cstheme="minorHAnsi"/>
                <w:b w:val="0"/>
                <w:highlight w:val="yellow"/>
              </w:rPr>
            </w:pPr>
            <w:r w:rsidRPr="00416253">
              <w:rPr>
                <w:rFonts w:cstheme="minorHAnsi"/>
                <w:b w:val="0"/>
              </w:rPr>
              <w:t>(11.2)</w:t>
            </w:r>
          </w:p>
        </w:tc>
      </w:tr>
      <w:tr w:rsidR="00416253" w14:paraId="22DDA170" w14:textId="77777777" w:rsidTr="005B36AA">
        <w:trPr>
          <w:trHeight w:val="227"/>
        </w:trPr>
        <w:tc>
          <w:tcPr>
            <w:tcW w:w="7257" w:type="dxa"/>
            <w:vAlign w:val="bottom"/>
          </w:tcPr>
          <w:p w14:paraId="7F30A23B" w14:textId="77777777" w:rsidR="00416253" w:rsidRDefault="00416253" w:rsidP="00416253">
            <w:pPr>
              <w:pStyle w:val="TableParagraph"/>
              <w:spacing w:line="200" w:lineRule="exact"/>
              <w:rPr>
                <w:sz w:val="18"/>
              </w:rPr>
            </w:pPr>
            <w:r>
              <w:rPr>
                <w:sz w:val="18"/>
              </w:rPr>
              <w:t>Dividends paid to equity holders of the Company</w:t>
            </w:r>
          </w:p>
        </w:tc>
        <w:tc>
          <w:tcPr>
            <w:tcW w:w="680" w:type="dxa"/>
          </w:tcPr>
          <w:p w14:paraId="07CCB5FC" w14:textId="77777777" w:rsidR="00416253" w:rsidRPr="00123C38" w:rsidRDefault="00416253" w:rsidP="00416253">
            <w:pPr>
              <w:pStyle w:val="Subtitle"/>
              <w:rPr>
                <w:rFonts w:cstheme="minorHAnsi"/>
                <w:b w:val="0"/>
                <w:bCs/>
              </w:rPr>
            </w:pPr>
          </w:p>
        </w:tc>
        <w:tc>
          <w:tcPr>
            <w:tcW w:w="1134" w:type="dxa"/>
          </w:tcPr>
          <w:p w14:paraId="536E4476" w14:textId="77777777" w:rsidR="00416253" w:rsidRPr="004F0499" w:rsidRDefault="00FD3735" w:rsidP="00416253">
            <w:pPr>
              <w:pStyle w:val="Subtitle"/>
              <w:rPr>
                <w:rFonts w:cstheme="minorHAnsi"/>
              </w:rPr>
            </w:pPr>
            <w:r w:rsidRPr="0022291E">
              <w:rPr>
                <w:rFonts w:cstheme="minorHAnsi"/>
              </w:rPr>
              <w:t>–</w:t>
            </w:r>
          </w:p>
        </w:tc>
        <w:tc>
          <w:tcPr>
            <w:tcW w:w="1134" w:type="dxa"/>
          </w:tcPr>
          <w:p w14:paraId="48453A62" w14:textId="77777777" w:rsidR="00416253" w:rsidRPr="00416253" w:rsidRDefault="00416253" w:rsidP="00416253">
            <w:pPr>
              <w:pStyle w:val="Subtitle"/>
              <w:rPr>
                <w:rFonts w:cstheme="minorHAnsi"/>
                <w:b w:val="0"/>
              </w:rPr>
            </w:pPr>
            <w:r w:rsidRPr="00416253">
              <w:rPr>
                <w:rFonts w:cstheme="minorHAnsi"/>
                <w:b w:val="0"/>
              </w:rPr>
              <w:t>(16.7)</w:t>
            </w:r>
          </w:p>
        </w:tc>
      </w:tr>
      <w:tr w:rsidR="00416253" w14:paraId="5A6EC122" w14:textId="77777777" w:rsidTr="005B36AA">
        <w:trPr>
          <w:trHeight w:val="227"/>
        </w:trPr>
        <w:tc>
          <w:tcPr>
            <w:tcW w:w="7257" w:type="dxa"/>
            <w:vAlign w:val="bottom"/>
          </w:tcPr>
          <w:p w14:paraId="2B870561" w14:textId="77777777" w:rsidR="00416253" w:rsidRDefault="00416253" w:rsidP="00416253">
            <w:pPr>
              <w:pStyle w:val="TableParagraph"/>
              <w:spacing w:line="200" w:lineRule="exact"/>
              <w:rPr>
                <w:sz w:val="18"/>
              </w:rPr>
            </w:pPr>
            <w:r>
              <w:rPr>
                <w:sz w:val="18"/>
              </w:rPr>
              <w:t>Dividends paid to non-controlling interests</w:t>
            </w:r>
          </w:p>
        </w:tc>
        <w:tc>
          <w:tcPr>
            <w:tcW w:w="680" w:type="dxa"/>
          </w:tcPr>
          <w:p w14:paraId="75E61CD9" w14:textId="77777777" w:rsidR="00416253" w:rsidRPr="00635D3B" w:rsidRDefault="00416253" w:rsidP="00416253">
            <w:pPr>
              <w:pStyle w:val="Subtitle"/>
              <w:rPr>
                <w:rFonts w:cstheme="minorHAnsi"/>
                <w:b w:val="0"/>
                <w:bCs/>
                <w:highlight w:val="yellow"/>
              </w:rPr>
            </w:pPr>
          </w:p>
        </w:tc>
        <w:tc>
          <w:tcPr>
            <w:tcW w:w="1134" w:type="dxa"/>
          </w:tcPr>
          <w:p w14:paraId="17ED9D08" w14:textId="77777777" w:rsidR="00416253" w:rsidRPr="004F0499" w:rsidRDefault="00FD3735" w:rsidP="00416253">
            <w:pPr>
              <w:pStyle w:val="Subtitle"/>
              <w:rPr>
                <w:rFonts w:cstheme="minorHAnsi"/>
              </w:rPr>
            </w:pPr>
            <w:r w:rsidRPr="0022291E">
              <w:rPr>
                <w:rFonts w:cstheme="minorHAnsi"/>
              </w:rPr>
              <w:t>–</w:t>
            </w:r>
          </w:p>
        </w:tc>
        <w:tc>
          <w:tcPr>
            <w:tcW w:w="1134" w:type="dxa"/>
          </w:tcPr>
          <w:p w14:paraId="11ADFA79" w14:textId="77777777" w:rsidR="00416253" w:rsidRPr="00416253" w:rsidRDefault="00416253" w:rsidP="00416253">
            <w:pPr>
              <w:pStyle w:val="Subtitle"/>
              <w:rPr>
                <w:rFonts w:cstheme="minorHAnsi"/>
                <w:b w:val="0"/>
              </w:rPr>
            </w:pPr>
            <w:r w:rsidRPr="00416253">
              <w:rPr>
                <w:rFonts w:cstheme="minorHAnsi"/>
                <w:b w:val="0"/>
              </w:rPr>
              <w:t>(2.4)</w:t>
            </w:r>
          </w:p>
        </w:tc>
      </w:tr>
      <w:tr w:rsidR="00416253" w14:paraId="56381FAD" w14:textId="77777777" w:rsidTr="005B36AA">
        <w:trPr>
          <w:trHeight w:val="227"/>
        </w:trPr>
        <w:tc>
          <w:tcPr>
            <w:tcW w:w="7257" w:type="dxa"/>
            <w:tcBorders>
              <w:top w:val="single" w:sz="4" w:space="0" w:color="000000"/>
              <w:bottom w:val="single" w:sz="4" w:space="0" w:color="000000"/>
            </w:tcBorders>
            <w:vAlign w:val="bottom"/>
          </w:tcPr>
          <w:p w14:paraId="65F412A3" w14:textId="77777777" w:rsidR="00416253" w:rsidRDefault="00416253" w:rsidP="00FD3735">
            <w:pPr>
              <w:pStyle w:val="TableParagraph"/>
              <w:spacing w:before="1" w:line="199" w:lineRule="exact"/>
              <w:rPr>
                <w:b/>
                <w:sz w:val="18"/>
              </w:rPr>
            </w:pPr>
            <w:r>
              <w:rPr>
                <w:b/>
                <w:sz w:val="18"/>
              </w:rPr>
              <w:t>Net cash (outflow)</w:t>
            </w:r>
            <w:r w:rsidR="00FD3735">
              <w:rPr>
                <w:b/>
                <w:sz w:val="18"/>
              </w:rPr>
              <w:t>/ inflow</w:t>
            </w:r>
            <w:r>
              <w:rPr>
                <w:b/>
                <w:sz w:val="18"/>
              </w:rPr>
              <w:t xml:space="preserve"> from financing activities</w:t>
            </w:r>
          </w:p>
        </w:tc>
        <w:tc>
          <w:tcPr>
            <w:tcW w:w="680" w:type="dxa"/>
            <w:tcBorders>
              <w:top w:val="single" w:sz="4" w:space="0" w:color="000000"/>
              <w:bottom w:val="single" w:sz="4" w:space="0" w:color="000000"/>
            </w:tcBorders>
          </w:tcPr>
          <w:p w14:paraId="5F7BD686" w14:textId="77777777" w:rsidR="00416253" w:rsidRPr="00635D3B" w:rsidRDefault="00416253" w:rsidP="00416253">
            <w:pPr>
              <w:pStyle w:val="Subtitle"/>
              <w:rPr>
                <w:rFonts w:cstheme="minorHAnsi"/>
                <w:highlight w:val="yellow"/>
              </w:rPr>
            </w:pPr>
          </w:p>
        </w:tc>
        <w:tc>
          <w:tcPr>
            <w:tcW w:w="1134" w:type="dxa"/>
            <w:tcBorders>
              <w:top w:val="single" w:sz="4" w:space="0" w:color="000000"/>
              <w:bottom w:val="single" w:sz="4" w:space="0" w:color="000000"/>
            </w:tcBorders>
          </w:tcPr>
          <w:p w14:paraId="2CE1AE52" w14:textId="77777777" w:rsidR="00416253" w:rsidRPr="004F0499" w:rsidRDefault="00FD3735" w:rsidP="00416253">
            <w:pPr>
              <w:pStyle w:val="Subtitle"/>
              <w:rPr>
                <w:rFonts w:cstheme="minorHAnsi"/>
              </w:rPr>
            </w:pPr>
            <w:r>
              <w:rPr>
                <w:rFonts w:cstheme="minorHAnsi"/>
              </w:rPr>
              <w:t>(58.1)</w:t>
            </w:r>
          </w:p>
        </w:tc>
        <w:tc>
          <w:tcPr>
            <w:tcW w:w="1134" w:type="dxa"/>
            <w:tcBorders>
              <w:top w:val="single" w:sz="4" w:space="0" w:color="000000"/>
              <w:bottom w:val="single" w:sz="4" w:space="0" w:color="000000"/>
            </w:tcBorders>
          </w:tcPr>
          <w:p w14:paraId="68E938E2" w14:textId="77777777" w:rsidR="00416253" w:rsidRPr="00416253" w:rsidRDefault="00416253" w:rsidP="00416253">
            <w:pPr>
              <w:pStyle w:val="Subtitle"/>
              <w:rPr>
                <w:rFonts w:cstheme="minorHAnsi"/>
                <w:b w:val="0"/>
              </w:rPr>
            </w:pPr>
            <w:r w:rsidRPr="00416253">
              <w:rPr>
                <w:rFonts w:cstheme="minorHAnsi"/>
                <w:b w:val="0"/>
              </w:rPr>
              <w:t>34.6</w:t>
            </w:r>
          </w:p>
        </w:tc>
      </w:tr>
      <w:tr w:rsidR="00416253" w14:paraId="45AE5549" w14:textId="77777777" w:rsidTr="005B36AA">
        <w:trPr>
          <w:trHeight w:val="227"/>
        </w:trPr>
        <w:tc>
          <w:tcPr>
            <w:tcW w:w="7257" w:type="dxa"/>
            <w:tcBorders>
              <w:top w:val="single" w:sz="4" w:space="0" w:color="000000"/>
              <w:bottom w:val="single" w:sz="8" w:space="0" w:color="auto"/>
            </w:tcBorders>
            <w:vAlign w:val="bottom"/>
          </w:tcPr>
          <w:p w14:paraId="42240710" w14:textId="77777777" w:rsidR="00416253" w:rsidRDefault="00416253" w:rsidP="00416253">
            <w:pPr>
              <w:pStyle w:val="TableParagraph"/>
              <w:spacing w:line="198" w:lineRule="exact"/>
              <w:rPr>
                <w:b/>
                <w:sz w:val="18"/>
              </w:rPr>
            </w:pPr>
            <w:r>
              <w:rPr>
                <w:b/>
                <w:sz w:val="18"/>
              </w:rPr>
              <w:t>Increase in cash and cash equivalents and bank overdrafts</w:t>
            </w:r>
          </w:p>
        </w:tc>
        <w:tc>
          <w:tcPr>
            <w:tcW w:w="680" w:type="dxa"/>
            <w:tcBorders>
              <w:top w:val="single" w:sz="4" w:space="0" w:color="000000"/>
              <w:bottom w:val="single" w:sz="8" w:space="0" w:color="auto"/>
            </w:tcBorders>
          </w:tcPr>
          <w:p w14:paraId="7B2FDB22" w14:textId="77777777" w:rsidR="00416253" w:rsidRPr="00635D3B" w:rsidRDefault="00416253" w:rsidP="00416253">
            <w:pPr>
              <w:pStyle w:val="Subtitle"/>
              <w:rPr>
                <w:rFonts w:cstheme="minorHAnsi"/>
                <w:highlight w:val="yellow"/>
              </w:rPr>
            </w:pPr>
          </w:p>
        </w:tc>
        <w:tc>
          <w:tcPr>
            <w:tcW w:w="1134" w:type="dxa"/>
            <w:tcBorders>
              <w:top w:val="single" w:sz="4" w:space="0" w:color="000000"/>
              <w:bottom w:val="single" w:sz="8" w:space="0" w:color="auto"/>
            </w:tcBorders>
          </w:tcPr>
          <w:p w14:paraId="75F69DE3" w14:textId="77777777" w:rsidR="00416253" w:rsidRPr="004F0499" w:rsidRDefault="00FD3735" w:rsidP="00416253">
            <w:pPr>
              <w:pStyle w:val="Subtitle"/>
              <w:rPr>
                <w:rFonts w:cstheme="minorHAnsi"/>
              </w:rPr>
            </w:pPr>
            <w:r>
              <w:rPr>
                <w:rFonts w:cstheme="minorHAnsi"/>
              </w:rPr>
              <w:t>27.0</w:t>
            </w:r>
          </w:p>
        </w:tc>
        <w:tc>
          <w:tcPr>
            <w:tcW w:w="1134" w:type="dxa"/>
            <w:tcBorders>
              <w:top w:val="single" w:sz="4" w:space="0" w:color="000000"/>
              <w:bottom w:val="single" w:sz="8" w:space="0" w:color="auto"/>
            </w:tcBorders>
          </w:tcPr>
          <w:p w14:paraId="1113F518" w14:textId="77777777" w:rsidR="00416253" w:rsidRPr="00416253" w:rsidRDefault="00416253" w:rsidP="00416253">
            <w:pPr>
              <w:pStyle w:val="Subtitle"/>
              <w:rPr>
                <w:rFonts w:cstheme="minorHAnsi"/>
                <w:b w:val="0"/>
              </w:rPr>
            </w:pPr>
            <w:r w:rsidRPr="00416253">
              <w:rPr>
                <w:rFonts w:cstheme="minorHAnsi"/>
                <w:b w:val="0"/>
              </w:rPr>
              <w:t>5.5</w:t>
            </w:r>
          </w:p>
        </w:tc>
      </w:tr>
      <w:tr w:rsidR="005B36AA" w14:paraId="158A5E31" w14:textId="77777777" w:rsidTr="005B36AA">
        <w:trPr>
          <w:trHeight w:val="227"/>
        </w:trPr>
        <w:tc>
          <w:tcPr>
            <w:tcW w:w="7257" w:type="dxa"/>
            <w:tcBorders>
              <w:top w:val="single" w:sz="8" w:space="0" w:color="auto"/>
            </w:tcBorders>
            <w:vAlign w:val="bottom"/>
          </w:tcPr>
          <w:p w14:paraId="4C0ABADE" w14:textId="77777777" w:rsidR="005B36AA" w:rsidRDefault="005B36AA" w:rsidP="005B36AA">
            <w:pPr>
              <w:pStyle w:val="TableParagraph"/>
              <w:spacing w:line="216" w:lineRule="exact"/>
              <w:rPr>
                <w:b/>
                <w:sz w:val="18"/>
              </w:rPr>
            </w:pPr>
          </w:p>
        </w:tc>
        <w:tc>
          <w:tcPr>
            <w:tcW w:w="680" w:type="dxa"/>
            <w:tcBorders>
              <w:top w:val="single" w:sz="8" w:space="0" w:color="auto"/>
            </w:tcBorders>
          </w:tcPr>
          <w:p w14:paraId="52AFBF53" w14:textId="77777777" w:rsidR="005B36AA" w:rsidRPr="00635D3B" w:rsidRDefault="005B36AA" w:rsidP="005B36AA">
            <w:pPr>
              <w:pStyle w:val="Subtitle"/>
              <w:rPr>
                <w:rFonts w:cstheme="minorHAnsi"/>
                <w:highlight w:val="yellow"/>
              </w:rPr>
            </w:pPr>
          </w:p>
        </w:tc>
        <w:tc>
          <w:tcPr>
            <w:tcW w:w="1134" w:type="dxa"/>
            <w:tcBorders>
              <w:top w:val="single" w:sz="8" w:space="0" w:color="auto"/>
            </w:tcBorders>
          </w:tcPr>
          <w:p w14:paraId="3B4BA37A" w14:textId="77777777" w:rsidR="005B36AA" w:rsidRPr="004F0499" w:rsidRDefault="005B36AA" w:rsidP="005B36AA">
            <w:pPr>
              <w:pStyle w:val="Subtitle"/>
              <w:rPr>
                <w:rFonts w:cstheme="minorHAnsi"/>
              </w:rPr>
            </w:pPr>
          </w:p>
        </w:tc>
        <w:tc>
          <w:tcPr>
            <w:tcW w:w="1134" w:type="dxa"/>
            <w:tcBorders>
              <w:top w:val="single" w:sz="8" w:space="0" w:color="auto"/>
            </w:tcBorders>
          </w:tcPr>
          <w:p w14:paraId="5FCB4E5E" w14:textId="77777777" w:rsidR="005B36AA" w:rsidRPr="00D21FF5" w:rsidRDefault="005B36AA" w:rsidP="005B36AA">
            <w:pPr>
              <w:pStyle w:val="Subtitle"/>
              <w:rPr>
                <w:rFonts w:cstheme="minorHAnsi"/>
                <w:b w:val="0"/>
              </w:rPr>
            </w:pPr>
          </w:p>
        </w:tc>
      </w:tr>
      <w:tr w:rsidR="005B36AA" w14:paraId="01C0F729" w14:textId="77777777" w:rsidTr="005B36AA">
        <w:trPr>
          <w:trHeight w:val="227"/>
        </w:trPr>
        <w:tc>
          <w:tcPr>
            <w:tcW w:w="7257" w:type="dxa"/>
            <w:vAlign w:val="bottom"/>
          </w:tcPr>
          <w:p w14:paraId="784C42CE" w14:textId="77777777" w:rsidR="005B36AA" w:rsidRDefault="005B36AA" w:rsidP="005B36AA">
            <w:pPr>
              <w:pStyle w:val="TableParagraph"/>
              <w:spacing w:line="216" w:lineRule="exact"/>
              <w:rPr>
                <w:b/>
                <w:sz w:val="18"/>
              </w:rPr>
            </w:pPr>
            <w:r>
              <w:rPr>
                <w:b/>
                <w:sz w:val="18"/>
              </w:rPr>
              <w:t>Reconciliation of opening to closing cash and cash equivalents</w:t>
            </w:r>
            <w:r w:rsidR="00FD3735">
              <w:rPr>
                <w:b/>
                <w:sz w:val="18"/>
              </w:rPr>
              <w:t xml:space="preserve"> and bank overdrafts</w:t>
            </w:r>
          </w:p>
        </w:tc>
        <w:tc>
          <w:tcPr>
            <w:tcW w:w="680" w:type="dxa"/>
          </w:tcPr>
          <w:p w14:paraId="20ABE434" w14:textId="77777777" w:rsidR="005B36AA" w:rsidRPr="00635D3B" w:rsidRDefault="005B36AA" w:rsidP="005B36AA">
            <w:pPr>
              <w:pStyle w:val="Subtitle"/>
              <w:rPr>
                <w:rFonts w:cstheme="minorHAnsi"/>
                <w:highlight w:val="yellow"/>
              </w:rPr>
            </w:pPr>
          </w:p>
        </w:tc>
        <w:tc>
          <w:tcPr>
            <w:tcW w:w="1134" w:type="dxa"/>
          </w:tcPr>
          <w:p w14:paraId="7D5E7308" w14:textId="77777777" w:rsidR="005B36AA" w:rsidRPr="004F0499" w:rsidRDefault="005B36AA" w:rsidP="005B36AA">
            <w:pPr>
              <w:pStyle w:val="Subtitle"/>
              <w:rPr>
                <w:rFonts w:cstheme="minorHAnsi"/>
              </w:rPr>
            </w:pPr>
          </w:p>
        </w:tc>
        <w:tc>
          <w:tcPr>
            <w:tcW w:w="1134" w:type="dxa"/>
          </w:tcPr>
          <w:p w14:paraId="2B6FF970" w14:textId="77777777" w:rsidR="005B36AA" w:rsidRPr="00D21FF5" w:rsidRDefault="005B36AA" w:rsidP="005B36AA">
            <w:pPr>
              <w:pStyle w:val="Subtitle"/>
              <w:rPr>
                <w:rFonts w:cstheme="minorHAnsi"/>
                <w:b w:val="0"/>
              </w:rPr>
            </w:pPr>
          </w:p>
        </w:tc>
      </w:tr>
      <w:tr w:rsidR="00416253" w14:paraId="2107F5D7" w14:textId="77777777" w:rsidTr="005B36AA">
        <w:trPr>
          <w:trHeight w:val="227"/>
        </w:trPr>
        <w:tc>
          <w:tcPr>
            <w:tcW w:w="7257" w:type="dxa"/>
            <w:vAlign w:val="bottom"/>
          </w:tcPr>
          <w:p w14:paraId="62D69F95" w14:textId="77777777" w:rsidR="00416253" w:rsidRDefault="00416253" w:rsidP="00416253">
            <w:pPr>
              <w:pStyle w:val="TableParagraph"/>
              <w:spacing w:line="200" w:lineRule="exact"/>
              <w:rPr>
                <w:sz w:val="18"/>
              </w:rPr>
            </w:pPr>
            <w:r>
              <w:rPr>
                <w:sz w:val="18"/>
              </w:rPr>
              <w:t>Cash and cash equivalents and bank overdrafts at beginning of year</w:t>
            </w:r>
          </w:p>
        </w:tc>
        <w:tc>
          <w:tcPr>
            <w:tcW w:w="680" w:type="dxa"/>
          </w:tcPr>
          <w:p w14:paraId="5EB5001B" w14:textId="77777777" w:rsidR="00416253" w:rsidRPr="00635D3B" w:rsidRDefault="00416253" w:rsidP="00416253">
            <w:pPr>
              <w:pStyle w:val="Subtitle"/>
              <w:rPr>
                <w:rFonts w:cstheme="minorHAnsi"/>
                <w:b w:val="0"/>
                <w:bCs/>
                <w:highlight w:val="yellow"/>
              </w:rPr>
            </w:pPr>
          </w:p>
        </w:tc>
        <w:tc>
          <w:tcPr>
            <w:tcW w:w="1134" w:type="dxa"/>
          </w:tcPr>
          <w:p w14:paraId="60D1E8A5" w14:textId="77777777" w:rsidR="00416253" w:rsidRPr="004F0499" w:rsidRDefault="00416253" w:rsidP="00416253">
            <w:pPr>
              <w:pStyle w:val="Subtitle"/>
              <w:rPr>
                <w:rFonts w:cstheme="minorHAnsi"/>
              </w:rPr>
            </w:pPr>
            <w:r>
              <w:rPr>
                <w:rFonts w:cstheme="minorHAnsi"/>
              </w:rPr>
              <w:t>47.0</w:t>
            </w:r>
          </w:p>
        </w:tc>
        <w:tc>
          <w:tcPr>
            <w:tcW w:w="1134" w:type="dxa"/>
          </w:tcPr>
          <w:p w14:paraId="6FD6DDCD" w14:textId="77777777" w:rsidR="00416253" w:rsidRPr="00416253" w:rsidRDefault="00416253" w:rsidP="00416253">
            <w:pPr>
              <w:pStyle w:val="Subtitle"/>
              <w:rPr>
                <w:rFonts w:cstheme="minorHAnsi"/>
                <w:b w:val="0"/>
              </w:rPr>
            </w:pPr>
            <w:r w:rsidRPr="00416253">
              <w:rPr>
                <w:rFonts w:cstheme="minorHAnsi"/>
                <w:b w:val="0"/>
              </w:rPr>
              <w:t>41.6</w:t>
            </w:r>
          </w:p>
        </w:tc>
      </w:tr>
      <w:tr w:rsidR="00416253" w14:paraId="3B1A1A51" w14:textId="77777777" w:rsidTr="005B36AA">
        <w:trPr>
          <w:trHeight w:val="227"/>
        </w:trPr>
        <w:tc>
          <w:tcPr>
            <w:tcW w:w="7257" w:type="dxa"/>
            <w:vAlign w:val="bottom"/>
          </w:tcPr>
          <w:p w14:paraId="496EF007" w14:textId="77777777" w:rsidR="00416253" w:rsidRDefault="00416253" w:rsidP="00416253">
            <w:pPr>
              <w:pStyle w:val="TableParagraph"/>
              <w:spacing w:line="201" w:lineRule="exact"/>
              <w:rPr>
                <w:sz w:val="18"/>
              </w:rPr>
            </w:pPr>
            <w:r>
              <w:rPr>
                <w:sz w:val="18"/>
              </w:rPr>
              <w:t>Translation adjustment</w:t>
            </w:r>
          </w:p>
        </w:tc>
        <w:tc>
          <w:tcPr>
            <w:tcW w:w="680" w:type="dxa"/>
          </w:tcPr>
          <w:p w14:paraId="3FFB1BDA" w14:textId="77777777" w:rsidR="00416253" w:rsidRPr="00635D3B" w:rsidRDefault="00416253" w:rsidP="00416253">
            <w:pPr>
              <w:pStyle w:val="Subtitle"/>
              <w:rPr>
                <w:rFonts w:cstheme="minorHAnsi"/>
                <w:b w:val="0"/>
                <w:bCs/>
                <w:highlight w:val="yellow"/>
              </w:rPr>
            </w:pPr>
          </w:p>
        </w:tc>
        <w:tc>
          <w:tcPr>
            <w:tcW w:w="1134" w:type="dxa"/>
          </w:tcPr>
          <w:p w14:paraId="1F6855D6" w14:textId="77777777" w:rsidR="00416253" w:rsidRPr="004F0499" w:rsidRDefault="00FD3735" w:rsidP="00416253">
            <w:pPr>
              <w:pStyle w:val="Subtitle"/>
              <w:rPr>
                <w:rFonts w:cstheme="minorHAnsi"/>
              </w:rPr>
            </w:pPr>
            <w:r>
              <w:rPr>
                <w:rFonts w:cstheme="minorHAnsi"/>
              </w:rPr>
              <w:t>(0.4)</w:t>
            </w:r>
          </w:p>
        </w:tc>
        <w:tc>
          <w:tcPr>
            <w:tcW w:w="1134" w:type="dxa"/>
          </w:tcPr>
          <w:p w14:paraId="00B1ABD7" w14:textId="77777777" w:rsidR="00416253" w:rsidRPr="00416253" w:rsidRDefault="00416253" w:rsidP="00416253">
            <w:pPr>
              <w:pStyle w:val="Subtitle"/>
              <w:rPr>
                <w:rFonts w:cstheme="minorHAnsi"/>
                <w:b w:val="0"/>
              </w:rPr>
            </w:pPr>
            <w:r w:rsidRPr="00416253">
              <w:rPr>
                <w:rFonts w:cstheme="minorHAnsi"/>
                <w:b w:val="0"/>
              </w:rPr>
              <w:t>(0.1)</w:t>
            </w:r>
          </w:p>
        </w:tc>
      </w:tr>
      <w:tr w:rsidR="00416253" w14:paraId="1701FE53" w14:textId="77777777" w:rsidTr="005B36AA">
        <w:trPr>
          <w:trHeight w:val="227"/>
        </w:trPr>
        <w:tc>
          <w:tcPr>
            <w:tcW w:w="7257" w:type="dxa"/>
            <w:tcBorders>
              <w:bottom w:val="single" w:sz="4" w:space="0" w:color="000000"/>
            </w:tcBorders>
            <w:vAlign w:val="bottom"/>
          </w:tcPr>
          <w:p w14:paraId="73706CA4" w14:textId="77777777" w:rsidR="00416253" w:rsidRDefault="00416253" w:rsidP="00416253">
            <w:pPr>
              <w:pStyle w:val="TableParagraph"/>
              <w:spacing w:line="183" w:lineRule="exact"/>
              <w:rPr>
                <w:sz w:val="18"/>
              </w:rPr>
            </w:pPr>
            <w:r>
              <w:rPr>
                <w:sz w:val="18"/>
              </w:rPr>
              <w:t>Increase in cash and cash equivalents and bank overdrafts</w:t>
            </w:r>
          </w:p>
        </w:tc>
        <w:tc>
          <w:tcPr>
            <w:tcW w:w="680" w:type="dxa"/>
            <w:tcBorders>
              <w:bottom w:val="single" w:sz="4" w:space="0" w:color="000000"/>
            </w:tcBorders>
          </w:tcPr>
          <w:p w14:paraId="3B04C55E" w14:textId="77777777" w:rsidR="00416253" w:rsidRPr="00635D3B" w:rsidRDefault="00416253" w:rsidP="00416253">
            <w:pPr>
              <w:pStyle w:val="Subtitle"/>
              <w:rPr>
                <w:rFonts w:cstheme="minorHAnsi"/>
                <w:b w:val="0"/>
                <w:bCs/>
                <w:highlight w:val="yellow"/>
              </w:rPr>
            </w:pPr>
          </w:p>
        </w:tc>
        <w:tc>
          <w:tcPr>
            <w:tcW w:w="1134" w:type="dxa"/>
            <w:tcBorders>
              <w:bottom w:val="single" w:sz="4" w:space="0" w:color="000000"/>
            </w:tcBorders>
          </w:tcPr>
          <w:p w14:paraId="41146F4E" w14:textId="77777777" w:rsidR="00416253" w:rsidRPr="004F0499" w:rsidRDefault="00FD3735" w:rsidP="00416253">
            <w:pPr>
              <w:pStyle w:val="Subtitle"/>
              <w:rPr>
                <w:rFonts w:cstheme="minorHAnsi"/>
              </w:rPr>
            </w:pPr>
            <w:r>
              <w:rPr>
                <w:rFonts w:cstheme="minorHAnsi"/>
              </w:rPr>
              <w:t>27.0</w:t>
            </w:r>
          </w:p>
        </w:tc>
        <w:tc>
          <w:tcPr>
            <w:tcW w:w="1134" w:type="dxa"/>
            <w:tcBorders>
              <w:bottom w:val="single" w:sz="4" w:space="0" w:color="000000"/>
            </w:tcBorders>
          </w:tcPr>
          <w:p w14:paraId="47FEDA1A" w14:textId="77777777" w:rsidR="00416253" w:rsidRPr="00416253" w:rsidRDefault="00416253" w:rsidP="00416253">
            <w:pPr>
              <w:pStyle w:val="Subtitle"/>
              <w:rPr>
                <w:rFonts w:cstheme="minorHAnsi"/>
                <w:b w:val="0"/>
              </w:rPr>
            </w:pPr>
            <w:r w:rsidRPr="00416253">
              <w:rPr>
                <w:rFonts w:cstheme="minorHAnsi"/>
                <w:b w:val="0"/>
              </w:rPr>
              <w:t>5.5</w:t>
            </w:r>
          </w:p>
        </w:tc>
      </w:tr>
      <w:tr w:rsidR="00416253" w14:paraId="55796B4E" w14:textId="77777777" w:rsidTr="00CD4E03">
        <w:trPr>
          <w:trHeight w:val="227"/>
        </w:trPr>
        <w:tc>
          <w:tcPr>
            <w:tcW w:w="7257" w:type="dxa"/>
            <w:tcBorders>
              <w:top w:val="single" w:sz="4" w:space="0" w:color="000000"/>
              <w:bottom w:val="single" w:sz="4" w:space="0" w:color="000000"/>
            </w:tcBorders>
            <w:vAlign w:val="bottom"/>
          </w:tcPr>
          <w:p w14:paraId="428678B0" w14:textId="77777777" w:rsidR="00416253" w:rsidRDefault="00416253" w:rsidP="00416253">
            <w:pPr>
              <w:pStyle w:val="TableParagraph"/>
              <w:spacing w:line="198" w:lineRule="exact"/>
              <w:rPr>
                <w:b/>
                <w:sz w:val="18"/>
              </w:rPr>
            </w:pPr>
            <w:r>
              <w:rPr>
                <w:b/>
                <w:sz w:val="18"/>
              </w:rPr>
              <w:t>Cash and cash equivalents and bank overdrafts at end of year</w:t>
            </w:r>
            <w:r w:rsidR="00F73561">
              <w:rPr>
                <w:b/>
                <w:sz w:val="18"/>
              </w:rPr>
              <w:t>*</w:t>
            </w:r>
          </w:p>
        </w:tc>
        <w:tc>
          <w:tcPr>
            <w:tcW w:w="680" w:type="dxa"/>
            <w:tcBorders>
              <w:top w:val="single" w:sz="4" w:space="0" w:color="000000"/>
              <w:bottom w:val="single" w:sz="4" w:space="0" w:color="000000"/>
            </w:tcBorders>
          </w:tcPr>
          <w:p w14:paraId="3BD0DD2B" w14:textId="77777777" w:rsidR="00416253" w:rsidRPr="00635D3B" w:rsidRDefault="00416253" w:rsidP="00416253">
            <w:pPr>
              <w:pStyle w:val="Subtitle"/>
              <w:rPr>
                <w:rFonts w:cstheme="minorHAnsi"/>
                <w:highlight w:val="yellow"/>
              </w:rPr>
            </w:pPr>
          </w:p>
        </w:tc>
        <w:tc>
          <w:tcPr>
            <w:tcW w:w="1134" w:type="dxa"/>
            <w:tcBorders>
              <w:top w:val="single" w:sz="4" w:space="0" w:color="000000"/>
              <w:bottom w:val="single" w:sz="4" w:space="0" w:color="000000"/>
            </w:tcBorders>
          </w:tcPr>
          <w:p w14:paraId="56C17D4E" w14:textId="77777777" w:rsidR="00416253" w:rsidRPr="004F0499" w:rsidRDefault="00FD3735" w:rsidP="00416253">
            <w:pPr>
              <w:pStyle w:val="Subtitle"/>
              <w:rPr>
                <w:rFonts w:cstheme="minorHAnsi"/>
              </w:rPr>
            </w:pPr>
            <w:r>
              <w:rPr>
                <w:rFonts w:cstheme="minorHAnsi"/>
              </w:rPr>
              <w:t>73.6</w:t>
            </w:r>
          </w:p>
        </w:tc>
        <w:tc>
          <w:tcPr>
            <w:tcW w:w="1134" w:type="dxa"/>
            <w:tcBorders>
              <w:top w:val="single" w:sz="4" w:space="0" w:color="000000"/>
              <w:bottom w:val="single" w:sz="4" w:space="0" w:color="000000"/>
            </w:tcBorders>
          </w:tcPr>
          <w:p w14:paraId="57F10C80" w14:textId="77777777" w:rsidR="00416253" w:rsidRPr="00416253" w:rsidRDefault="00416253" w:rsidP="00416253">
            <w:pPr>
              <w:pStyle w:val="Subtitle"/>
              <w:rPr>
                <w:rFonts w:cstheme="minorHAnsi"/>
                <w:b w:val="0"/>
              </w:rPr>
            </w:pPr>
            <w:r w:rsidRPr="00416253">
              <w:rPr>
                <w:rFonts w:cstheme="minorHAnsi"/>
                <w:b w:val="0"/>
              </w:rPr>
              <w:t>47.0</w:t>
            </w:r>
          </w:p>
        </w:tc>
      </w:tr>
      <w:tr w:rsidR="00CD4E03" w14:paraId="3BB60BD9" w14:textId="77777777" w:rsidTr="00CD4E03">
        <w:trPr>
          <w:trHeight w:val="227"/>
        </w:trPr>
        <w:tc>
          <w:tcPr>
            <w:tcW w:w="7257" w:type="dxa"/>
            <w:tcBorders>
              <w:top w:val="single" w:sz="4" w:space="0" w:color="000000"/>
            </w:tcBorders>
            <w:vAlign w:val="bottom"/>
          </w:tcPr>
          <w:p w14:paraId="2E168340" w14:textId="77777777" w:rsidR="00CD4E03" w:rsidRDefault="00CD4E03" w:rsidP="00416253">
            <w:pPr>
              <w:pStyle w:val="TableParagraph"/>
              <w:spacing w:line="198" w:lineRule="exact"/>
              <w:rPr>
                <w:b/>
                <w:sz w:val="18"/>
              </w:rPr>
            </w:pPr>
          </w:p>
        </w:tc>
        <w:tc>
          <w:tcPr>
            <w:tcW w:w="680" w:type="dxa"/>
            <w:tcBorders>
              <w:top w:val="single" w:sz="4" w:space="0" w:color="000000"/>
            </w:tcBorders>
          </w:tcPr>
          <w:p w14:paraId="30B60804" w14:textId="77777777" w:rsidR="00CD4E03" w:rsidRPr="00635D3B" w:rsidRDefault="00CD4E03" w:rsidP="00416253">
            <w:pPr>
              <w:pStyle w:val="Subtitle"/>
              <w:rPr>
                <w:rFonts w:cstheme="minorHAnsi"/>
                <w:highlight w:val="yellow"/>
              </w:rPr>
            </w:pPr>
          </w:p>
        </w:tc>
        <w:tc>
          <w:tcPr>
            <w:tcW w:w="1134" w:type="dxa"/>
            <w:tcBorders>
              <w:top w:val="single" w:sz="4" w:space="0" w:color="000000"/>
            </w:tcBorders>
          </w:tcPr>
          <w:p w14:paraId="525E4C28" w14:textId="77777777" w:rsidR="00CD4E03" w:rsidRDefault="00CD4E03" w:rsidP="00416253">
            <w:pPr>
              <w:pStyle w:val="Subtitle"/>
              <w:rPr>
                <w:rFonts w:cstheme="minorHAnsi"/>
              </w:rPr>
            </w:pPr>
          </w:p>
        </w:tc>
        <w:tc>
          <w:tcPr>
            <w:tcW w:w="1134" w:type="dxa"/>
            <w:tcBorders>
              <w:top w:val="single" w:sz="4" w:space="0" w:color="000000"/>
            </w:tcBorders>
          </w:tcPr>
          <w:p w14:paraId="069C780C" w14:textId="77777777" w:rsidR="00CD4E03" w:rsidRPr="00416253" w:rsidRDefault="00CD4E03" w:rsidP="00416253">
            <w:pPr>
              <w:pStyle w:val="Subtitle"/>
              <w:rPr>
                <w:rFonts w:cstheme="minorHAnsi"/>
                <w:b w:val="0"/>
              </w:rPr>
            </w:pPr>
          </w:p>
        </w:tc>
      </w:tr>
      <w:tr w:rsidR="00F73561" w14:paraId="320E1364" w14:textId="77777777" w:rsidTr="00743360">
        <w:trPr>
          <w:trHeight w:val="227"/>
        </w:trPr>
        <w:tc>
          <w:tcPr>
            <w:tcW w:w="10205" w:type="dxa"/>
            <w:gridSpan w:val="4"/>
            <w:vAlign w:val="bottom"/>
          </w:tcPr>
          <w:p w14:paraId="51F1531B" w14:textId="77777777" w:rsidR="00F73561" w:rsidRPr="00F73561" w:rsidRDefault="00F73561" w:rsidP="00F73561">
            <w:pPr>
              <w:pStyle w:val="Subtitle"/>
              <w:jc w:val="left"/>
              <w:rPr>
                <w:rFonts w:cstheme="minorHAnsi"/>
                <w:b w:val="0"/>
                <w:highlight w:val="yellow"/>
              </w:rPr>
            </w:pPr>
            <w:r w:rsidRPr="00F73561">
              <w:rPr>
                <w:b w:val="0"/>
                <w:sz w:val="14"/>
                <w:szCs w:val="14"/>
              </w:rPr>
              <w:t>* Cash and cash equivalents and bank overdrafts is made up of cash at bank and in hand of £119.1m (2020: £267.0m)</w:t>
            </w:r>
            <w:r>
              <w:rPr>
                <w:b w:val="0"/>
                <w:sz w:val="14"/>
                <w:szCs w:val="14"/>
              </w:rPr>
              <w:t xml:space="preserve"> and bank overdrafts of £45.5m (2020: £220.0m).</w:t>
            </w:r>
          </w:p>
        </w:tc>
      </w:tr>
      <w:tr w:rsidR="009B1C1E" w14:paraId="2D5AE6AB" w14:textId="77777777" w:rsidTr="00743360">
        <w:trPr>
          <w:trHeight w:val="227"/>
        </w:trPr>
        <w:tc>
          <w:tcPr>
            <w:tcW w:w="10205" w:type="dxa"/>
            <w:gridSpan w:val="4"/>
            <w:vAlign w:val="bottom"/>
          </w:tcPr>
          <w:p w14:paraId="39A295D5" w14:textId="77777777" w:rsidR="009B1C1E" w:rsidRPr="00F73561" w:rsidRDefault="009B1C1E" w:rsidP="00F73561">
            <w:pPr>
              <w:pStyle w:val="Subtitle"/>
              <w:jc w:val="left"/>
              <w:rPr>
                <w:b w:val="0"/>
                <w:sz w:val="14"/>
                <w:szCs w:val="14"/>
              </w:rPr>
            </w:pPr>
          </w:p>
        </w:tc>
      </w:tr>
    </w:tbl>
    <w:p w14:paraId="74CE435E" w14:textId="1350033E" w:rsidR="00AD6E4F" w:rsidRDefault="00AD6E4F" w:rsidP="005B36AA">
      <w:pPr>
        <w:spacing w:line="198" w:lineRule="exact"/>
        <w:jc w:val="right"/>
        <w:rPr>
          <w:sz w:val="18"/>
        </w:rPr>
      </w:pPr>
    </w:p>
    <w:p w14:paraId="3E793935" w14:textId="16C5B90C" w:rsidR="00BE0F00" w:rsidRDefault="00BE0F00" w:rsidP="00BE0F00">
      <w:pPr>
        <w:tabs>
          <w:tab w:val="left" w:pos="9356"/>
          <w:tab w:val="left" w:pos="9639"/>
        </w:tabs>
        <w:spacing w:before="59"/>
        <w:rPr>
          <w:b/>
          <w:sz w:val="20"/>
        </w:rPr>
      </w:pPr>
      <w:r>
        <w:rPr>
          <w:b/>
          <w:color w:val="001F5F"/>
          <w:sz w:val="20"/>
        </w:rPr>
        <w:t>NOTES TO THE FINANCIAL INFORMATION</w:t>
      </w:r>
    </w:p>
    <w:p w14:paraId="7F99222F" w14:textId="77777777" w:rsidR="009B1C1E" w:rsidRDefault="009B1C1E" w:rsidP="009B1C1E">
      <w:pPr>
        <w:spacing w:line="198" w:lineRule="exact"/>
        <w:rPr>
          <w:sz w:val="18"/>
        </w:rPr>
      </w:pPr>
    </w:p>
    <w:p w14:paraId="712F2394" w14:textId="77777777" w:rsidR="005B36AA" w:rsidRPr="001E5CE1" w:rsidRDefault="005B36AA" w:rsidP="005B36AA">
      <w:pPr>
        <w:pStyle w:val="Style1"/>
        <w:numPr>
          <w:ilvl w:val="0"/>
          <w:numId w:val="9"/>
        </w:numPr>
      </w:pPr>
      <w:r>
        <w:t>Basis of preparation</w:t>
      </w:r>
    </w:p>
    <w:p w14:paraId="3874D802" w14:textId="77777777" w:rsidR="005B36AA" w:rsidRDefault="005B36AA" w:rsidP="005B36AA">
      <w:pPr>
        <w:pStyle w:val="BodyText"/>
        <w:jc w:val="both"/>
      </w:pPr>
    </w:p>
    <w:p w14:paraId="758F8649" w14:textId="13AD7420" w:rsidR="00583467" w:rsidRDefault="005B36AA" w:rsidP="00583467">
      <w:pPr>
        <w:pStyle w:val="BodyText"/>
        <w:jc w:val="both"/>
      </w:pPr>
      <w:r w:rsidRPr="000F6DB0">
        <w:t>The financial information presented in this full year results statement</w:t>
      </w:r>
      <w:r w:rsidR="005B6103">
        <w:t xml:space="preserve"> represents financial information that</w:t>
      </w:r>
      <w:r w:rsidRPr="000F6DB0">
        <w:t xml:space="preserve"> has been prepared in accordance with the recognition and measurement principles of International Financial Reporting Standards (IFRS) and IFRS Interpretations Committee interpretations adopted by the European Union (EU</w:t>
      </w:r>
      <w:r w:rsidR="005B6103">
        <w:t xml:space="preserve">). </w:t>
      </w:r>
      <w:r w:rsidR="00AD6E4F">
        <w:t xml:space="preserve">The financial information does not include all the information required for a complete set of financial statements prepared in accordance with EU IFRS, however selected explanatory notes are included to explain events and transactions that are significant to an understanding of the changes in the Group’s financial position and performance during the year ended 24 September 2021. </w:t>
      </w:r>
      <w:r w:rsidR="00C55CEF">
        <w:t>The financial information</w:t>
      </w:r>
      <w:r w:rsidR="00583467">
        <w:t xml:space="preserve"> is based on the information included in the audited Consolidated </w:t>
      </w:r>
      <w:r w:rsidR="00583467" w:rsidRPr="00B204CB">
        <w:t>Financial Statements of Greencore</w:t>
      </w:r>
      <w:r w:rsidR="00583467">
        <w:t xml:space="preserve"> Group plc for the year ended 24 September 2021</w:t>
      </w:r>
      <w:r w:rsidR="00583467" w:rsidRPr="00B204CB">
        <w:t xml:space="preserve">, to which an unqualified audit opinion is </w:t>
      </w:r>
      <w:r w:rsidR="00583467">
        <w:t>provided</w:t>
      </w:r>
      <w:r w:rsidR="00583467" w:rsidRPr="00B204CB">
        <w:t>.</w:t>
      </w:r>
      <w:r w:rsidR="00583467">
        <w:t xml:space="preserve"> </w:t>
      </w:r>
      <w:r w:rsidR="00583467" w:rsidRPr="00B204CB">
        <w:t xml:space="preserve">Full details of the basis of preparation of the Group Financial </w:t>
      </w:r>
      <w:r w:rsidR="00583467">
        <w:t>Statements for the year ended 24 September 2021</w:t>
      </w:r>
      <w:r w:rsidR="00583467" w:rsidRPr="00B204CB">
        <w:t xml:space="preserve"> ar</w:t>
      </w:r>
      <w:r w:rsidR="00583467">
        <w:t xml:space="preserve">e included in Note 1 of the </w:t>
      </w:r>
      <w:r w:rsidR="002836F5">
        <w:t>FY</w:t>
      </w:r>
      <w:r w:rsidR="00583467">
        <w:t>21</w:t>
      </w:r>
      <w:r w:rsidR="00583467" w:rsidRPr="00B204CB">
        <w:t xml:space="preserve"> Annual Report.</w:t>
      </w:r>
    </w:p>
    <w:p w14:paraId="1E1F9C40" w14:textId="77777777" w:rsidR="00CC2A19" w:rsidRDefault="00CC2A19" w:rsidP="00583467">
      <w:pPr>
        <w:pStyle w:val="BodyText"/>
        <w:jc w:val="both"/>
      </w:pPr>
    </w:p>
    <w:p w14:paraId="3DBA154C" w14:textId="77777777" w:rsidR="00AD6E4F" w:rsidRDefault="00AD6E4F" w:rsidP="00AD6E4F">
      <w:pPr>
        <w:pStyle w:val="BodyText"/>
        <w:jc w:val="both"/>
      </w:pPr>
      <w:r>
        <w:t xml:space="preserve">The financial information is presented in GBP, which is the functional currency of the Company and presentation currency of the Group, rounded to the nearest million. </w:t>
      </w:r>
    </w:p>
    <w:p w14:paraId="26CFDA7B" w14:textId="77777777" w:rsidR="00AD6E4F" w:rsidRDefault="00AD6E4F" w:rsidP="00583467">
      <w:pPr>
        <w:pStyle w:val="BodyText"/>
        <w:jc w:val="both"/>
        <w:rPr>
          <w:i/>
          <w:iCs/>
        </w:rPr>
      </w:pPr>
    </w:p>
    <w:p w14:paraId="0EFD5A4F" w14:textId="77777777" w:rsidR="00583467" w:rsidRDefault="00CC2A19" w:rsidP="00583467">
      <w:pPr>
        <w:pStyle w:val="BodyText"/>
        <w:jc w:val="both"/>
        <w:rPr>
          <w:i/>
          <w:iCs/>
        </w:rPr>
      </w:pPr>
      <w:r w:rsidRPr="008E109E">
        <w:rPr>
          <w:i/>
          <w:iCs/>
        </w:rPr>
        <w:t xml:space="preserve">Adoption of IFRS and International Financial Reporting Interpretations Committee </w:t>
      </w:r>
    </w:p>
    <w:p w14:paraId="287E2FF7" w14:textId="77777777" w:rsidR="00CC2A19" w:rsidRPr="008E109E" w:rsidRDefault="00CC2A19" w:rsidP="00583467">
      <w:pPr>
        <w:pStyle w:val="BodyText"/>
        <w:jc w:val="both"/>
        <w:rPr>
          <w:i/>
          <w:iCs/>
        </w:rPr>
      </w:pPr>
    </w:p>
    <w:p w14:paraId="0C02D11A" w14:textId="004C98B1" w:rsidR="005B20E0" w:rsidRDefault="00CC2A19" w:rsidP="005B36AA">
      <w:pPr>
        <w:pStyle w:val="BodyText"/>
        <w:jc w:val="both"/>
      </w:pPr>
      <w:r>
        <w:t xml:space="preserve">The Group assessed the impact of new IFRS and amendments to IFRS that became effective for the current year and is satisfied that their adoption did </w:t>
      </w:r>
      <w:r w:rsidR="00AD6E4F">
        <w:t>not have</w:t>
      </w:r>
      <w:r>
        <w:t xml:space="preserve"> a material impact on the Group’s results. </w:t>
      </w:r>
    </w:p>
    <w:p w14:paraId="5B277F6D" w14:textId="77777777" w:rsidR="005B36AA" w:rsidRDefault="005B20E0" w:rsidP="005B36AA">
      <w:pPr>
        <w:pStyle w:val="BodyText"/>
        <w:jc w:val="both"/>
      </w:pPr>
      <w:r>
        <w:lastRenderedPageBreak/>
        <w:t>The Group has set out further detail in relation to interest rate benchmark reform in the Borrowings note</w:t>
      </w:r>
      <w:r w:rsidR="003A251E">
        <w:t xml:space="preserve"> (note 8)</w:t>
      </w:r>
      <w:r>
        <w:t xml:space="preserve">. </w:t>
      </w:r>
    </w:p>
    <w:p w14:paraId="1550694B" w14:textId="77777777" w:rsidR="00CC2A19" w:rsidRDefault="00CC2A19" w:rsidP="005B36AA">
      <w:pPr>
        <w:pStyle w:val="BodyText"/>
        <w:jc w:val="both"/>
      </w:pPr>
    </w:p>
    <w:p w14:paraId="48E41CEA" w14:textId="77777777" w:rsidR="005B36AA" w:rsidRPr="00812CFA" w:rsidRDefault="005B36AA">
      <w:pPr>
        <w:pStyle w:val="SectionH3"/>
        <w:rPr>
          <w:rFonts w:asciiTheme="minorHAnsi" w:hAnsiTheme="minorHAnsi" w:cstheme="minorHAnsi"/>
          <w:bCs w:val="0"/>
          <w:lang w:val="en-GB"/>
        </w:rPr>
      </w:pPr>
      <w:r w:rsidRPr="00812CFA">
        <w:rPr>
          <w:rFonts w:asciiTheme="minorHAnsi" w:hAnsiTheme="minorHAnsi" w:cstheme="minorHAnsi"/>
          <w:bCs w:val="0"/>
          <w:lang w:val="en-GB"/>
        </w:rPr>
        <w:t xml:space="preserve">Going Concern </w:t>
      </w:r>
    </w:p>
    <w:p w14:paraId="72361F76" w14:textId="77777777" w:rsidR="007D4120" w:rsidRDefault="007D4120" w:rsidP="00812CFA">
      <w:pPr>
        <w:widowControl/>
        <w:adjustRightInd w:val="0"/>
        <w:jc w:val="both"/>
        <w:rPr>
          <w:rFonts w:asciiTheme="minorHAnsi" w:hAnsiTheme="minorHAnsi" w:cstheme="minorHAnsi"/>
          <w:sz w:val="18"/>
          <w:szCs w:val="18"/>
        </w:rPr>
      </w:pPr>
      <w:r w:rsidRPr="00812CFA">
        <w:rPr>
          <w:rFonts w:asciiTheme="minorHAnsi" w:hAnsiTheme="minorHAnsi" w:cstheme="minorHAnsi"/>
          <w:sz w:val="18"/>
          <w:szCs w:val="18"/>
        </w:rPr>
        <w:t>The Directors, after making enquiries, have a reasonable expectation that the Group has adequate resources to continue operating as a going</w:t>
      </w:r>
      <w:r>
        <w:rPr>
          <w:rFonts w:asciiTheme="minorHAnsi" w:hAnsiTheme="minorHAnsi" w:cstheme="minorHAnsi"/>
          <w:sz w:val="18"/>
          <w:szCs w:val="18"/>
        </w:rPr>
        <w:t xml:space="preserve"> </w:t>
      </w:r>
      <w:r w:rsidRPr="00812CFA">
        <w:rPr>
          <w:rFonts w:asciiTheme="minorHAnsi" w:hAnsiTheme="minorHAnsi" w:cstheme="minorHAnsi"/>
          <w:sz w:val="18"/>
          <w:szCs w:val="18"/>
        </w:rPr>
        <w:t>concern for the foreseeable future.</w:t>
      </w:r>
      <w:r>
        <w:rPr>
          <w:rFonts w:asciiTheme="minorHAnsi" w:hAnsiTheme="minorHAnsi" w:cstheme="minorHAnsi"/>
          <w:sz w:val="18"/>
          <w:szCs w:val="18"/>
        </w:rPr>
        <w:t xml:space="preserve"> </w:t>
      </w:r>
    </w:p>
    <w:p w14:paraId="2161E5A2" w14:textId="77777777" w:rsidR="007D4120" w:rsidRPr="00812CFA" w:rsidRDefault="007D4120" w:rsidP="00812CFA">
      <w:pPr>
        <w:widowControl/>
        <w:adjustRightInd w:val="0"/>
        <w:jc w:val="both"/>
        <w:rPr>
          <w:rFonts w:asciiTheme="minorHAnsi" w:hAnsiTheme="minorHAnsi" w:cstheme="minorHAnsi"/>
          <w:sz w:val="18"/>
          <w:szCs w:val="18"/>
        </w:rPr>
      </w:pPr>
    </w:p>
    <w:p w14:paraId="43B343C1" w14:textId="77777777" w:rsidR="007D4120" w:rsidRDefault="007D4120" w:rsidP="00812CFA">
      <w:pPr>
        <w:widowControl/>
        <w:adjustRightInd w:val="0"/>
        <w:jc w:val="both"/>
        <w:rPr>
          <w:rFonts w:asciiTheme="minorHAnsi" w:hAnsiTheme="minorHAnsi" w:cstheme="minorHAnsi"/>
          <w:sz w:val="18"/>
          <w:szCs w:val="18"/>
        </w:rPr>
      </w:pPr>
      <w:r w:rsidRPr="00812CFA">
        <w:rPr>
          <w:rFonts w:asciiTheme="minorHAnsi" w:hAnsiTheme="minorHAnsi" w:cstheme="minorHAnsi"/>
          <w:sz w:val="18"/>
          <w:szCs w:val="18"/>
        </w:rPr>
        <w:t>In the current year, the Group’s performance continued to be impacted by COVID-19. This was particularly evident in the first half of the year</w:t>
      </w:r>
      <w:r>
        <w:rPr>
          <w:rFonts w:asciiTheme="minorHAnsi" w:hAnsiTheme="minorHAnsi" w:cstheme="minorHAnsi"/>
          <w:sz w:val="18"/>
          <w:szCs w:val="18"/>
        </w:rPr>
        <w:t xml:space="preserve"> </w:t>
      </w:r>
      <w:r w:rsidRPr="00812CFA">
        <w:rPr>
          <w:rFonts w:asciiTheme="minorHAnsi" w:hAnsiTheme="minorHAnsi" w:cstheme="minorHAnsi"/>
          <w:sz w:val="18"/>
          <w:szCs w:val="18"/>
        </w:rPr>
        <w:t>with the mobility restrictions that were imposed by the UK Government significantly impacting consumer demand. As the UK began to ease</w:t>
      </w:r>
      <w:r>
        <w:rPr>
          <w:rFonts w:asciiTheme="minorHAnsi" w:hAnsiTheme="minorHAnsi" w:cstheme="minorHAnsi"/>
          <w:sz w:val="18"/>
          <w:szCs w:val="18"/>
        </w:rPr>
        <w:t xml:space="preserve"> </w:t>
      </w:r>
      <w:r w:rsidRPr="00812CFA">
        <w:rPr>
          <w:rFonts w:asciiTheme="minorHAnsi" w:hAnsiTheme="minorHAnsi" w:cstheme="minorHAnsi"/>
          <w:sz w:val="18"/>
          <w:szCs w:val="18"/>
        </w:rPr>
        <w:t>mobility restrictions in March 2021, consumer demand has continued to respond positively. Despite the increased customer demand, the</w:t>
      </w:r>
      <w:r>
        <w:rPr>
          <w:rFonts w:asciiTheme="minorHAnsi" w:hAnsiTheme="minorHAnsi" w:cstheme="minorHAnsi"/>
          <w:sz w:val="18"/>
          <w:szCs w:val="18"/>
        </w:rPr>
        <w:t xml:space="preserve"> </w:t>
      </w:r>
      <w:r w:rsidRPr="00812CFA">
        <w:rPr>
          <w:rFonts w:asciiTheme="minorHAnsi" w:hAnsiTheme="minorHAnsi" w:cstheme="minorHAnsi"/>
          <w:sz w:val="18"/>
          <w:szCs w:val="18"/>
        </w:rPr>
        <w:t>Group continues to expect ongoing uncertainty regarding the duration and impact of COVID-19 on the Group’s trading environment and the</w:t>
      </w:r>
      <w:r>
        <w:rPr>
          <w:rFonts w:asciiTheme="minorHAnsi" w:hAnsiTheme="minorHAnsi" w:cstheme="minorHAnsi"/>
          <w:sz w:val="18"/>
          <w:szCs w:val="18"/>
        </w:rPr>
        <w:t xml:space="preserve"> </w:t>
      </w:r>
      <w:r w:rsidRPr="00812CFA">
        <w:rPr>
          <w:rFonts w:asciiTheme="minorHAnsi" w:hAnsiTheme="minorHAnsi" w:cstheme="minorHAnsi"/>
          <w:sz w:val="18"/>
          <w:szCs w:val="18"/>
        </w:rPr>
        <w:t>impact of supply side disruption arising from</w:t>
      </w:r>
      <w:r w:rsidR="00AD6E4F">
        <w:rPr>
          <w:rFonts w:asciiTheme="minorHAnsi" w:hAnsiTheme="minorHAnsi" w:cstheme="minorHAnsi"/>
          <w:sz w:val="18"/>
          <w:szCs w:val="18"/>
        </w:rPr>
        <w:t xml:space="preserve"> capacity constraints including</w:t>
      </w:r>
      <w:r w:rsidRPr="00812CFA">
        <w:rPr>
          <w:rFonts w:asciiTheme="minorHAnsi" w:hAnsiTheme="minorHAnsi" w:cstheme="minorHAnsi"/>
          <w:sz w:val="18"/>
          <w:szCs w:val="18"/>
        </w:rPr>
        <w:t xml:space="preserve"> labour availability and inflation.</w:t>
      </w:r>
    </w:p>
    <w:p w14:paraId="4F3B1D07" w14:textId="77777777" w:rsidR="007D4120" w:rsidRPr="00812CFA" w:rsidRDefault="007D4120" w:rsidP="00812CFA">
      <w:pPr>
        <w:widowControl/>
        <w:adjustRightInd w:val="0"/>
        <w:jc w:val="both"/>
        <w:rPr>
          <w:rFonts w:asciiTheme="minorHAnsi" w:hAnsiTheme="minorHAnsi" w:cstheme="minorHAnsi"/>
          <w:sz w:val="18"/>
          <w:szCs w:val="18"/>
        </w:rPr>
      </w:pPr>
    </w:p>
    <w:p w14:paraId="7BF0D657" w14:textId="540A1546" w:rsidR="007D4120" w:rsidRDefault="007D4120" w:rsidP="00812CFA">
      <w:pPr>
        <w:widowControl/>
        <w:adjustRightInd w:val="0"/>
        <w:jc w:val="both"/>
        <w:rPr>
          <w:rFonts w:asciiTheme="minorHAnsi" w:hAnsiTheme="minorHAnsi" w:cstheme="minorHAnsi"/>
          <w:sz w:val="18"/>
          <w:szCs w:val="18"/>
        </w:rPr>
      </w:pPr>
      <w:r w:rsidRPr="00812CFA">
        <w:rPr>
          <w:rFonts w:asciiTheme="minorHAnsi" w:hAnsiTheme="minorHAnsi" w:cstheme="minorHAnsi"/>
          <w:sz w:val="18"/>
          <w:szCs w:val="18"/>
        </w:rPr>
        <w:t>Accordingly, the Directors have considered a number of scenarios for the next 18 months from the date of approval of the Annual Report.</w:t>
      </w:r>
      <w:r w:rsidR="002D3D01">
        <w:rPr>
          <w:rFonts w:asciiTheme="minorHAnsi" w:hAnsiTheme="minorHAnsi" w:cstheme="minorHAnsi"/>
          <w:sz w:val="18"/>
          <w:szCs w:val="18"/>
        </w:rPr>
        <w:t xml:space="preserve"> </w:t>
      </w:r>
      <w:r w:rsidRPr="00812CFA">
        <w:rPr>
          <w:rFonts w:asciiTheme="minorHAnsi" w:hAnsiTheme="minorHAnsi" w:cstheme="minorHAnsi"/>
          <w:sz w:val="18"/>
          <w:szCs w:val="18"/>
        </w:rPr>
        <w:t>These scenarios consider the estimated potential impact of further winter restrictions</w:t>
      </w:r>
      <w:r w:rsidR="00AD6E4F">
        <w:rPr>
          <w:rFonts w:asciiTheme="minorHAnsi" w:hAnsiTheme="minorHAnsi" w:cstheme="minorHAnsi"/>
          <w:sz w:val="18"/>
          <w:szCs w:val="18"/>
        </w:rPr>
        <w:t xml:space="preserve"> arising from COVID-19</w:t>
      </w:r>
      <w:r w:rsidRPr="00812CFA">
        <w:rPr>
          <w:rFonts w:asciiTheme="minorHAnsi" w:hAnsiTheme="minorHAnsi" w:cstheme="minorHAnsi"/>
          <w:sz w:val="18"/>
          <w:szCs w:val="18"/>
        </w:rPr>
        <w:t xml:space="preserve"> on the business along with consideration of the impact</w:t>
      </w:r>
      <w:r>
        <w:rPr>
          <w:rFonts w:asciiTheme="minorHAnsi" w:hAnsiTheme="minorHAnsi" w:cstheme="minorHAnsi"/>
          <w:sz w:val="18"/>
          <w:szCs w:val="18"/>
        </w:rPr>
        <w:t xml:space="preserve"> </w:t>
      </w:r>
      <w:r w:rsidRPr="00812CFA">
        <w:rPr>
          <w:rFonts w:asciiTheme="minorHAnsi" w:hAnsiTheme="minorHAnsi" w:cstheme="minorHAnsi"/>
          <w:sz w:val="18"/>
          <w:szCs w:val="18"/>
        </w:rPr>
        <w:t>of supply chain and service level constraints. Based on current levels of trading and various durations of mobility restrictions, the impact on</w:t>
      </w:r>
      <w:r>
        <w:rPr>
          <w:rFonts w:asciiTheme="minorHAnsi" w:hAnsiTheme="minorHAnsi" w:cstheme="minorHAnsi"/>
          <w:sz w:val="18"/>
          <w:szCs w:val="18"/>
        </w:rPr>
        <w:t xml:space="preserve"> </w:t>
      </w:r>
      <w:r w:rsidRPr="00812CFA">
        <w:rPr>
          <w:rFonts w:asciiTheme="minorHAnsi" w:hAnsiTheme="minorHAnsi" w:cstheme="minorHAnsi"/>
          <w:sz w:val="18"/>
          <w:szCs w:val="18"/>
        </w:rPr>
        <w:t>revenue, profit and cashflow are modelled, including the consequential impact on working capital.</w:t>
      </w:r>
    </w:p>
    <w:p w14:paraId="615BBC91" w14:textId="77777777" w:rsidR="007D4120" w:rsidRPr="00812CFA" w:rsidRDefault="007D4120" w:rsidP="00812CFA">
      <w:pPr>
        <w:widowControl/>
        <w:adjustRightInd w:val="0"/>
        <w:jc w:val="both"/>
        <w:rPr>
          <w:rFonts w:asciiTheme="minorHAnsi" w:hAnsiTheme="minorHAnsi" w:cstheme="minorHAnsi"/>
          <w:sz w:val="18"/>
          <w:szCs w:val="18"/>
        </w:rPr>
      </w:pPr>
    </w:p>
    <w:p w14:paraId="0A9A15AD" w14:textId="0587B6F8" w:rsidR="007D4120" w:rsidRDefault="007D4120" w:rsidP="002D3D01">
      <w:pPr>
        <w:widowControl/>
        <w:adjustRightInd w:val="0"/>
        <w:jc w:val="both"/>
        <w:rPr>
          <w:rFonts w:asciiTheme="minorHAnsi" w:hAnsiTheme="minorHAnsi" w:cstheme="minorHAnsi"/>
          <w:sz w:val="18"/>
          <w:szCs w:val="18"/>
        </w:rPr>
      </w:pPr>
      <w:r w:rsidRPr="00812CFA">
        <w:rPr>
          <w:rFonts w:asciiTheme="minorHAnsi" w:hAnsiTheme="minorHAnsi" w:cstheme="minorHAnsi"/>
          <w:sz w:val="18"/>
          <w:szCs w:val="18"/>
        </w:rPr>
        <w:t>Under each scenario cost and cashflow mitigating actions are modelled, including a reduction in non-business critical capital projects and</w:t>
      </w:r>
      <w:r w:rsidR="002D3D01">
        <w:rPr>
          <w:rFonts w:asciiTheme="minorHAnsi" w:hAnsiTheme="minorHAnsi" w:cstheme="minorHAnsi"/>
          <w:sz w:val="18"/>
          <w:szCs w:val="18"/>
        </w:rPr>
        <w:t xml:space="preserve"> </w:t>
      </w:r>
      <w:r w:rsidRPr="00812CFA">
        <w:rPr>
          <w:rFonts w:asciiTheme="minorHAnsi" w:hAnsiTheme="minorHAnsi" w:cstheme="minorHAnsi"/>
          <w:sz w:val="18"/>
          <w:szCs w:val="18"/>
        </w:rPr>
        <w:t>other</w:t>
      </w:r>
      <w:r w:rsidR="002D3D01">
        <w:rPr>
          <w:rFonts w:asciiTheme="minorHAnsi" w:hAnsiTheme="minorHAnsi" w:cstheme="minorHAnsi"/>
          <w:sz w:val="18"/>
          <w:szCs w:val="18"/>
        </w:rPr>
        <w:t xml:space="preserve"> </w:t>
      </w:r>
      <w:r w:rsidRPr="00812CFA">
        <w:rPr>
          <w:rFonts w:asciiTheme="minorHAnsi" w:hAnsiTheme="minorHAnsi" w:cstheme="minorHAnsi"/>
          <w:sz w:val="18"/>
          <w:szCs w:val="18"/>
        </w:rPr>
        <w:t>discretionary cash flow items</w:t>
      </w:r>
      <w:r w:rsidR="00AD6E4F">
        <w:rPr>
          <w:rFonts w:asciiTheme="minorHAnsi" w:hAnsiTheme="minorHAnsi" w:cstheme="minorHAnsi"/>
          <w:sz w:val="18"/>
          <w:szCs w:val="18"/>
        </w:rPr>
        <w:t xml:space="preserve"> including no payment of dividends</w:t>
      </w:r>
      <w:r w:rsidRPr="00812CFA">
        <w:rPr>
          <w:rFonts w:asciiTheme="minorHAnsi" w:hAnsiTheme="minorHAnsi" w:cstheme="minorHAnsi"/>
          <w:sz w:val="18"/>
          <w:szCs w:val="18"/>
        </w:rPr>
        <w:t>. The Group has assumed that no significant structural changes to the business will be needed in any of the</w:t>
      </w:r>
      <w:r>
        <w:rPr>
          <w:rFonts w:asciiTheme="minorHAnsi" w:hAnsiTheme="minorHAnsi" w:cstheme="minorHAnsi"/>
          <w:sz w:val="18"/>
          <w:szCs w:val="18"/>
        </w:rPr>
        <w:t xml:space="preserve"> </w:t>
      </w:r>
      <w:r w:rsidRPr="00812CFA">
        <w:rPr>
          <w:rFonts w:asciiTheme="minorHAnsi" w:hAnsiTheme="minorHAnsi" w:cstheme="minorHAnsi"/>
          <w:sz w:val="18"/>
          <w:szCs w:val="18"/>
        </w:rPr>
        <w:t>scenarios modelled.</w:t>
      </w:r>
    </w:p>
    <w:p w14:paraId="543E461E" w14:textId="77777777" w:rsidR="007D4120" w:rsidRPr="00812CFA" w:rsidRDefault="007D4120" w:rsidP="00812CFA">
      <w:pPr>
        <w:widowControl/>
        <w:adjustRightInd w:val="0"/>
        <w:jc w:val="both"/>
        <w:rPr>
          <w:rFonts w:asciiTheme="minorHAnsi" w:hAnsiTheme="minorHAnsi" w:cstheme="minorHAnsi"/>
          <w:sz w:val="18"/>
          <w:szCs w:val="18"/>
        </w:rPr>
      </w:pPr>
    </w:p>
    <w:p w14:paraId="7414D68B" w14:textId="77777777" w:rsidR="007D4120" w:rsidRPr="00812CFA" w:rsidRDefault="007D4120" w:rsidP="00812CFA">
      <w:pPr>
        <w:widowControl/>
        <w:adjustRightInd w:val="0"/>
        <w:jc w:val="both"/>
        <w:rPr>
          <w:rFonts w:asciiTheme="minorHAnsi" w:hAnsiTheme="minorHAnsi" w:cstheme="minorHAnsi"/>
          <w:sz w:val="18"/>
          <w:szCs w:val="18"/>
        </w:rPr>
      </w:pPr>
      <w:r w:rsidRPr="00812CFA">
        <w:rPr>
          <w:rFonts w:asciiTheme="minorHAnsi" w:hAnsiTheme="minorHAnsi" w:cstheme="minorHAnsi"/>
          <w:sz w:val="18"/>
          <w:szCs w:val="18"/>
        </w:rPr>
        <w:t>The Group’s scenarios assume:</w:t>
      </w:r>
    </w:p>
    <w:p w14:paraId="5E77970B" w14:textId="77777777" w:rsidR="007D4120" w:rsidRPr="00812CFA" w:rsidRDefault="007D4120" w:rsidP="00812CFA">
      <w:pPr>
        <w:pStyle w:val="ListParagraph"/>
        <w:widowControl/>
        <w:numPr>
          <w:ilvl w:val="0"/>
          <w:numId w:val="87"/>
        </w:numPr>
        <w:adjustRightInd w:val="0"/>
        <w:jc w:val="both"/>
        <w:rPr>
          <w:rFonts w:asciiTheme="minorHAnsi" w:hAnsiTheme="minorHAnsi" w:cstheme="minorHAnsi"/>
          <w:sz w:val="18"/>
          <w:szCs w:val="18"/>
        </w:rPr>
      </w:pPr>
      <w:r w:rsidRPr="00812CFA">
        <w:rPr>
          <w:rFonts w:asciiTheme="minorHAnsi" w:hAnsiTheme="minorHAnsi" w:cstheme="minorHAnsi"/>
          <w:sz w:val="18"/>
          <w:szCs w:val="18"/>
        </w:rPr>
        <w:t>A base case projection which is based on the Group’s FY22 budget and strategic plan;</w:t>
      </w:r>
    </w:p>
    <w:p w14:paraId="2CEA6746" w14:textId="158A6019" w:rsidR="007D4120" w:rsidRPr="00812CFA" w:rsidRDefault="007D4120" w:rsidP="00812CFA">
      <w:pPr>
        <w:pStyle w:val="ListParagraph"/>
        <w:widowControl/>
        <w:numPr>
          <w:ilvl w:val="0"/>
          <w:numId w:val="87"/>
        </w:numPr>
        <w:adjustRightInd w:val="0"/>
        <w:jc w:val="both"/>
        <w:rPr>
          <w:rFonts w:asciiTheme="minorHAnsi" w:hAnsiTheme="minorHAnsi" w:cstheme="minorHAnsi"/>
          <w:sz w:val="18"/>
          <w:szCs w:val="18"/>
        </w:rPr>
      </w:pPr>
      <w:r w:rsidRPr="00812CFA">
        <w:rPr>
          <w:rFonts w:asciiTheme="minorHAnsi" w:hAnsiTheme="minorHAnsi" w:cstheme="minorHAnsi"/>
          <w:sz w:val="18"/>
          <w:szCs w:val="18"/>
        </w:rPr>
        <w:t>A downside scenario is applied to the base case, which assumes the occurrence of winter restrictions arising as a result of COVID-19 in H1 FY22 and the financial impact of several material supply side disruptions; and</w:t>
      </w:r>
    </w:p>
    <w:p w14:paraId="3788BFF2" w14:textId="78954F7C" w:rsidR="007D4120" w:rsidRPr="00812CFA" w:rsidRDefault="007D4120" w:rsidP="00812CFA">
      <w:pPr>
        <w:pStyle w:val="ListParagraph"/>
        <w:widowControl/>
        <w:numPr>
          <w:ilvl w:val="0"/>
          <w:numId w:val="87"/>
        </w:numPr>
        <w:adjustRightInd w:val="0"/>
        <w:jc w:val="both"/>
        <w:rPr>
          <w:rFonts w:asciiTheme="minorHAnsi" w:hAnsiTheme="minorHAnsi" w:cstheme="minorHAnsi"/>
          <w:sz w:val="18"/>
          <w:szCs w:val="18"/>
        </w:rPr>
      </w:pPr>
      <w:r w:rsidRPr="00812CFA">
        <w:rPr>
          <w:rFonts w:asciiTheme="minorHAnsi" w:hAnsiTheme="minorHAnsi" w:cstheme="minorHAnsi"/>
          <w:sz w:val="18"/>
          <w:szCs w:val="18"/>
        </w:rPr>
        <w:t xml:space="preserve">A severe downside scenario, assuming a longer period of winter restrictions and more severe supply side disruptions. In this scenario further mitigating actions are assumed including, but not limited to, a further reduction in capital expenditure and reduction of the indirect costs base. </w:t>
      </w:r>
    </w:p>
    <w:p w14:paraId="143886C0" w14:textId="77777777" w:rsidR="007D4120" w:rsidRDefault="007D4120" w:rsidP="00812CFA">
      <w:pPr>
        <w:widowControl/>
        <w:adjustRightInd w:val="0"/>
        <w:jc w:val="both"/>
        <w:rPr>
          <w:rFonts w:asciiTheme="minorHAnsi" w:hAnsiTheme="minorHAnsi" w:cstheme="minorHAnsi"/>
          <w:sz w:val="18"/>
          <w:szCs w:val="18"/>
        </w:rPr>
      </w:pPr>
    </w:p>
    <w:p w14:paraId="57963370" w14:textId="77777777" w:rsidR="007D4120" w:rsidRDefault="007D4120" w:rsidP="00812CFA">
      <w:pPr>
        <w:widowControl/>
        <w:adjustRightInd w:val="0"/>
        <w:jc w:val="both"/>
        <w:rPr>
          <w:rFonts w:cstheme="minorHAnsi"/>
        </w:rPr>
      </w:pPr>
      <w:r w:rsidRPr="00812CFA">
        <w:rPr>
          <w:rFonts w:asciiTheme="minorHAnsi" w:hAnsiTheme="minorHAnsi" w:cstheme="minorHAnsi"/>
          <w:sz w:val="18"/>
          <w:szCs w:val="18"/>
        </w:rPr>
        <w:t>While the Group is in a net current liability position, the Group retained financial strength and flexibility at year end, with cash and undrawn</w:t>
      </w:r>
      <w:r>
        <w:rPr>
          <w:rFonts w:asciiTheme="minorHAnsi" w:hAnsiTheme="minorHAnsi" w:cstheme="minorHAnsi"/>
          <w:sz w:val="18"/>
          <w:szCs w:val="18"/>
        </w:rPr>
        <w:t xml:space="preserve"> </w:t>
      </w:r>
      <w:r w:rsidRPr="00812CFA">
        <w:rPr>
          <w:rFonts w:asciiTheme="minorHAnsi" w:hAnsiTheme="minorHAnsi" w:cstheme="minorHAnsi"/>
          <w:sz w:val="18"/>
          <w:szCs w:val="18"/>
        </w:rPr>
        <w:t>committed bank facilities of £433.6m at 24 September 2021 (September 2020: £232.0m). In addition, the directors have taken steps to ensure</w:t>
      </w:r>
      <w:r>
        <w:rPr>
          <w:rFonts w:asciiTheme="minorHAnsi" w:hAnsiTheme="minorHAnsi" w:cstheme="minorHAnsi"/>
          <w:sz w:val="18"/>
          <w:szCs w:val="18"/>
        </w:rPr>
        <w:t xml:space="preserve"> </w:t>
      </w:r>
      <w:r w:rsidRPr="00812CFA">
        <w:rPr>
          <w:rFonts w:asciiTheme="minorHAnsi" w:hAnsiTheme="minorHAnsi" w:cstheme="minorHAnsi"/>
          <w:sz w:val="18"/>
          <w:szCs w:val="18"/>
        </w:rPr>
        <w:t>adequate liquidity is available to the Group including extending the maturity of the £340m revolving credit facility by one year to January</w:t>
      </w:r>
      <w:r>
        <w:rPr>
          <w:rFonts w:asciiTheme="minorHAnsi" w:hAnsiTheme="minorHAnsi" w:cstheme="minorHAnsi"/>
          <w:sz w:val="18"/>
          <w:szCs w:val="18"/>
        </w:rPr>
        <w:t xml:space="preserve"> </w:t>
      </w:r>
      <w:r w:rsidRPr="00812CFA">
        <w:rPr>
          <w:rFonts w:asciiTheme="minorHAnsi" w:hAnsiTheme="minorHAnsi" w:cstheme="minorHAnsi"/>
          <w:sz w:val="18"/>
          <w:szCs w:val="18"/>
        </w:rPr>
        <w:t>2026.</w:t>
      </w:r>
    </w:p>
    <w:p w14:paraId="384038AA" w14:textId="77777777" w:rsidR="007D4120" w:rsidRPr="00812CFA" w:rsidRDefault="007D4120" w:rsidP="00812CFA">
      <w:pPr>
        <w:widowControl/>
        <w:adjustRightInd w:val="0"/>
        <w:jc w:val="both"/>
        <w:rPr>
          <w:rFonts w:asciiTheme="minorHAnsi" w:hAnsiTheme="minorHAnsi" w:cstheme="minorHAnsi"/>
          <w:sz w:val="18"/>
          <w:szCs w:val="18"/>
        </w:rPr>
      </w:pPr>
    </w:p>
    <w:p w14:paraId="12CA9798" w14:textId="2B967EB4" w:rsidR="00D51EFF" w:rsidRDefault="007D4120" w:rsidP="00812CFA">
      <w:pPr>
        <w:widowControl/>
        <w:adjustRightInd w:val="0"/>
        <w:jc w:val="both"/>
        <w:rPr>
          <w:rFonts w:asciiTheme="minorHAnsi" w:hAnsiTheme="minorHAnsi" w:cstheme="minorHAnsi"/>
          <w:sz w:val="18"/>
          <w:szCs w:val="18"/>
        </w:rPr>
      </w:pPr>
      <w:r w:rsidRPr="00812CFA">
        <w:rPr>
          <w:rFonts w:asciiTheme="minorHAnsi" w:hAnsiTheme="minorHAnsi" w:cstheme="minorHAnsi"/>
          <w:sz w:val="18"/>
          <w:szCs w:val="18"/>
        </w:rPr>
        <w:t>Based on these scenarios and the resources available to the Group, the directors believe the Group has sufficient liquidity to manage through</w:t>
      </w:r>
      <w:r>
        <w:rPr>
          <w:rFonts w:asciiTheme="minorHAnsi" w:hAnsiTheme="minorHAnsi" w:cstheme="minorHAnsi"/>
          <w:sz w:val="18"/>
          <w:szCs w:val="18"/>
        </w:rPr>
        <w:t xml:space="preserve"> </w:t>
      </w:r>
      <w:r w:rsidRPr="00812CFA">
        <w:rPr>
          <w:rFonts w:asciiTheme="minorHAnsi" w:hAnsiTheme="minorHAnsi" w:cstheme="minorHAnsi"/>
          <w:sz w:val="18"/>
          <w:szCs w:val="18"/>
        </w:rPr>
        <w:t xml:space="preserve">a range of different cashflow scenarios over the next 18 months from the date of approval of the annual report. </w:t>
      </w:r>
      <w:r w:rsidR="002D3D01">
        <w:rPr>
          <w:rFonts w:asciiTheme="minorHAnsi" w:hAnsiTheme="minorHAnsi" w:cstheme="minorHAnsi"/>
          <w:sz w:val="18"/>
          <w:szCs w:val="18"/>
        </w:rPr>
        <w:t xml:space="preserve">If the Group were not to achieve these scenarios, the Directors could consider further engagement with lenders. </w:t>
      </w:r>
      <w:r w:rsidRPr="00812CFA">
        <w:rPr>
          <w:rFonts w:asciiTheme="minorHAnsi" w:hAnsiTheme="minorHAnsi" w:cstheme="minorHAnsi"/>
          <w:sz w:val="18"/>
          <w:szCs w:val="18"/>
        </w:rPr>
        <w:t>Accordingly, the directors</w:t>
      </w:r>
      <w:r>
        <w:rPr>
          <w:rFonts w:asciiTheme="minorHAnsi" w:hAnsiTheme="minorHAnsi" w:cstheme="minorHAnsi"/>
          <w:sz w:val="18"/>
          <w:szCs w:val="18"/>
        </w:rPr>
        <w:t xml:space="preserve"> </w:t>
      </w:r>
      <w:r w:rsidRPr="00812CFA">
        <w:rPr>
          <w:rFonts w:asciiTheme="minorHAnsi" w:hAnsiTheme="minorHAnsi" w:cstheme="minorHAnsi"/>
          <w:sz w:val="18"/>
          <w:szCs w:val="18"/>
        </w:rPr>
        <w:t>adopt the going concern basis in preparing the Group Financial Statements.</w:t>
      </w:r>
    </w:p>
    <w:p w14:paraId="22E8942F" w14:textId="77777777" w:rsidR="009B1C1E" w:rsidRDefault="009B1C1E" w:rsidP="00812CFA">
      <w:pPr>
        <w:widowControl/>
        <w:adjustRightInd w:val="0"/>
        <w:jc w:val="both"/>
        <w:rPr>
          <w:rFonts w:asciiTheme="minorHAnsi" w:hAnsiTheme="minorHAnsi" w:cstheme="minorHAnsi"/>
          <w:sz w:val="18"/>
          <w:szCs w:val="18"/>
        </w:rPr>
      </w:pPr>
    </w:p>
    <w:p w14:paraId="6C470C82" w14:textId="77777777" w:rsidR="005B36AA" w:rsidRPr="00B204CB" w:rsidRDefault="005B36AA" w:rsidP="00D36989">
      <w:pPr>
        <w:pStyle w:val="Heading2"/>
      </w:pPr>
      <w:r>
        <w:t>Segment Information</w:t>
      </w:r>
    </w:p>
    <w:p w14:paraId="7CB7D314" w14:textId="77777777" w:rsidR="005B36AA" w:rsidRDefault="005B36AA" w:rsidP="005B36AA">
      <w:pPr>
        <w:pStyle w:val="BodyText"/>
        <w:jc w:val="both"/>
      </w:pPr>
    </w:p>
    <w:p w14:paraId="3329B036" w14:textId="77777777" w:rsidR="005B36AA" w:rsidRDefault="005B36AA" w:rsidP="005B36AA">
      <w:pPr>
        <w:pStyle w:val="BodyText"/>
        <w:jc w:val="both"/>
      </w:pPr>
      <w:r>
        <w:t>Convenience Foods UK &amp; Ireland is the Group’s operating segment, which represents its reporting segment. The segment incorporates many UK convenience food categories including sandwiches, salads, sushi, chilled snacking, chilled ready meals, chilled soups and sauces, chilled quiche, ambient sauces and pickles and, frozen Yorkshire Puddings as well as the Iris</w:t>
      </w:r>
      <w:r w:rsidR="00C8186A">
        <w:t>h ingredients trading business</w:t>
      </w:r>
      <w:r>
        <w:t xml:space="preserve">. </w:t>
      </w:r>
    </w:p>
    <w:p w14:paraId="6159CA87" w14:textId="77777777" w:rsidR="005B36AA" w:rsidRDefault="005B36AA" w:rsidP="005B36AA">
      <w:pPr>
        <w:pStyle w:val="BodyText"/>
        <w:jc w:val="both"/>
      </w:pPr>
    </w:p>
    <w:p w14:paraId="4CBB7EC0" w14:textId="77777777" w:rsidR="005B36AA" w:rsidRDefault="005B36AA" w:rsidP="005B36AA">
      <w:pPr>
        <w:pStyle w:val="BodyText"/>
        <w:jc w:val="both"/>
      </w:pPr>
      <w:r w:rsidRPr="00F82616">
        <w:t>Revenue earned individually from four customers in Convenience Foods UK &amp; Ireland of £</w:t>
      </w:r>
      <w:r w:rsidR="00F82616" w:rsidRPr="00F82616">
        <w:t>2</w:t>
      </w:r>
      <w:r w:rsidR="00E82061">
        <w:t>78.1</w:t>
      </w:r>
      <w:r w:rsidRPr="00F82616">
        <w:t>m, £</w:t>
      </w:r>
      <w:r w:rsidR="00F82616" w:rsidRPr="00F82616">
        <w:t>168.1</w:t>
      </w:r>
      <w:r w:rsidRPr="00F82616">
        <w:t>m, £</w:t>
      </w:r>
      <w:r w:rsidR="00F82616" w:rsidRPr="00F82616">
        <w:t>145.0</w:t>
      </w:r>
      <w:r w:rsidRPr="00F82616">
        <w:t>m and £</w:t>
      </w:r>
      <w:r w:rsidR="00F82616" w:rsidRPr="00F82616">
        <w:t>133.9</w:t>
      </w:r>
      <w:r w:rsidRPr="00F82616">
        <w:t>m respectively represents more than 10% of the Group’s revenue (20</w:t>
      </w:r>
      <w:r w:rsidR="00DB2027" w:rsidRPr="00F82616">
        <w:t>20</w:t>
      </w:r>
      <w:r w:rsidRPr="00F82616">
        <w:t>: Revenue earned individually from four customers in Convenience</w:t>
      </w:r>
      <w:r w:rsidRPr="00BB6ADB">
        <w:t xml:space="preserve"> Foods UK &amp; Ireland of </w:t>
      </w:r>
      <w:r w:rsidR="00DB2027" w:rsidRPr="0023663C">
        <w:t>£2</w:t>
      </w:r>
      <w:r w:rsidR="00DB2027">
        <w:t>74.4</w:t>
      </w:r>
      <w:r w:rsidR="00DB2027" w:rsidRPr="0023663C">
        <w:t>m, £168.</w:t>
      </w:r>
      <w:r w:rsidR="00DB2027">
        <w:t>5</w:t>
      </w:r>
      <w:r w:rsidR="00DB2027" w:rsidRPr="0023663C">
        <w:t>m, £146.6m and £128.9m</w:t>
      </w:r>
      <w:r w:rsidR="00DB2027" w:rsidRPr="00BB6ADB">
        <w:t xml:space="preserve"> </w:t>
      </w:r>
      <w:r w:rsidRPr="00BB6ADB">
        <w:t>respectively represents more than 10% of the Group’s revenue)</w:t>
      </w:r>
      <w:r>
        <w:t>.</w:t>
      </w:r>
    </w:p>
    <w:p w14:paraId="4FFA6032" w14:textId="77777777" w:rsidR="006C19A7" w:rsidRDefault="006C19A7" w:rsidP="005B36AA">
      <w:pPr>
        <w:pStyle w:val="BodyText"/>
      </w:pPr>
    </w:p>
    <w:p w14:paraId="53492CD7" w14:textId="77777777" w:rsidR="005B36AA" w:rsidRDefault="005B36AA" w:rsidP="005B36AA">
      <w:pPr>
        <w:pStyle w:val="BodyText"/>
      </w:pPr>
      <w:r>
        <w:t>T</w:t>
      </w:r>
      <w:r w:rsidRPr="00EB272D">
        <w:t>he following table disaggregates revenue by product categories in the Convenience Foods U</w:t>
      </w:r>
      <w:r>
        <w:t>K and Ireland reporting segment:</w:t>
      </w:r>
    </w:p>
    <w:p w14:paraId="394A034E" w14:textId="77777777" w:rsidR="005B36AA" w:rsidRDefault="005B36AA" w:rsidP="005B36AA">
      <w:pPr>
        <w:pStyle w:val="BodyText"/>
      </w:pPr>
    </w:p>
    <w:tbl>
      <w:tblPr>
        <w:tblW w:w="0" w:type="auto"/>
        <w:tblLook w:val="04A0" w:firstRow="1" w:lastRow="0" w:firstColumn="1" w:lastColumn="0" w:noHBand="0" w:noVBand="1"/>
      </w:tblPr>
      <w:tblGrid>
        <w:gridCol w:w="7911"/>
        <w:gridCol w:w="1133"/>
        <w:gridCol w:w="1133"/>
      </w:tblGrid>
      <w:tr w:rsidR="005B36AA" w:rsidRPr="007A35AF" w14:paraId="6B6E9905" w14:textId="77777777" w:rsidTr="00DB2027">
        <w:trPr>
          <w:trHeight w:val="227"/>
        </w:trPr>
        <w:tc>
          <w:tcPr>
            <w:tcW w:w="7911" w:type="dxa"/>
          </w:tcPr>
          <w:p w14:paraId="676DA0F3" w14:textId="77777777" w:rsidR="005B36AA" w:rsidRPr="007A35AF" w:rsidRDefault="005B36AA" w:rsidP="005B36AA">
            <w:pPr>
              <w:rPr>
                <w:rFonts w:asciiTheme="minorHAnsi" w:eastAsiaTheme="minorHAnsi" w:hAnsiTheme="minorHAnsi" w:cstheme="minorBidi"/>
                <w:sz w:val="18"/>
                <w:szCs w:val="18"/>
                <w:lang w:eastAsia="en-US" w:bidi="ar-SA"/>
              </w:rPr>
            </w:pPr>
          </w:p>
        </w:tc>
        <w:tc>
          <w:tcPr>
            <w:tcW w:w="1133" w:type="dxa"/>
            <w:vAlign w:val="bottom"/>
          </w:tcPr>
          <w:p w14:paraId="73C46D68" w14:textId="77777777" w:rsidR="005B36AA" w:rsidRPr="007A35AF" w:rsidRDefault="005B36AA" w:rsidP="00DB2027">
            <w:pPr>
              <w:jc w:val="right"/>
              <w:rPr>
                <w:rFonts w:asciiTheme="minorHAnsi" w:eastAsiaTheme="minorHAnsi" w:hAnsiTheme="minorHAnsi" w:cstheme="minorBidi"/>
                <w:b/>
                <w:sz w:val="18"/>
                <w:szCs w:val="18"/>
                <w:lang w:eastAsia="en-US" w:bidi="ar-SA"/>
              </w:rPr>
            </w:pPr>
            <w:r>
              <w:rPr>
                <w:rFonts w:asciiTheme="minorHAnsi" w:eastAsiaTheme="minorHAnsi" w:hAnsiTheme="minorHAnsi" w:cstheme="minorBidi"/>
                <w:b/>
                <w:sz w:val="18"/>
                <w:szCs w:val="18"/>
                <w:lang w:eastAsia="en-US" w:bidi="ar-SA"/>
              </w:rPr>
              <w:t>202</w:t>
            </w:r>
            <w:r w:rsidR="00DB2027">
              <w:rPr>
                <w:rFonts w:asciiTheme="minorHAnsi" w:eastAsiaTheme="minorHAnsi" w:hAnsiTheme="minorHAnsi" w:cstheme="minorBidi"/>
                <w:b/>
                <w:sz w:val="18"/>
                <w:szCs w:val="18"/>
                <w:lang w:eastAsia="en-US" w:bidi="ar-SA"/>
              </w:rPr>
              <w:t>1</w:t>
            </w:r>
            <w:r w:rsidRPr="007A35AF">
              <w:rPr>
                <w:rFonts w:asciiTheme="minorHAnsi" w:eastAsiaTheme="minorHAnsi" w:hAnsiTheme="minorHAnsi" w:cstheme="minorBidi"/>
                <w:b/>
                <w:sz w:val="18"/>
                <w:szCs w:val="18"/>
                <w:lang w:eastAsia="en-US" w:bidi="ar-SA"/>
              </w:rPr>
              <w:br/>
              <w:t>£m</w:t>
            </w:r>
          </w:p>
        </w:tc>
        <w:tc>
          <w:tcPr>
            <w:tcW w:w="1133" w:type="dxa"/>
            <w:vAlign w:val="bottom"/>
          </w:tcPr>
          <w:p w14:paraId="51A61488" w14:textId="77777777" w:rsidR="005B36AA" w:rsidRPr="000D4B42" w:rsidRDefault="00DB2027" w:rsidP="005B36AA">
            <w:pPr>
              <w:jc w:val="right"/>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t>2020</w:t>
            </w:r>
            <w:r w:rsidR="005B36AA" w:rsidRPr="000D4B42">
              <w:rPr>
                <w:rFonts w:asciiTheme="minorHAnsi" w:eastAsiaTheme="minorHAnsi" w:hAnsiTheme="minorHAnsi" w:cstheme="minorBidi"/>
                <w:sz w:val="18"/>
                <w:szCs w:val="18"/>
                <w:lang w:eastAsia="en-US" w:bidi="ar-SA"/>
              </w:rPr>
              <w:br/>
              <w:t>£m</w:t>
            </w:r>
          </w:p>
        </w:tc>
      </w:tr>
      <w:tr w:rsidR="005B36AA" w:rsidRPr="007A35AF" w14:paraId="7ECAC4D8" w14:textId="77777777" w:rsidTr="00DB2027">
        <w:trPr>
          <w:trHeight w:val="227"/>
        </w:trPr>
        <w:tc>
          <w:tcPr>
            <w:tcW w:w="7911" w:type="dxa"/>
            <w:tcBorders>
              <w:top w:val="single" w:sz="4" w:space="0" w:color="auto"/>
            </w:tcBorders>
          </w:tcPr>
          <w:p w14:paraId="0CF13913" w14:textId="77777777" w:rsidR="005B36AA" w:rsidRPr="007A35AF" w:rsidRDefault="005B36AA" w:rsidP="005B36AA">
            <w:pPr>
              <w:rPr>
                <w:rFonts w:asciiTheme="minorHAnsi" w:eastAsiaTheme="minorHAnsi" w:hAnsiTheme="minorHAnsi" w:cstheme="minorBidi"/>
                <w:b/>
                <w:sz w:val="18"/>
                <w:szCs w:val="18"/>
                <w:lang w:eastAsia="en-US" w:bidi="ar-SA"/>
              </w:rPr>
            </w:pPr>
            <w:r>
              <w:rPr>
                <w:rFonts w:asciiTheme="minorHAnsi" w:eastAsiaTheme="minorHAnsi" w:hAnsiTheme="minorHAnsi" w:cstheme="minorBidi"/>
                <w:b/>
                <w:sz w:val="18"/>
                <w:szCs w:val="18"/>
                <w:lang w:eastAsia="en-US" w:bidi="ar-SA"/>
              </w:rPr>
              <w:t>Revenue</w:t>
            </w:r>
          </w:p>
        </w:tc>
        <w:tc>
          <w:tcPr>
            <w:tcW w:w="1133" w:type="dxa"/>
            <w:tcBorders>
              <w:top w:val="single" w:sz="4" w:space="0" w:color="auto"/>
            </w:tcBorders>
            <w:vAlign w:val="bottom"/>
          </w:tcPr>
          <w:p w14:paraId="1D2742E1" w14:textId="77777777" w:rsidR="005B36AA" w:rsidRPr="007A35AF" w:rsidRDefault="005B36AA" w:rsidP="005B36AA">
            <w:pPr>
              <w:jc w:val="right"/>
              <w:rPr>
                <w:rFonts w:asciiTheme="minorHAnsi" w:eastAsiaTheme="minorHAnsi" w:hAnsiTheme="minorHAnsi" w:cstheme="minorBidi"/>
                <w:b/>
                <w:sz w:val="18"/>
                <w:szCs w:val="18"/>
                <w:lang w:eastAsia="en-US" w:bidi="ar-SA"/>
              </w:rPr>
            </w:pPr>
          </w:p>
        </w:tc>
        <w:tc>
          <w:tcPr>
            <w:tcW w:w="1133" w:type="dxa"/>
            <w:tcBorders>
              <w:top w:val="single" w:sz="4" w:space="0" w:color="auto"/>
            </w:tcBorders>
            <w:vAlign w:val="bottom"/>
          </w:tcPr>
          <w:p w14:paraId="063D7554" w14:textId="77777777" w:rsidR="005B36AA" w:rsidRPr="007A35AF" w:rsidRDefault="005B36AA" w:rsidP="005B36AA">
            <w:pPr>
              <w:jc w:val="right"/>
              <w:rPr>
                <w:rFonts w:asciiTheme="minorHAnsi" w:eastAsiaTheme="minorHAnsi" w:hAnsiTheme="minorHAnsi" w:cstheme="minorBidi"/>
                <w:b/>
                <w:sz w:val="18"/>
                <w:szCs w:val="18"/>
                <w:lang w:eastAsia="en-US" w:bidi="ar-SA"/>
              </w:rPr>
            </w:pPr>
          </w:p>
        </w:tc>
      </w:tr>
      <w:tr w:rsidR="00DB2027" w:rsidRPr="007A35AF" w14:paraId="4ACB3DCF" w14:textId="77777777" w:rsidTr="00DB2027">
        <w:trPr>
          <w:trHeight w:val="227"/>
        </w:trPr>
        <w:tc>
          <w:tcPr>
            <w:tcW w:w="7911" w:type="dxa"/>
          </w:tcPr>
          <w:p w14:paraId="43EE8E8D" w14:textId="77777777" w:rsidR="00DB2027" w:rsidRPr="007A35AF" w:rsidRDefault="00DB2027" w:rsidP="00DB2027">
            <w:pPr>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t>Food to go categories</w:t>
            </w:r>
          </w:p>
        </w:tc>
        <w:tc>
          <w:tcPr>
            <w:tcW w:w="1133" w:type="dxa"/>
            <w:vAlign w:val="bottom"/>
          </w:tcPr>
          <w:p w14:paraId="31DF8945" w14:textId="77777777" w:rsidR="00DB2027" w:rsidRPr="007A35AF" w:rsidRDefault="00C8186A" w:rsidP="00DB2027">
            <w:pPr>
              <w:jc w:val="right"/>
              <w:rPr>
                <w:rFonts w:asciiTheme="minorHAnsi" w:eastAsiaTheme="minorHAnsi" w:hAnsiTheme="minorHAnsi" w:cstheme="minorBidi"/>
                <w:b/>
                <w:sz w:val="18"/>
                <w:szCs w:val="18"/>
                <w:lang w:eastAsia="en-US" w:bidi="ar-SA"/>
              </w:rPr>
            </w:pPr>
            <w:r>
              <w:rPr>
                <w:rFonts w:asciiTheme="minorHAnsi" w:eastAsiaTheme="minorHAnsi" w:hAnsiTheme="minorHAnsi" w:cstheme="minorBidi"/>
                <w:b/>
                <w:sz w:val="18"/>
                <w:szCs w:val="18"/>
                <w:lang w:eastAsia="en-US" w:bidi="ar-SA"/>
              </w:rPr>
              <w:t>842.1</w:t>
            </w:r>
          </w:p>
        </w:tc>
        <w:tc>
          <w:tcPr>
            <w:tcW w:w="1133" w:type="dxa"/>
            <w:vAlign w:val="bottom"/>
          </w:tcPr>
          <w:p w14:paraId="67A1F1EF" w14:textId="77777777" w:rsidR="00DB2027" w:rsidRPr="00DB2027" w:rsidRDefault="00DB2027" w:rsidP="00DB2027">
            <w:pPr>
              <w:jc w:val="right"/>
              <w:rPr>
                <w:rFonts w:asciiTheme="minorHAnsi" w:eastAsiaTheme="minorHAnsi" w:hAnsiTheme="minorHAnsi" w:cstheme="minorBidi"/>
                <w:sz w:val="18"/>
                <w:szCs w:val="18"/>
                <w:lang w:eastAsia="en-US" w:bidi="ar-SA"/>
              </w:rPr>
            </w:pPr>
            <w:r w:rsidRPr="00DB2027">
              <w:rPr>
                <w:rFonts w:asciiTheme="minorHAnsi" w:eastAsiaTheme="minorHAnsi" w:hAnsiTheme="minorHAnsi" w:cstheme="minorBidi"/>
                <w:sz w:val="18"/>
                <w:szCs w:val="18"/>
                <w:lang w:eastAsia="en-US" w:bidi="ar-SA"/>
              </w:rPr>
              <w:t>772.9</w:t>
            </w:r>
          </w:p>
        </w:tc>
      </w:tr>
      <w:tr w:rsidR="00DB2027" w:rsidRPr="007A35AF" w14:paraId="4D6A029D" w14:textId="77777777" w:rsidTr="00DB2027">
        <w:trPr>
          <w:trHeight w:val="227"/>
        </w:trPr>
        <w:tc>
          <w:tcPr>
            <w:tcW w:w="7911" w:type="dxa"/>
            <w:tcBorders>
              <w:bottom w:val="single" w:sz="4" w:space="0" w:color="auto"/>
            </w:tcBorders>
          </w:tcPr>
          <w:p w14:paraId="720EFBD2" w14:textId="77777777" w:rsidR="00DB2027" w:rsidRPr="007A35AF" w:rsidRDefault="00DB2027" w:rsidP="00DB2027">
            <w:pPr>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t>Other convenience categories</w:t>
            </w:r>
          </w:p>
        </w:tc>
        <w:tc>
          <w:tcPr>
            <w:tcW w:w="1133" w:type="dxa"/>
            <w:tcBorders>
              <w:bottom w:val="single" w:sz="4" w:space="0" w:color="auto"/>
            </w:tcBorders>
            <w:vAlign w:val="bottom"/>
          </w:tcPr>
          <w:p w14:paraId="43DFAE63" w14:textId="77777777" w:rsidR="00DB2027" w:rsidRPr="007A35AF" w:rsidRDefault="00C8186A" w:rsidP="00DB2027">
            <w:pPr>
              <w:jc w:val="right"/>
              <w:rPr>
                <w:rFonts w:asciiTheme="minorHAnsi" w:eastAsiaTheme="minorHAnsi" w:hAnsiTheme="minorHAnsi" w:cstheme="minorBidi"/>
                <w:b/>
                <w:sz w:val="18"/>
                <w:szCs w:val="18"/>
                <w:lang w:eastAsia="en-US" w:bidi="ar-SA"/>
              </w:rPr>
            </w:pPr>
            <w:r>
              <w:rPr>
                <w:rFonts w:asciiTheme="minorHAnsi" w:eastAsiaTheme="minorHAnsi" w:hAnsiTheme="minorHAnsi" w:cstheme="minorBidi"/>
                <w:b/>
                <w:sz w:val="18"/>
                <w:szCs w:val="18"/>
                <w:lang w:eastAsia="en-US" w:bidi="ar-SA"/>
              </w:rPr>
              <w:t>482.7</w:t>
            </w:r>
          </w:p>
        </w:tc>
        <w:tc>
          <w:tcPr>
            <w:tcW w:w="1133" w:type="dxa"/>
            <w:tcBorders>
              <w:bottom w:val="single" w:sz="4" w:space="0" w:color="auto"/>
            </w:tcBorders>
            <w:vAlign w:val="bottom"/>
          </w:tcPr>
          <w:p w14:paraId="7731D29F" w14:textId="77777777" w:rsidR="00DB2027" w:rsidRPr="00DB2027" w:rsidRDefault="00DB2027" w:rsidP="00DB2027">
            <w:pPr>
              <w:jc w:val="right"/>
              <w:rPr>
                <w:rFonts w:asciiTheme="minorHAnsi" w:eastAsiaTheme="minorHAnsi" w:hAnsiTheme="minorHAnsi" w:cstheme="minorBidi"/>
                <w:sz w:val="18"/>
                <w:szCs w:val="18"/>
                <w:lang w:eastAsia="en-US" w:bidi="ar-SA"/>
              </w:rPr>
            </w:pPr>
            <w:r w:rsidRPr="00DB2027">
              <w:rPr>
                <w:rFonts w:asciiTheme="minorHAnsi" w:eastAsiaTheme="minorHAnsi" w:hAnsiTheme="minorHAnsi" w:cstheme="minorBidi"/>
                <w:sz w:val="18"/>
                <w:szCs w:val="18"/>
                <w:lang w:eastAsia="en-US" w:bidi="ar-SA"/>
              </w:rPr>
              <w:t>491.8</w:t>
            </w:r>
          </w:p>
        </w:tc>
      </w:tr>
      <w:tr w:rsidR="00DB2027" w:rsidRPr="007A35AF" w14:paraId="7BB074CF" w14:textId="77777777" w:rsidTr="00DB2027">
        <w:trPr>
          <w:trHeight w:val="227"/>
        </w:trPr>
        <w:tc>
          <w:tcPr>
            <w:tcW w:w="7911" w:type="dxa"/>
            <w:tcBorders>
              <w:top w:val="single" w:sz="4" w:space="0" w:color="auto"/>
              <w:bottom w:val="single" w:sz="8" w:space="0" w:color="auto"/>
            </w:tcBorders>
          </w:tcPr>
          <w:p w14:paraId="76F32DC1" w14:textId="77777777" w:rsidR="00DB2027" w:rsidRPr="007A35AF" w:rsidRDefault="00DB2027" w:rsidP="00DB2027">
            <w:pPr>
              <w:rPr>
                <w:rFonts w:asciiTheme="minorHAnsi" w:eastAsiaTheme="minorHAnsi" w:hAnsiTheme="minorHAnsi" w:cstheme="minorBidi"/>
                <w:b/>
                <w:sz w:val="18"/>
                <w:szCs w:val="18"/>
                <w:lang w:eastAsia="en-US" w:bidi="ar-SA"/>
              </w:rPr>
            </w:pPr>
            <w:r w:rsidRPr="005F44BA">
              <w:rPr>
                <w:rFonts w:asciiTheme="minorHAnsi" w:eastAsiaTheme="minorHAnsi" w:hAnsiTheme="minorHAnsi" w:cstheme="minorBidi"/>
                <w:b/>
                <w:sz w:val="18"/>
                <w:szCs w:val="18"/>
                <w:lang w:eastAsia="en-US" w:bidi="ar-SA"/>
              </w:rPr>
              <w:t xml:space="preserve">Total revenue for Convenience Foods UK </w:t>
            </w:r>
            <w:r>
              <w:rPr>
                <w:rFonts w:asciiTheme="minorHAnsi" w:eastAsiaTheme="minorHAnsi" w:hAnsiTheme="minorHAnsi" w:cstheme="minorBidi"/>
                <w:b/>
                <w:sz w:val="18"/>
                <w:szCs w:val="18"/>
                <w:lang w:eastAsia="en-US" w:bidi="ar-SA"/>
              </w:rPr>
              <w:t>and</w:t>
            </w:r>
            <w:r w:rsidRPr="005F44BA">
              <w:rPr>
                <w:rFonts w:asciiTheme="minorHAnsi" w:eastAsiaTheme="minorHAnsi" w:hAnsiTheme="minorHAnsi" w:cstheme="minorBidi"/>
                <w:b/>
                <w:sz w:val="18"/>
                <w:szCs w:val="18"/>
                <w:lang w:eastAsia="en-US" w:bidi="ar-SA"/>
              </w:rPr>
              <w:t xml:space="preserve"> Ireland</w:t>
            </w:r>
          </w:p>
        </w:tc>
        <w:tc>
          <w:tcPr>
            <w:tcW w:w="1133" w:type="dxa"/>
            <w:tcBorders>
              <w:top w:val="single" w:sz="4" w:space="0" w:color="auto"/>
              <w:bottom w:val="single" w:sz="8" w:space="0" w:color="auto"/>
            </w:tcBorders>
            <w:vAlign w:val="bottom"/>
          </w:tcPr>
          <w:p w14:paraId="6A2F3474" w14:textId="77777777" w:rsidR="00DB2027" w:rsidRPr="007A35AF" w:rsidRDefault="00C8186A" w:rsidP="00DB2027">
            <w:pPr>
              <w:jc w:val="right"/>
              <w:rPr>
                <w:rFonts w:asciiTheme="minorHAnsi" w:eastAsiaTheme="minorHAnsi" w:hAnsiTheme="minorHAnsi" w:cstheme="minorBidi"/>
                <w:b/>
                <w:sz w:val="18"/>
                <w:szCs w:val="18"/>
                <w:lang w:eastAsia="en-US" w:bidi="ar-SA"/>
              </w:rPr>
            </w:pPr>
            <w:r>
              <w:rPr>
                <w:rFonts w:asciiTheme="minorHAnsi" w:eastAsiaTheme="minorHAnsi" w:hAnsiTheme="minorHAnsi" w:cstheme="minorBidi"/>
                <w:b/>
                <w:sz w:val="18"/>
                <w:szCs w:val="18"/>
                <w:lang w:eastAsia="en-US" w:bidi="ar-SA"/>
              </w:rPr>
              <w:t>1,324.8</w:t>
            </w:r>
          </w:p>
        </w:tc>
        <w:tc>
          <w:tcPr>
            <w:tcW w:w="1133" w:type="dxa"/>
            <w:tcBorders>
              <w:top w:val="single" w:sz="4" w:space="0" w:color="auto"/>
              <w:bottom w:val="single" w:sz="8" w:space="0" w:color="auto"/>
            </w:tcBorders>
            <w:vAlign w:val="bottom"/>
          </w:tcPr>
          <w:p w14:paraId="2FFC4359" w14:textId="77777777" w:rsidR="00DB2027" w:rsidRPr="00DB2027" w:rsidRDefault="00DB2027" w:rsidP="00DB2027">
            <w:pPr>
              <w:jc w:val="right"/>
              <w:rPr>
                <w:rFonts w:asciiTheme="minorHAnsi" w:eastAsiaTheme="minorHAnsi" w:hAnsiTheme="minorHAnsi" w:cstheme="minorBidi"/>
                <w:sz w:val="18"/>
                <w:szCs w:val="18"/>
                <w:lang w:eastAsia="en-US" w:bidi="ar-SA"/>
              </w:rPr>
            </w:pPr>
            <w:r w:rsidRPr="00DB2027">
              <w:rPr>
                <w:rFonts w:asciiTheme="minorHAnsi" w:eastAsiaTheme="minorHAnsi" w:hAnsiTheme="minorHAnsi" w:cstheme="minorBidi"/>
                <w:sz w:val="18"/>
                <w:szCs w:val="18"/>
                <w:lang w:eastAsia="en-US" w:bidi="ar-SA"/>
              </w:rPr>
              <w:t>1,264.7</w:t>
            </w:r>
          </w:p>
        </w:tc>
      </w:tr>
    </w:tbl>
    <w:p w14:paraId="3B7E3457" w14:textId="77777777" w:rsidR="005B36AA" w:rsidRDefault="005B36AA" w:rsidP="005B36AA">
      <w:pPr>
        <w:pStyle w:val="BodyText"/>
      </w:pPr>
    </w:p>
    <w:p w14:paraId="73AAD348" w14:textId="77777777" w:rsidR="007D4120" w:rsidRDefault="005B36AA" w:rsidP="005B36AA">
      <w:pPr>
        <w:pStyle w:val="BodyText"/>
        <w:jc w:val="both"/>
      </w:pPr>
      <w:r w:rsidRPr="00E71831">
        <w:t>Food to go categories includes sandwiches,</w:t>
      </w:r>
      <w:r>
        <w:t xml:space="preserve"> </w:t>
      </w:r>
      <w:r w:rsidRPr="00E71831">
        <w:t>salads</w:t>
      </w:r>
      <w:r>
        <w:t>, sushi and chilled snacking</w:t>
      </w:r>
      <w:r w:rsidRPr="00E71831">
        <w:t xml:space="preserve"> while the other convenience categories include chilled ready meals, chilled soups and sauces, chilled quiche, ambient sauces and pickles</w:t>
      </w:r>
      <w:r>
        <w:t>,</w:t>
      </w:r>
      <w:r w:rsidRPr="00E71831">
        <w:t xml:space="preserve"> and frozen Yorkshire Puddings as well as </w:t>
      </w:r>
      <w:r w:rsidR="00C8186A">
        <w:t xml:space="preserve">the </w:t>
      </w:r>
      <w:r w:rsidRPr="00E71831">
        <w:t>Irish Ingredient</w:t>
      </w:r>
      <w:r>
        <w:t>s trading</w:t>
      </w:r>
      <w:r w:rsidR="00C8186A">
        <w:t xml:space="preserve"> business</w:t>
      </w:r>
      <w:r w:rsidRPr="00E71831">
        <w:t>.</w:t>
      </w:r>
    </w:p>
    <w:p w14:paraId="53ADAA1B" w14:textId="77777777" w:rsidR="005B36AA" w:rsidRDefault="005B36AA" w:rsidP="005B36AA">
      <w:pPr>
        <w:pStyle w:val="BodyText"/>
        <w:jc w:val="both"/>
      </w:pPr>
      <w:r w:rsidRPr="00E71831">
        <w:t xml:space="preserve"> </w:t>
      </w:r>
    </w:p>
    <w:p w14:paraId="4863B0F0" w14:textId="77777777" w:rsidR="003F4CA8" w:rsidRDefault="003F4CA8" w:rsidP="008E109E">
      <w:pPr>
        <w:pStyle w:val="Heading2"/>
      </w:pPr>
      <w:r>
        <w:t>Seasonality</w:t>
      </w:r>
    </w:p>
    <w:p w14:paraId="3387CCF1" w14:textId="77777777" w:rsidR="006C19A7" w:rsidRDefault="006C19A7" w:rsidP="005B36AA">
      <w:pPr>
        <w:pStyle w:val="BodyText"/>
      </w:pPr>
    </w:p>
    <w:p w14:paraId="7BCE06A6" w14:textId="77777777" w:rsidR="00700DF0" w:rsidRDefault="00700DF0" w:rsidP="008E46B3">
      <w:pPr>
        <w:pStyle w:val="Heading2"/>
        <w:numPr>
          <w:ilvl w:val="0"/>
          <w:numId w:val="0"/>
        </w:numPr>
        <w:jc w:val="both"/>
        <w:rPr>
          <w:b w:val="0"/>
          <w:bCs w:val="0"/>
        </w:rPr>
      </w:pPr>
      <w:r w:rsidRPr="008E109E">
        <w:rPr>
          <w:b w:val="0"/>
          <w:bCs w:val="0"/>
        </w:rPr>
        <w:t xml:space="preserve">The Group’s </w:t>
      </w:r>
      <w:r w:rsidR="00A803D9">
        <w:rPr>
          <w:b w:val="0"/>
          <w:bCs w:val="0"/>
        </w:rPr>
        <w:t>convenience foods portfolio is</w:t>
      </w:r>
      <w:r w:rsidRPr="008E109E">
        <w:rPr>
          <w:b w:val="0"/>
          <w:bCs w:val="0"/>
        </w:rPr>
        <w:t xml:space="preserve"> seasonal in nature </w:t>
      </w:r>
      <w:r w:rsidR="00F87268" w:rsidRPr="008E109E">
        <w:rPr>
          <w:b w:val="0"/>
          <w:bCs w:val="0"/>
        </w:rPr>
        <w:t xml:space="preserve">with the </w:t>
      </w:r>
      <w:r w:rsidR="00F87268">
        <w:rPr>
          <w:b w:val="0"/>
          <w:bCs w:val="0"/>
        </w:rPr>
        <w:t>Group’s</w:t>
      </w:r>
      <w:r w:rsidR="00A803D9">
        <w:rPr>
          <w:b w:val="0"/>
          <w:bCs w:val="0"/>
        </w:rPr>
        <w:t xml:space="preserve"> business being</w:t>
      </w:r>
      <w:r w:rsidR="00440359">
        <w:rPr>
          <w:b w:val="0"/>
          <w:bCs w:val="0"/>
        </w:rPr>
        <w:t xml:space="preserve"> </w:t>
      </w:r>
      <w:r w:rsidR="003F4CA8">
        <w:rPr>
          <w:b w:val="0"/>
          <w:bCs w:val="0"/>
        </w:rPr>
        <w:t xml:space="preserve">weighted towards the </w:t>
      </w:r>
      <w:r w:rsidR="00440359">
        <w:rPr>
          <w:b w:val="0"/>
          <w:bCs w:val="0"/>
        </w:rPr>
        <w:t>second half of the year.</w:t>
      </w:r>
      <w:r w:rsidR="00A803D9">
        <w:rPr>
          <w:b w:val="0"/>
          <w:bCs w:val="0"/>
        </w:rPr>
        <w:t xml:space="preserve"> This weighting is primarily driven by weather and seasonal buying patterns. </w:t>
      </w:r>
      <w:r w:rsidR="00C23971">
        <w:rPr>
          <w:b w:val="0"/>
          <w:bCs w:val="0"/>
        </w:rPr>
        <w:t>While</w:t>
      </w:r>
      <w:r w:rsidR="00A803D9">
        <w:rPr>
          <w:b w:val="0"/>
          <w:bCs w:val="0"/>
        </w:rPr>
        <w:t xml:space="preserve"> the split of revenue of the Group in the current year is second half weighed and aligns to the historic performance of the Group</w:t>
      </w:r>
      <w:r w:rsidR="00C23971">
        <w:rPr>
          <w:b w:val="0"/>
          <w:bCs w:val="0"/>
        </w:rPr>
        <w:t xml:space="preserve">, the Group notes in the current year that the weighting also aligns to </w:t>
      </w:r>
      <w:r w:rsidR="00C23971">
        <w:rPr>
          <w:b w:val="0"/>
          <w:bCs w:val="0"/>
        </w:rPr>
        <w:lastRenderedPageBreak/>
        <w:t>the lifting of the restrictions in the UK</w:t>
      </w:r>
      <w:r w:rsidR="00A803D9">
        <w:rPr>
          <w:b w:val="0"/>
          <w:bCs w:val="0"/>
        </w:rPr>
        <w:t>.  In the prior year, due to the impact of</w:t>
      </w:r>
      <w:r w:rsidR="00CC7175">
        <w:rPr>
          <w:b w:val="0"/>
          <w:bCs w:val="0"/>
        </w:rPr>
        <w:t xml:space="preserve"> </w:t>
      </w:r>
      <w:r w:rsidR="00A803D9">
        <w:rPr>
          <w:b w:val="0"/>
          <w:bCs w:val="0"/>
        </w:rPr>
        <w:t xml:space="preserve">COVID-19, the normal seasonality of the business was significantly impacted. </w:t>
      </w:r>
    </w:p>
    <w:p w14:paraId="29E20AFD" w14:textId="77777777" w:rsidR="00A803D9" w:rsidRDefault="00A803D9" w:rsidP="00700DF0">
      <w:pPr>
        <w:pStyle w:val="Heading2"/>
        <w:numPr>
          <w:ilvl w:val="0"/>
          <w:numId w:val="0"/>
        </w:numPr>
        <w:rPr>
          <w:b w:val="0"/>
          <w:bCs w:val="0"/>
        </w:rPr>
      </w:pPr>
    </w:p>
    <w:tbl>
      <w:tblPr>
        <w:tblW w:w="10206" w:type="dxa"/>
        <w:tblLayout w:type="fixed"/>
        <w:tblLook w:val="01E0" w:firstRow="1" w:lastRow="1" w:firstColumn="1" w:lastColumn="1" w:noHBand="0" w:noVBand="0"/>
      </w:tblPr>
      <w:tblGrid>
        <w:gridCol w:w="4962"/>
        <w:gridCol w:w="803"/>
        <w:gridCol w:w="803"/>
        <w:gridCol w:w="803"/>
        <w:gridCol w:w="426"/>
        <w:gridCol w:w="803"/>
        <w:gridCol w:w="803"/>
        <w:gridCol w:w="803"/>
      </w:tblGrid>
      <w:tr w:rsidR="00A803D9" w14:paraId="39E092C1" w14:textId="77777777" w:rsidTr="008F5708">
        <w:trPr>
          <w:trHeight w:val="230"/>
        </w:trPr>
        <w:tc>
          <w:tcPr>
            <w:tcW w:w="4962" w:type="dxa"/>
            <w:vAlign w:val="bottom"/>
          </w:tcPr>
          <w:p w14:paraId="5FCC48FA" w14:textId="77777777" w:rsidR="00A803D9" w:rsidRPr="00F97F7B" w:rsidRDefault="00A803D9" w:rsidP="008F5708">
            <w:pPr>
              <w:pStyle w:val="TableRowHead"/>
            </w:pPr>
          </w:p>
        </w:tc>
        <w:tc>
          <w:tcPr>
            <w:tcW w:w="2409" w:type="dxa"/>
            <w:gridSpan w:val="3"/>
            <w:vAlign w:val="bottom"/>
          </w:tcPr>
          <w:p w14:paraId="3B187A15" w14:textId="77777777" w:rsidR="00A803D9" w:rsidRDefault="00A803D9" w:rsidP="008F5708">
            <w:pPr>
              <w:pStyle w:val="Subtitle"/>
              <w:jc w:val="center"/>
            </w:pPr>
            <w:r>
              <w:t>Total revenue</w:t>
            </w:r>
          </w:p>
        </w:tc>
        <w:tc>
          <w:tcPr>
            <w:tcW w:w="426" w:type="dxa"/>
          </w:tcPr>
          <w:p w14:paraId="35105A9C" w14:textId="77777777" w:rsidR="00A803D9" w:rsidRDefault="00A803D9" w:rsidP="008F5708">
            <w:pPr>
              <w:pStyle w:val="Subtitle"/>
              <w:jc w:val="center"/>
            </w:pPr>
          </w:p>
        </w:tc>
        <w:tc>
          <w:tcPr>
            <w:tcW w:w="2409" w:type="dxa"/>
            <w:gridSpan w:val="3"/>
          </w:tcPr>
          <w:p w14:paraId="4F70EA7D" w14:textId="77777777" w:rsidR="00A803D9" w:rsidRPr="008B13C4" w:rsidRDefault="00A803D9" w:rsidP="008F5708">
            <w:pPr>
              <w:pStyle w:val="Subtitle"/>
              <w:jc w:val="center"/>
              <w:rPr>
                <w:b w:val="0"/>
              </w:rPr>
            </w:pPr>
            <w:r w:rsidRPr="008B13C4">
              <w:rPr>
                <w:b w:val="0"/>
              </w:rPr>
              <w:t xml:space="preserve">   Total revenue</w:t>
            </w:r>
          </w:p>
        </w:tc>
      </w:tr>
      <w:tr w:rsidR="00A803D9" w14:paraId="437B0480" w14:textId="77777777" w:rsidTr="008F5708">
        <w:trPr>
          <w:trHeight w:val="230"/>
        </w:trPr>
        <w:tc>
          <w:tcPr>
            <w:tcW w:w="4962" w:type="dxa"/>
            <w:tcBorders>
              <w:bottom w:val="single" w:sz="4" w:space="0" w:color="000000"/>
            </w:tcBorders>
            <w:vAlign w:val="bottom"/>
          </w:tcPr>
          <w:p w14:paraId="776ACBAE" w14:textId="77777777" w:rsidR="00A803D9" w:rsidRPr="00F97F7B" w:rsidRDefault="00A803D9" w:rsidP="008F5708">
            <w:pPr>
              <w:pStyle w:val="TableRowHead"/>
            </w:pPr>
          </w:p>
        </w:tc>
        <w:tc>
          <w:tcPr>
            <w:tcW w:w="803" w:type="dxa"/>
            <w:tcBorders>
              <w:bottom w:val="single" w:sz="4" w:space="0" w:color="000000"/>
            </w:tcBorders>
            <w:vAlign w:val="bottom"/>
          </w:tcPr>
          <w:p w14:paraId="5714BCAF" w14:textId="77777777" w:rsidR="00A803D9" w:rsidRPr="00F97F7B" w:rsidRDefault="00A803D9" w:rsidP="008F5708">
            <w:pPr>
              <w:pStyle w:val="Subtitle"/>
            </w:pPr>
            <w:r>
              <w:t>H1 FY21</w:t>
            </w:r>
          </w:p>
          <w:p w14:paraId="519763C2" w14:textId="77777777" w:rsidR="00A803D9" w:rsidRPr="00F97F7B" w:rsidRDefault="00A803D9" w:rsidP="008F5708">
            <w:pPr>
              <w:pStyle w:val="Subtitle"/>
            </w:pPr>
            <w:r>
              <w:t>£m</w:t>
            </w:r>
          </w:p>
        </w:tc>
        <w:tc>
          <w:tcPr>
            <w:tcW w:w="803" w:type="dxa"/>
            <w:tcBorders>
              <w:bottom w:val="single" w:sz="4" w:space="0" w:color="000000"/>
            </w:tcBorders>
            <w:vAlign w:val="bottom"/>
          </w:tcPr>
          <w:p w14:paraId="37DAEFAE" w14:textId="77777777" w:rsidR="00A803D9" w:rsidRPr="00F97F7B" w:rsidRDefault="00A803D9" w:rsidP="008F5708">
            <w:pPr>
              <w:pStyle w:val="Subtitle"/>
            </w:pPr>
            <w:r>
              <w:t>H2 FY21</w:t>
            </w:r>
          </w:p>
          <w:p w14:paraId="6529B6C2" w14:textId="77777777" w:rsidR="00A803D9" w:rsidRPr="00F97F7B" w:rsidRDefault="00A803D9" w:rsidP="008F5708">
            <w:pPr>
              <w:pStyle w:val="Subtitle"/>
            </w:pPr>
            <w:r>
              <w:t>£m</w:t>
            </w:r>
          </w:p>
        </w:tc>
        <w:tc>
          <w:tcPr>
            <w:tcW w:w="803" w:type="dxa"/>
            <w:tcBorders>
              <w:bottom w:val="single" w:sz="4" w:space="0" w:color="000000"/>
            </w:tcBorders>
          </w:tcPr>
          <w:p w14:paraId="0C55146F" w14:textId="77777777" w:rsidR="00A803D9" w:rsidRPr="00F97F7B" w:rsidRDefault="00A803D9" w:rsidP="008F5708">
            <w:pPr>
              <w:pStyle w:val="Subtitle"/>
            </w:pPr>
            <w:r>
              <w:t>Full Year</w:t>
            </w:r>
          </w:p>
          <w:p w14:paraId="36FDA5A4" w14:textId="77777777" w:rsidR="00A803D9" w:rsidRPr="00F97F7B" w:rsidRDefault="00A803D9" w:rsidP="008F5708">
            <w:pPr>
              <w:pStyle w:val="Subtitle"/>
            </w:pPr>
            <w:r>
              <w:t>£m</w:t>
            </w:r>
          </w:p>
        </w:tc>
        <w:tc>
          <w:tcPr>
            <w:tcW w:w="426" w:type="dxa"/>
            <w:tcBorders>
              <w:bottom w:val="single" w:sz="4" w:space="0" w:color="000000"/>
            </w:tcBorders>
          </w:tcPr>
          <w:p w14:paraId="3BC84AB6" w14:textId="77777777" w:rsidR="00A803D9" w:rsidRDefault="00A803D9" w:rsidP="008F5708">
            <w:pPr>
              <w:pStyle w:val="Subtitle"/>
            </w:pPr>
          </w:p>
        </w:tc>
        <w:tc>
          <w:tcPr>
            <w:tcW w:w="803" w:type="dxa"/>
            <w:tcBorders>
              <w:bottom w:val="single" w:sz="4" w:space="0" w:color="000000"/>
            </w:tcBorders>
            <w:vAlign w:val="bottom"/>
          </w:tcPr>
          <w:p w14:paraId="0DE7028F" w14:textId="77777777" w:rsidR="00A803D9" w:rsidRPr="008B13C4" w:rsidRDefault="00A803D9" w:rsidP="008F5708">
            <w:pPr>
              <w:pStyle w:val="Subtitle"/>
              <w:rPr>
                <w:b w:val="0"/>
              </w:rPr>
            </w:pPr>
            <w:r w:rsidRPr="008B13C4">
              <w:rPr>
                <w:b w:val="0"/>
              </w:rPr>
              <w:t>H1 FY20</w:t>
            </w:r>
          </w:p>
          <w:p w14:paraId="7259E4A3" w14:textId="77777777" w:rsidR="00A803D9" w:rsidRPr="008B13C4" w:rsidRDefault="00A803D9" w:rsidP="008F5708">
            <w:pPr>
              <w:pStyle w:val="Subtitle"/>
              <w:rPr>
                <w:b w:val="0"/>
              </w:rPr>
            </w:pPr>
            <w:r w:rsidRPr="008B13C4">
              <w:rPr>
                <w:b w:val="0"/>
              </w:rPr>
              <w:t>£m</w:t>
            </w:r>
          </w:p>
        </w:tc>
        <w:tc>
          <w:tcPr>
            <w:tcW w:w="803" w:type="dxa"/>
            <w:tcBorders>
              <w:bottom w:val="single" w:sz="4" w:space="0" w:color="000000"/>
            </w:tcBorders>
            <w:vAlign w:val="bottom"/>
          </w:tcPr>
          <w:p w14:paraId="7DA5465C" w14:textId="77777777" w:rsidR="00A803D9" w:rsidRPr="008B13C4" w:rsidRDefault="00A803D9" w:rsidP="008F5708">
            <w:pPr>
              <w:pStyle w:val="Subtitle"/>
              <w:rPr>
                <w:b w:val="0"/>
              </w:rPr>
            </w:pPr>
            <w:r w:rsidRPr="008B13C4">
              <w:rPr>
                <w:b w:val="0"/>
              </w:rPr>
              <w:t>H2 FY20</w:t>
            </w:r>
          </w:p>
          <w:p w14:paraId="48892F15" w14:textId="77777777" w:rsidR="00A803D9" w:rsidRPr="008B13C4" w:rsidRDefault="00A803D9" w:rsidP="008F5708">
            <w:pPr>
              <w:pStyle w:val="Subtitle"/>
              <w:rPr>
                <w:b w:val="0"/>
              </w:rPr>
            </w:pPr>
            <w:r w:rsidRPr="008B13C4">
              <w:rPr>
                <w:b w:val="0"/>
              </w:rPr>
              <w:t>£m</w:t>
            </w:r>
          </w:p>
        </w:tc>
        <w:tc>
          <w:tcPr>
            <w:tcW w:w="803" w:type="dxa"/>
            <w:tcBorders>
              <w:bottom w:val="single" w:sz="4" w:space="0" w:color="000000"/>
            </w:tcBorders>
          </w:tcPr>
          <w:p w14:paraId="51E0159D" w14:textId="77777777" w:rsidR="00A803D9" w:rsidRPr="008B13C4" w:rsidRDefault="00A803D9" w:rsidP="008F5708">
            <w:pPr>
              <w:pStyle w:val="Subtitle"/>
              <w:rPr>
                <w:b w:val="0"/>
              </w:rPr>
            </w:pPr>
            <w:r w:rsidRPr="008B13C4">
              <w:rPr>
                <w:b w:val="0"/>
              </w:rPr>
              <w:t>Full Year</w:t>
            </w:r>
          </w:p>
          <w:p w14:paraId="1CAA11D6" w14:textId="77777777" w:rsidR="00A803D9" w:rsidRPr="008B13C4" w:rsidRDefault="00A803D9" w:rsidP="008F5708">
            <w:pPr>
              <w:pStyle w:val="Subtitle"/>
              <w:rPr>
                <w:b w:val="0"/>
              </w:rPr>
            </w:pPr>
            <w:r w:rsidRPr="008B13C4">
              <w:rPr>
                <w:b w:val="0"/>
              </w:rPr>
              <w:t>£m</w:t>
            </w:r>
          </w:p>
        </w:tc>
      </w:tr>
      <w:tr w:rsidR="00A803D9" w:rsidRPr="002C3B46" w14:paraId="77BC5FDD" w14:textId="77777777" w:rsidTr="008F5708">
        <w:trPr>
          <w:trHeight w:val="208"/>
        </w:trPr>
        <w:tc>
          <w:tcPr>
            <w:tcW w:w="4962" w:type="dxa"/>
            <w:tcBorders>
              <w:top w:val="single" w:sz="4" w:space="0" w:color="auto"/>
              <w:bottom w:val="single" w:sz="8" w:space="0" w:color="auto"/>
            </w:tcBorders>
            <w:vAlign w:val="bottom"/>
          </w:tcPr>
          <w:p w14:paraId="61688075" w14:textId="77777777" w:rsidR="00A803D9" w:rsidRPr="002C3B46" w:rsidRDefault="00A803D9" w:rsidP="00A803D9">
            <w:pPr>
              <w:pStyle w:val="TableRowHead"/>
              <w:rPr>
                <w:b/>
              </w:rPr>
            </w:pPr>
            <w:r>
              <w:rPr>
                <w:b/>
              </w:rPr>
              <w:t>Reported revenue</w:t>
            </w:r>
          </w:p>
        </w:tc>
        <w:tc>
          <w:tcPr>
            <w:tcW w:w="803" w:type="dxa"/>
            <w:tcBorders>
              <w:top w:val="single" w:sz="4" w:space="0" w:color="auto"/>
              <w:bottom w:val="single" w:sz="8" w:space="0" w:color="auto"/>
            </w:tcBorders>
          </w:tcPr>
          <w:p w14:paraId="0115002B" w14:textId="77777777" w:rsidR="00A803D9" w:rsidRPr="00A803D9" w:rsidRDefault="00A803D9" w:rsidP="00A803D9">
            <w:pPr>
              <w:pStyle w:val="Subtitle"/>
            </w:pPr>
            <w:r w:rsidRPr="008E109E">
              <w:t>577.1</w:t>
            </w:r>
          </w:p>
        </w:tc>
        <w:tc>
          <w:tcPr>
            <w:tcW w:w="803" w:type="dxa"/>
            <w:tcBorders>
              <w:top w:val="single" w:sz="4" w:space="0" w:color="auto"/>
              <w:bottom w:val="single" w:sz="8" w:space="0" w:color="auto"/>
            </w:tcBorders>
          </w:tcPr>
          <w:p w14:paraId="1DB4282C" w14:textId="77777777" w:rsidR="00A803D9" w:rsidRPr="00A803D9" w:rsidRDefault="00A803D9" w:rsidP="00A803D9">
            <w:pPr>
              <w:pStyle w:val="Subtitle"/>
            </w:pPr>
            <w:r w:rsidRPr="008E109E">
              <w:t>747.7</w:t>
            </w:r>
          </w:p>
        </w:tc>
        <w:tc>
          <w:tcPr>
            <w:tcW w:w="803" w:type="dxa"/>
            <w:tcBorders>
              <w:top w:val="single" w:sz="4" w:space="0" w:color="auto"/>
              <w:bottom w:val="single" w:sz="8" w:space="0" w:color="auto"/>
            </w:tcBorders>
          </w:tcPr>
          <w:p w14:paraId="2375DC74" w14:textId="77777777" w:rsidR="00A803D9" w:rsidRPr="00A803D9" w:rsidRDefault="00A803D9" w:rsidP="00A803D9">
            <w:pPr>
              <w:pStyle w:val="Subtitle"/>
            </w:pPr>
            <w:r w:rsidRPr="008E109E">
              <w:t>1,324.8</w:t>
            </w:r>
          </w:p>
        </w:tc>
        <w:tc>
          <w:tcPr>
            <w:tcW w:w="426" w:type="dxa"/>
            <w:tcBorders>
              <w:top w:val="single" w:sz="4" w:space="0" w:color="auto"/>
              <w:bottom w:val="single" w:sz="8" w:space="0" w:color="auto"/>
            </w:tcBorders>
          </w:tcPr>
          <w:p w14:paraId="7B972385" w14:textId="77777777" w:rsidR="00A803D9" w:rsidRPr="00452C30" w:rsidRDefault="00A803D9" w:rsidP="00A803D9">
            <w:pPr>
              <w:pStyle w:val="Subtitle"/>
            </w:pPr>
          </w:p>
        </w:tc>
        <w:tc>
          <w:tcPr>
            <w:tcW w:w="803" w:type="dxa"/>
            <w:tcBorders>
              <w:top w:val="single" w:sz="4" w:space="0" w:color="auto"/>
              <w:bottom w:val="single" w:sz="8" w:space="0" w:color="auto"/>
            </w:tcBorders>
          </w:tcPr>
          <w:p w14:paraId="703A918C" w14:textId="77777777" w:rsidR="00A803D9" w:rsidRPr="008B13C4" w:rsidRDefault="00A803D9" w:rsidP="00A803D9">
            <w:pPr>
              <w:pStyle w:val="Subtitle"/>
              <w:rPr>
                <w:b w:val="0"/>
              </w:rPr>
            </w:pPr>
            <w:r w:rsidRPr="008B13C4">
              <w:rPr>
                <w:b w:val="0"/>
              </w:rPr>
              <w:t>712.7</w:t>
            </w:r>
          </w:p>
        </w:tc>
        <w:tc>
          <w:tcPr>
            <w:tcW w:w="803" w:type="dxa"/>
            <w:tcBorders>
              <w:top w:val="single" w:sz="4" w:space="0" w:color="auto"/>
              <w:bottom w:val="single" w:sz="8" w:space="0" w:color="auto"/>
            </w:tcBorders>
          </w:tcPr>
          <w:p w14:paraId="11EEA392" w14:textId="77777777" w:rsidR="00A803D9" w:rsidRPr="008B13C4" w:rsidRDefault="00A803D9" w:rsidP="00A803D9">
            <w:pPr>
              <w:pStyle w:val="Subtitle"/>
              <w:rPr>
                <w:b w:val="0"/>
              </w:rPr>
            </w:pPr>
            <w:r w:rsidRPr="008B13C4">
              <w:rPr>
                <w:b w:val="0"/>
              </w:rPr>
              <w:t>552.0</w:t>
            </w:r>
          </w:p>
        </w:tc>
        <w:tc>
          <w:tcPr>
            <w:tcW w:w="803" w:type="dxa"/>
            <w:tcBorders>
              <w:top w:val="single" w:sz="4" w:space="0" w:color="auto"/>
              <w:bottom w:val="single" w:sz="8" w:space="0" w:color="auto"/>
            </w:tcBorders>
          </w:tcPr>
          <w:p w14:paraId="0B05C753" w14:textId="77777777" w:rsidR="00A803D9" w:rsidRPr="00452C30" w:rsidRDefault="00A803D9" w:rsidP="00A803D9">
            <w:pPr>
              <w:pStyle w:val="Subtitle"/>
            </w:pPr>
            <w:r>
              <w:rPr>
                <w:b w:val="0"/>
                <w:bCs/>
              </w:rPr>
              <w:t>1,264.7</w:t>
            </w:r>
          </w:p>
        </w:tc>
      </w:tr>
    </w:tbl>
    <w:p w14:paraId="4963C9E6" w14:textId="77777777" w:rsidR="00440359" w:rsidRDefault="00440359" w:rsidP="00700DF0">
      <w:pPr>
        <w:pStyle w:val="Heading2"/>
        <w:numPr>
          <w:ilvl w:val="0"/>
          <w:numId w:val="0"/>
        </w:numPr>
        <w:rPr>
          <w:b w:val="0"/>
          <w:bCs w:val="0"/>
        </w:rPr>
      </w:pPr>
    </w:p>
    <w:tbl>
      <w:tblPr>
        <w:tblW w:w="10206" w:type="dxa"/>
        <w:tblLayout w:type="fixed"/>
        <w:tblLook w:val="01E0" w:firstRow="1" w:lastRow="1" w:firstColumn="1" w:lastColumn="1" w:noHBand="0" w:noVBand="0"/>
      </w:tblPr>
      <w:tblGrid>
        <w:gridCol w:w="4962"/>
        <w:gridCol w:w="803"/>
        <w:gridCol w:w="803"/>
        <w:gridCol w:w="803"/>
        <w:gridCol w:w="426"/>
        <w:gridCol w:w="803"/>
        <w:gridCol w:w="803"/>
        <w:gridCol w:w="803"/>
      </w:tblGrid>
      <w:tr w:rsidR="00440359" w14:paraId="6977F987" w14:textId="77777777" w:rsidTr="008F5708">
        <w:trPr>
          <w:trHeight w:val="230"/>
        </w:trPr>
        <w:tc>
          <w:tcPr>
            <w:tcW w:w="4962" w:type="dxa"/>
            <w:vAlign w:val="bottom"/>
          </w:tcPr>
          <w:p w14:paraId="144554AC" w14:textId="77777777" w:rsidR="00440359" w:rsidRPr="00F97F7B" w:rsidRDefault="00440359" w:rsidP="008F5708">
            <w:pPr>
              <w:pStyle w:val="TableRowHead"/>
            </w:pPr>
          </w:p>
        </w:tc>
        <w:tc>
          <w:tcPr>
            <w:tcW w:w="2409" w:type="dxa"/>
            <w:gridSpan w:val="3"/>
            <w:vAlign w:val="bottom"/>
          </w:tcPr>
          <w:p w14:paraId="42CE1557" w14:textId="77777777" w:rsidR="00440359" w:rsidRDefault="00440359" w:rsidP="008F5708">
            <w:pPr>
              <w:pStyle w:val="Subtitle"/>
              <w:jc w:val="center"/>
            </w:pPr>
            <w:r>
              <w:t xml:space="preserve">Food to go </w:t>
            </w:r>
          </w:p>
          <w:p w14:paraId="77156FB0" w14:textId="77777777" w:rsidR="00440359" w:rsidRDefault="00440359" w:rsidP="008F5708">
            <w:pPr>
              <w:pStyle w:val="Subtitle"/>
              <w:jc w:val="center"/>
            </w:pPr>
            <w:r>
              <w:t>categories</w:t>
            </w:r>
          </w:p>
        </w:tc>
        <w:tc>
          <w:tcPr>
            <w:tcW w:w="426" w:type="dxa"/>
          </w:tcPr>
          <w:p w14:paraId="0C6A9EEA" w14:textId="77777777" w:rsidR="00440359" w:rsidRDefault="00440359" w:rsidP="008F5708">
            <w:pPr>
              <w:pStyle w:val="Subtitle"/>
              <w:jc w:val="center"/>
            </w:pPr>
          </w:p>
        </w:tc>
        <w:tc>
          <w:tcPr>
            <w:tcW w:w="2409" w:type="dxa"/>
            <w:gridSpan w:val="3"/>
          </w:tcPr>
          <w:p w14:paraId="715F20BD" w14:textId="77777777" w:rsidR="00440359" w:rsidRDefault="00440359" w:rsidP="008F5708">
            <w:pPr>
              <w:pStyle w:val="Subtitle"/>
              <w:jc w:val="center"/>
            </w:pPr>
            <w:r>
              <w:t xml:space="preserve">   Other convenience categories</w:t>
            </w:r>
          </w:p>
        </w:tc>
      </w:tr>
      <w:tr w:rsidR="00440359" w14:paraId="03118B76" w14:textId="77777777" w:rsidTr="008F5708">
        <w:trPr>
          <w:trHeight w:val="230"/>
        </w:trPr>
        <w:tc>
          <w:tcPr>
            <w:tcW w:w="4962" w:type="dxa"/>
            <w:tcBorders>
              <w:bottom w:val="single" w:sz="4" w:space="0" w:color="000000"/>
            </w:tcBorders>
            <w:vAlign w:val="bottom"/>
          </w:tcPr>
          <w:p w14:paraId="3AACAE73" w14:textId="77777777" w:rsidR="00440359" w:rsidRPr="00F97F7B" w:rsidRDefault="00440359" w:rsidP="008F5708">
            <w:pPr>
              <w:pStyle w:val="TableRowHead"/>
            </w:pPr>
          </w:p>
        </w:tc>
        <w:tc>
          <w:tcPr>
            <w:tcW w:w="803" w:type="dxa"/>
            <w:tcBorders>
              <w:bottom w:val="single" w:sz="4" w:space="0" w:color="000000"/>
            </w:tcBorders>
            <w:vAlign w:val="bottom"/>
          </w:tcPr>
          <w:p w14:paraId="0DAD35AA" w14:textId="77777777" w:rsidR="00440359" w:rsidRPr="00F97F7B" w:rsidRDefault="00440359" w:rsidP="008F5708">
            <w:pPr>
              <w:pStyle w:val="Subtitle"/>
            </w:pPr>
            <w:r>
              <w:t>H1 FY21</w:t>
            </w:r>
          </w:p>
          <w:p w14:paraId="48F083F6" w14:textId="77777777" w:rsidR="00440359" w:rsidRPr="00F97F7B" w:rsidRDefault="00A803D9" w:rsidP="008F5708">
            <w:pPr>
              <w:pStyle w:val="Subtitle"/>
            </w:pPr>
            <w:r>
              <w:t>£m</w:t>
            </w:r>
          </w:p>
        </w:tc>
        <w:tc>
          <w:tcPr>
            <w:tcW w:w="803" w:type="dxa"/>
            <w:tcBorders>
              <w:bottom w:val="single" w:sz="4" w:space="0" w:color="000000"/>
            </w:tcBorders>
            <w:vAlign w:val="bottom"/>
          </w:tcPr>
          <w:p w14:paraId="4E035FF7" w14:textId="77777777" w:rsidR="00440359" w:rsidRPr="00F97F7B" w:rsidRDefault="00440359" w:rsidP="008F5708">
            <w:pPr>
              <w:pStyle w:val="Subtitle"/>
            </w:pPr>
            <w:r>
              <w:t>H2 FY21</w:t>
            </w:r>
          </w:p>
          <w:p w14:paraId="72855A46" w14:textId="77777777" w:rsidR="00440359" w:rsidRPr="00F97F7B" w:rsidRDefault="00A803D9" w:rsidP="008F5708">
            <w:pPr>
              <w:pStyle w:val="Subtitle"/>
            </w:pPr>
            <w:r>
              <w:t>£m</w:t>
            </w:r>
          </w:p>
        </w:tc>
        <w:tc>
          <w:tcPr>
            <w:tcW w:w="803" w:type="dxa"/>
            <w:tcBorders>
              <w:bottom w:val="single" w:sz="4" w:space="0" w:color="000000"/>
            </w:tcBorders>
          </w:tcPr>
          <w:p w14:paraId="00E51D94" w14:textId="77777777" w:rsidR="00440359" w:rsidRPr="00F97F7B" w:rsidRDefault="00440359" w:rsidP="008F5708">
            <w:pPr>
              <w:pStyle w:val="Subtitle"/>
            </w:pPr>
            <w:r>
              <w:t>Full Year</w:t>
            </w:r>
          </w:p>
          <w:p w14:paraId="70AC6AD7" w14:textId="77777777" w:rsidR="00440359" w:rsidRPr="00F97F7B" w:rsidRDefault="00A803D9" w:rsidP="008F5708">
            <w:pPr>
              <w:pStyle w:val="Subtitle"/>
            </w:pPr>
            <w:r>
              <w:t>£m</w:t>
            </w:r>
          </w:p>
        </w:tc>
        <w:tc>
          <w:tcPr>
            <w:tcW w:w="426" w:type="dxa"/>
            <w:tcBorders>
              <w:bottom w:val="single" w:sz="4" w:space="0" w:color="000000"/>
            </w:tcBorders>
          </w:tcPr>
          <w:p w14:paraId="218B9D2A" w14:textId="77777777" w:rsidR="00440359" w:rsidRDefault="00440359" w:rsidP="008F5708">
            <w:pPr>
              <w:pStyle w:val="Subtitle"/>
            </w:pPr>
          </w:p>
        </w:tc>
        <w:tc>
          <w:tcPr>
            <w:tcW w:w="803" w:type="dxa"/>
            <w:tcBorders>
              <w:bottom w:val="single" w:sz="4" w:space="0" w:color="000000"/>
            </w:tcBorders>
            <w:vAlign w:val="bottom"/>
          </w:tcPr>
          <w:p w14:paraId="04191839" w14:textId="77777777" w:rsidR="00440359" w:rsidRPr="00F97F7B" w:rsidRDefault="00440359" w:rsidP="008F5708">
            <w:pPr>
              <w:pStyle w:val="Subtitle"/>
            </w:pPr>
            <w:r>
              <w:t>H1 FY21</w:t>
            </w:r>
          </w:p>
          <w:p w14:paraId="51C2EC84" w14:textId="77777777" w:rsidR="00440359" w:rsidRPr="00F97F7B" w:rsidRDefault="00A803D9" w:rsidP="008F5708">
            <w:pPr>
              <w:pStyle w:val="Subtitle"/>
            </w:pPr>
            <w:r>
              <w:t>£m</w:t>
            </w:r>
          </w:p>
        </w:tc>
        <w:tc>
          <w:tcPr>
            <w:tcW w:w="803" w:type="dxa"/>
            <w:tcBorders>
              <w:bottom w:val="single" w:sz="4" w:space="0" w:color="000000"/>
            </w:tcBorders>
            <w:vAlign w:val="bottom"/>
          </w:tcPr>
          <w:p w14:paraId="3DF86B6E" w14:textId="77777777" w:rsidR="00440359" w:rsidRPr="00F97F7B" w:rsidRDefault="00440359" w:rsidP="008F5708">
            <w:pPr>
              <w:pStyle w:val="Subtitle"/>
            </w:pPr>
            <w:r>
              <w:t>H2 FY21</w:t>
            </w:r>
          </w:p>
          <w:p w14:paraId="7E3E2EE1" w14:textId="77777777" w:rsidR="00440359" w:rsidRPr="00F97F7B" w:rsidRDefault="00A803D9" w:rsidP="008F5708">
            <w:pPr>
              <w:pStyle w:val="Subtitle"/>
            </w:pPr>
            <w:r>
              <w:t>£m</w:t>
            </w:r>
          </w:p>
        </w:tc>
        <w:tc>
          <w:tcPr>
            <w:tcW w:w="803" w:type="dxa"/>
            <w:tcBorders>
              <w:bottom w:val="single" w:sz="4" w:space="0" w:color="000000"/>
            </w:tcBorders>
          </w:tcPr>
          <w:p w14:paraId="3299585D" w14:textId="77777777" w:rsidR="00440359" w:rsidRPr="00F97F7B" w:rsidRDefault="00440359" w:rsidP="008F5708">
            <w:pPr>
              <w:pStyle w:val="Subtitle"/>
            </w:pPr>
            <w:r>
              <w:t>Full Year</w:t>
            </w:r>
          </w:p>
          <w:p w14:paraId="3FDFAD8B" w14:textId="77777777" w:rsidR="00440359" w:rsidRPr="00F97F7B" w:rsidRDefault="00A803D9" w:rsidP="008F5708">
            <w:pPr>
              <w:pStyle w:val="Subtitle"/>
            </w:pPr>
            <w:r>
              <w:t>£m</w:t>
            </w:r>
          </w:p>
        </w:tc>
      </w:tr>
      <w:tr w:rsidR="00452C30" w:rsidRPr="002C3B46" w14:paraId="5B5B96F9" w14:textId="77777777" w:rsidTr="008E109E">
        <w:trPr>
          <w:trHeight w:val="208"/>
        </w:trPr>
        <w:tc>
          <w:tcPr>
            <w:tcW w:w="4962" w:type="dxa"/>
            <w:tcBorders>
              <w:top w:val="single" w:sz="4" w:space="0" w:color="auto"/>
              <w:bottom w:val="single" w:sz="8" w:space="0" w:color="auto"/>
            </w:tcBorders>
            <w:vAlign w:val="bottom"/>
          </w:tcPr>
          <w:p w14:paraId="531FD8CD" w14:textId="77777777" w:rsidR="00452C30" w:rsidRPr="002C3B46" w:rsidRDefault="00452C30" w:rsidP="00452C30">
            <w:pPr>
              <w:pStyle w:val="TableRowHead"/>
              <w:rPr>
                <w:b/>
              </w:rPr>
            </w:pPr>
            <w:r>
              <w:rPr>
                <w:b/>
              </w:rPr>
              <w:t>Reported revenue</w:t>
            </w:r>
          </w:p>
        </w:tc>
        <w:tc>
          <w:tcPr>
            <w:tcW w:w="803" w:type="dxa"/>
            <w:tcBorders>
              <w:top w:val="single" w:sz="4" w:space="0" w:color="auto"/>
              <w:bottom w:val="single" w:sz="8" w:space="0" w:color="auto"/>
            </w:tcBorders>
          </w:tcPr>
          <w:p w14:paraId="07CD0D64" w14:textId="77777777" w:rsidR="00452C30" w:rsidRPr="00452C30" w:rsidRDefault="00452C30" w:rsidP="00452C30">
            <w:pPr>
              <w:pStyle w:val="Subtitle"/>
            </w:pPr>
            <w:r w:rsidRPr="008E109E">
              <w:t>339.2</w:t>
            </w:r>
          </w:p>
        </w:tc>
        <w:tc>
          <w:tcPr>
            <w:tcW w:w="803" w:type="dxa"/>
            <w:tcBorders>
              <w:top w:val="single" w:sz="4" w:space="0" w:color="auto"/>
              <w:bottom w:val="single" w:sz="8" w:space="0" w:color="auto"/>
            </w:tcBorders>
          </w:tcPr>
          <w:p w14:paraId="6087626F" w14:textId="77777777" w:rsidR="00452C30" w:rsidRPr="00452C30" w:rsidRDefault="00452C30" w:rsidP="00452C30">
            <w:pPr>
              <w:pStyle w:val="Subtitle"/>
            </w:pPr>
            <w:r w:rsidRPr="008E109E">
              <w:t>502.9</w:t>
            </w:r>
          </w:p>
        </w:tc>
        <w:tc>
          <w:tcPr>
            <w:tcW w:w="803" w:type="dxa"/>
            <w:tcBorders>
              <w:top w:val="single" w:sz="4" w:space="0" w:color="auto"/>
              <w:bottom w:val="single" w:sz="8" w:space="0" w:color="auto"/>
            </w:tcBorders>
          </w:tcPr>
          <w:p w14:paraId="44D82380" w14:textId="77777777" w:rsidR="00452C30" w:rsidRPr="00452C30" w:rsidRDefault="00452C30" w:rsidP="00452C30">
            <w:pPr>
              <w:pStyle w:val="Subtitle"/>
            </w:pPr>
            <w:r w:rsidRPr="008E109E">
              <w:t>842.1</w:t>
            </w:r>
          </w:p>
        </w:tc>
        <w:tc>
          <w:tcPr>
            <w:tcW w:w="426" w:type="dxa"/>
            <w:tcBorders>
              <w:top w:val="single" w:sz="4" w:space="0" w:color="auto"/>
              <w:bottom w:val="single" w:sz="8" w:space="0" w:color="auto"/>
            </w:tcBorders>
          </w:tcPr>
          <w:p w14:paraId="32D6C3E9" w14:textId="77777777" w:rsidR="00452C30" w:rsidRPr="00452C30" w:rsidRDefault="00452C30" w:rsidP="00452C30">
            <w:pPr>
              <w:pStyle w:val="Subtitle"/>
            </w:pPr>
          </w:p>
        </w:tc>
        <w:tc>
          <w:tcPr>
            <w:tcW w:w="803" w:type="dxa"/>
            <w:tcBorders>
              <w:top w:val="single" w:sz="4" w:space="0" w:color="auto"/>
              <w:bottom w:val="single" w:sz="8" w:space="0" w:color="auto"/>
            </w:tcBorders>
          </w:tcPr>
          <w:p w14:paraId="74269663" w14:textId="77777777" w:rsidR="00452C30" w:rsidRPr="00452C30" w:rsidRDefault="00452C30" w:rsidP="00452C30">
            <w:pPr>
              <w:pStyle w:val="Subtitle"/>
            </w:pPr>
            <w:r w:rsidRPr="008E109E">
              <w:t>237.9</w:t>
            </w:r>
          </w:p>
        </w:tc>
        <w:tc>
          <w:tcPr>
            <w:tcW w:w="803" w:type="dxa"/>
            <w:tcBorders>
              <w:top w:val="single" w:sz="4" w:space="0" w:color="auto"/>
              <w:bottom w:val="single" w:sz="8" w:space="0" w:color="auto"/>
            </w:tcBorders>
          </w:tcPr>
          <w:p w14:paraId="07643E84" w14:textId="77777777" w:rsidR="00452C30" w:rsidRPr="00452C30" w:rsidRDefault="00452C30" w:rsidP="00452C30">
            <w:pPr>
              <w:pStyle w:val="Subtitle"/>
            </w:pPr>
            <w:r w:rsidRPr="008E109E">
              <w:t>244.8</w:t>
            </w:r>
          </w:p>
        </w:tc>
        <w:tc>
          <w:tcPr>
            <w:tcW w:w="803" w:type="dxa"/>
            <w:tcBorders>
              <w:top w:val="single" w:sz="4" w:space="0" w:color="auto"/>
              <w:bottom w:val="single" w:sz="8" w:space="0" w:color="auto"/>
            </w:tcBorders>
          </w:tcPr>
          <w:p w14:paraId="2BBF0CD2" w14:textId="77777777" w:rsidR="00452C30" w:rsidRPr="00452C30" w:rsidRDefault="00452C30" w:rsidP="00452C30">
            <w:pPr>
              <w:pStyle w:val="Subtitle"/>
            </w:pPr>
            <w:r w:rsidRPr="008E109E">
              <w:t>482.7</w:t>
            </w:r>
          </w:p>
        </w:tc>
      </w:tr>
    </w:tbl>
    <w:p w14:paraId="55179B97" w14:textId="77777777" w:rsidR="007D4120" w:rsidRDefault="007D4120" w:rsidP="00700DF0">
      <w:pPr>
        <w:pStyle w:val="Heading2"/>
        <w:numPr>
          <w:ilvl w:val="0"/>
          <w:numId w:val="0"/>
        </w:numPr>
        <w:rPr>
          <w:b w:val="0"/>
          <w:bCs w:val="0"/>
        </w:rPr>
      </w:pPr>
    </w:p>
    <w:p w14:paraId="05F4E793" w14:textId="77777777" w:rsidR="005B36AA" w:rsidRDefault="00962910" w:rsidP="008E109E">
      <w:pPr>
        <w:pStyle w:val="Heading2"/>
      </w:pPr>
      <w:r>
        <w:t>E</w:t>
      </w:r>
      <w:r w:rsidR="005B36AA">
        <w:t>xceptional Items</w:t>
      </w:r>
    </w:p>
    <w:p w14:paraId="1F64B41E" w14:textId="77777777" w:rsidR="005B36AA" w:rsidRDefault="005B36AA" w:rsidP="005B36AA">
      <w:pPr>
        <w:pStyle w:val="BodyText"/>
      </w:pPr>
    </w:p>
    <w:p w14:paraId="755EA1D6" w14:textId="7D972BDA" w:rsidR="005B36AA" w:rsidRDefault="005B36AA" w:rsidP="005B36AA">
      <w:pPr>
        <w:pStyle w:val="BodyText"/>
        <w:jc w:val="both"/>
      </w:pPr>
      <w:r>
        <w:t>Exceptional items are those which</w:t>
      </w:r>
      <w:r w:rsidR="00317DED">
        <w:t xml:space="preserve"> </w:t>
      </w:r>
      <w:r>
        <w:t>should be disclosed separately by virtue of their nature or amount. Such items are included within the Group Income Statement caption to which they relate.</w:t>
      </w:r>
    </w:p>
    <w:p w14:paraId="4A737EC2" w14:textId="77777777" w:rsidR="005B36AA" w:rsidRPr="008C0A7B" w:rsidRDefault="005B36AA" w:rsidP="005B36AA">
      <w:pPr>
        <w:pStyle w:val="BodyText"/>
        <w:jc w:val="both"/>
      </w:pPr>
    </w:p>
    <w:p w14:paraId="4BD2C798" w14:textId="77777777" w:rsidR="005B36AA" w:rsidRDefault="005B36AA" w:rsidP="005B36AA">
      <w:pPr>
        <w:pStyle w:val="BodyText"/>
      </w:pPr>
      <w:r>
        <w:t>The Group reports the following exceptional items:</w:t>
      </w:r>
    </w:p>
    <w:tbl>
      <w:tblPr>
        <w:tblW w:w="10205" w:type="dxa"/>
        <w:tblLayout w:type="fixed"/>
        <w:tblLook w:val="04A0" w:firstRow="1" w:lastRow="0" w:firstColumn="1" w:lastColumn="0" w:noHBand="0" w:noVBand="1"/>
      </w:tblPr>
      <w:tblGrid>
        <w:gridCol w:w="6009"/>
        <w:gridCol w:w="680"/>
        <w:gridCol w:w="1134"/>
        <w:gridCol w:w="1247"/>
        <w:gridCol w:w="1135"/>
      </w:tblGrid>
      <w:tr w:rsidR="005B36AA" w:rsidRPr="003D5549" w14:paraId="02AEBE3A" w14:textId="77777777" w:rsidTr="005B36AA">
        <w:trPr>
          <w:trHeight w:val="227"/>
        </w:trPr>
        <w:tc>
          <w:tcPr>
            <w:tcW w:w="6009" w:type="dxa"/>
            <w:tcBorders>
              <w:bottom w:val="single" w:sz="4" w:space="0" w:color="auto"/>
            </w:tcBorders>
            <w:vAlign w:val="bottom"/>
          </w:tcPr>
          <w:p w14:paraId="703FFA5E" w14:textId="77777777" w:rsidR="005B36AA" w:rsidRPr="003D5549" w:rsidRDefault="005B36AA" w:rsidP="005B36AA">
            <w:pPr>
              <w:rPr>
                <w:rFonts w:asciiTheme="minorHAnsi" w:eastAsiaTheme="minorHAnsi" w:hAnsiTheme="minorHAnsi" w:cstheme="minorBidi"/>
                <w:sz w:val="18"/>
                <w:szCs w:val="18"/>
                <w:lang w:eastAsia="en-US" w:bidi="ar-SA"/>
              </w:rPr>
            </w:pPr>
          </w:p>
        </w:tc>
        <w:tc>
          <w:tcPr>
            <w:tcW w:w="680" w:type="dxa"/>
            <w:tcBorders>
              <w:bottom w:val="single" w:sz="4" w:space="0" w:color="auto"/>
            </w:tcBorders>
          </w:tcPr>
          <w:p w14:paraId="6174D46B" w14:textId="77777777" w:rsidR="005B36AA" w:rsidRPr="003D5549" w:rsidRDefault="005B36AA" w:rsidP="005B36AA">
            <w:pPr>
              <w:pStyle w:val="Subtitle"/>
              <w:rPr>
                <w:b w:val="0"/>
              </w:rPr>
            </w:pPr>
          </w:p>
        </w:tc>
        <w:tc>
          <w:tcPr>
            <w:tcW w:w="1134" w:type="dxa"/>
            <w:tcBorders>
              <w:bottom w:val="single" w:sz="4" w:space="0" w:color="auto"/>
            </w:tcBorders>
            <w:vAlign w:val="bottom"/>
          </w:tcPr>
          <w:p w14:paraId="5A05F8D7" w14:textId="77777777" w:rsidR="005B36AA" w:rsidRPr="003D5549" w:rsidRDefault="005B36AA" w:rsidP="005B36AA">
            <w:pPr>
              <w:pStyle w:val="Subtitle"/>
            </w:pPr>
          </w:p>
        </w:tc>
        <w:tc>
          <w:tcPr>
            <w:tcW w:w="1247" w:type="dxa"/>
            <w:tcBorders>
              <w:bottom w:val="single" w:sz="4" w:space="0" w:color="auto"/>
            </w:tcBorders>
            <w:vAlign w:val="bottom"/>
          </w:tcPr>
          <w:p w14:paraId="3228467E" w14:textId="77777777" w:rsidR="005B36AA" w:rsidRPr="003D5549" w:rsidRDefault="00DB2027" w:rsidP="005B36AA">
            <w:pPr>
              <w:pStyle w:val="Subtitle"/>
            </w:pPr>
            <w:r>
              <w:t>2021</w:t>
            </w:r>
            <w:r w:rsidR="005B36AA" w:rsidRPr="003D5549">
              <w:br/>
              <w:t>£m</w:t>
            </w:r>
          </w:p>
        </w:tc>
        <w:tc>
          <w:tcPr>
            <w:tcW w:w="1135" w:type="dxa"/>
            <w:tcBorders>
              <w:bottom w:val="single" w:sz="4" w:space="0" w:color="auto"/>
            </w:tcBorders>
            <w:vAlign w:val="bottom"/>
          </w:tcPr>
          <w:p w14:paraId="4E252950" w14:textId="77777777" w:rsidR="005B36AA" w:rsidRPr="005771B0" w:rsidRDefault="00DB2027" w:rsidP="005B36AA">
            <w:pPr>
              <w:pStyle w:val="Subtitle"/>
              <w:rPr>
                <w:b w:val="0"/>
              </w:rPr>
            </w:pPr>
            <w:r>
              <w:rPr>
                <w:b w:val="0"/>
              </w:rPr>
              <w:t>2020</w:t>
            </w:r>
            <w:r w:rsidR="005B36AA" w:rsidRPr="005771B0">
              <w:rPr>
                <w:b w:val="0"/>
              </w:rPr>
              <w:br/>
              <w:t>£m</w:t>
            </w:r>
          </w:p>
        </w:tc>
      </w:tr>
      <w:tr w:rsidR="00C8186A" w:rsidRPr="003D5549" w14:paraId="27E92221" w14:textId="77777777" w:rsidTr="005B36AA">
        <w:trPr>
          <w:trHeight w:val="227"/>
        </w:trPr>
        <w:tc>
          <w:tcPr>
            <w:tcW w:w="6009" w:type="dxa"/>
            <w:vAlign w:val="bottom"/>
          </w:tcPr>
          <w:p w14:paraId="04C47A96" w14:textId="77777777" w:rsidR="00C8186A" w:rsidRPr="003D5549" w:rsidRDefault="003F4CA8" w:rsidP="00DB2027">
            <w:pPr>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t>Profit on disposal of Molasses trading businesses</w:t>
            </w:r>
          </w:p>
        </w:tc>
        <w:tc>
          <w:tcPr>
            <w:tcW w:w="680" w:type="dxa"/>
          </w:tcPr>
          <w:p w14:paraId="009F72DD" w14:textId="77777777" w:rsidR="00C8186A" w:rsidRPr="003D5549" w:rsidRDefault="00880858" w:rsidP="00DB2027">
            <w:pPr>
              <w:pStyle w:val="Subtitle"/>
              <w:jc w:val="center"/>
              <w:rPr>
                <w:b w:val="0"/>
              </w:rPr>
            </w:pPr>
            <w:r w:rsidRPr="003D5549">
              <w:rPr>
                <w:b w:val="0"/>
              </w:rPr>
              <w:t>(</w:t>
            </w:r>
            <w:r>
              <w:rPr>
                <w:b w:val="0"/>
              </w:rPr>
              <w:t>A</w:t>
            </w:r>
            <w:r w:rsidRPr="003D5549">
              <w:rPr>
                <w:b w:val="0"/>
              </w:rPr>
              <w:t>)</w:t>
            </w:r>
          </w:p>
        </w:tc>
        <w:tc>
          <w:tcPr>
            <w:tcW w:w="1134" w:type="dxa"/>
            <w:vAlign w:val="bottom"/>
          </w:tcPr>
          <w:p w14:paraId="00062C65" w14:textId="77777777" w:rsidR="00C8186A" w:rsidRPr="003D5549" w:rsidRDefault="00C8186A" w:rsidP="00DB2027">
            <w:pPr>
              <w:pStyle w:val="Subtitle"/>
            </w:pPr>
          </w:p>
        </w:tc>
        <w:tc>
          <w:tcPr>
            <w:tcW w:w="1247" w:type="dxa"/>
            <w:vAlign w:val="bottom"/>
          </w:tcPr>
          <w:p w14:paraId="07E1D80B" w14:textId="77777777" w:rsidR="00C8186A" w:rsidRDefault="00C8186A" w:rsidP="00DB2027">
            <w:pPr>
              <w:pStyle w:val="Subtitle"/>
            </w:pPr>
            <w:r>
              <w:t>11.3</w:t>
            </w:r>
          </w:p>
        </w:tc>
        <w:tc>
          <w:tcPr>
            <w:tcW w:w="1135" w:type="dxa"/>
            <w:vAlign w:val="bottom"/>
          </w:tcPr>
          <w:p w14:paraId="7E29E2A7" w14:textId="428306BC" w:rsidR="00C8186A" w:rsidRPr="00DB2027" w:rsidRDefault="002D3D01" w:rsidP="00DB2027">
            <w:pPr>
              <w:pStyle w:val="Subtitle"/>
              <w:rPr>
                <w:b w:val="0"/>
              </w:rPr>
            </w:pPr>
            <w:r w:rsidRPr="00DB2027">
              <w:rPr>
                <w:b w:val="0"/>
              </w:rPr>
              <w:t>–</w:t>
            </w:r>
          </w:p>
        </w:tc>
      </w:tr>
      <w:tr w:rsidR="0054373A" w:rsidRPr="00743360" w14:paraId="6C4893FB" w14:textId="77777777" w:rsidTr="005B36AA">
        <w:trPr>
          <w:trHeight w:val="227"/>
        </w:trPr>
        <w:tc>
          <w:tcPr>
            <w:tcW w:w="6009" w:type="dxa"/>
            <w:vAlign w:val="bottom"/>
          </w:tcPr>
          <w:p w14:paraId="35CF029D" w14:textId="2B7A4095" w:rsidR="0054373A" w:rsidRDefault="00317DED" w:rsidP="008E46B3">
            <w:pPr>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t>L</w:t>
            </w:r>
            <w:r w:rsidR="0054373A">
              <w:rPr>
                <w:rFonts w:asciiTheme="minorHAnsi" w:eastAsiaTheme="minorHAnsi" w:hAnsiTheme="minorHAnsi" w:cstheme="minorBidi"/>
                <w:sz w:val="18"/>
                <w:szCs w:val="18"/>
                <w:lang w:eastAsia="en-US" w:bidi="ar-SA"/>
              </w:rPr>
              <w:t>egacy defined benefit pension schemes</w:t>
            </w:r>
            <w:r>
              <w:rPr>
                <w:rFonts w:asciiTheme="minorHAnsi" w:eastAsiaTheme="minorHAnsi" w:hAnsiTheme="minorHAnsi" w:cstheme="minorBidi"/>
                <w:sz w:val="18"/>
                <w:szCs w:val="18"/>
                <w:lang w:eastAsia="en-US" w:bidi="ar-SA"/>
              </w:rPr>
              <w:t xml:space="preserve"> restructuring </w:t>
            </w:r>
            <w:r w:rsidR="00D51EFF">
              <w:rPr>
                <w:rFonts w:asciiTheme="minorHAnsi" w:eastAsiaTheme="minorHAnsi" w:hAnsiTheme="minorHAnsi" w:cstheme="minorBidi"/>
                <w:sz w:val="18"/>
                <w:szCs w:val="18"/>
                <w:lang w:eastAsia="en-US" w:bidi="ar-SA"/>
              </w:rPr>
              <w:t>charge</w:t>
            </w:r>
          </w:p>
        </w:tc>
        <w:tc>
          <w:tcPr>
            <w:tcW w:w="680" w:type="dxa"/>
          </w:tcPr>
          <w:p w14:paraId="61A40478" w14:textId="77777777" w:rsidR="0054373A" w:rsidRPr="003D5549" w:rsidRDefault="0054373A" w:rsidP="0054373A">
            <w:pPr>
              <w:pStyle w:val="Subtitle"/>
              <w:jc w:val="center"/>
              <w:rPr>
                <w:b w:val="0"/>
              </w:rPr>
            </w:pPr>
            <w:r w:rsidRPr="003D5549">
              <w:rPr>
                <w:b w:val="0"/>
              </w:rPr>
              <w:t>(</w:t>
            </w:r>
            <w:r>
              <w:rPr>
                <w:b w:val="0"/>
              </w:rPr>
              <w:t>B</w:t>
            </w:r>
            <w:r w:rsidRPr="003D5549">
              <w:rPr>
                <w:b w:val="0"/>
              </w:rPr>
              <w:t>)</w:t>
            </w:r>
          </w:p>
        </w:tc>
        <w:tc>
          <w:tcPr>
            <w:tcW w:w="1134" w:type="dxa"/>
            <w:vAlign w:val="bottom"/>
          </w:tcPr>
          <w:p w14:paraId="6C4C5BB7" w14:textId="77777777" w:rsidR="0054373A" w:rsidRPr="003D5549" w:rsidRDefault="0054373A" w:rsidP="0054373A">
            <w:pPr>
              <w:pStyle w:val="Subtitle"/>
            </w:pPr>
          </w:p>
        </w:tc>
        <w:tc>
          <w:tcPr>
            <w:tcW w:w="1247" w:type="dxa"/>
            <w:vAlign w:val="bottom"/>
          </w:tcPr>
          <w:p w14:paraId="48675971" w14:textId="77777777" w:rsidR="0054373A" w:rsidDel="003F4CA8" w:rsidRDefault="0054373A" w:rsidP="0054373A">
            <w:pPr>
              <w:pStyle w:val="Subtitle"/>
            </w:pPr>
            <w:r>
              <w:t>(4.0)</w:t>
            </w:r>
          </w:p>
        </w:tc>
        <w:tc>
          <w:tcPr>
            <w:tcW w:w="1135" w:type="dxa"/>
            <w:vAlign w:val="bottom"/>
          </w:tcPr>
          <w:p w14:paraId="3FDF1580" w14:textId="77777777" w:rsidR="0054373A" w:rsidRPr="00743360" w:rsidRDefault="0054373A" w:rsidP="0054373A">
            <w:pPr>
              <w:pStyle w:val="Subtitle"/>
              <w:rPr>
                <w:b w:val="0"/>
              </w:rPr>
            </w:pPr>
            <w:r w:rsidRPr="00DB2027">
              <w:rPr>
                <w:b w:val="0"/>
              </w:rPr>
              <w:t>–</w:t>
            </w:r>
          </w:p>
        </w:tc>
      </w:tr>
      <w:tr w:rsidR="0054373A" w:rsidRPr="00743360" w14:paraId="173C2D18" w14:textId="77777777" w:rsidTr="005B36AA">
        <w:trPr>
          <w:trHeight w:val="227"/>
        </w:trPr>
        <w:tc>
          <w:tcPr>
            <w:tcW w:w="6009" w:type="dxa"/>
            <w:vAlign w:val="bottom"/>
          </w:tcPr>
          <w:p w14:paraId="37620523" w14:textId="77777777" w:rsidR="0054373A" w:rsidRPr="003D5549" w:rsidRDefault="0054373A" w:rsidP="0054373A">
            <w:pPr>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t xml:space="preserve">Non-core property </w:t>
            </w:r>
            <w:r w:rsidR="00962910">
              <w:rPr>
                <w:rFonts w:asciiTheme="minorHAnsi" w:eastAsiaTheme="minorHAnsi" w:hAnsiTheme="minorHAnsi" w:cstheme="minorBidi"/>
                <w:sz w:val="18"/>
                <w:szCs w:val="18"/>
                <w:lang w:eastAsia="en-US" w:bidi="ar-SA"/>
              </w:rPr>
              <w:t>related income/</w:t>
            </w:r>
            <w:r w:rsidR="00791B6C">
              <w:rPr>
                <w:rFonts w:asciiTheme="minorHAnsi" w:eastAsiaTheme="minorHAnsi" w:hAnsiTheme="minorHAnsi" w:cstheme="minorBidi"/>
                <w:sz w:val="18"/>
                <w:szCs w:val="18"/>
                <w:lang w:eastAsia="en-US" w:bidi="ar-SA"/>
              </w:rPr>
              <w:t>(charges)</w:t>
            </w:r>
          </w:p>
        </w:tc>
        <w:tc>
          <w:tcPr>
            <w:tcW w:w="680" w:type="dxa"/>
          </w:tcPr>
          <w:p w14:paraId="466BDA6B" w14:textId="77777777" w:rsidR="0054373A" w:rsidRPr="003D5549" w:rsidRDefault="0054373A" w:rsidP="0054373A">
            <w:pPr>
              <w:pStyle w:val="Subtitle"/>
              <w:jc w:val="center"/>
              <w:rPr>
                <w:b w:val="0"/>
              </w:rPr>
            </w:pPr>
            <w:r w:rsidRPr="003D5549">
              <w:rPr>
                <w:b w:val="0"/>
              </w:rPr>
              <w:t>(</w:t>
            </w:r>
            <w:r>
              <w:rPr>
                <w:b w:val="0"/>
              </w:rPr>
              <w:t>C</w:t>
            </w:r>
            <w:r w:rsidRPr="003D5549">
              <w:rPr>
                <w:b w:val="0"/>
              </w:rPr>
              <w:t>)</w:t>
            </w:r>
          </w:p>
        </w:tc>
        <w:tc>
          <w:tcPr>
            <w:tcW w:w="1134" w:type="dxa"/>
            <w:vAlign w:val="bottom"/>
          </w:tcPr>
          <w:p w14:paraId="32A71862" w14:textId="77777777" w:rsidR="0054373A" w:rsidRPr="003D5549" w:rsidRDefault="0054373A" w:rsidP="0054373A">
            <w:pPr>
              <w:pStyle w:val="Subtitle"/>
            </w:pPr>
          </w:p>
        </w:tc>
        <w:tc>
          <w:tcPr>
            <w:tcW w:w="1247" w:type="dxa"/>
            <w:vAlign w:val="bottom"/>
          </w:tcPr>
          <w:p w14:paraId="4F5F3574" w14:textId="77777777" w:rsidR="0054373A" w:rsidRDefault="0054373A" w:rsidP="0054373A">
            <w:pPr>
              <w:pStyle w:val="Subtitle"/>
            </w:pPr>
            <w:r>
              <w:t>3.3</w:t>
            </w:r>
          </w:p>
        </w:tc>
        <w:tc>
          <w:tcPr>
            <w:tcW w:w="1135" w:type="dxa"/>
            <w:vAlign w:val="bottom"/>
          </w:tcPr>
          <w:p w14:paraId="1292726B" w14:textId="77777777" w:rsidR="0054373A" w:rsidRPr="00743360" w:rsidRDefault="0054373A" w:rsidP="0054373A">
            <w:pPr>
              <w:pStyle w:val="Subtitle"/>
              <w:rPr>
                <w:b w:val="0"/>
              </w:rPr>
            </w:pPr>
            <w:r w:rsidRPr="00743360">
              <w:rPr>
                <w:b w:val="0"/>
              </w:rPr>
              <w:t>(</w:t>
            </w:r>
            <w:r>
              <w:rPr>
                <w:b w:val="0"/>
              </w:rPr>
              <w:t>8.2</w:t>
            </w:r>
            <w:r w:rsidRPr="00743360">
              <w:rPr>
                <w:b w:val="0"/>
              </w:rPr>
              <w:t>)</w:t>
            </w:r>
          </w:p>
        </w:tc>
      </w:tr>
      <w:tr w:rsidR="0054373A" w:rsidRPr="003D5549" w14:paraId="70AFF51D" w14:textId="77777777" w:rsidTr="005B36AA">
        <w:trPr>
          <w:trHeight w:val="227"/>
        </w:trPr>
        <w:tc>
          <w:tcPr>
            <w:tcW w:w="6009" w:type="dxa"/>
            <w:vAlign w:val="bottom"/>
          </w:tcPr>
          <w:p w14:paraId="7A9AAA5C" w14:textId="77777777" w:rsidR="0054373A" w:rsidRPr="003D5549" w:rsidRDefault="0054373A" w:rsidP="0054373A">
            <w:pPr>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t>Legacy business provisions</w:t>
            </w:r>
          </w:p>
        </w:tc>
        <w:tc>
          <w:tcPr>
            <w:tcW w:w="680" w:type="dxa"/>
          </w:tcPr>
          <w:p w14:paraId="1A8697EA" w14:textId="77777777" w:rsidR="0054373A" w:rsidRPr="003D5549" w:rsidRDefault="0054373A" w:rsidP="0054373A">
            <w:pPr>
              <w:pStyle w:val="Subtitle"/>
              <w:jc w:val="center"/>
              <w:rPr>
                <w:b w:val="0"/>
              </w:rPr>
            </w:pPr>
            <w:r>
              <w:rPr>
                <w:b w:val="0"/>
              </w:rPr>
              <w:t>(D)</w:t>
            </w:r>
            <w:r w:rsidRPr="003D5549" w:rsidDel="0054373A">
              <w:rPr>
                <w:b w:val="0"/>
              </w:rPr>
              <w:t xml:space="preserve"> </w:t>
            </w:r>
          </w:p>
        </w:tc>
        <w:tc>
          <w:tcPr>
            <w:tcW w:w="1134" w:type="dxa"/>
            <w:vAlign w:val="bottom"/>
          </w:tcPr>
          <w:p w14:paraId="387EB5AA" w14:textId="77777777" w:rsidR="0054373A" w:rsidRPr="003D5549" w:rsidRDefault="0054373A" w:rsidP="0054373A">
            <w:pPr>
              <w:pStyle w:val="Subtitle"/>
            </w:pPr>
          </w:p>
        </w:tc>
        <w:tc>
          <w:tcPr>
            <w:tcW w:w="1247" w:type="dxa"/>
            <w:vAlign w:val="bottom"/>
          </w:tcPr>
          <w:p w14:paraId="700C0370" w14:textId="77777777" w:rsidR="0054373A" w:rsidRDefault="0054373A" w:rsidP="0054373A">
            <w:pPr>
              <w:pStyle w:val="Subtitle"/>
            </w:pPr>
            <w:r>
              <w:t>1.1</w:t>
            </w:r>
          </w:p>
        </w:tc>
        <w:tc>
          <w:tcPr>
            <w:tcW w:w="1135" w:type="dxa"/>
            <w:vAlign w:val="bottom"/>
          </w:tcPr>
          <w:p w14:paraId="17ECC0DF" w14:textId="77777777" w:rsidR="0054373A" w:rsidRPr="00DB2027" w:rsidRDefault="0054373A" w:rsidP="0054373A">
            <w:pPr>
              <w:pStyle w:val="Subtitle"/>
              <w:rPr>
                <w:b w:val="0"/>
              </w:rPr>
            </w:pPr>
            <w:r>
              <w:rPr>
                <w:b w:val="0"/>
              </w:rPr>
              <w:t>2.2</w:t>
            </w:r>
          </w:p>
        </w:tc>
      </w:tr>
      <w:tr w:rsidR="0054373A" w:rsidRPr="003D5549" w14:paraId="77310118" w14:textId="77777777" w:rsidTr="005B36AA">
        <w:trPr>
          <w:trHeight w:val="227"/>
        </w:trPr>
        <w:tc>
          <w:tcPr>
            <w:tcW w:w="6009" w:type="dxa"/>
            <w:vAlign w:val="bottom"/>
          </w:tcPr>
          <w:p w14:paraId="295B4C07" w14:textId="77777777" w:rsidR="0054373A" w:rsidRDefault="0054373A" w:rsidP="0054373A">
            <w:pPr>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t>Transaction and integration costs</w:t>
            </w:r>
          </w:p>
        </w:tc>
        <w:tc>
          <w:tcPr>
            <w:tcW w:w="680" w:type="dxa"/>
          </w:tcPr>
          <w:p w14:paraId="2E807100" w14:textId="77777777" w:rsidR="0054373A" w:rsidRPr="003D5549" w:rsidRDefault="0054373A" w:rsidP="0054373A">
            <w:pPr>
              <w:pStyle w:val="Subtitle"/>
              <w:jc w:val="center"/>
              <w:rPr>
                <w:b w:val="0"/>
              </w:rPr>
            </w:pPr>
            <w:r>
              <w:rPr>
                <w:b w:val="0"/>
              </w:rPr>
              <w:t>(E)</w:t>
            </w:r>
          </w:p>
        </w:tc>
        <w:tc>
          <w:tcPr>
            <w:tcW w:w="1134" w:type="dxa"/>
            <w:vAlign w:val="bottom"/>
          </w:tcPr>
          <w:p w14:paraId="107BD948" w14:textId="77777777" w:rsidR="0054373A" w:rsidRPr="003D5549" w:rsidRDefault="0054373A" w:rsidP="0054373A">
            <w:pPr>
              <w:pStyle w:val="Subtitle"/>
            </w:pPr>
          </w:p>
        </w:tc>
        <w:tc>
          <w:tcPr>
            <w:tcW w:w="1247" w:type="dxa"/>
            <w:vAlign w:val="bottom"/>
          </w:tcPr>
          <w:p w14:paraId="7A4B4F2F" w14:textId="37A62E71" w:rsidR="0054373A" w:rsidRPr="00880858" w:rsidRDefault="002D3D01" w:rsidP="0054373A">
            <w:pPr>
              <w:pStyle w:val="Subtitle"/>
            </w:pPr>
            <w:r w:rsidRPr="00880858">
              <w:t>–</w:t>
            </w:r>
          </w:p>
        </w:tc>
        <w:tc>
          <w:tcPr>
            <w:tcW w:w="1135" w:type="dxa"/>
            <w:vAlign w:val="bottom"/>
          </w:tcPr>
          <w:p w14:paraId="3629A879" w14:textId="77777777" w:rsidR="0054373A" w:rsidRPr="00DB2027" w:rsidRDefault="0054373A" w:rsidP="0054373A">
            <w:pPr>
              <w:pStyle w:val="Subtitle"/>
              <w:rPr>
                <w:b w:val="0"/>
              </w:rPr>
            </w:pPr>
            <w:r>
              <w:rPr>
                <w:b w:val="0"/>
              </w:rPr>
              <w:t>(2.9)</w:t>
            </w:r>
          </w:p>
        </w:tc>
      </w:tr>
      <w:tr w:rsidR="0054373A" w:rsidRPr="003D5549" w14:paraId="6A04D058" w14:textId="77777777" w:rsidTr="005B36AA">
        <w:trPr>
          <w:trHeight w:val="227"/>
        </w:trPr>
        <w:tc>
          <w:tcPr>
            <w:tcW w:w="6009" w:type="dxa"/>
            <w:vAlign w:val="bottom"/>
          </w:tcPr>
          <w:p w14:paraId="2E03FF70" w14:textId="77777777" w:rsidR="0054373A" w:rsidRDefault="0054373A" w:rsidP="0054373A">
            <w:pPr>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t>Inventory and plant and equipment impairment</w:t>
            </w:r>
          </w:p>
        </w:tc>
        <w:tc>
          <w:tcPr>
            <w:tcW w:w="680" w:type="dxa"/>
          </w:tcPr>
          <w:p w14:paraId="6A6B4021" w14:textId="77777777" w:rsidR="0054373A" w:rsidRPr="003D5549" w:rsidRDefault="0054373A" w:rsidP="0054373A">
            <w:pPr>
              <w:pStyle w:val="Subtitle"/>
              <w:jc w:val="center"/>
              <w:rPr>
                <w:b w:val="0"/>
              </w:rPr>
            </w:pPr>
            <w:r w:rsidRPr="003D5549">
              <w:rPr>
                <w:b w:val="0"/>
              </w:rPr>
              <w:t>(</w:t>
            </w:r>
            <w:r>
              <w:rPr>
                <w:b w:val="0"/>
              </w:rPr>
              <w:t>E</w:t>
            </w:r>
            <w:r w:rsidRPr="003D5549">
              <w:rPr>
                <w:b w:val="0"/>
              </w:rPr>
              <w:t>)</w:t>
            </w:r>
          </w:p>
        </w:tc>
        <w:tc>
          <w:tcPr>
            <w:tcW w:w="1134" w:type="dxa"/>
            <w:vAlign w:val="bottom"/>
          </w:tcPr>
          <w:p w14:paraId="2F882707" w14:textId="77777777" w:rsidR="0054373A" w:rsidRPr="003D5549" w:rsidRDefault="0054373A" w:rsidP="0054373A">
            <w:pPr>
              <w:pStyle w:val="Subtitle"/>
            </w:pPr>
          </w:p>
        </w:tc>
        <w:tc>
          <w:tcPr>
            <w:tcW w:w="1247" w:type="dxa"/>
            <w:vAlign w:val="bottom"/>
          </w:tcPr>
          <w:p w14:paraId="154E06BF" w14:textId="77777777" w:rsidR="0054373A" w:rsidRPr="00880858" w:rsidRDefault="0054373A" w:rsidP="0054373A">
            <w:pPr>
              <w:pStyle w:val="Subtitle"/>
            </w:pPr>
            <w:r w:rsidRPr="00880858">
              <w:t>–</w:t>
            </w:r>
          </w:p>
        </w:tc>
        <w:tc>
          <w:tcPr>
            <w:tcW w:w="1135" w:type="dxa"/>
            <w:vAlign w:val="bottom"/>
          </w:tcPr>
          <w:p w14:paraId="6D6580A3" w14:textId="77777777" w:rsidR="0054373A" w:rsidRPr="00DB2027" w:rsidRDefault="0054373A" w:rsidP="0054373A">
            <w:pPr>
              <w:pStyle w:val="Subtitle"/>
              <w:rPr>
                <w:b w:val="0"/>
              </w:rPr>
            </w:pPr>
            <w:r w:rsidRPr="00DB2027">
              <w:rPr>
                <w:b w:val="0"/>
              </w:rPr>
              <w:t>(4.8)</w:t>
            </w:r>
          </w:p>
        </w:tc>
      </w:tr>
      <w:tr w:rsidR="0054373A" w:rsidRPr="00EB7162" w14:paraId="60BF2EAC" w14:textId="77777777" w:rsidTr="005B36AA">
        <w:trPr>
          <w:trHeight w:val="227"/>
        </w:trPr>
        <w:tc>
          <w:tcPr>
            <w:tcW w:w="6009" w:type="dxa"/>
            <w:vAlign w:val="bottom"/>
          </w:tcPr>
          <w:p w14:paraId="55B9A5CC" w14:textId="77777777" w:rsidR="0054373A" w:rsidRDefault="0054373A" w:rsidP="0054373A">
            <w:pPr>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t xml:space="preserve">Restructuring costs </w:t>
            </w:r>
          </w:p>
        </w:tc>
        <w:tc>
          <w:tcPr>
            <w:tcW w:w="680" w:type="dxa"/>
          </w:tcPr>
          <w:p w14:paraId="4E1A572E" w14:textId="77777777" w:rsidR="0054373A" w:rsidRPr="003D5549" w:rsidRDefault="0054373A" w:rsidP="0054373A">
            <w:pPr>
              <w:pStyle w:val="Subtitle"/>
              <w:jc w:val="center"/>
              <w:rPr>
                <w:b w:val="0"/>
              </w:rPr>
            </w:pPr>
            <w:r w:rsidRPr="003D5549">
              <w:rPr>
                <w:b w:val="0"/>
              </w:rPr>
              <w:t>(</w:t>
            </w:r>
            <w:r>
              <w:rPr>
                <w:b w:val="0"/>
              </w:rPr>
              <w:t>E</w:t>
            </w:r>
            <w:r w:rsidRPr="003D5549">
              <w:rPr>
                <w:b w:val="0"/>
              </w:rPr>
              <w:t>)</w:t>
            </w:r>
          </w:p>
        </w:tc>
        <w:tc>
          <w:tcPr>
            <w:tcW w:w="1134" w:type="dxa"/>
            <w:vAlign w:val="bottom"/>
          </w:tcPr>
          <w:p w14:paraId="638F51E8" w14:textId="77777777" w:rsidR="0054373A" w:rsidRPr="003D5549" w:rsidRDefault="0054373A" w:rsidP="0054373A">
            <w:pPr>
              <w:pStyle w:val="Subtitle"/>
            </w:pPr>
          </w:p>
        </w:tc>
        <w:tc>
          <w:tcPr>
            <w:tcW w:w="1247" w:type="dxa"/>
            <w:vAlign w:val="bottom"/>
          </w:tcPr>
          <w:p w14:paraId="0C461517" w14:textId="77777777" w:rsidR="0054373A" w:rsidRPr="00880858" w:rsidRDefault="0054373A" w:rsidP="0054373A">
            <w:pPr>
              <w:pStyle w:val="Subtitle"/>
            </w:pPr>
            <w:r w:rsidRPr="00880858">
              <w:t>–</w:t>
            </w:r>
          </w:p>
        </w:tc>
        <w:tc>
          <w:tcPr>
            <w:tcW w:w="1135" w:type="dxa"/>
            <w:vAlign w:val="bottom"/>
          </w:tcPr>
          <w:p w14:paraId="77A3C4BB" w14:textId="77777777" w:rsidR="0054373A" w:rsidRPr="00DB2027" w:rsidRDefault="0054373A" w:rsidP="0054373A">
            <w:pPr>
              <w:pStyle w:val="Subtitle"/>
              <w:rPr>
                <w:b w:val="0"/>
                <w:bCs/>
              </w:rPr>
            </w:pPr>
            <w:r w:rsidRPr="00DB2027">
              <w:rPr>
                <w:b w:val="0"/>
              </w:rPr>
              <w:t>(2.0)</w:t>
            </w:r>
          </w:p>
        </w:tc>
      </w:tr>
      <w:tr w:rsidR="0054373A" w:rsidRPr="00EB7162" w14:paraId="1750D3D9" w14:textId="77777777" w:rsidTr="005B36AA">
        <w:trPr>
          <w:trHeight w:val="227"/>
        </w:trPr>
        <w:tc>
          <w:tcPr>
            <w:tcW w:w="6009" w:type="dxa"/>
            <w:vAlign w:val="bottom"/>
          </w:tcPr>
          <w:p w14:paraId="216E5653" w14:textId="77777777" w:rsidR="0054373A" w:rsidRDefault="0054373A" w:rsidP="0054373A">
            <w:pPr>
              <w:rPr>
                <w:rFonts w:asciiTheme="minorHAnsi" w:eastAsiaTheme="minorHAnsi" w:hAnsiTheme="minorHAnsi" w:cstheme="minorBidi"/>
                <w:sz w:val="18"/>
                <w:szCs w:val="18"/>
                <w:lang w:eastAsia="en-US" w:bidi="ar-SA"/>
              </w:rPr>
            </w:pPr>
            <w:r w:rsidRPr="003D5549">
              <w:rPr>
                <w:rFonts w:asciiTheme="minorHAnsi" w:eastAsiaTheme="minorHAnsi" w:hAnsiTheme="minorHAnsi" w:cstheme="minorBidi"/>
                <w:sz w:val="18"/>
                <w:szCs w:val="18"/>
                <w:lang w:eastAsia="en-US" w:bidi="ar-SA"/>
              </w:rPr>
              <w:t xml:space="preserve">Debt restructuring </w:t>
            </w:r>
            <w:r>
              <w:rPr>
                <w:rFonts w:asciiTheme="minorHAnsi" w:eastAsiaTheme="minorHAnsi" w:hAnsiTheme="minorHAnsi" w:cstheme="minorBidi"/>
                <w:sz w:val="18"/>
                <w:szCs w:val="18"/>
                <w:lang w:eastAsia="en-US" w:bidi="ar-SA"/>
              </w:rPr>
              <w:t>and modification</w:t>
            </w:r>
          </w:p>
        </w:tc>
        <w:tc>
          <w:tcPr>
            <w:tcW w:w="680" w:type="dxa"/>
          </w:tcPr>
          <w:p w14:paraId="20F27FD4" w14:textId="77777777" w:rsidR="0054373A" w:rsidRPr="003D5549" w:rsidRDefault="0054373A" w:rsidP="0054373A">
            <w:pPr>
              <w:pStyle w:val="Subtitle"/>
              <w:jc w:val="center"/>
              <w:rPr>
                <w:b w:val="0"/>
              </w:rPr>
            </w:pPr>
            <w:r w:rsidRPr="003D5549">
              <w:rPr>
                <w:b w:val="0"/>
              </w:rPr>
              <w:t>(</w:t>
            </w:r>
            <w:r>
              <w:rPr>
                <w:b w:val="0"/>
              </w:rPr>
              <w:t>E</w:t>
            </w:r>
            <w:r w:rsidRPr="003D5549">
              <w:rPr>
                <w:b w:val="0"/>
              </w:rPr>
              <w:t>)</w:t>
            </w:r>
          </w:p>
        </w:tc>
        <w:tc>
          <w:tcPr>
            <w:tcW w:w="1134" w:type="dxa"/>
            <w:vAlign w:val="bottom"/>
          </w:tcPr>
          <w:p w14:paraId="121E9B0C" w14:textId="77777777" w:rsidR="0054373A" w:rsidRPr="003D5549" w:rsidRDefault="0054373A" w:rsidP="0054373A">
            <w:pPr>
              <w:pStyle w:val="Subtitle"/>
            </w:pPr>
          </w:p>
        </w:tc>
        <w:tc>
          <w:tcPr>
            <w:tcW w:w="1247" w:type="dxa"/>
            <w:vAlign w:val="bottom"/>
          </w:tcPr>
          <w:p w14:paraId="3B2EC339" w14:textId="77777777" w:rsidR="0054373A" w:rsidRPr="00880858" w:rsidRDefault="0054373A" w:rsidP="0054373A">
            <w:pPr>
              <w:pStyle w:val="Subtitle"/>
            </w:pPr>
            <w:r w:rsidRPr="00880858">
              <w:t>–</w:t>
            </w:r>
          </w:p>
        </w:tc>
        <w:tc>
          <w:tcPr>
            <w:tcW w:w="1135" w:type="dxa"/>
            <w:vAlign w:val="bottom"/>
          </w:tcPr>
          <w:p w14:paraId="0C042D77" w14:textId="77777777" w:rsidR="0054373A" w:rsidRPr="00DB2027" w:rsidRDefault="0054373A" w:rsidP="0054373A">
            <w:pPr>
              <w:pStyle w:val="Subtitle"/>
              <w:rPr>
                <w:b w:val="0"/>
              </w:rPr>
            </w:pPr>
            <w:r w:rsidRPr="00DB2027">
              <w:rPr>
                <w:b w:val="0"/>
              </w:rPr>
              <w:t>(7.1)</w:t>
            </w:r>
          </w:p>
        </w:tc>
      </w:tr>
      <w:tr w:rsidR="0054373A" w:rsidRPr="003D5549" w14:paraId="3726466C" w14:textId="77777777" w:rsidTr="005B36AA">
        <w:trPr>
          <w:trHeight w:val="227"/>
        </w:trPr>
        <w:tc>
          <w:tcPr>
            <w:tcW w:w="6009" w:type="dxa"/>
            <w:tcBorders>
              <w:top w:val="single" w:sz="4" w:space="0" w:color="auto"/>
            </w:tcBorders>
            <w:vAlign w:val="bottom"/>
          </w:tcPr>
          <w:p w14:paraId="12DBE65B" w14:textId="77777777" w:rsidR="0054373A" w:rsidRPr="003D5549" w:rsidRDefault="00317DED" w:rsidP="0054373A">
            <w:pPr>
              <w:rPr>
                <w:rFonts w:asciiTheme="minorHAnsi" w:eastAsiaTheme="minorHAnsi" w:hAnsiTheme="minorHAnsi" w:cstheme="minorBidi"/>
                <w:b/>
                <w:sz w:val="18"/>
                <w:szCs w:val="18"/>
                <w:lang w:eastAsia="en-US" w:bidi="ar-SA"/>
              </w:rPr>
            </w:pPr>
            <w:r>
              <w:rPr>
                <w:rFonts w:asciiTheme="minorHAnsi" w:eastAsiaTheme="minorHAnsi" w:hAnsiTheme="minorHAnsi" w:cstheme="minorBidi"/>
                <w:b/>
                <w:sz w:val="18"/>
                <w:szCs w:val="18"/>
                <w:lang w:eastAsia="en-US" w:bidi="ar-SA"/>
              </w:rPr>
              <w:t>Total exceptional items before taxation</w:t>
            </w:r>
          </w:p>
        </w:tc>
        <w:tc>
          <w:tcPr>
            <w:tcW w:w="680" w:type="dxa"/>
            <w:tcBorders>
              <w:top w:val="single" w:sz="4" w:space="0" w:color="auto"/>
            </w:tcBorders>
          </w:tcPr>
          <w:p w14:paraId="1920DF38" w14:textId="77777777" w:rsidR="0054373A" w:rsidRPr="003D5549" w:rsidRDefault="0054373A" w:rsidP="0054373A">
            <w:pPr>
              <w:pStyle w:val="Subtitle"/>
              <w:jc w:val="center"/>
              <w:rPr>
                <w:b w:val="0"/>
              </w:rPr>
            </w:pPr>
          </w:p>
        </w:tc>
        <w:tc>
          <w:tcPr>
            <w:tcW w:w="1134" w:type="dxa"/>
            <w:tcBorders>
              <w:top w:val="single" w:sz="4" w:space="0" w:color="auto"/>
            </w:tcBorders>
            <w:vAlign w:val="bottom"/>
          </w:tcPr>
          <w:p w14:paraId="1D2016A0" w14:textId="77777777" w:rsidR="0054373A" w:rsidRPr="003D5549" w:rsidRDefault="0054373A" w:rsidP="0054373A">
            <w:pPr>
              <w:pStyle w:val="Subtitle"/>
            </w:pPr>
          </w:p>
        </w:tc>
        <w:tc>
          <w:tcPr>
            <w:tcW w:w="1247" w:type="dxa"/>
            <w:tcBorders>
              <w:top w:val="single" w:sz="4" w:space="0" w:color="auto"/>
            </w:tcBorders>
            <w:vAlign w:val="bottom"/>
          </w:tcPr>
          <w:p w14:paraId="7310C333" w14:textId="77777777" w:rsidR="0054373A" w:rsidRPr="003D5549" w:rsidRDefault="0054373A" w:rsidP="0054373A">
            <w:pPr>
              <w:pStyle w:val="Subtitle"/>
            </w:pPr>
            <w:r>
              <w:t>11.7</w:t>
            </w:r>
          </w:p>
        </w:tc>
        <w:tc>
          <w:tcPr>
            <w:tcW w:w="1135" w:type="dxa"/>
            <w:tcBorders>
              <w:top w:val="single" w:sz="4" w:space="0" w:color="auto"/>
            </w:tcBorders>
            <w:vAlign w:val="bottom"/>
          </w:tcPr>
          <w:p w14:paraId="651D7BE1" w14:textId="77777777" w:rsidR="0054373A" w:rsidRPr="00DB2027" w:rsidRDefault="0054373A" w:rsidP="0054373A">
            <w:pPr>
              <w:pStyle w:val="Subtitle"/>
              <w:rPr>
                <w:b w:val="0"/>
                <w:bCs/>
              </w:rPr>
            </w:pPr>
            <w:r w:rsidRPr="00DB2027">
              <w:rPr>
                <w:b w:val="0"/>
              </w:rPr>
              <w:t>(22.8)</w:t>
            </w:r>
          </w:p>
        </w:tc>
      </w:tr>
      <w:tr w:rsidR="0054373A" w:rsidRPr="003D5549" w14:paraId="2041029F" w14:textId="77777777" w:rsidTr="005B36AA">
        <w:trPr>
          <w:trHeight w:val="227"/>
        </w:trPr>
        <w:tc>
          <w:tcPr>
            <w:tcW w:w="6009" w:type="dxa"/>
            <w:tcBorders>
              <w:bottom w:val="single" w:sz="4" w:space="0" w:color="auto"/>
            </w:tcBorders>
            <w:vAlign w:val="bottom"/>
          </w:tcPr>
          <w:p w14:paraId="52687559" w14:textId="77777777" w:rsidR="0054373A" w:rsidRPr="003D5549" w:rsidRDefault="0054373A" w:rsidP="0054373A">
            <w:pPr>
              <w:rPr>
                <w:rFonts w:asciiTheme="minorHAnsi" w:eastAsiaTheme="minorHAnsi" w:hAnsiTheme="minorHAnsi" w:cstheme="minorBidi"/>
                <w:i/>
                <w:sz w:val="18"/>
                <w:szCs w:val="18"/>
                <w:lang w:eastAsia="en-US" w:bidi="ar-SA"/>
              </w:rPr>
            </w:pPr>
            <w:r w:rsidRPr="003D5549">
              <w:rPr>
                <w:rFonts w:asciiTheme="minorHAnsi" w:eastAsiaTheme="minorHAnsi" w:hAnsiTheme="minorHAnsi" w:cstheme="minorBidi"/>
                <w:sz w:val="18"/>
                <w:szCs w:val="18"/>
                <w:lang w:eastAsia="en-US" w:bidi="ar-SA"/>
              </w:rPr>
              <w:t>Tax on exceptional items</w:t>
            </w:r>
          </w:p>
        </w:tc>
        <w:tc>
          <w:tcPr>
            <w:tcW w:w="680" w:type="dxa"/>
            <w:tcBorders>
              <w:bottom w:val="single" w:sz="4" w:space="0" w:color="auto"/>
            </w:tcBorders>
          </w:tcPr>
          <w:p w14:paraId="0C6AC88D" w14:textId="77777777" w:rsidR="0054373A" w:rsidRPr="003D5549" w:rsidRDefault="0054373A" w:rsidP="0054373A">
            <w:pPr>
              <w:pStyle w:val="Subtitle"/>
              <w:jc w:val="center"/>
              <w:rPr>
                <w:b w:val="0"/>
              </w:rPr>
            </w:pPr>
          </w:p>
        </w:tc>
        <w:tc>
          <w:tcPr>
            <w:tcW w:w="1134" w:type="dxa"/>
            <w:tcBorders>
              <w:bottom w:val="single" w:sz="4" w:space="0" w:color="auto"/>
            </w:tcBorders>
            <w:vAlign w:val="bottom"/>
          </w:tcPr>
          <w:p w14:paraId="779C8E4E" w14:textId="77777777" w:rsidR="0054373A" w:rsidRPr="003D5549" w:rsidRDefault="0054373A" w:rsidP="0054373A">
            <w:pPr>
              <w:pStyle w:val="Subtitle"/>
            </w:pPr>
          </w:p>
        </w:tc>
        <w:tc>
          <w:tcPr>
            <w:tcW w:w="1247" w:type="dxa"/>
            <w:tcBorders>
              <w:bottom w:val="single" w:sz="4" w:space="0" w:color="auto"/>
            </w:tcBorders>
            <w:vAlign w:val="bottom"/>
          </w:tcPr>
          <w:p w14:paraId="4C0C324F" w14:textId="77777777" w:rsidR="0054373A" w:rsidRPr="003D5549" w:rsidRDefault="0054373A" w:rsidP="0054373A">
            <w:pPr>
              <w:pStyle w:val="Subtitle"/>
            </w:pPr>
            <w:r>
              <w:t>0.4</w:t>
            </w:r>
          </w:p>
        </w:tc>
        <w:tc>
          <w:tcPr>
            <w:tcW w:w="1135" w:type="dxa"/>
            <w:tcBorders>
              <w:bottom w:val="single" w:sz="4" w:space="0" w:color="auto"/>
            </w:tcBorders>
            <w:vAlign w:val="bottom"/>
          </w:tcPr>
          <w:p w14:paraId="0AF2D0CD" w14:textId="77777777" w:rsidR="0054373A" w:rsidRPr="00DB2027" w:rsidRDefault="0054373A" w:rsidP="0054373A">
            <w:pPr>
              <w:pStyle w:val="Subtitle"/>
              <w:rPr>
                <w:b w:val="0"/>
                <w:bCs/>
              </w:rPr>
            </w:pPr>
            <w:r w:rsidRPr="00DB2027">
              <w:rPr>
                <w:b w:val="0"/>
              </w:rPr>
              <w:t>2.3</w:t>
            </w:r>
          </w:p>
        </w:tc>
      </w:tr>
      <w:tr w:rsidR="0054373A" w:rsidRPr="003D5549" w14:paraId="78F540DE" w14:textId="77777777" w:rsidTr="005B36AA">
        <w:trPr>
          <w:trHeight w:val="227"/>
        </w:trPr>
        <w:tc>
          <w:tcPr>
            <w:tcW w:w="6009" w:type="dxa"/>
            <w:tcBorders>
              <w:top w:val="single" w:sz="4" w:space="0" w:color="auto"/>
              <w:bottom w:val="single" w:sz="8" w:space="0" w:color="auto"/>
            </w:tcBorders>
            <w:vAlign w:val="bottom"/>
          </w:tcPr>
          <w:p w14:paraId="790E3F70" w14:textId="77777777" w:rsidR="0054373A" w:rsidRPr="003D5549" w:rsidRDefault="0054373A" w:rsidP="0054373A">
            <w:pPr>
              <w:rPr>
                <w:rFonts w:asciiTheme="minorHAnsi" w:eastAsiaTheme="minorHAnsi" w:hAnsiTheme="minorHAnsi" w:cstheme="minorBidi"/>
                <w:b/>
                <w:sz w:val="18"/>
                <w:szCs w:val="18"/>
                <w:lang w:eastAsia="en-US" w:bidi="ar-SA"/>
              </w:rPr>
            </w:pPr>
            <w:r w:rsidRPr="003D5549">
              <w:rPr>
                <w:rFonts w:asciiTheme="minorHAnsi" w:eastAsiaTheme="minorHAnsi" w:hAnsiTheme="minorHAnsi" w:cstheme="minorBidi"/>
                <w:b/>
                <w:sz w:val="18"/>
                <w:szCs w:val="18"/>
                <w:lang w:eastAsia="en-US" w:bidi="ar-SA"/>
              </w:rPr>
              <w:t xml:space="preserve">Total exceptional </w:t>
            </w:r>
            <w:r>
              <w:rPr>
                <w:rFonts w:asciiTheme="minorHAnsi" w:eastAsiaTheme="minorHAnsi" w:hAnsiTheme="minorHAnsi" w:cstheme="minorBidi"/>
                <w:b/>
                <w:sz w:val="18"/>
                <w:szCs w:val="18"/>
                <w:lang w:eastAsia="en-US" w:bidi="ar-SA"/>
              </w:rPr>
              <w:t>items</w:t>
            </w:r>
          </w:p>
        </w:tc>
        <w:tc>
          <w:tcPr>
            <w:tcW w:w="680" w:type="dxa"/>
            <w:tcBorders>
              <w:top w:val="single" w:sz="4" w:space="0" w:color="auto"/>
              <w:bottom w:val="single" w:sz="8" w:space="0" w:color="auto"/>
            </w:tcBorders>
          </w:tcPr>
          <w:p w14:paraId="32A495F0" w14:textId="77777777" w:rsidR="0054373A" w:rsidRPr="003D5549" w:rsidRDefault="0054373A" w:rsidP="0054373A">
            <w:pPr>
              <w:jc w:val="center"/>
              <w:rPr>
                <w:rFonts w:asciiTheme="minorHAnsi" w:eastAsiaTheme="minorHAnsi" w:hAnsiTheme="minorHAnsi" w:cstheme="minorBidi"/>
                <w:b/>
                <w:sz w:val="18"/>
                <w:szCs w:val="18"/>
                <w:lang w:eastAsia="en-US" w:bidi="ar-SA"/>
              </w:rPr>
            </w:pPr>
          </w:p>
        </w:tc>
        <w:tc>
          <w:tcPr>
            <w:tcW w:w="1134" w:type="dxa"/>
            <w:tcBorders>
              <w:top w:val="single" w:sz="4" w:space="0" w:color="auto"/>
              <w:bottom w:val="single" w:sz="8" w:space="0" w:color="auto"/>
            </w:tcBorders>
            <w:vAlign w:val="bottom"/>
          </w:tcPr>
          <w:p w14:paraId="6F18E18A" w14:textId="77777777" w:rsidR="0054373A" w:rsidRPr="003D5549" w:rsidRDefault="0054373A" w:rsidP="0054373A">
            <w:pPr>
              <w:jc w:val="right"/>
              <w:rPr>
                <w:rFonts w:asciiTheme="minorHAnsi" w:eastAsiaTheme="minorHAnsi" w:hAnsiTheme="minorHAnsi" w:cstheme="minorBidi"/>
                <w:b/>
                <w:sz w:val="18"/>
                <w:szCs w:val="18"/>
                <w:lang w:eastAsia="en-US" w:bidi="ar-SA"/>
              </w:rPr>
            </w:pPr>
          </w:p>
        </w:tc>
        <w:tc>
          <w:tcPr>
            <w:tcW w:w="1247" w:type="dxa"/>
            <w:tcBorders>
              <w:top w:val="single" w:sz="4" w:space="0" w:color="auto"/>
              <w:bottom w:val="single" w:sz="8" w:space="0" w:color="auto"/>
            </w:tcBorders>
            <w:vAlign w:val="bottom"/>
          </w:tcPr>
          <w:p w14:paraId="289164AB" w14:textId="77777777" w:rsidR="0054373A" w:rsidRPr="003D5549" w:rsidRDefault="0054373A" w:rsidP="0054373A">
            <w:pPr>
              <w:jc w:val="right"/>
              <w:rPr>
                <w:rFonts w:asciiTheme="minorHAnsi" w:eastAsiaTheme="minorHAnsi" w:hAnsiTheme="minorHAnsi" w:cstheme="minorBidi"/>
                <w:b/>
                <w:sz w:val="18"/>
                <w:szCs w:val="18"/>
                <w:lang w:eastAsia="en-US" w:bidi="ar-SA"/>
              </w:rPr>
            </w:pPr>
            <w:r>
              <w:rPr>
                <w:rFonts w:asciiTheme="minorHAnsi" w:eastAsiaTheme="minorHAnsi" w:hAnsiTheme="minorHAnsi" w:cstheme="minorBidi"/>
                <w:b/>
                <w:sz w:val="18"/>
                <w:szCs w:val="18"/>
                <w:lang w:eastAsia="en-US" w:bidi="ar-SA"/>
              </w:rPr>
              <w:t>12.1</w:t>
            </w:r>
          </w:p>
        </w:tc>
        <w:tc>
          <w:tcPr>
            <w:tcW w:w="1135" w:type="dxa"/>
            <w:tcBorders>
              <w:top w:val="single" w:sz="4" w:space="0" w:color="auto"/>
              <w:bottom w:val="single" w:sz="8" w:space="0" w:color="auto"/>
            </w:tcBorders>
            <w:vAlign w:val="bottom"/>
          </w:tcPr>
          <w:p w14:paraId="6CCFBF92" w14:textId="77777777" w:rsidR="0054373A" w:rsidRPr="00DB2027" w:rsidRDefault="0054373A" w:rsidP="0054373A">
            <w:pPr>
              <w:jc w:val="right"/>
              <w:rPr>
                <w:rFonts w:asciiTheme="minorHAnsi" w:eastAsiaTheme="minorHAnsi" w:hAnsiTheme="minorHAnsi" w:cstheme="minorBidi"/>
                <w:bCs/>
                <w:sz w:val="18"/>
                <w:szCs w:val="18"/>
                <w:lang w:eastAsia="en-US" w:bidi="ar-SA"/>
              </w:rPr>
            </w:pPr>
            <w:r w:rsidRPr="00DB2027">
              <w:rPr>
                <w:rFonts w:asciiTheme="minorHAnsi" w:eastAsiaTheme="minorHAnsi" w:hAnsiTheme="minorHAnsi" w:cstheme="minorBidi"/>
                <w:sz w:val="18"/>
                <w:szCs w:val="18"/>
                <w:lang w:eastAsia="en-US" w:bidi="ar-SA"/>
              </w:rPr>
              <w:t>(20.5)</w:t>
            </w:r>
          </w:p>
        </w:tc>
      </w:tr>
      <w:tr w:rsidR="0054373A" w:rsidRPr="003D5549" w14:paraId="1FB00A4B" w14:textId="77777777" w:rsidTr="005B36AA">
        <w:trPr>
          <w:trHeight w:val="227"/>
        </w:trPr>
        <w:tc>
          <w:tcPr>
            <w:tcW w:w="10205" w:type="dxa"/>
            <w:gridSpan w:val="5"/>
            <w:tcBorders>
              <w:top w:val="single" w:sz="8" w:space="0" w:color="auto"/>
            </w:tcBorders>
          </w:tcPr>
          <w:p w14:paraId="73C67629" w14:textId="77777777" w:rsidR="0054373A" w:rsidRPr="003D5549" w:rsidRDefault="0054373A" w:rsidP="0054373A">
            <w:pPr>
              <w:rPr>
                <w:rFonts w:asciiTheme="minorHAnsi" w:eastAsiaTheme="minorHAnsi" w:hAnsiTheme="minorHAnsi" w:cstheme="minorBidi"/>
                <w:sz w:val="18"/>
                <w:szCs w:val="18"/>
                <w:lang w:eastAsia="en-US" w:bidi="ar-SA"/>
              </w:rPr>
            </w:pPr>
          </w:p>
        </w:tc>
      </w:tr>
    </w:tbl>
    <w:p w14:paraId="3F879B6A" w14:textId="77777777" w:rsidR="00880858" w:rsidRDefault="00791B6C" w:rsidP="005B36AA">
      <w:pPr>
        <w:pStyle w:val="BodyText"/>
        <w:numPr>
          <w:ilvl w:val="0"/>
          <w:numId w:val="15"/>
        </w:numPr>
        <w:jc w:val="both"/>
        <w:rPr>
          <w:b/>
        </w:rPr>
      </w:pPr>
      <w:r>
        <w:rPr>
          <w:b/>
        </w:rPr>
        <w:t>Profit on disposal of Molasses trading businesses</w:t>
      </w:r>
    </w:p>
    <w:p w14:paraId="506205E0" w14:textId="04777BEA" w:rsidR="00880858" w:rsidRDefault="00880858" w:rsidP="00880858">
      <w:pPr>
        <w:pStyle w:val="BodyText"/>
        <w:jc w:val="both"/>
      </w:pPr>
      <w:r w:rsidRPr="00880858">
        <w:t xml:space="preserve">On 2 December 2020, the Group completed the disposal of its interest in the Molasses trading businesses recognising a profit on disposal of £7.3m for Premier Molasses Company within operating profit, and £4.0m for United Molasses (Ireland) Limited, which has been recognised within profit on disposal </w:t>
      </w:r>
      <w:r>
        <w:t xml:space="preserve">of associates. </w:t>
      </w:r>
      <w:r w:rsidR="002D3D01">
        <w:t xml:space="preserve">Further details on the disposal are set out in Note 11. </w:t>
      </w:r>
    </w:p>
    <w:p w14:paraId="5B885071" w14:textId="77777777" w:rsidR="0026720B" w:rsidRDefault="0026720B" w:rsidP="00880858">
      <w:pPr>
        <w:pStyle w:val="BodyText"/>
        <w:jc w:val="both"/>
      </w:pPr>
    </w:p>
    <w:p w14:paraId="1782F8BD" w14:textId="0C0C6DAC" w:rsidR="0054373A" w:rsidRDefault="00317DED" w:rsidP="00962910">
      <w:pPr>
        <w:pStyle w:val="BodyText"/>
        <w:numPr>
          <w:ilvl w:val="0"/>
          <w:numId w:val="15"/>
        </w:numPr>
        <w:jc w:val="both"/>
        <w:rPr>
          <w:b/>
        </w:rPr>
      </w:pPr>
      <w:r>
        <w:rPr>
          <w:b/>
        </w:rPr>
        <w:t>L</w:t>
      </w:r>
      <w:r w:rsidR="0054373A">
        <w:rPr>
          <w:b/>
        </w:rPr>
        <w:t>egacy defined benefit pension schemes</w:t>
      </w:r>
      <w:r>
        <w:rPr>
          <w:b/>
        </w:rPr>
        <w:t xml:space="preserve"> restructuring </w:t>
      </w:r>
      <w:r w:rsidR="00D51EFF">
        <w:rPr>
          <w:b/>
        </w:rPr>
        <w:t>charge</w:t>
      </w:r>
    </w:p>
    <w:p w14:paraId="168D1D8A" w14:textId="77777777" w:rsidR="0054373A" w:rsidRDefault="0054373A" w:rsidP="0054373A">
      <w:pPr>
        <w:pStyle w:val="BodyText"/>
        <w:jc w:val="both"/>
      </w:pPr>
      <w:r w:rsidRPr="00880858">
        <w:t xml:space="preserve">During the year, the Group reached agreement with the Trustees of its three Irish legacy defined benefit pension schemes to </w:t>
      </w:r>
      <w:r w:rsidR="003672D7">
        <w:t xml:space="preserve">consolidate its Irish legacy defined benefit obligations into one pension scheme. This required the </w:t>
      </w:r>
      <w:r w:rsidRPr="00880858">
        <w:t xml:space="preserve">wind up </w:t>
      </w:r>
      <w:r w:rsidR="003672D7">
        <w:t xml:space="preserve">of </w:t>
      </w:r>
      <w:r w:rsidRPr="00880858">
        <w:t>the two smaller schemes and transfer</w:t>
      </w:r>
      <w:r w:rsidR="003672D7">
        <w:t xml:space="preserve"> of</w:t>
      </w:r>
      <w:r w:rsidRPr="00880858">
        <w:t xml:space="preserve"> deferred beneficiaries to the </w:t>
      </w:r>
      <w:r w:rsidR="003672D7">
        <w:t xml:space="preserve">remaining </w:t>
      </w:r>
      <w:r w:rsidRPr="00880858">
        <w:t xml:space="preserve">larger scheme. </w:t>
      </w:r>
      <w:r w:rsidR="003672D7">
        <w:t xml:space="preserve">Gross pension liabilities of £15.0m were eliminated due to the settlement of pensioner obligations through the purchase of annuities. </w:t>
      </w:r>
      <w:r w:rsidR="006A5F0C">
        <w:t>At 24 September 2021, the transfer process had substantially completed and the Group recognised a settlement charge of £2.8m</w:t>
      </w:r>
      <w:r w:rsidRPr="00880858">
        <w:t xml:space="preserve"> for those deferred beneficiaries who </w:t>
      </w:r>
      <w:r w:rsidR="003672D7">
        <w:t xml:space="preserve">availed of the option to </w:t>
      </w:r>
      <w:r w:rsidRPr="00880858">
        <w:t>transfer out of the scheme</w:t>
      </w:r>
      <w:r w:rsidR="003672D7">
        <w:t xml:space="preserve">. </w:t>
      </w:r>
      <w:r w:rsidRPr="00880858">
        <w:t>Th</w:t>
      </w:r>
      <w:r>
        <w:t>e Group also incurred £1.2</w:t>
      </w:r>
      <w:r w:rsidRPr="00880858">
        <w:t xml:space="preserve">m of costs associated with the restructure. Details of the restructure are </w:t>
      </w:r>
      <w:r w:rsidRPr="00B01662">
        <w:t xml:space="preserve">set out at Note </w:t>
      </w:r>
      <w:r>
        <w:t>9</w:t>
      </w:r>
      <w:r w:rsidRPr="00B01662">
        <w:t>.</w:t>
      </w:r>
    </w:p>
    <w:p w14:paraId="3EB2F76C" w14:textId="77777777" w:rsidR="0054373A" w:rsidRPr="00880858" w:rsidRDefault="0054373A" w:rsidP="00880858">
      <w:pPr>
        <w:pStyle w:val="BodyText"/>
        <w:jc w:val="both"/>
      </w:pPr>
    </w:p>
    <w:p w14:paraId="72CABE3A" w14:textId="77777777" w:rsidR="00880858" w:rsidRDefault="006C5CF2">
      <w:pPr>
        <w:pStyle w:val="BodyText"/>
        <w:numPr>
          <w:ilvl w:val="0"/>
          <w:numId w:val="15"/>
        </w:numPr>
        <w:jc w:val="both"/>
        <w:rPr>
          <w:b/>
        </w:rPr>
      </w:pPr>
      <w:r>
        <w:rPr>
          <w:b/>
        </w:rPr>
        <w:t xml:space="preserve">Non-core property </w:t>
      </w:r>
      <w:r w:rsidR="00962910">
        <w:rPr>
          <w:b/>
        </w:rPr>
        <w:t>related income/</w:t>
      </w:r>
      <w:r w:rsidR="00791B6C">
        <w:rPr>
          <w:b/>
        </w:rPr>
        <w:t>(charges)</w:t>
      </w:r>
    </w:p>
    <w:p w14:paraId="66F0A8A9" w14:textId="77777777" w:rsidR="00743360" w:rsidRDefault="00743360" w:rsidP="00743360">
      <w:pPr>
        <w:pStyle w:val="BodyText"/>
        <w:jc w:val="both"/>
      </w:pPr>
      <w:r w:rsidRPr="0026720B">
        <w:t xml:space="preserve">In September 2021, the Group disposed of an investment property at Corby, Northamptonshire, UK. Prior to disposal, an assessment </w:t>
      </w:r>
      <w:r>
        <w:t xml:space="preserve">was performed of the </w:t>
      </w:r>
      <w:r w:rsidRPr="0026720B">
        <w:t xml:space="preserve">recoverable value being the fair value less costs to sell </w:t>
      </w:r>
      <w:r w:rsidR="00791B6C">
        <w:t xml:space="preserve">versus </w:t>
      </w:r>
      <w:r>
        <w:t>the carrying value of the asset.</w:t>
      </w:r>
      <w:r w:rsidRPr="0026720B">
        <w:t xml:space="preserve"> </w:t>
      </w:r>
      <w:r>
        <w:t xml:space="preserve">This assessment resulted in a reversal of </w:t>
      </w:r>
      <w:r w:rsidRPr="0026720B">
        <w:t xml:space="preserve">an impairment taken in a previous year </w:t>
      </w:r>
      <w:r>
        <w:t xml:space="preserve">with </w:t>
      </w:r>
      <w:r w:rsidRPr="0026720B">
        <w:t>a credit of £3.3m being recognised</w:t>
      </w:r>
      <w:r>
        <w:t xml:space="preserve"> in the current year</w:t>
      </w:r>
      <w:r w:rsidRPr="0026720B">
        <w:t>.</w:t>
      </w:r>
    </w:p>
    <w:p w14:paraId="39834352" w14:textId="77777777" w:rsidR="00743360" w:rsidRDefault="00743360" w:rsidP="00880858">
      <w:pPr>
        <w:pStyle w:val="BodyText"/>
        <w:jc w:val="both"/>
      </w:pPr>
    </w:p>
    <w:p w14:paraId="7BBA7827" w14:textId="77777777" w:rsidR="00743360" w:rsidRDefault="00743360" w:rsidP="00743360">
      <w:pPr>
        <w:pStyle w:val="BodyText"/>
        <w:jc w:val="both"/>
        <w:rPr>
          <w:bCs/>
        </w:rPr>
      </w:pPr>
      <w:r w:rsidRPr="00880858">
        <w:rPr>
          <w:bCs/>
        </w:rPr>
        <w:t xml:space="preserve">In the prior </w:t>
      </w:r>
      <w:r>
        <w:rPr>
          <w:bCs/>
        </w:rPr>
        <w:t>year</w:t>
      </w:r>
      <w:r w:rsidRPr="00880858">
        <w:rPr>
          <w:bCs/>
        </w:rPr>
        <w:t xml:space="preserve">, the Group completed a review of property assets held across the Group to assess their recoverable value in line with the requirements of IAS 36 </w:t>
      </w:r>
      <w:r w:rsidRPr="000E1B98">
        <w:rPr>
          <w:bCs/>
          <w:i/>
        </w:rPr>
        <w:t>Impairment of Assets</w:t>
      </w:r>
      <w:r w:rsidRPr="00880858">
        <w:rPr>
          <w:bCs/>
        </w:rPr>
        <w:t xml:space="preserve">. </w:t>
      </w:r>
      <w:r>
        <w:rPr>
          <w:bCs/>
        </w:rPr>
        <w:t>This resulted in a charge of £</w:t>
      </w:r>
      <w:r w:rsidR="00791B6C">
        <w:rPr>
          <w:bCs/>
        </w:rPr>
        <w:t>8.2m</w:t>
      </w:r>
      <w:r>
        <w:rPr>
          <w:bCs/>
        </w:rPr>
        <w:t xml:space="preserve"> being recorded for impairment of investment properties and </w:t>
      </w:r>
      <w:r w:rsidR="00791B6C">
        <w:rPr>
          <w:bCs/>
        </w:rPr>
        <w:t>property, plant and equipment</w:t>
      </w:r>
      <w:r>
        <w:rPr>
          <w:bCs/>
        </w:rPr>
        <w:t xml:space="preserve">. </w:t>
      </w:r>
    </w:p>
    <w:p w14:paraId="3BA0686E" w14:textId="77777777" w:rsidR="00791B6C" w:rsidRDefault="00791B6C" w:rsidP="00743360">
      <w:pPr>
        <w:pStyle w:val="BodyText"/>
        <w:jc w:val="both"/>
      </w:pPr>
    </w:p>
    <w:p w14:paraId="13D30BF8" w14:textId="77777777" w:rsidR="00791B6C" w:rsidRDefault="00791B6C">
      <w:pPr>
        <w:pStyle w:val="BodyText"/>
        <w:numPr>
          <w:ilvl w:val="0"/>
          <w:numId w:val="15"/>
        </w:numPr>
        <w:rPr>
          <w:b/>
        </w:rPr>
      </w:pPr>
      <w:r>
        <w:rPr>
          <w:b/>
        </w:rPr>
        <w:t>Legacy business provisions</w:t>
      </w:r>
    </w:p>
    <w:p w14:paraId="227EF1ED" w14:textId="77777777" w:rsidR="00743360" w:rsidRDefault="00743360" w:rsidP="00880858">
      <w:pPr>
        <w:pStyle w:val="BodyText"/>
        <w:ind w:left="360"/>
        <w:jc w:val="both"/>
        <w:rPr>
          <w:b/>
        </w:rPr>
      </w:pPr>
    </w:p>
    <w:p w14:paraId="7B13D9DA" w14:textId="76D96A0A" w:rsidR="00791B6C" w:rsidRDefault="000B0775" w:rsidP="00791B6C">
      <w:pPr>
        <w:pStyle w:val="BodyText"/>
        <w:jc w:val="both"/>
      </w:pPr>
      <w:r>
        <w:t>During</w:t>
      </w:r>
      <w:r w:rsidR="00791B6C">
        <w:t xml:space="preserve"> </w:t>
      </w:r>
      <w:r w:rsidR="00791B6C" w:rsidRPr="0026720B">
        <w:t>the current year, the Group recognised a net credit of £1.1m relating to legacy provisions</w:t>
      </w:r>
      <w:r w:rsidR="002D3D01">
        <w:t xml:space="preserve"> and discontinued operations</w:t>
      </w:r>
      <w:r w:rsidR="00791B6C" w:rsidRPr="0026720B">
        <w:t xml:space="preserve">. </w:t>
      </w:r>
      <w:r>
        <w:t>The net credit primarily</w:t>
      </w:r>
      <w:r w:rsidR="00791B6C" w:rsidRPr="0026720B">
        <w:t xml:space="preserve"> related to a legacy US legal case which settled in the period res</w:t>
      </w:r>
      <w:r w:rsidR="00791B6C">
        <w:t>ulting in a provision release.</w:t>
      </w:r>
      <w:r>
        <w:t xml:space="preserve"> In addition, the Group recognised charges for remediation for certain of the Group’s properties. </w:t>
      </w:r>
    </w:p>
    <w:p w14:paraId="43996859" w14:textId="77777777" w:rsidR="008F5708" w:rsidRDefault="008F5708" w:rsidP="00791B6C">
      <w:pPr>
        <w:pStyle w:val="BodyText"/>
        <w:jc w:val="both"/>
      </w:pPr>
    </w:p>
    <w:p w14:paraId="6F44E463" w14:textId="77777777" w:rsidR="000B0775" w:rsidRPr="0026720B" w:rsidRDefault="000B0775" w:rsidP="00791B6C">
      <w:pPr>
        <w:pStyle w:val="BodyText"/>
        <w:jc w:val="both"/>
      </w:pPr>
      <w:r>
        <w:t xml:space="preserve">In the prior year, the Group recognised a credit of £2.2m on the settlement of a legacy US legal case, as an amount was recovered under a group insurance policy. </w:t>
      </w:r>
    </w:p>
    <w:p w14:paraId="40FAA3CC" w14:textId="77777777" w:rsidR="008F5708" w:rsidRDefault="008F5708" w:rsidP="008E109E">
      <w:pPr>
        <w:pStyle w:val="BodyText"/>
        <w:jc w:val="both"/>
        <w:rPr>
          <w:b/>
        </w:rPr>
      </w:pPr>
    </w:p>
    <w:p w14:paraId="6A6AB06F" w14:textId="77777777" w:rsidR="005B36AA" w:rsidRPr="00EE12B3" w:rsidRDefault="008F5708">
      <w:pPr>
        <w:pStyle w:val="BodyText"/>
        <w:numPr>
          <w:ilvl w:val="0"/>
          <w:numId w:val="15"/>
        </w:numPr>
        <w:jc w:val="both"/>
        <w:rPr>
          <w:b/>
        </w:rPr>
      </w:pPr>
      <w:r>
        <w:rPr>
          <w:b/>
        </w:rPr>
        <w:t>Other exceptional items</w:t>
      </w:r>
    </w:p>
    <w:p w14:paraId="19FF7EAC" w14:textId="77777777" w:rsidR="00880858" w:rsidRPr="00880858" w:rsidRDefault="0054373A" w:rsidP="00880858">
      <w:pPr>
        <w:pStyle w:val="BodyText"/>
        <w:jc w:val="both"/>
      </w:pPr>
      <w:r>
        <w:rPr>
          <w:bCs/>
        </w:rPr>
        <w:t xml:space="preserve">The disclosures in relation to exceptional items that occurred in the prior year which have no comparative in the current year are disclosed in the FY21 Annual Report. </w:t>
      </w:r>
    </w:p>
    <w:p w14:paraId="79AB58FC" w14:textId="77777777" w:rsidR="00DB2027" w:rsidRDefault="00DB2027" w:rsidP="00DB2027">
      <w:pPr>
        <w:pStyle w:val="BodyText"/>
        <w:jc w:val="both"/>
        <w:rPr>
          <w:b/>
        </w:rPr>
      </w:pPr>
    </w:p>
    <w:p w14:paraId="287E1E80" w14:textId="77777777" w:rsidR="005B36AA" w:rsidRDefault="00AC225D" w:rsidP="005B36AA">
      <w:pPr>
        <w:pStyle w:val="BodyText"/>
        <w:jc w:val="both"/>
        <w:rPr>
          <w:b/>
        </w:rPr>
      </w:pPr>
      <w:r>
        <w:rPr>
          <w:b/>
        </w:rPr>
        <w:t>Cash flow on exceptional items</w:t>
      </w:r>
    </w:p>
    <w:p w14:paraId="0964DADC" w14:textId="77777777" w:rsidR="00D51EFF" w:rsidRDefault="005B36AA" w:rsidP="005B36AA">
      <w:pPr>
        <w:pStyle w:val="BodyText"/>
        <w:jc w:val="both"/>
        <w:rPr>
          <w:bCs/>
        </w:rPr>
      </w:pPr>
      <w:r w:rsidRPr="00413A32">
        <w:rPr>
          <w:bCs/>
        </w:rPr>
        <w:t>The total net cash outflow during the year in respect of exceptional ch</w:t>
      </w:r>
      <w:r>
        <w:rPr>
          <w:bCs/>
        </w:rPr>
        <w:t>arges was £</w:t>
      </w:r>
      <w:r w:rsidR="001B3384">
        <w:rPr>
          <w:bCs/>
        </w:rPr>
        <w:t>3.3</w:t>
      </w:r>
      <w:r w:rsidRPr="00413A32">
        <w:rPr>
          <w:bCs/>
        </w:rPr>
        <w:t>m (20</w:t>
      </w:r>
      <w:r w:rsidR="00880858">
        <w:rPr>
          <w:bCs/>
        </w:rPr>
        <w:t>20</w:t>
      </w:r>
      <w:r w:rsidRPr="00413A32">
        <w:rPr>
          <w:bCs/>
        </w:rPr>
        <w:t>: £</w:t>
      </w:r>
      <w:r w:rsidR="001B3384">
        <w:rPr>
          <w:bCs/>
        </w:rPr>
        <w:t>10.1</w:t>
      </w:r>
      <w:r w:rsidRPr="00413A32">
        <w:rPr>
          <w:bCs/>
        </w:rPr>
        <w:t xml:space="preserve">m), of </w:t>
      </w:r>
      <w:r w:rsidRPr="00635D3B">
        <w:rPr>
          <w:bCs/>
        </w:rPr>
        <w:t xml:space="preserve">which </w:t>
      </w:r>
      <w:r>
        <w:rPr>
          <w:bCs/>
        </w:rPr>
        <w:t>£</w:t>
      </w:r>
      <w:r w:rsidR="00880858">
        <w:rPr>
          <w:bCs/>
        </w:rPr>
        <w:t>2.9</w:t>
      </w:r>
      <w:r w:rsidRPr="00635D3B">
        <w:rPr>
          <w:bCs/>
        </w:rPr>
        <w:t>m</w:t>
      </w:r>
      <w:r w:rsidRPr="00413A32">
        <w:rPr>
          <w:bCs/>
        </w:rPr>
        <w:t xml:space="preserve"> was in respect of prior year exceptional charges.</w:t>
      </w:r>
      <w:r w:rsidR="001B3384">
        <w:rPr>
          <w:bCs/>
        </w:rPr>
        <w:t xml:space="preserve"> The net proceeds from the disposal of the Molasses trading businesses of £16.3m and the disposal of the investment property at Corby of £6.3m, have been recognised separately on the Group Statement of Cash Flows within investing activities. </w:t>
      </w:r>
      <w:r w:rsidRPr="00413A32">
        <w:rPr>
          <w:bCs/>
        </w:rPr>
        <w:t xml:space="preserve"> </w:t>
      </w:r>
    </w:p>
    <w:p w14:paraId="2F3C93EE" w14:textId="77777777" w:rsidR="009B1C1E" w:rsidRDefault="009B1C1E" w:rsidP="005B36AA">
      <w:pPr>
        <w:pStyle w:val="BodyText"/>
        <w:jc w:val="both"/>
        <w:rPr>
          <w:bCs/>
        </w:rPr>
      </w:pPr>
    </w:p>
    <w:p w14:paraId="0B8D66A9" w14:textId="06960C33" w:rsidR="005B36AA" w:rsidRDefault="009C1E33" w:rsidP="008E109E">
      <w:pPr>
        <w:pStyle w:val="Heading2"/>
      </w:pPr>
      <w:r>
        <w:t>F</w:t>
      </w:r>
      <w:r w:rsidR="005B36AA">
        <w:t xml:space="preserve">inance </w:t>
      </w:r>
      <w:r w:rsidR="00BC4226">
        <w:t xml:space="preserve">income </w:t>
      </w:r>
      <w:r>
        <w:t xml:space="preserve">and finance </w:t>
      </w:r>
      <w:r w:rsidR="00BC4226">
        <w:t>costs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1134"/>
        <w:gridCol w:w="1105"/>
      </w:tblGrid>
      <w:tr w:rsidR="005B36AA" w14:paraId="1FC071B5" w14:textId="77777777" w:rsidTr="005771B0">
        <w:trPr>
          <w:trHeight w:val="57"/>
        </w:trPr>
        <w:tc>
          <w:tcPr>
            <w:tcW w:w="7938" w:type="dxa"/>
            <w:tcBorders>
              <w:bottom w:val="single" w:sz="4" w:space="0" w:color="auto"/>
            </w:tcBorders>
            <w:vAlign w:val="bottom"/>
          </w:tcPr>
          <w:p w14:paraId="4AA808A8" w14:textId="77777777" w:rsidR="005B36AA" w:rsidRPr="005771B0" w:rsidRDefault="005B36AA" w:rsidP="005771B0">
            <w:pPr>
              <w:rPr>
                <w:rFonts w:asciiTheme="minorHAnsi" w:eastAsiaTheme="minorHAnsi" w:hAnsiTheme="minorHAnsi" w:cstheme="minorBidi"/>
                <w:lang w:eastAsia="en-US" w:bidi="ar-SA"/>
              </w:rPr>
            </w:pPr>
          </w:p>
        </w:tc>
        <w:tc>
          <w:tcPr>
            <w:tcW w:w="1134" w:type="dxa"/>
            <w:tcBorders>
              <w:bottom w:val="single" w:sz="4" w:space="0" w:color="auto"/>
            </w:tcBorders>
          </w:tcPr>
          <w:p w14:paraId="2B60F5C4" w14:textId="77777777" w:rsidR="005B36AA" w:rsidRPr="005771B0" w:rsidRDefault="005B36AA" w:rsidP="005771B0">
            <w:pPr>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202</w:t>
            </w:r>
            <w:r w:rsidR="00DB2027">
              <w:rPr>
                <w:rFonts w:asciiTheme="minorHAnsi" w:eastAsiaTheme="minorHAnsi" w:hAnsiTheme="minorHAnsi" w:cstheme="minorBidi"/>
                <w:b/>
                <w:bCs/>
                <w:sz w:val="18"/>
                <w:szCs w:val="18"/>
                <w:lang w:eastAsia="en-US" w:bidi="ar-SA"/>
              </w:rPr>
              <w:t>1</w:t>
            </w:r>
          </w:p>
          <w:p w14:paraId="41C126C9" w14:textId="77777777" w:rsidR="005B36AA" w:rsidRPr="005771B0" w:rsidRDefault="005B36AA" w:rsidP="005771B0">
            <w:pPr>
              <w:jc w:val="right"/>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£m</w:t>
            </w:r>
          </w:p>
        </w:tc>
        <w:tc>
          <w:tcPr>
            <w:tcW w:w="1105" w:type="dxa"/>
            <w:tcBorders>
              <w:bottom w:val="single" w:sz="4" w:space="0" w:color="auto"/>
            </w:tcBorders>
          </w:tcPr>
          <w:p w14:paraId="29F9CAE8" w14:textId="77777777" w:rsidR="005B36AA" w:rsidRPr="005771B0" w:rsidRDefault="005B36AA" w:rsidP="005771B0">
            <w:pPr>
              <w:jc w:val="right"/>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20</w:t>
            </w:r>
            <w:r w:rsidR="00DB2027">
              <w:rPr>
                <w:rFonts w:asciiTheme="minorHAnsi" w:eastAsiaTheme="minorHAnsi" w:hAnsiTheme="minorHAnsi" w:cstheme="minorBidi"/>
                <w:sz w:val="18"/>
                <w:szCs w:val="18"/>
                <w:lang w:eastAsia="en-US" w:bidi="ar-SA"/>
              </w:rPr>
              <w:t>20</w:t>
            </w:r>
          </w:p>
          <w:p w14:paraId="6EE9F09C" w14:textId="77777777" w:rsidR="005B36AA" w:rsidRPr="005771B0" w:rsidRDefault="005B36AA" w:rsidP="005771B0">
            <w:pPr>
              <w:jc w:val="right"/>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£m</w:t>
            </w:r>
          </w:p>
        </w:tc>
      </w:tr>
      <w:tr w:rsidR="005B36AA" w14:paraId="50C30C46" w14:textId="77777777" w:rsidTr="00880858">
        <w:trPr>
          <w:trHeight w:val="139"/>
        </w:trPr>
        <w:tc>
          <w:tcPr>
            <w:tcW w:w="7938" w:type="dxa"/>
            <w:tcBorders>
              <w:top w:val="single" w:sz="4" w:space="0" w:color="auto"/>
            </w:tcBorders>
          </w:tcPr>
          <w:p w14:paraId="34D6E8EC" w14:textId="77777777" w:rsidR="005B36AA" w:rsidRPr="005771B0" w:rsidRDefault="005B36AA" w:rsidP="005771B0">
            <w:pPr>
              <w:rPr>
                <w:rFonts w:asciiTheme="minorHAnsi" w:eastAsiaTheme="minorHAnsi" w:hAnsiTheme="minorHAnsi" w:cstheme="minorBidi"/>
                <w:lang w:eastAsia="en-US" w:bidi="ar-SA"/>
              </w:rPr>
            </w:pPr>
            <w:r w:rsidRPr="005771B0">
              <w:rPr>
                <w:rFonts w:asciiTheme="minorHAnsi" w:eastAsiaTheme="minorHAnsi" w:hAnsiTheme="minorHAnsi" w:cstheme="minorBidi"/>
                <w:b/>
                <w:bCs/>
                <w:sz w:val="18"/>
                <w:szCs w:val="18"/>
                <w:lang w:eastAsia="en-US" w:bidi="ar-SA"/>
              </w:rPr>
              <w:t xml:space="preserve">Finance </w:t>
            </w:r>
            <w:r w:rsidR="00096F67">
              <w:rPr>
                <w:rFonts w:asciiTheme="minorHAnsi" w:eastAsiaTheme="minorHAnsi" w:hAnsiTheme="minorHAnsi" w:cstheme="minorBidi"/>
                <w:b/>
                <w:bCs/>
                <w:sz w:val="18"/>
                <w:szCs w:val="18"/>
                <w:lang w:eastAsia="en-US" w:bidi="ar-SA"/>
              </w:rPr>
              <w:t>i</w:t>
            </w:r>
            <w:r w:rsidRPr="005771B0">
              <w:rPr>
                <w:rFonts w:asciiTheme="minorHAnsi" w:eastAsiaTheme="minorHAnsi" w:hAnsiTheme="minorHAnsi" w:cstheme="minorBidi"/>
                <w:b/>
                <w:bCs/>
                <w:sz w:val="18"/>
                <w:szCs w:val="18"/>
                <w:lang w:eastAsia="en-US" w:bidi="ar-SA"/>
              </w:rPr>
              <w:t>ncome</w:t>
            </w:r>
          </w:p>
        </w:tc>
        <w:tc>
          <w:tcPr>
            <w:tcW w:w="1134" w:type="dxa"/>
            <w:tcBorders>
              <w:top w:val="single" w:sz="4" w:space="0" w:color="auto"/>
            </w:tcBorders>
          </w:tcPr>
          <w:p w14:paraId="33B27A1B" w14:textId="77777777" w:rsidR="005B36AA" w:rsidRPr="005771B0" w:rsidRDefault="005B36AA" w:rsidP="005771B0">
            <w:pPr>
              <w:jc w:val="right"/>
              <w:rPr>
                <w:rFonts w:asciiTheme="minorHAnsi" w:eastAsiaTheme="minorHAnsi" w:hAnsiTheme="minorHAnsi" w:cstheme="minorBidi"/>
                <w:lang w:eastAsia="en-US" w:bidi="ar-SA"/>
              </w:rPr>
            </w:pPr>
          </w:p>
        </w:tc>
        <w:tc>
          <w:tcPr>
            <w:tcW w:w="1105" w:type="dxa"/>
            <w:tcBorders>
              <w:top w:val="single" w:sz="4" w:space="0" w:color="auto"/>
            </w:tcBorders>
          </w:tcPr>
          <w:p w14:paraId="61032583" w14:textId="77777777" w:rsidR="005B36AA" w:rsidRPr="005771B0" w:rsidRDefault="005B36AA" w:rsidP="005771B0">
            <w:pPr>
              <w:jc w:val="right"/>
              <w:rPr>
                <w:rFonts w:asciiTheme="minorHAnsi" w:eastAsiaTheme="minorHAnsi" w:hAnsiTheme="minorHAnsi" w:cstheme="minorBidi"/>
                <w:b/>
                <w:lang w:eastAsia="en-US" w:bidi="ar-SA"/>
              </w:rPr>
            </w:pPr>
          </w:p>
        </w:tc>
      </w:tr>
      <w:tr w:rsidR="00DB2027" w14:paraId="125D2254" w14:textId="77777777" w:rsidTr="00880858">
        <w:trPr>
          <w:trHeight w:val="57"/>
        </w:trPr>
        <w:tc>
          <w:tcPr>
            <w:tcW w:w="7938" w:type="dxa"/>
          </w:tcPr>
          <w:p w14:paraId="65BAB2AB" w14:textId="77777777" w:rsidR="00DB2027" w:rsidRPr="005771B0" w:rsidRDefault="00DB2027" w:rsidP="00DB2027">
            <w:pPr>
              <w:rPr>
                <w:rFonts w:asciiTheme="minorHAnsi" w:eastAsiaTheme="minorHAnsi" w:hAnsiTheme="minorHAnsi" w:cstheme="minorBidi"/>
                <w:b/>
                <w:lang w:eastAsia="en-US" w:bidi="ar-SA"/>
              </w:rPr>
            </w:pPr>
            <w:r w:rsidRPr="005771B0">
              <w:rPr>
                <w:rFonts w:asciiTheme="minorHAnsi" w:eastAsiaTheme="minorHAnsi" w:hAnsiTheme="minorHAnsi" w:cstheme="minorBidi"/>
                <w:sz w:val="18"/>
                <w:szCs w:val="18"/>
                <w:lang w:eastAsia="en-US" w:bidi="ar-SA"/>
              </w:rPr>
              <w:t>Interest on bank deposits</w:t>
            </w:r>
          </w:p>
        </w:tc>
        <w:tc>
          <w:tcPr>
            <w:tcW w:w="1134" w:type="dxa"/>
          </w:tcPr>
          <w:p w14:paraId="466530C6" w14:textId="77777777" w:rsidR="00DB2027" w:rsidRPr="00880858" w:rsidRDefault="00172308" w:rsidP="00DB2027">
            <w:pPr>
              <w:jc w:val="right"/>
              <w:rPr>
                <w:rFonts w:asciiTheme="minorHAnsi" w:eastAsiaTheme="minorHAnsi" w:hAnsiTheme="minorHAnsi" w:cstheme="minorBidi"/>
                <w:b/>
                <w:lang w:eastAsia="en-US" w:bidi="ar-SA"/>
              </w:rPr>
            </w:pPr>
            <w:r w:rsidRPr="00172308">
              <w:rPr>
                <w:b/>
                <w:sz w:val="18"/>
                <w:szCs w:val="18"/>
              </w:rPr>
              <w:t>–</w:t>
            </w:r>
          </w:p>
        </w:tc>
        <w:tc>
          <w:tcPr>
            <w:tcW w:w="1105" w:type="dxa"/>
          </w:tcPr>
          <w:p w14:paraId="330CEFED" w14:textId="77777777" w:rsidR="00DB2027" w:rsidRPr="00DB2027" w:rsidRDefault="00DB2027" w:rsidP="00DB2027">
            <w:pPr>
              <w:jc w:val="right"/>
              <w:rPr>
                <w:rFonts w:asciiTheme="minorHAnsi" w:eastAsiaTheme="minorHAnsi" w:hAnsiTheme="minorHAnsi" w:cstheme="minorBidi"/>
                <w:lang w:eastAsia="en-US" w:bidi="ar-SA"/>
              </w:rPr>
            </w:pPr>
            <w:r w:rsidRPr="00DB2027">
              <w:rPr>
                <w:rFonts w:asciiTheme="minorHAnsi" w:eastAsiaTheme="minorHAnsi" w:hAnsiTheme="minorHAnsi" w:cstheme="minorBidi"/>
                <w:bCs/>
                <w:sz w:val="18"/>
                <w:szCs w:val="18"/>
                <w:lang w:eastAsia="en-US" w:bidi="ar-SA"/>
              </w:rPr>
              <w:t>0.1</w:t>
            </w:r>
          </w:p>
        </w:tc>
      </w:tr>
      <w:tr w:rsidR="00880858" w14:paraId="2695C5AF" w14:textId="77777777" w:rsidTr="008B13C4">
        <w:trPr>
          <w:trHeight w:val="57"/>
        </w:trPr>
        <w:tc>
          <w:tcPr>
            <w:tcW w:w="7938" w:type="dxa"/>
            <w:tcBorders>
              <w:bottom w:val="single" w:sz="4" w:space="0" w:color="auto"/>
            </w:tcBorders>
          </w:tcPr>
          <w:p w14:paraId="19FAB215" w14:textId="77777777" w:rsidR="00880858" w:rsidRPr="00880858" w:rsidRDefault="00880858" w:rsidP="00DB2027">
            <w:pPr>
              <w:rPr>
                <w:rFonts w:asciiTheme="minorHAnsi" w:eastAsiaTheme="minorHAnsi" w:hAnsiTheme="minorHAnsi" w:cstheme="minorBidi"/>
                <w:bCs/>
                <w:sz w:val="18"/>
                <w:szCs w:val="18"/>
                <w:lang w:eastAsia="en-US" w:bidi="ar-SA"/>
              </w:rPr>
            </w:pPr>
            <w:r w:rsidRPr="00880858">
              <w:rPr>
                <w:rFonts w:asciiTheme="minorHAnsi" w:eastAsiaTheme="minorHAnsi" w:hAnsiTheme="minorHAnsi" w:cstheme="minorBidi"/>
                <w:bCs/>
                <w:sz w:val="18"/>
                <w:szCs w:val="18"/>
                <w:lang w:eastAsia="en-US" w:bidi="ar-SA"/>
              </w:rPr>
              <w:t xml:space="preserve">Foreign </w:t>
            </w:r>
            <w:r>
              <w:rPr>
                <w:rFonts w:asciiTheme="minorHAnsi" w:eastAsiaTheme="minorHAnsi" w:hAnsiTheme="minorHAnsi" w:cstheme="minorBidi"/>
                <w:bCs/>
                <w:sz w:val="18"/>
                <w:szCs w:val="18"/>
                <w:lang w:eastAsia="en-US" w:bidi="ar-SA"/>
              </w:rPr>
              <w:t>exchange on inter-company and external balances where hedge accounting is not applied</w:t>
            </w:r>
          </w:p>
        </w:tc>
        <w:tc>
          <w:tcPr>
            <w:tcW w:w="1134" w:type="dxa"/>
            <w:tcBorders>
              <w:bottom w:val="single" w:sz="4" w:space="0" w:color="auto"/>
            </w:tcBorders>
          </w:tcPr>
          <w:p w14:paraId="418E80A2" w14:textId="77777777" w:rsidR="00880858" w:rsidRDefault="00880858" w:rsidP="00DB2027">
            <w:pPr>
              <w:jc w:val="right"/>
              <w:rPr>
                <w:rFonts w:asciiTheme="minorHAnsi" w:eastAsiaTheme="minorHAnsi" w:hAnsiTheme="minorHAnsi" w:cstheme="minorBidi"/>
                <w:b/>
                <w:bCs/>
                <w:sz w:val="18"/>
                <w:szCs w:val="18"/>
                <w:lang w:eastAsia="en-US" w:bidi="ar-SA"/>
              </w:rPr>
            </w:pPr>
            <w:r>
              <w:rPr>
                <w:rFonts w:asciiTheme="minorHAnsi" w:eastAsiaTheme="minorHAnsi" w:hAnsiTheme="minorHAnsi" w:cstheme="minorBidi"/>
                <w:b/>
                <w:bCs/>
                <w:sz w:val="18"/>
                <w:szCs w:val="18"/>
                <w:lang w:eastAsia="en-US" w:bidi="ar-SA"/>
              </w:rPr>
              <w:t>0.1</w:t>
            </w:r>
          </w:p>
        </w:tc>
        <w:tc>
          <w:tcPr>
            <w:tcW w:w="1105" w:type="dxa"/>
            <w:tcBorders>
              <w:bottom w:val="single" w:sz="4" w:space="0" w:color="auto"/>
            </w:tcBorders>
          </w:tcPr>
          <w:p w14:paraId="12E998C0" w14:textId="77777777" w:rsidR="00880858" w:rsidRPr="000E1B98" w:rsidRDefault="000E1B98" w:rsidP="00DB2027">
            <w:pPr>
              <w:jc w:val="right"/>
              <w:rPr>
                <w:rFonts w:asciiTheme="minorHAnsi" w:eastAsiaTheme="minorHAnsi" w:hAnsiTheme="minorHAnsi" w:cstheme="minorBidi"/>
                <w:bCs/>
                <w:sz w:val="18"/>
                <w:szCs w:val="18"/>
                <w:lang w:eastAsia="en-US" w:bidi="ar-SA"/>
              </w:rPr>
            </w:pPr>
            <w:r w:rsidRPr="000E1B98">
              <w:rPr>
                <w:sz w:val="18"/>
                <w:szCs w:val="18"/>
              </w:rPr>
              <w:t>–</w:t>
            </w:r>
          </w:p>
        </w:tc>
      </w:tr>
      <w:tr w:rsidR="00DB2027" w14:paraId="209E00CA" w14:textId="77777777" w:rsidTr="008B13C4">
        <w:trPr>
          <w:trHeight w:val="57"/>
        </w:trPr>
        <w:tc>
          <w:tcPr>
            <w:tcW w:w="7938" w:type="dxa"/>
            <w:tcBorders>
              <w:top w:val="single" w:sz="4" w:space="0" w:color="auto"/>
              <w:bottom w:val="single" w:sz="4" w:space="0" w:color="auto"/>
            </w:tcBorders>
          </w:tcPr>
          <w:p w14:paraId="5ACD8C6F" w14:textId="77777777" w:rsidR="00DB2027" w:rsidRPr="005771B0" w:rsidRDefault="00DB2027" w:rsidP="00F34FEB">
            <w:pPr>
              <w:rPr>
                <w:rFonts w:asciiTheme="minorHAnsi" w:eastAsiaTheme="minorHAnsi" w:hAnsiTheme="minorHAnsi" w:cstheme="minorBidi"/>
                <w:lang w:eastAsia="en-US" w:bidi="ar-SA"/>
              </w:rPr>
            </w:pPr>
            <w:r w:rsidRPr="005771B0">
              <w:rPr>
                <w:rFonts w:asciiTheme="minorHAnsi" w:eastAsiaTheme="minorHAnsi" w:hAnsiTheme="minorHAnsi" w:cstheme="minorBidi"/>
                <w:b/>
                <w:bCs/>
                <w:sz w:val="18"/>
                <w:szCs w:val="18"/>
                <w:lang w:eastAsia="en-US" w:bidi="ar-SA"/>
              </w:rPr>
              <w:t xml:space="preserve">Total finance income </w:t>
            </w:r>
          </w:p>
        </w:tc>
        <w:tc>
          <w:tcPr>
            <w:tcW w:w="1134" w:type="dxa"/>
            <w:tcBorders>
              <w:top w:val="single" w:sz="4" w:space="0" w:color="auto"/>
              <w:bottom w:val="single" w:sz="4" w:space="0" w:color="auto"/>
            </w:tcBorders>
          </w:tcPr>
          <w:p w14:paraId="1A917191" w14:textId="77777777" w:rsidR="00DB2027" w:rsidRPr="005771B0" w:rsidRDefault="00880858" w:rsidP="00DB2027">
            <w:pPr>
              <w:jc w:val="right"/>
              <w:rPr>
                <w:rFonts w:asciiTheme="minorHAnsi" w:eastAsiaTheme="minorHAnsi" w:hAnsiTheme="minorHAnsi" w:cstheme="minorBidi"/>
                <w:lang w:eastAsia="en-US" w:bidi="ar-SA"/>
              </w:rPr>
            </w:pPr>
            <w:r>
              <w:rPr>
                <w:rFonts w:asciiTheme="minorHAnsi" w:eastAsiaTheme="minorHAnsi" w:hAnsiTheme="minorHAnsi" w:cstheme="minorBidi"/>
                <w:b/>
                <w:bCs/>
                <w:sz w:val="18"/>
                <w:szCs w:val="18"/>
                <w:lang w:eastAsia="en-US" w:bidi="ar-SA"/>
              </w:rPr>
              <w:t>0.1</w:t>
            </w:r>
          </w:p>
        </w:tc>
        <w:tc>
          <w:tcPr>
            <w:tcW w:w="1105" w:type="dxa"/>
            <w:tcBorders>
              <w:top w:val="single" w:sz="4" w:space="0" w:color="auto"/>
              <w:bottom w:val="single" w:sz="4" w:space="0" w:color="auto"/>
            </w:tcBorders>
          </w:tcPr>
          <w:p w14:paraId="58BE8916" w14:textId="77777777" w:rsidR="00DB2027" w:rsidRPr="00DB2027" w:rsidRDefault="00DB2027" w:rsidP="00DB2027">
            <w:pPr>
              <w:jc w:val="right"/>
              <w:rPr>
                <w:rFonts w:asciiTheme="minorHAnsi" w:eastAsiaTheme="minorHAnsi" w:hAnsiTheme="minorHAnsi" w:cstheme="minorBidi"/>
                <w:lang w:eastAsia="en-US" w:bidi="ar-SA"/>
              </w:rPr>
            </w:pPr>
            <w:r w:rsidRPr="00DB2027">
              <w:rPr>
                <w:rFonts w:asciiTheme="minorHAnsi" w:eastAsiaTheme="minorHAnsi" w:hAnsiTheme="minorHAnsi" w:cstheme="minorBidi"/>
                <w:bCs/>
                <w:sz w:val="18"/>
                <w:szCs w:val="18"/>
                <w:lang w:eastAsia="en-US" w:bidi="ar-SA"/>
              </w:rPr>
              <w:t>0.1</w:t>
            </w:r>
          </w:p>
        </w:tc>
      </w:tr>
      <w:tr w:rsidR="00DB2027" w14:paraId="1DF338B6" w14:textId="77777777" w:rsidTr="008B13C4">
        <w:trPr>
          <w:trHeight w:val="57"/>
        </w:trPr>
        <w:tc>
          <w:tcPr>
            <w:tcW w:w="7938" w:type="dxa"/>
            <w:tcBorders>
              <w:top w:val="single" w:sz="4" w:space="0" w:color="auto"/>
            </w:tcBorders>
          </w:tcPr>
          <w:p w14:paraId="6890F928" w14:textId="77777777" w:rsidR="00DB2027" w:rsidRPr="005771B0" w:rsidRDefault="00DB2027" w:rsidP="00DB2027">
            <w:pPr>
              <w:rPr>
                <w:rFonts w:asciiTheme="minorHAnsi" w:eastAsiaTheme="minorHAnsi" w:hAnsiTheme="minorHAnsi" w:cstheme="minorBidi"/>
                <w:lang w:eastAsia="en-US" w:bidi="ar-SA"/>
              </w:rPr>
            </w:pPr>
          </w:p>
        </w:tc>
        <w:tc>
          <w:tcPr>
            <w:tcW w:w="1134" w:type="dxa"/>
            <w:tcBorders>
              <w:top w:val="single" w:sz="4" w:space="0" w:color="auto"/>
            </w:tcBorders>
          </w:tcPr>
          <w:p w14:paraId="1CB36114" w14:textId="77777777" w:rsidR="00DB2027" w:rsidRPr="005771B0" w:rsidRDefault="00DB2027" w:rsidP="00DB2027">
            <w:pPr>
              <w:jc w:val="right"/>
              <w:rPr>
                <w:rFonts w:asciiTheme="minorHAnsi" w:eastAsiaTheme="minorHAnsi" w:hAnsiTheme="minorHAnsi" w:cstheme="minorBidi"/>
                <w:lang w:eastAsia="en-US" w:bidi="ar-SA"/>
              </w:rPr>
            </w:pPr>
          </w:p>
        </w:tc>
        <w:tc>
          <w:tcPr>
            <w:tcW w:w="1105" w:type="dxa"/>
            <w:tcBorders>
              <w:top w:val="single" w:sz="4" w:space="0" w:color="auto"/>
            </w:tcBorders>
          </w:tcPr>
          <w:p w14:paraId="28A0052C" w14:textId="77777777" w:rsidR="00DB2027" w:rsidRPr="00DB2027" w:rsidRDefault="00DB2027" w:rsidP="00DB2027">
            <w:pPr>
              <w:jc w:val="right"/>
              <w:rPr>
                <w:rFonts w:asciiTheme="minorHAnsi" w:eastAsiaTheme="minorHAnsi" w:hAnsiTheme="minorHAnsi" w:cstheme="minorBidi"/>
                <w:lang w:eastAsia="en-US" w:bidi="ar-SA"/>
              </w:rPr>
            </w:pPr>
          </w:p>
        </w:tc>
      </w:tr>
      <w:tr w:rsidR="00DB2027" w14:paraId="00DF2F26" w14:textId="77777777" w:rsidTr="005771B0">
        <w:trPr>
          <w:trHeight w:val="57"/>
        </w:trPr>
        <w:tc>
          <w:tcPr>
            <w:tcW w:w="7938" w:type="dxa"/>
          </w:tcPr>
          <w:p w14:paraId="16D35BC9" w14:textId="77777777" w:rsidR="00DB2027" w:rsidRPr="005771B0" w:rsidRDefault="00DB2027" w:rsidP="00DB2027">
            <w:pPr>
              <w:rPr>
                <w:rFonts w:asciiTheme="minorHAnsi" w:eastAsiaTheme="minorHAnsi" w:hAnsiTheme="minorHAnsi" w:cstheme="minorBidi"/>
                <w:lang w:eastAsia="en-US" w:bidi="ar-SA"/>
              </w:rPr>
            </w:pPr>
            <w:r w:rsidRPr="005771B0">
              <w:rPr>
                <w:rFonts w:asciiTheme="minorHAnsi" w:eastAsiaTheme="minorHAnsi" w:hAnsiTheme="minorHAnsi" w:cstheme="minorBidi"/>
                <w:b/>
                <w:bCs/>
                <w:sz w:val="18"/>
                <w:szCs w:val="18"/>
                <w:lang w:eastAsia="en-US" w:bidi="ar-SA"/>
              </w:rPr>
              <w:t>Finance cost</w:t>
            </w:r>
            <w:r>
              <w:rPr>
                <w:rFonts w:asciiTheme="minorHAnsi" w:eastAsiaTheme="minorHAnsi" w:hAnsiTheme="minorHAnsi" w:cstheme="minorBidi"/>
                <w:b/>
                <w:bCs/>
                <w:sz w:val="18"/>
                <w:szCs w:val="18"/>
                <w:lang w:eastAsia="en-US" w:bidi="ar-SA"/>
              </w:rPr>
              <w:t>s</w:t>
            </w:r>
          </w:p>
        </w:tc>
        <w:tc>
          <w:tcPr>
            <w:tcW w:w="1134" w:type="dxa"/>
          </w:tcPr>
          <w:p w14:paraId="4574F44D" w14:textId="77777777" w:rsidR="00DB2027" w:rsidRPr="005771B0" w:rsidRDefault="00DB2027" w:rsidP="00DB2027">
            <w:pPr>
              <w:jc w:val="right"/>
              <w:rPr>
                <w:rFonts w:asciiTheme="minorHAnsi" w:eastAsiaTheme="minorHAnsi" w:hAnsiTheme="minorHAnsi" w:cstheme="minorBidi"/>
                <w:lang w:eastAsia="en-US" w:bidi="ar-SA"/>
              </w:rPr>
            </w:pPr>
          </w:p>
        </w:tc>
        <w:tc>
          <w:tcPr>
            <w:tcW w:w="1105" w:type="dxa"/>
          </w:tcPr>
          <w:p w14:paraId="32CD1659" w14:textId="77777777" w:rsidR="00DB2027" w:rsidRPr="00DB2027" w:rsidRDefault="00DB2027" w:rsidP="00DB2027">
            <w:pPr>
              <w:jc w:val="right"/>
              <w:rPr>
                <w:rFonts w:asciiTheme="minorHAnsi" w:eastAsiaTheme="minorHAnsi" w:hAnsiTheme="minorHAnsi" w:cstheme="minorBidi"/>
                <w:lang w:eastAsia="en-US" w:bidi="ar-SA"/>
              </w:rPr>
            </w:pPr>
          </w:p>
        </w:tc>
      </w:tr>
      <w:tr w:rsidR="00DB2027" w14:paraId="7580E090" w14:textId="77777777" w:rsidTr="005771B0">
        <w:trPr>
          <w:trHeight w:val="57"/>
        </w:trPr>
        <w:tc>
          <w:tcPr>
            <w:tcW w:w="7938" w:type="dxa"/>
          </w:tcPr>
          <w:p w14:paraId="0D207DFA" w14:textId="77777777" w:rsidR="00DB2027" w:rsidRPr="005771B0" w:rsidRDefault="00DB2027" w:rsidP="00DB2027">
            <w:pPr>
              <w:rPr>
                <w:rFonts w:asciiTheme="minorHAnsi" w:eastAsiaTheme="minorHAnsi" w:hAnsiTheme="minorHAnsi" w:cstheme="minorBidi"/>
                <w:b/>
                <w:lang w:eastAsia="en-US" w:bidi="ar-SA"/>
              </w:rPr>
            </w:pPr>
            <w:r w:rsidRPr="005771B0">
              <w:rPr>
                <w:rFonts w:asciiTheme="minorHAnsi" w:eastAsiaTheme="minorHAnsi" w:hAnsiTheme="minorHAnsi" w:cstheme="minorBidi"/>
                <w:sz w:val="18"/>
                <w:szCs w:val="18"/>
                <w:lang w:eastAsia="en-US" w:bidi="ar-SA"/>
              </w:rPr>
              <w:t>Finance costs on cash and cash equivalents, borrowings and other financing costs</w:t>
            </w:r>
          </w:p>
        </w:tc>
        <w:tc>
          <w:tcPr>
            <w:tcW w:w="1134" w:type="dxa"/>
          </w:tcPr>
          <w:p w14:paraId="328DAA00" w14:textId="77777777" w:rsidR="00DB2027" w:rsidRPr="005771B0" w:rsidRDefault="00F34FEB" w:rsidP="00DB2027">
            <w:pPr>
              <w:jc w:val="right"/>
              <w:rPr>
                <w:rFonts w:asciiTheme="minorHAnsi" w:eastAsiaTheme="minorHAnsi" w:hAnsiTheme="minorHAnsi" w:cstheme="minorBidi"/>
                <w:lang w:eastAsia="en-US" w:bidi="ar-SA"/>
              </w:rPr>
            </w:pPr>
            <w:r>
              <w:rPr>
                <w:rFonts w:asciiTheme="minorHAnsi" w:eastAsiaTheme="minorHAnsi" w:hAnsiTheme="minorHAnsi" w:cstheme="minorBidi"/>
                <w:b/>
                <w:bCs/>
                <w:sz w:val="18"/>
                <w:szCs w:val="18"/>
                <w:lang w:eastAsia="en-US" w:bidi="ar-SA"/>
              </w:rPr>
              <w:t>(15.0)</w:t>
            </w:r>
          </w:p>
        </w:tc>
        <w:tc>
          <w:tcPr>
            <w:tcW w:w="1105" w:type="dxa"/>
          </w:tcPr>
          <w:p w14:paraId="7FBFA098" w14:textId="77777777" w:rsidR="00DB2027" w:rsidRPr="00DB2027" w:rsidRDefault="00DB2027" w:rsidP="00DB2027">
            <w:pPr>
              <w:jc w:val="right"/>
              <w:rPr>
                <w:rFonts w:asciiTheme="minorHAnsi" w:eastAsiaTheme="minorHAnsi" w:hAnsiTheme="minorHAnsi" w:cstheme="minorBidi"/>
                <w:lang w:eastAsia="en-US" w:bidi="ar-SA"/>
              </w:rPr>
            </w:pPr>
            <w:r w:rsidRPr="00DB2027">
              <w:rPr>
                <w:rFonts w:asciiTheme="minorHAnsi" w:eastAsiaTheme="minorHAnsi" w:hAnsiTheme="minorHAnsi" w:cstheme="minorBidi"/>
                <w:bCs/>
                <w:sz w:val="18"/>
                <w:szCs w:val="18"/>
                <w:lang w:eastAsia="en-US" w:bidi="ar-SA"/>
              </w:rPr>
              <w:t>(14.8)</w:t>
            </w:r>
          </w:p>
        </w:tc>
      </w:tr>
      <w:tr w:rsidR="00317DED" w14:paraId="00A02979" w14:textId="77777777" w:rsidTr="005771B0">
        <w:trPr>
          <w:trHeight w:val="57"/>
        </w:trPr>
        <w:tc>
          <w:tcPr>
            <w:tcW w:w="7938" w:type="dxa"/>
          </w:tcPr>
          <w:p w14:paraId="6C33E7C6" w14:textId="77777777" w:rsidR="00317DED" w:rsidRPr="005771B0" w:rsidRDefault="00317DED" w:rsidP="00317DED">
            <w:pPr>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Interest on lease obligations</w:t>
            </w:r>
          </w:p>
        </w:tc>
        <w:tc>
          <w:tcPr>
            <w:tcW w:w="1134" w:type="dxa"/>
          </w:tcPr>
          <w:p w14:paraId="1E4F93B0" w14:textId="77777777" w:rsidR="00317DED" w:rsidRDefault="00317DED" w:rsidP="00317DED">
            <w:pPr>
              <w:jc w:val="right"/>
              <w:rPr>
                <w:rFonts w:asciiTheme="minorHAnsi" w:eastAsiaTheme="minorHAnsi" w:hAnsiTheme="minorHAnsi" w:cstheme="minorBidi"/>
                <w:b/>
                <w:bCs/>
                <w:sz w:val="18"/>
                <w:szCs w:val="18"/>
                <w:lang w:eastAsia="en-US" w:bidi="ar-SA"/>
              </w:rPr>
            </w:pPr>
            <w:r>
              <w:rPr>
                <w:rFonts w:asciiTheme="minorHAnsi" w:eastAsiaTheme="minorHAnsi" w:hAnsiTheme="minorHAnsi" w:cstheme="minorBidi"/>
                <w:b/>
                <w:bCs/>
                <w:sz w:val="18"/>
                <w:szCs w:val="18"/>
                <w:lang w:eastAsia="en-US" w:bidi="ar-SA"/>
              </w:rPr>
              <w:t>(1.3)</w:t>
            </w:r>
          </w:p>
        </w:tc>
        <w:tc>
          <w:tcPr>
            <w:tcW w:w="1105" w:type="dxa"/>
          </w:tcPr>
          <w:p w14:paraId="6DE18B0B" w14:textId="77777777" w:rsidR="00317DED" w:rsidRPr="00DB2027" w:rsidRDefault="00317DED" w:rsidP="00317DED">
            <w:pPr>
              <w:jc w:val="right"/>
              <w:rPr>
                <w:rFonts w:asciiTheme="minorHAnsi" w:eastAsiaTheme="minorHAnsi" w:hAnsiTheme="minorHAnsi" w:cstheme="minorBidi"/>
                <w:bCs/>
                <w:sz w:val="18"/>
                <w:szCs w:val="18"/>
                <w:lang w:eastAsia="en-US" w:bidi="ar-SA"/>
              </w:rPr>
            </w:pPr>
            <w:r w:rsidRPr="00DB2027">
              <w:rPr>
                <w:rFonts w:asciiTheme="minorHAnsi" w:eastAsiaTheme="minorHAnsi" w:hAnsiTheme="minorHAnsi" w:cstheme="minorBidi"/>
                <w:bCs/>
                <w:sz w:val="18"/>
                <w:szCs w:val="18"/>
                <w:lang w:eastAsia="en-US" w:bidi="ar-SA"/>
              </w:rPr>
              <w:t>(1.2)</w:t>
            </w:r>
          </w:p>
        </w:tc>
      </w:tr>
      <w:tr w:rsidR="00317DED" w14:paraId="1573628E" w14:textId="77777777" w:rsidTr="005771B0">
        <w:trPr>
          <w:trHeight w:val="57"/>
        </w:trPr>
        <w:tc>
          <w:tcPr>
            <w:tcW w:w="7938" w:type="dxa"/>
          </w:tcPr>
          <w:p w14:paraId="1B63BFD5" w14:textId="77777777" w:rsidR="00317DED" w:rsidRPr="005771B0" w:rsidRDefault="00317DED" w:rsidP="00317DED">
            <w:pPr>
              <w:rPr>
                <w:rFonts w:asciiTheme="minorHAnsi" w:eastAsiaTheme="minorHAnsi" w:hAnsiTheme="minorHAnsi" w:cstheme="minorBidi"/>
                <w:b/>
                <w:lang w:eastAsia="en-US" w:bidi="ar-SA"/>
              </w:rPr>
            </w:pPr>
            <w:r w:rsidRPr="005771B0">
              <w:rPr>
                <w:rFonts w:asciiTheme="minorHAnsi" w:eastAsiaTheme="minorHAnsi" w:hAnsiTheme="minorHAnsi" w:cstheme="minorBidi"/>
                <w:sz w:val="18"/>
                <w:szCs w:val="18"/>
                <w:lang w:eastAsia="en-US" w:bidi="ar-SA"/>
              </w:rPr>
              <w:t>Net pension financing charge</w:t>
            </w:r>
          </w:p>
        </w:tc>
        <w:tc>
          <w:tcPr>
            <w:tcW w:w="1134" w:type="dxa"/>
          </w:tcPr>
          <w:p w14:paraId="5CC2FCAF" w14:textId="77777777" w:rsidR="00317DED" w:rsidRPr="005771B0" w:rsidRDefault="00317DED" w:rsidP="00317DED">
            <w:pPr>
              <w:jc w:val="right"/>
              <w:rPr>
                <w:rFonts w:asciiTheme="minorHAnsi" w:eastAsiaTheme="minorHAnsi" w:hAnsiTheme="minorHAnsi" w:cstheme="minorBidi"/>
                <w:lang w:eastAsia="en-US" w:bidi="ar-SA"/>
              </w:rPr>
            </w:pPr>
            <w:r>
              <w:rPr>
                <w:rFonts w:asciiTheme="minorHAnsi" w:eastAsiaTheme="minorHAnsi" w:hAnsiTheme="minorHAnsi" w:cstheme="minorBidi"/>
                <w:b/>
                <w:bCs/>
                <w:sz w:val="18"/>
                <w:szCs w:val="18"/>
                <w:lang w:eastAsia="en-US" w:bidi="ar-SA"/>
              </w:rPr>
              <w:t>(1.7)</w:t>
            </w:r>
          </w:p>
        </w:tc>
        <w:tc>
          <w:tcPr>
            <w:tcW w:w="1105" w:type="dxa"/>
          </w:tcPr>
          <w:p w14:paraId="3F64B4A8" w14:textId="77777777" w:rsidR="00317DED" w:rsidRPr="00DB2027" w:rsidRDefault="00317DED" w:rsidP="00317DED">
            <w:pPr>
              <w:jc w:val="right"/>
              <w:rPr>
                <w:rFonts w:asciiTheme="minorHAnsi" w:eastAsiaTheme="minorHAnsi" w:hAnsiTheme="minorHAnsi" w:cstheme="minorBidi"/>
                <w:lang w:eastAsia="en-US" w:bidi="ar-SA"/>
              </w:rPr>
            </w:pPr>
            <w:r w:rsidRPr="00DB2027">
              <w:rPr>
                <w:rFonts w:asciiTheme="minorHAnsi" w:eastAsiaTheme="minorHAnsi" w:hAnsiTheme="minorHAnsi" w:cstheme="minorBidi"/>
                <w:bCs/>
                <w:sz w:val="18"/>
                <w:szCs w:val="18"/>
                <w:lang w:eastAsia="en-US" w:bidi="ar-SA"/>
              </w:rPr>
              <w:t>(1.9)</w:t>
            </w:r>
          </w:p>
        </w:tc>
      </w:tr>
      <w:tr w:rsidR="00317DED" w14:paraId="6730E5CC" w14:textId="77777777" w:rsidTr="005771B0">
        <w:trPr>
          <w:trHeight w:val="57"/>
        </w:trPr>
        <w:tc>
          <w:tcPr>
            <w:tcW w:w="7938" w:type="dxa"/>
          </w:tcPr>
          <w:p w14:paraId="0698AD0B" w14:textId="77777777" w:rsidR="00317DED" w:rsidRPr="005771B0" w:rsidRDefault="00317DED" w:rsidP="00317DED">
            <w:pPr>
              <w:rPr>
                <w:rFonts w:asciiTheme="minorHAnsi" w:eastAsiaTheme="minorHAnsi" w:hAnsiTheme="minorHAnsi" w:cstheme="minorBidi"/>
                <w:b/>
                <w:lang w:eastAsia="en-US" w:bidi="ar-SA"/>
              </w:rPr>
            </w:pPr>
            <w:r w:rsidRPr="005771B0">
              <w:rPr>
                <w:rFonts w:asciiTheme="minorHAnsi" w:eastAsiaTheme="minorHAnsi" w:hAnsiTheme="minorHAnsi" w:cstheme="minorBidi"/>
                <w:sz w:val="18"/>
                <w:szCs w:val="18"/>
                <w:lang w:eastAsia="en-US" w:bidi="ar-SA"/>
              </w:rPr>
              <w:t>Unwind of discount on liabilities</w:t>
            </w:r>
          </w:p>
        </w:tc>
        <w:tc>
          <w:tcPr>
            <w:tcW w:w="1134" w:type="dxa"/>
          </w:tcPr>
          <w:p w14:paraId="2A332F1A" w14:textId="77777777" w:rsidR="00317DED" w:rsidRPr="005771B0" w:rsidRDefault="00317DED" w:rsidP="00317DED">
            <w:pPr>
              <w:jc w:val="right"/>
              <w:rPr>
                <w:rFonts w:asciiTheme="minorHAnsi" w:eastAsiaTheme="minorHAnsi" w:hAnsiTheme="minorHAnsi" w:cstheme="minorBidi"/>
                <w:lang w:eastAsia="en-US" w:bidi="ar-SA"/>
              </w:rPr>
            </w:pPr>
            <w:r>
              <w:rPr>
                <w:rFonts w:asciiTheme="minorHAnsi" w:eastAsiaTheme="minorHAnsi" w:hAnsiTheme="minorHAnsi" w:cstheme="minorBidi"/>
                <w:b/>
                <w:bCs/>
                <w:sz w:val="18"/>
                <w:szCs w:val="18"/>
                <w:lang w:eastAsia="en-US" w:bidi="ar-SA"/>
              </w:rPr>
              <w:t>(0.1)</w:t>
            </w:r>
          </w:p>
        </w:tc>
        <w:tc>
          <w:tcPr>
            <w:tcW w:w="1105" w:type="dxa"/>
          </w:tcPr>
          <w:p w14:paraId="08A2C374" w14:textId="77777777" w:rsidR="00317DED" w:rsidRPr="00DB2027" w:rsidRDefault="00317DED" w:rsidP="00317DED">
            <w:pPr>
              <w:jc w:val="right"/>
              <w:rPr>
                <w:rFonts w:asciiTheme="minorHAnsi" w:eastAsiaTheme="minorHAnsi" w:hAnsiTheme="minorHAnsi" w:cstheme="minorBidi"/>
                <w:lang w:eastAsia="en-US" w:bidi="ar-SA"/>
              </w:rPr>
            </w:pPr>
            <w:r w:rsidRPr="00DB2027">
              <w:rPr>
                <w:rFonts w:asciiTheme="minorHAnsi" w:eastAsiaTheme="minorHAnsi" w:hAnsiTheme="minorHAnsi" w:cstheme="minorBidi"/>
                <w:bCs/>
                <w:sz w:val="18"/>
                <w:szCs w:val="18"/>
                <w:lang w:eastAsia="en-US" w:bidi="ar-SA"/>
              </w:rPr>
              <w:t>(0.1)</w:t>
            </w:r>
          </w:p>
        </w:tc>
      </w:tr>
      <w:tr w:rsidR="00317DED" w14:paraId="660C7F1C" w14:textId="77777777" w:rsidTr="005771B0">
        <w:trPr>
          <w:trHeight w:val="57"/>
        </w:trPr>
        <w:tc>
          <w:tcPr>
            <w:tcW w:w="7938" w:type="dxa"/>
          </w:tcPr>
          <w:p w14:paraId="59ECA6D6" w14:textId="77777777" w:rsidR="00317DED" w:rsidRPr="005771B0" w:rsidRDefault="00317DED" w:rsidP="00317DED">
            <w:pPr>
              <w:rPr>
                <w:rFonts w:asciiTheme="minorHAnsi" w:eastAsiaTheme="minorHAnsi" w:hAnsiTheme="minorHAnsi" w:cstheme="minorBidi"/>
                <w:b/>
                <w:lang w:eastAsia="en-US" w:bidi="ar-SA"/>
              </w:rPr>
            </w:pPr>
            <w:r w:rsidRPr="005771B0">
              <w:rPr>
                <w:rFonts w:asciiTheme="minorHAnsi" w:eastAsiaTheme="minorHAnsi" w:hAnsiTheme="minorHAnsi" w:cstheme="minorBidi"/>
                <w:sz w:val="18"/>
                <w:szCs w:val="18"/>
                <w:lang w:eastAsia="en-US" w:bidi="ar-SA"/>
              </w:rPr>
              <w:t>Change in fair value of derivatives and related debt adjustment</w:t>
            </w:r>
          </w:p>
        </w:tc>
        <w:tc>
          <w:tcPr>
            <w:tcW w:w="1134" w:type="dxa"/>
          </w:tcPr>
          <w:p w14:paraId="66C956E0" w14:textId="77777777" w:rsidR="00317DED" w:rsidRPr="005771B0" w:rsidRDefault="00317DED" w:rsidP="00317DED">
            <w:pPr>
              <w:jc w:val="right"/>
              <w:rPr>
                <w:rFonts w:asciiTheme="minorHAnsi" w:eastAsiaTheme="minorHAnsi" w:hAnsiTheme="minorHAnsi" w:cstheme="minorBidi"/>
                <w:lang w:eastAsia="en-US" w:bidi="ar-SA"/>
              </w:rPr>
            </w:pPr>
            <w:r>
              <w:rPr>
                <w:rFonts w:asciiTheme="minorHAnsi" w:eastAsiaTheme="minorHAnsi" w:hAnsiTheme="minorHAnsi" w:cstheme="minorBidi"/>
                <w:b/>
                <w:bCs/>
                <w:sz w:val="18"/>
                <w:szCs w:val="18"/>
                <w:lang w:eastAsia="en-US" w:bidi="ar-SA"/>
              </w:rPr>
              <w:t>(1.0)</w:t>
            </w:r>
          </w:p>
        </w:tc>
        <w:tc>
          <w:tcPr>
            <w:tcW w:w="1105" w:type="dxa"/>
          </w:tcPr>
          <w:p w14:paraId="5516C83C" w14:textId="77777777" w:rsidR="00317DED" w:rsidRPr="00DB2027" w:rsidRDefault="00317DED" w:rsidP="00317DED">
            <w:pPr>
              <w:jc w:val="right"/>
              <w:rPr>
                <w:rFonts w:asciiTheme="minorHAnsi" w:eastAsiaTheme="minorHAnsi" w:hAnsiTheme="minorHAnsi" w:cstheme="minorBidi"/>
                <w:lang w:eastAsia="en-US" w:bidi="ar-SA"/>
              </w:rPr>
            </w:pPr>
            <w:r w:rsidRPr="00DB2027">
              <w:rPr>
                <w:rFonts w:asciiTheme="minorHAnsi" w:eastAsiaTheme="minorHAnsi" w:hAnsiTheme="minorHAnsi" w:cstheme="minorBidi"/>
                <w:bCs/>
                <w:sz w:val="18"/>
                <w:szCs w:val="18"/>
                <w:lang w:eastAsia="en-US" w:bidi="ar-SA"/>
              </w:rPr>
              <w:t>1.1</w:t>
            </w:r>
          </w:p>
        </w:tc>
      </w:tr>
      <w:tr w:rsidR="00317DED" w14:paraId="575D3430" w14:textId="77777777" w:rsidTr="005771B0">
        <w:trPr>
          <w:trHeight w:val="57"/>
        </w:trPr>
        <w:tc>
          <w:tcPr>
            <w:tcW w:w="7938" w:type="dxa"/>
            <w:tcBorders>
              <w:bottom w:val="single" w:sz="4" w:space="0" w:color="auto"/>
            </w:tcBorders>
          </w:tcPr>
          <w:p w14:paraId="087542CC" w14:textId="455EAEE8" w:rsidR="00317DED" w:rsidRPr="005771B0" w:rsidRDefault="00CE1D63" w:rsidP="00317DED">
            <w:pPr>
              <w:rPr>
                <w:rFonts w:asciiTheme="minorHAnsi" w:eastAsiaTheme="minorHAnsi" w:hAnsiTheme="minorHAnsi" w:cstheme="minorBidi"/>
                <w:b/>
                <w:lang w:eastAsia="en-US" w:bidi="ar-SA"/>
              </w:rPr>
            </w:pPr>
            <w:r>
              <w:rPr>
                <w:rFonts w:asciiTheme="minorHAnsi" w:eastAsiaTheme="minorHAnsi" w:hAnsiTheme="minorHAnsi" w:cstheme="minorBidi"/>
                <w:sz w:val="18"/>
                <w:szCs w:val="18"/>
                <w:lang w:eastAsia="en-US" w:bidi="ar-SA"/>
              </w:rPr>
              <w:t>Foreign ex</w:t>
            </w:r>
            <w:r w:rsidR="00BC4226">
              <w:rPr>
                <w:rFonts w:asciiTheme="minorHAnsi" w:eastAsiaTheme="minorHAnsi" w:hAnsiTheme="minorHAnsi" w:cstheme="minorBidi"/>
                <w:sz w:val="18"/>
                <w:szCs w:val="18"/>
                <w:lang w:eastAsia="en-US" w:bidi="ar-SA"/>
              </w:rPr>
              <w:t>c</w:t>
            </w:r>
            <w:r>
              <w:rPr>
                <w:rFonts w:asciiTheme="minorHAnsi" w:eastAsiaTheme="minorHAnsi" w:hAnsiTheme="minorHAnsi" w:cstheme="minorBidi"/>
                <w:sz w:val="18"/>
                <w:szCs w:val="18"/>
                <w:lang w:eastAsia="en-US" w:bidi="ar-SA"/>
              </w:rPr>
              <w:t>hange</w:t>
            </w:r>
            <w:r w:rsidRPr="005771B0">
              <w:rPr>
                <w:rFonts w:asciiTheme="minorHAnsi" w:eastAsiaTheme="minorHAnsi" w:hAnsiTheme="minorHAnsi" w:cstheme="minorBidi"/>
                <w:sz w:val="18"/>
                <w:szCs w:val="18"/>
                <w:lang w:eastAsia="en-US" w:bidi="ar-SA"/>
              </w:rPr>
              <w:t xml:space="preserve"> </w:t>
            </w:r>
            <w:r w:rsidR="00317DED" w:rsidRPr="005771B0">
              <w:rPr>
                <w:rFonts w:asciiTheme="minorHAnsi" w:eastAsiaTheme="minorHAnsi" w:hAnsiTheme="minorHAnsi" w:cstheme="minorBidi"/>
                <w:sz w:val="18"/>
                <w:szCs w:val="18"/>
                <w:lang w:eastAsia="en-US" w:bidi="ar-SA"/>
              </w:rPr>
              <w:t>on inter-company and external balances where hedge accounting is not applied</w:t>
            </w:r>
          </w:p>
        </w:tc>
        <w:tc>
          <w:tcPr>
            <w:tcW w:w="1134" w:type="dxa"/>
            <w:tcBorders>
              <w:bottom w:val="single" w:sz="4" w:space="0" w:color="auto"/>
            </w:tcBorders>
          </w:tcPr>
          <w:p w14:paraId="1590359F" w14:textId="77777777" w:rsidR="00317DED" w:rsidRPr="00172308" w:rsidRDefault="00317DED" w:rsidP="00317DED">
            <w:pPr>
              <w:jc w:val="right"/>
              <w:rPr>
                <w:rFonts w:asciiTheme="minorHAnsi" w:eastAsiaTheme="minorHAnsi" w:hAnsiTheme="minorHAnsi" w:cstheme="minorBidi"/>
                <w:sz w:val="18"/>
                <w:szCs w:val="18"/>
                <w:lang w:eastAsia="en-US" w:bidi="ar-SA"/>
              </w:rPr>
            </w:pPr>
            <w:r w:rsidRPr="00172308">
              <w:rPr>
                <w:b/>
                <w:sz w:val="18"/>
                <w:szCs w:val="18"/>
              </w:rPr>
              <w:t>–</w:t>
            </w:r>
          </w:p>
        </w:tc>
        <w:tc>
          <w:tcPr>
            <w:tcW w:w="1105" w:type="dxa"/>
            <w:tcBorders>
              <w:bottom w:val="single" w:sz="4" w:space="0" w:color="auto"/>
            </w:tcBorders>
          </w:tcPr>
          <w:p w14:paraId="5865E05D" w14:textId="77777777" w:rsidR="00317DED" w:rsidRPr="00DB2027" w:rsidRDefault="00317DED" w:rsidP="00317DED">
            <w:pPr>
              <w:jc w:val="right"/>
              <w:rPr>
                <w:rFonts w:asciiTheme="minorHAnsi" w:eastAsiaTheme="minorHAnsi" w:hAnsiTheme="minorHAnsi" w:cstheme="minorBidi"/>
                <w:lang w:eastAsia="en-US" w:bidi="ar-SA"/>
              </w:rPr>
            </w:pPr>
            <w:r w:rsidRPr="00DB2027">
              <w:rPr>
                <w:rFonts w:asciiTheme="minorHAnsi" w:eastAsiaTheme="minorHAnsi" w:hAnsiTheme="minorHAnsi" w:cstheme="minorBidi"/>
                <w:bCs/>
                <w:sz w:val="18"/>
                <w:szCs w:val="18"/>
                <w:lang w:eastAsia="en-US" w:bidi="ar-SA"/>
              </w:rPr>
              <w:t>(0.4)</w:t>
            </w:r>
          </w:p>
        </w:tc>
      </w:tr>
      <w:tr w:rsidR="00317DED" w14:paraId="19B9495B" w14:textId="77777777" w:rsidTr="00F34FEB">
        <w:trPr>
          <w:trHeight w:val="57"/>
        </w:trPr>
        <w:tc>
          <w:tcPr>
            <w:tcW w:w="7938" w:type="dxa"/>
            <w:tcBorders>
              <w:top w:val="single" w:sz="4" w:space="0" w:color="auto"/>
              <w:bottom w:val="single" w:sz="4" w:space="0" w:color="auto"/>
            </w:tcBorders>
          </w:tcPr>
          <w:p w14:paraId="2DA7FE90" w14:textId="77777777" w:rsidR="00317DED" w:rsidRPr="005771B0" w:rsidRDefault="00317DED" w:rsidP="00317DED">
            <w:pPr>
              <w:rPr>
                <w:rFonts w:asciiTheme="minorHAnsi" w:eastAsiaTheme="minorHAnsi" w:hAnsiTheme="minorHAnsi" w:cstheme="minorBidi"/>
                <w:lang w:eastAsia="en-US" w:bidi="ar-SA"/>
              </w:rPr>
            </w:pPr>
            <w:r w:rsidRPr="005771B0">
              <w:rPr>
                <w:rFonts w:asciiTheme="minorHAnsi" w:eastAsiaTheme="minorHAnsi" w:hAnsiTheme="minorHAnsi" w:cstheme="minorBidi"/>
                <w:b/>
                <w:bCs/>
                <w:sz w:val="18"/>
                <w:szCs w:val="18"/>
                <w:lang w:eastAsia="en-US" w:bidi="ar-SA"/>
              </w:rPr>
              <w:t xml:space="preserve">Total finance </w:t>
            </w:r>
            <w:r>
              <w:rPr>
                <w:rFonts w:asciiTheme="minorHAnsi" w:eastAsiaTheme="minorHAnsi" w:hAnsiTheme="minorHAnsi" w:cstheme="minorBidi"/>
                <w:b/>
                <w:bCs/>
                <w:sz w:val="18"/>
                <w:szCs w:val="18"/>
                <w:lang w:eastAsia="en-US" w:bidi="ar-SA"/>
              </w:rPr>
              <w:t>costs recognised in the Group Income Statement before exceptional items</w:t>
            </w:r>
          </w:p>
        </w:tc>
        <w:tc>
          <w:tcPr>
            <w:tcW w:w="1134" w:type="dxa"/>
            <w:tcBorders>
              <w:top w:val="single" w:sz="4" w:space="0" w:color="auto"/>
              <w:bottom w:val="single" w:sz="4" w:space="0" w:color="auto"/>
            </w:tcBorders>
          </w:tcPr>
          <w:p w14:paraId="20DDAE16" w14:textId="77777777" w:rsidR="00317DED" w:rsidRPr="005771B0" w:rsidRDefault="00317DED" w:rsidP="00317DED">
            <w:pPr>
              <w:jc w:val="right"/>
              <w:rPr>
                <w:rFonts w:asciiTheme="minorHAnsi" w:eastAsiaTheme="minorHAnsi" w:hAnsiTheme="minorHAnsi" w:cstheme="minorBidi"/>
                <w:lang w:eastAsia="en-US" w:bidi="ar-SA"/>
              </w:rPr>
            </w:pPr>
            <w:r>
              <w:rPr>
                <w:rFonts w:asciiTheme="minorHAnsi" w:eastAsiaTheme="minorHAnsi" w:hAnsiTheme="minorHAnsi" w:cstheme="minorBidi"/>
                <w:b/>
                <w:bCs/>
                <w:sz w:val="18"/>
                <w:szCs w:val="18"/>
                <w:lang w:eastAsia="en-US" w:bidi="ar-SA"/>
              </w:rPr>
              <w:t>(19.1)</w:t>
            </w:r>
          </w:p>
        </w:tc>
        <w:tc>
          <w:tcPr>
            <w:tcW w:w="1105" w:type="dxa"/>
            <w:tcBorders>
              <w:top w:val="single" w:sz="4" w:space="0" w:color="auto"/>
              <w:bottom w:val="single" w:sz="4" w:space="0" w:color="auto"/>
            </w:tcBorders>
          </w:tcPr>
          <w:p w14:paraId="736C3850" w14:textId="77777777" w:rsidR="00317DED" w:rsidRPr="00DB2027" w:rsidRDefault="00317DED" w:rsidP="00317DED">
            <w:pPr>
              <w:jc w:val="right"/>
              <w:rPr>
                <w:rFonts w:asciiTheme="minorHAnsi" w:eastAsiaTheme="minorHAnsi" w:hAnsiTheme="minorHAnsi" w:cstheme="minorBidi"/>
                <w:lang w:eastAsia="en-US" w:bidi="ar-SA"/>
              </w:rPr>
            </w:pPr>
            <w:r w:rsidRPr="00DB2027">
              <w:rPr>
                <w:rFonts w:asciiTheme="minorHAnsi" w:eastAsiaTheme="minorHAnsi" w:hAnsiTheme="minorHAnsi" w:cstheme="minorBidi"/>
                <w:bCs/>
                <w:sz w:val="18"/>
                <w:szCs w:val="18"/>
                <w:lang w:eastAsia="en-US" w:bidi="ar-SA"/>
              </w:rPr>
              <w:t>(17.3)</w:t>
            </w:r>
          </w:p>
        </w:tc>
      </w:tr>
      <w:tr w:rsidR="00317DED" w14:paraId="3E914349" w14:textId="77777777" w:rsidTr="00F34FEB">
        <w:trPr>
          <w:trHeight w:val="57"/>
        </w:trPr>
        <w:tc>
          <w:tcPr>
            <w:tcW w:w="7938" w:type="dxa"/>
          </w:tcPr>
          <w:p w14:paraId="743FD7EF" w14:textId="77777777" w:rsidR="00317DED" w:rsidRPr="005771B0" w:rsidRDefault="00317DED" w:rsidP="00317DED">
            <w:pPr>
              <w:rPr>
                <w:rFonts w:asciiTheme="minorHAnsi" w:eastAsiaTheme="minorHAnsi" w:hAnsiTheme="minorHAnsi" w:cstheme="minorBidi"/>
                <w:lang w:eastAsia="en-US" w:bidi="ar-SA"/>
              </w:rPr>
            </w:pPr>
            <w:r w:rsidRPr="005771B0">
              <w:rPr>
                <w:rFonts w:asciiTheme="minorHAnsi" w:eastAsiaTheme="minorHAnsi" w:hAnsiTheme="minorHAnsi" w:cstheme="minorBidi"/>
                <w:b/>
                <w:bCs/>
                <w:sz w:val="18"/>
                <w:szCs w:val="18"/>
                <w:lang w:eastAsia="en-US" w:bidi="ar-SA"/>
              </w:rPr>
              <w:t xml:space="preserve">Exceptional </w:t>
            </w:r>
            <w:r>
              <w:rPr>
                <w:rFonts w:asciiTheme="minorHAnsi" w:eastAsiaTheme="minorHAnsi" w:hAnsiTheme="minorHAnsi" w:cstheme="minorBidi"/>
                <w:b/>
                <w:bCs/>
                <w:sz w:val="18"/>
                <w:szCs w:val="18"/>
                <w:lang w:eastAsia="en-US" w:bidi="ar-SA"/>
              </w:rPr>
              <w:t>items</w:t>
            </w:r>
          </w:p>
        </w:tc>
        <w:tc>
          <w:tcPr>
            <w:tcW w:w="1134" w:type="dxa"/>
          </w:tcPr>
          <w:p w14:paraId="504BEEA6" w14:textId="77777777" w:rsidR="00317DED" w:rsidRPr="005771B0" w:rsidRDefault="00317DED" w:rsidP="00317DED">
            <w:pPr>
              <w:jc w:val="right"/>
              <w:rPr>
                <w:rFonts w:asciiTheme="minorHAnsi" w:eastAsiaTheme="minorHAnsi" w:hAnsiTheme="minorHAnsi" w:cstheme="minorBidi"/>
                <w:lang w:eastAsia="en-US" w:bidi="ar-SA"/>
              </w:rPr>
            </w:pPr>
          </w:p>
        </w:tc>
        <w:tc>
          <w:tcPr>
            <w:tcW w:w="1105" w:type="dxa"/>
          </w:tcPr>
          <w:p w14:paraId="0C0F35D7" w14:textId="77777777" w:rsidR="00317DED" w:rsidRPr="00DB2027" w:rsidRDefault="00317DED" w:rsidP="00317DED">
            <w:pPr>
              <w:jc w:val="right"/>
              <w:rPr>
                <w:rFonts w:asciiTheme="minorHAnsi" w:eastAsiaTheme="minorHAnsi" w:hAnsiTheme="minorHAnsi" w:cstheme="minorBidi"/>
                <w:lang w:eastAsia="en-US" w:bidi="ar-SA"/>
              </w:rPr>
            </w:pPr>
          </w:p>
        </w:tc>
      </w:tr>
      <w:tr w:rsidR="00317DED" w14:paraId="4B489026" w14:textId="77777777" w:rsidTr="005771B0">
        <w:trPr>
          <w:trHeight w:val="57"/>
        </w:trPr>
        <w:tc>
          <w:tcPr>
            <w:tcW w:w="7938" w:type="dxa"/>
            <w:tcBorders>
              <w:bottom w:val="single" w:sz="4" w:space="0" w:color="auto"/>
            </w:tcBorders>
          </w:tcPr>
          <w:p w14:paraId="65CF1A9D" w14:textId="77777777" w:rsidR="00317DED" w:rsidRPr="005771B0" w:rsidRDefault="00317DED" w:rsidP="00317DED">
            <w:pPr>
              <w:rPr>
                <w:rFonts w:asciiTheme="minorHAnsi" w:eastAsiaTheme="minorHAnsi" w:hAnsiTheme="minorHAnsi" w:cstheme="minorBidi"/>
                <w:b/>
                <w:lang w:eastAsia="en-US" w:bidi="ar-SA"/>
              </w:rPr>
            </w:pPr>
            <w:r w:rsidRPr="005771B0">
              <w:rPr>
                <w:rFonts w:asciiTheme="minorHAnsi" w:eastAsiaTheme="minorHAnsi" w:hAnsiTheme="minorHAnsi" w:cstheme="minorBidi"/>
                <w:sz w:val="18"/>
                <w:szCs w:val="18"/>
                <w:lang w:eastAsia="en-US" w:bidi="ar-SA"/>
              </w:rPr>
              <w:t xml:space="preserve">Debt restructuring </w:t>
            </w:r>
            <w:r>
              <w:rPr>
                <w:rFonts w:asciiTheme="minorHAnsi" w:eastAsiaTheme="minorHAnsi" w:hAnsiTheme="minorHAnsi" w:cstheme="minorBidi"/>
                <w:sz w:val="18"/>
                <w:szCs w:val="18"/>
                <w:lang w:eastAsia="en-US" w:bidi="ar-SA"/>
              </w:rPr>
              <w:t>and modification</w:t>
            </w:r>
          </w:p>
        </w:tc>
        <w:tc>
          <w:tcPr>
            <w:tcW w:w="1134" w:type="dxa"/>
            <w:tcBorders>
              <w:bottom w:val="single" w:sz="4" w:space="0" w:color="auto"/>
            </w:tcBorders>
          </w:tcPr>
          <w:p w14:paraId="553CE3BB" w14:textId="77777777" w:rsidR="00317DED" w:rsidRPr="005771B0" w:rsidRDefault="00317DED" w:rsidP="00317DED">
            <w:pPr>
              <w:jc w:val="right"/>
              <w:rPr>
                <w:rFonts w:asciiTheme="minorHAnsi" w:eastAsiaTheme="minorHAnsi" w:hAnsiTheme="minorHAnsi" w:cstheme="minorBidi"/>
                <w:lang w:eastAsia="en-US" w:bidi="ar-SA"/>
              </w:rPr>
            </w:pPr>
            <w:r w:rsidRPr="00172308">
              <w:rPr>
                <w:b/>
                <w:sz w:val="18"/>
                <w:szCs w:val="18"/>
              </w:rPr>
              <w:t>–</w:t>
            </w:r>
          </w:p>
        </w:tc>
        <w:tc>
          <w:tcPr>
            <w:tcW w:w="1105" w:type="dxa"/>
            <w:tcBorders>
              <w:bottom w:val="single" w:sz="4" w:space="0" w:color="auto"/>
            </w:tcBorders>
          </w:tcPr>
          <w:p w14:paraId="1BF96FF3" w14:textId="77777777" w:rsidR="00317DED" w:rsidRPr="00DB2027" w:rsidRDefault="00317DED" w:rsidP="00317DED">
            <w:pPr>
              <w:jc w:val="right"/>
              <w:rPr>
                <w:rFonts w:asciiTheme="minorHAnsi" w:eastAsiaTheme="minorHAnsi" w:hAnsiTheme="minorHAnsi" w:cstheme="minorBidi"/>
                <w:lang w:eastAsia="en-US" w:bidi="ar-SA"/>
              </w:rPr>
            </w:pPr>
            <w:r w:rsidRPr="00DB2027">
              <w:rPr>
                <w:rFonts w:asciiTheme="minorHAnsi" w:eastAsiaTheme="minorHAnsi" w:hAnsiTheme="minorHAnsi" w:cstheme="minorBidi"/>
                <w:bCs/>
                <w:sz w:val="18"/>
                <w:szCs w:val="18"/>
                <w:lang w:eastAsia="en-US" w:bidi="ar-SA"/>
              </w:rPr>
              <w:t>(7.1)</w:t>
            </w:r>
          </w:p>
        </w:tc>
      </w:tr>
      <w:tr w:rsidR="00317DED" w14:paraId="25B682E0" w14:textId="77777777" w:rsidTr="005771B0">
        <w:trPr>
          <w:trHeight w:val="57"/>
        </w:trPr>
        <w:tc>
          <w:tcPr>
            <w:tcW w:w="7938" w:type="dxa"/>
            <w:tcBorders>
              <w:top w:val="single" w:sz="4" w:space="0" w:color="auto"/>
              <w:bottom w:val="single" w:sz="4" w:space="0" w:color="auto"/>
            </w:tcBorders>
          </w:tcPr>
          <w:p w14:paraId="39CED799" w14:textId="77777777" w:rsidR="00317DED" w:rsidRPr="005771B0" w:rsidRDefault="00317DED" w:rsidP="00317DED">
            <w:pPr>
              <w:rPr>
                <w:rFonts w:asciiTheme="minorHAnsi" w:eastAsiaTheme="minorHAnsi" w:hAnsiTheme="minorHAnsi" w:cstheme="minorBidi"/>
                <w:lang w:eastAsia="en-US" w:bidi="ar-SA"/>
              </w:rPr>
            </w:pPr>
            <w:r w:rsidRPr="005771B0">
              <w:rPr>
                <w:rFonts w:asciiTheme="minorHAnsi" w:eastAsiaTheme="minorHAnsi" w:hAnsiTheme="minorHAnsi" w:cstheme="minorBidi"/>
                <w:b/>
                <w:bCs/>
                <w:sz w:val="18"/>
                <w:szCs w:val="18"/>
                <w:lang w:eastAsia="en-US" w:bidi="ar-SA"/>
              </w:rPr>
              <w:t xml:space="preserve">Total exceptional finance </w:t>
            </w:r>
            <w:r>
              <w:rPr>
                <w:rFonts w:asciiTheme="minorHAnsi" w:eastAsiaTheme="minorHAnsi" w:hAnsiTheme="minorHAnsi" w:cstheme="minorBidi"/>
                <w:b/>
                <w:bCs/>
                <w:sz w:val="18"/>
                <w:szCs w:val="18"/>
                <w:lang w:eastAsia="en-US" w:bidi="ar-SA"/>
              </w:rPr>
              <w:t xml:space="preserve">costs </w:t>
            </w:r>
            <w:r w:rsidRPr="005771B0">
              <w:rPr>
                <w:rFonts w:asciiTheme="minorHAnsi" w:eastAsiaTheme="minorHAnsi" w:hAnsiTheme="minorHAnsi" w:cstheme="minorBidi"/>
                <w:b/>
                <w:bCs/>
                <w:sz w:val="18"/>
                <w:szCs w:val="18"/>
                <w:lang w:eastAsia="en-US" w:bidi="ar-SA"/>
              </w:rPr>
              <w:t>recognised in the</w:t>
            </w:r>
            <w:r>
              <w:rPr>
                <w:rFonts w:asciiTheme="minorHAnsi" w:eastAsiaTheme="minorHAnsi" w:hAnsiTheme="minorHAnsi" w:cstheme="minorBidi"/>
                <w:b/>
                <w:bCs/>
                <w:sz w:val="18"/>
                <w:szCs w:val="18"/>
                <w:lang w:eastAsia="en-US" w:bidi="ar-SA"/>
              </w:rPr>
              <w:t xml:space="preserve"> Group</w:t>
            </w:r>
            <w:r w:rsidRPr="005771B0">
              <w:rPr>
                <w:rFonts w:asciiTheme="minorHAnsi" w:eastAsiaTheme="minorHAnsi" w:hAnsiTheme="minorHAnsi" w:cstheme="minorBidi"/>
                <w:b/>
                <w:bCs/>
                <w:sz w:val="18"/>
                <w:szCs w:val="18"/>
                <w:lang w:eastAsia="en-US" w:bidi="ar-SA"/>
              </w:rPr>
              <w:t xml:space="preserve"> Income Statement</w:t>
            </w:r>
          </w:p>
        </w:tc>
        <w:tc>
          <w:tcPr>
            <w:tcW w:w="1134" w:type="dxa"/>
            <w:tcBorders>
              <w:top w:val="single" w:sz="4" w:space="0" w:color="auto"/>
              <w:bottom w:val="single" w:sz="4" w:space="0" w:color="auto"/>
            </w:tcBorders>
          </w:tcPr>
          <w:p w14:paraId="4F31E199" w14:textId="77777777" w:rsidR="00317DED" w:rsidRPr="005771B0" w:rsidRDefault="00317DED" w:rsidP="00317DED">
            <w:pPr>
              <w:jc w:val="right"/>
              <w:rPr>
                <w:rFonts w:asciiTheme="minorHAnsi" w:eastAsiaTheme="minorHAnsi" w:hAnsiTheme="minorHAnsi" w:cstheme="minorBidi"/>
                <w:lang w:eastAsia="en-US" w:bidi="ar-SA"/>
              </w:rPr>
            </w:pPr>
            <w:r w:rsidRPr="00172308">
              <w:rPr>
                <w:b/>
                <w:sz w:val="18"/>
                <w:szCs w:val="18"/>
              </w:rPr>
              <w:t>–</w:t>
            </w:r>
          </w:p>
        </w:tc>
        <w:tc>
          <w:tcPr>
            <w:tcW w:w="1105" w:type="dxa"/>
            <w:tcBorders>
              <w:top w:val="single" w:sz="4" w:space="0" w:color="auto"/>
              <w:bottom w:val="single" w:sz="4" w:space="0" w:color="auto"/>
            </w:tcBorders>
          </w:tcPr>
          <w:p w14:paraId="47A87C54" w14:textId="77777777" w:rsidR="00317DED" w:rsidRPr="00DB2027" w:rsidRDefault="00317DED" w:rsidP="00317DED">
            <w:pPr>
              <w:jc w:val="right"/>
              <w:rPr>
                <w:rFonts w:asciiTheme="minorHAnsi" w:eastAsiaTheme="minorHAnsi" w:hAnsiTheme="minorHAnsi" w:cstheme="minorBidi"/>
                <w:lang w:eastAsia="en-US" w:bidi="ar-SA"/>
              </w:rPr>
            </w:pPr>
            <w:r w:rsidRPr="00DB2027">
              <w:rPr>
                <w:rFonts w:asciiTheme="minorHAnsi" w:eastAsiaTheme="minorHAnsi" w:hAnsiTheme="minorHAnsi" w:cstheme="minorBidi"/>
                <w:bCs/>
                <w:sz w:val="18"/>
                <w:szCs w:val="18"/>
                <w:lang w:eastAsia="en-US" w:bidi="ar-SA"/>
              </w:rPr>
              <w:t>(7.1)</w:t>
            </w:r>
          </w:p>
        </w:tc>
      </w:tr>
      <w:tr w:rsidR="00317DED" w14:paraId="57E1A318" w14:textId="77777777" w:rsidTr="005771B0">
        <w:trPr>
          <w:trHeight w:val="57"/>
        </w:trPr>
        <w:tc>
          <w:tcPr>
            <w:tcW w:w="7938" w:type="dxa"/>
            <w:tcBorders>
              <w:top w:val="single" w:sz="4" w:space="0" w:color="auto"/>
              <w:bottom w:val="single" w:sz="4" w:space="0" w:color="auto"/>
            </w:tcBorders>
          </w:tcPr>
          <w:p w14:paraId="65C7957A" w14:textId="77777777" w:rsidR="00317DED" w:rsidRPr="005771B0" w:rsidRDefault="00317DED" w:rsidP="00317DED">
            <w:pPr>
              <w:rPr>
                <w:rFonts w:asciiTheme="minorHAnsi" w:eastAsiaTheme="minorHAnsi" w:hAnsiTheme="minorHAnsi" w:cstheme="minorBidi"/>
                <w:b/>
                <w:bCs/>
                <w:sz w:val="18"/>
                <w:szCs w:val="18"/>
                <w:lang w:eastAsia="en-US" w:bidi="ar-SA"/>
              </w:rPr>
            </w:pPr>
            <w:r>
              <w:rPr>
                <w:rFonts w:asciiTheme="minorHAnsi" w:eastAsiaTheme="minorHAnsi" w:hAnsiTheme="minorHAnsi" w:cstheme="minorBidi"/>
                <w:b/>
                <w:bCs/>
                <w:sz w:val="18"/>
                <w:szCs w:val="18"/>
                <w:lang w:eastAsia="en-US" w:bidi="ar-SA"/>
              </w:rPr>
              <w:t>Total finance costs</w:t>
            </w:r>
          </w:p>
        </w:tc>
        <w:tc>
          <w:tcPr>
            <w:tcW w:w="1134" w:type="dxa"/>
            <w:tcBorders>
              <w:top w:val="single" w:sz="4" w:space="0" w:color="auto"/>
              <w:bottom w:val="single" w:sz="4" w:space="0" w:color="auto"/>
            </w:tcBorders>
          </w:tcPr>
          <w:p w14:paraId="34BE5BD0" w14:textId="77777777" w:rsidR="00317DED" w:rsidRDefault="00317DED" w:rsidP="00317DED">
            <w:pPr>
              <w:jc w:val="right"/>
              <w:rPr>
                <w:rFonts w:asciiTheme="minorHAnsi" w:eastAsiaTheme="minorHAnsi" w:hAnsiTheme="minorHAnsi" w:cstheme="minorBidi"/>
                <w:b/>
                <w:bCs/>
                <w:sz w:val="18"/>
                <w:szCs w:val="18"/>
                <w:lang w:eastAsia="en-US" w:bidi="ar-SA"/>
              </w:rPr>
            </w:pPr>
            <w:r>
              <w:rPr>
                <w:rFonts w:asciiTheme="minorHAnsi" w:eastAsiaTheme="minorHAnsi" w:hAnsiTheme="minorHAnsi" w:cstheme="minorBidi"/>
                <w:b/>
                <w:bCs/>
                <w:sz w:val="18"/>
                <w:szCs w:val="18"/>
                <w:lang w:eastAsia="en-US" w:bidi="ar-SA"/>
              </w:rPr>
              <w:t>(19.1)</w:t>
            </w:r>
          </w:p>
        </w:tc>
        <w:tc>
          <w:tcPr>
            <w:tcW w:w="1105" w:type="dxa"/>
            <w:tcBorders>
              <w:top w:val="single" w:sz="4" w:space="0" w:color="auto"/>
              <w:bottom w:val="single" w:sz="4" w:space="0" w:color="auto"/>
            </w:tcBorders>
          </w:tcPr>
          <w:p w14:paraId="05D50306" w14:textId="77777777" w:rsidR="00317DED" w:rsidRPr="00DB2027" w:rsidRDefault="00317DED" w:rsidP="00317DED">
            <w:pPr>
              <w:jc w:val="right"/>
              <w:rPr>
                <w:rFonts w:asciiTheme="minorHAnsi" w:eastAsiaTheme="minorHAnsi" w:hAnsiTheme="minorHAnsi" w:cstheme="minorBidi"/>
                <w:bCs/>
                <w:sz w:val="18"/>
                <w:szCs w:val="18"/>
                <w:lang w:eastAsia="en-US" w:bidi="ar-SA"/>
              </w:rPr>
            </w:pPr>
            <w:r>
              <w:rPr>
                <w:rFonts w:asciiTheme="minorHAnsi" w:eastAsiaTheme="minorHAnsi" w:hAnsiTheme="minorHAnsi" w:cstheme="minorBidi"/>
                <w:bCs/>
                <w:sz w:val="18"/>
                <w:szCs w:val="18"/>
                <w:lang w:eastAsia="en-US" w:bidi="ar-SA"/>
              </w:rPr>
              <w:t>(24.4)</w:t>
            </w:r>
          </w:p>
        </w:tc>
      </w:tr>
    </w:tbl>
    <w:p w14:paraId="063AA61D" w14:textId="77777777" w:rsidR="00DB7431" w:rsidRDefault="00DB7431" w:rsidP="008E109E">
      <w:pPr>
        <w:pStyle w:val="Heading2"/>
        <w:numPr>
          <w:ilvl w:val="0"/>
          <w:numId w:val="0"/>
        </w:numPr>
        <w:ind w:left="720"/>
      </w:pPr>
    </w:p>
    <w:p w14:paraId="13036A93" w14:textId="77777777" w:rsidR="005B36AA" w:rsidRDefault="005B36AA" w:rsidP="00F87268">
      <w:pPr>
        <w:pStyle w:val="Heading2"/>
      </w:pPr>
      <w:r>
        <w:t>Earnings per Ordinary Share</w:t>
      </w:r>
    </w:p>
    <w:p w14:paraId="051C3A2F" w14:textId="77777777" w:rsidR="00FF1E44" w:rsidRDefault="00FF1E44" w:rsidP="00FF1E44">
      <w:pPr>
        <w:pStyle w:val="Heading2"/>
        <w:numPr>
          <w:ilvl w:val="0"/>
          <w:numId w:val="0"/>
        </w:numPr>
      </w:pPr>
    </w:p>
    <w:p w14:paraId="26F0DA11" w14:textId="77777777" w:rsidR="00FF1E44" w:rsidRPr="008E109E" w:rsidRDefault="00FF1E44" w:rsidP="008E109E">
      <w:pPr>
        <w:pStyle w:val="Heading2"/>
        <w:numPr>
          <w:ilvl w:val="0"/>
          <w:numId w:val="0"/>
        </w:numPr>
        <w:rPr>
          <w:b w:val="0"/>
          <w:bCs w:val="0"/>
        </w:rPr>
      </w:pPr>
      <w:r w:rsidRPr="008E109E">
        <w:rPr>
          <w:b w:val="0"/>
          <w:bCs w:val="0"/>
        </w:rPr>
        <w:t xml:space="preserve">The Group raised £90m by way of an equity placing which completed on 26 November 2020. The Group issued 80,357,142 Ordinary Shares in the Company on the London Stock Exchange, at a placing price of 112 pence per Ordinary Share. The effect of this on the weighted average number of shares for FY21 was an increase of 66,707,436 shares. </w:t>
      </w:r>
    </w:p>
    <w:p w14:paraId="00EA9279" w14:textId="77777777" w:rsidR="005B36AA" w:rsidRPr="00403EFB" w:rsidRDefault="005B36AA" w:rsidP="005B36AA">
      <w:pPr>
        <w:widowControl/>
        <w:adjustRightInd w:val="0"/>
        <w:jc w:val="both"/>
        <w:rPr>
          <w:rFonts w:asciiTheme="minorHAnsi" w:hAnsiTheme="minorHAnsi" w:cstheme="minorHAnsi"/>
          <w:sz w:val="18"/>
          <w:szCs w:val="18"/>
        </w:rPr>
      </w:pPr>
      <w:r w:rsidRPr="00403EFB">
        <w:rPr>
          <w:rFonts w:asciiTheme="minorHAnsi" w:hAnsiTheme="minorHAnsi" w:cstheme="minorHAnsi"/>
          <w:sz w:val="18"/>
          <w:szCs w:val="18"/>
        </w:rPr>
        <w:t xml:space="preserve">     </w:t>
      </w:r>
    </w:p>
    <w:tbl>
      <w:tblPr>
        <w:tblW w:w="10348" w:type="dxa"/>
        <w:tblLayout w:type="fixed"/>
        <w:tblLook w:val="01E0" w:firstRow="1" w:lastRow="1" w:firstColumn="1" w:lastColumn="1" w:noHBand="0" w:noVBand="0"/>
      </w:tblPr>
      <w:tblGrid>
        <w:gridCol w:w="7938"/>
        <w:gridCol w:w="1134"/>
        <w:gridCol w:w="1276"/>
      </w:tblGrid>
      <w:tr w:rsidR="005B36AA" w14:paraId="5EE2401B" w14:textId="77777777" w:rsidTr="00962910">
        <w:trPr>
          <w:trHeight w:val="227"/>
        </w:trPr>
        <w:tc>
          <w:tcPr>
            <w:tcW w:w="10348" w:type="dxa"/>
            <w:gridSpan w:val="3"/>
          </w:tcPr>
          <w:p w14:paraId="4201ECB2" w14:textId="77777777" w:rsidR="005B36AA" w:rsidRDefault="005B36AA" w:rsidP="005B36AA">
            <w:pPr>
              <w:pStyle w:val="Subtitle"/>
              <w:jc w:val="left"/>
            </w:pPr>
            <w:r w:rsidRPr="00D35B2B">
              <w:rPr>
                <w:bCs/>
              </w:rPr>
              <w:t>N</w:t>
            </w:r>
            <w:r>
              <w:rPr>
                <w:bCs/>
              </w:rPr>
              <w:t>umerator for Earnings per Share C</w:t>
            </w:r>
            <w:r w:rsidRPr="00D35B2B">
              <w:rPr>
                <w:bCs/>
              </w:rPr>
              <w:t>alculations</w:t>
            </w:r>
          </w:p>
        </w:tc>
      </w:tr>
      <w:tr w:rsidR="00D753B9" w14:paraId="6CEF843A" w14:textId="77777777" w:rsidTr="008B13C4">
        <w:trPr>
          <w:trHeight w:val="227"/>
        </w:trPr>
        <w:tc>
          <w:tcPr>
            <w:tcW w:w="7938" w:type="dxa"/>
            <w:tcBorders>
              <w:bottom w:val="single" w:sz="4" w:space="0" w:color="auto"/>
            </w:tcBorders>
          </w:tcPr>
          <w:p w14:paraId="28C23024" w14:textId="77777777" w:rsidR="00D753B9" w:rsidRPr="00D35B2B" w:rsidRDefault="00D753B9" w:rsidP="005B36AA">
            <w:pPr>
              <w:pStyle w:val="Subtitle"/>
              <w:tabs>
                <w:tab w:val="left" w:pos="5245"/>
              </w:tabs>
              <w:rPr>
                <w:b w:val="0"/>
              </w:rPr>
            </w:pPr>
            <w:bookmarkStart w:id="11" w:name="_Hlk23761205"/>
          </w:p>
        </w:tc>
        <w:tc>
          <w:tcPr>
            <w:tcW w:w="1134" w:type="dxa"/>
            <w:tcBorders>
              <w:bottom w:val="single" w:sz="4" w:space="0" w:color="auto"/>
            </w:tcBorders>
            <w:vAlign w:val="bottom"/>
          </w:tcPr>
          <w:p w14:paraId="3CBD90DF" w14:textId="77777777" w:rsidR="00D753B9" w:rsidRPr="00D753B9" w:rsidRDefault="00D753B9" w:rsidP="005B36AA">
            <w:pPr>
              <w:pStyle w:val="Subtitle"/>
              <w:tabs>
                <w:tab w:val="left" w:pos="5245"/>
              </w:tabs>
            </w:pPr>
            <w:r w:rsidRPr="00D753B9">
              <w:t>2021</w:t>
            </w:r>
            <w:r w:rsidRPr="00D753B9">
              <w:br/>
              <w:t>£m</w:t>
            </w:r>
          </w:p>
        </w:tc>
        <w:tc>
          <w:tcPr>
            <w:tcW w:w="1276" w:type="dxa"/>
            <w:tcBorders>
              <w:bottom w:val="single" w:sz="4" w:space="0" w:color="auto"/>
            </w:tcBorders>
            <w:vAlign w:val="bottom"/>
          </w:tcPr>
          <w:p w14:paraId="4F6B92E7" w14:textId="77777777" w:rsidR="00D753B9" w:rsidRPr="00D35B2B" w:rsidRDefault="00D753B9" w:rsidP="005B36AA">
            <w:pPr>
              <w:pStyle w:val="Subtitle"/>
              <w:tabs>
                <w:tab w:val="left" w:pos="5245"/>
              </w:tabs>
              <w:rPr>
                <w:b w:val="0"/>
              </w:rPr>
            </w:pPr>
            <w:r>
              <w:rPr>
                <w:b w:val="0"/>
              </w:rPr>
              <w:t>2020</w:t>
            </w:r>
            <w:r w:rsidRPr="00D35B2B">
              <w:rPr>
                <w:b w:val="0"/>
              </w:rPr>
              <w:br/>
              <w:t>£m</w:t>
            </w:r>
          </w:p>
        </w:tc>
      </w:tr>
      <w:tr w:rsidR="00325F49" w14:paraId="66B88939" w14:textId="77777777" w:rsidTr="008B13C4">
        <w:trPr>
          <w:trHeight w:val="227"/>
        </w:trPr>
        <w:tc>
          <w:tcPr>
            <w:tcW w:w="7938" w:type="dxa"/>
            <w:tcBorders>
              <w:top w:val="single" w:sz="4" w:space="0" w:color="auto"/>
              <w:bottom w:val="single" w:sz="4" w:space="0" w:color="auto"/>
            </w:tcBorders>
          </w:tcPr>
          <w:p w14:paraId="017F4EAA" w14:textId="7D507E36" w:rsidR="00325F49" w:rsidRPr="003B72E1" w:rsidRDefault="00325F49" w:rsidP="00325F49">
            <w:pPr>
              <w:pStyle w:val="Subtitle"/>
              <w:tabs>
                <w:tab w:val="left" w:pos="5245"/>
              </w:tabs>
              <w:jc w:val="left"/>
              <w:rPr>
                <w:rFonts w:cstheme="minorHAnsi"/>
                <w:b w:val="0"/>
                <w:bCs/>
              </w:rPr>
            </w:pPr>
            <w:r>
              <w:rPr>
                <w:bCs/>
              </w:rPr>
              <w:t>Profit/(loss) attributable to equity holders of the Company</w:t>
            </w:r>
          </w:p>
        </w:tc>
        <w:tc>
          <w:tcPr>
            <w:tcW w:w="1134" w:type="dxa"/>
            <w:tcBorders>
              <w:top w:val="single" w:sz="4" w:space="0" w:color="auto"/>
              <w:bottom w:val="single" w:sz="4" w:space="0" w:color="auto"/>
            </w:tcBorders>
          </w:tcPr>
          <w:p w14:paraId="0BF98AF4" w14:textId="00BD904C" w:rsidR="00325F49" w:rsidRPr="008B13C4" w:rsidRDefault="00325F49" w:rsidP="00325F49">
            <w:pPr>
              <w:pStyle w:val="Subtitle"/>
              <w:tabs>
                <w:tab w:val="left" w:pos="5245"/>
              </w:tabs>
              <w:rPr>
                <w:rFonts w:cstheme="minorHAnsi"/>
                <w:bCs/>
              </w:rPr>
            </w:pPr>
            <w:r w:rsidRPr="008B13C4">
              <w:t>25.4</w:t>
            </w:r>
          </w:p>
        </w:tc>
        <w:tc>
          <w:tcPr>
            <w:tcW w:w="1276" w:type="dxa"/>
            <w:tcBorders>
              <w:top w:val="single" w:sz="4" w:space="0" w:color="auto"/>
              <w:bottom w:val="single" w:sz="4" w:space="0" w:color="auto"/>
            </w:tcBorders>
          </w:tcPr>
          <w:p w14:paraId="7F547925" w14:textId="035561D8" w:rsidR="00325F49" w:rsidRPr="008B13C4" w:rsidRDefault="00325F49" w:rsidP="00325F49">
            <w:pPr>
              <w:pStyle w:val="Subtitle"/>
              <w:tabs>
                <w:tab w:val="left" w:pos="5245"/>
              </w:tabs>
              <w:rPr>
                <w:rFonts w:cstheme="minorHAnsi"/>
                <w:b w:val="0"/>
                <w:bCs/>
              </w:rPr>
            </w:pPr>
            <w:r w:rsidRPr="008B13C4">
              <w:rPr>
                <w:b w:val="0"/>
                <w:bCs/>
              </w:rPr>
              <w:t>(11.5)</w:t>
            </w:r>
          </w:p>
        </w:tc>
      </w:tr>
      <w:bookmarkEnd w:id="11"/>
    </w:tbl>
    <w:p w14:paraId="50752CD8" w14:textId="77777777" w:rsidR="005B36AA" w:rsidRDefault="005B36AA" w:rsidP="005B36AA">
      <w:pPr>
        <w:pStyle w:val="BodyText"/>
        <w:tabs>
          <w:tab w:val="left" w:pos="5245"/>
        </w:tabs>
      </w:pPr>
    </w:p>
    <w:p w14:paraId="3A462BD7" w14:textId="7D9751B7" w:rsidR="005B36AA" w:rsidRPr="00DB7431" w:rsidRDefault="00D51EFF" w:rsidP="008E109E">
      <w:pPr>
        <w:pStyle w:val="Subtitle"/>
        <w:jc w:val="left"/>
        <w:rPr>
          <w:bCs/>
        </w:rPr>
      </w:pPr>
      <w:r>
        <w:rPr>
          <w:bCs/>
        </w:rPr>
        <w:t xml:space="preserve">  </w:t>
      </w:r>
      <w:r w:rsidR="005B36AA" w:rsidRPr="00DB7431">
        <w:rPr>
          <w:bCs/>
        </w:rPr>
        <w:t>Denominator for Basic Earnings Per Share Calculations</w:t>
      </w:r>
    </w:p>
    <w:tbl>
      <w:tblPr>
        <w:tblW w:w="10348" w:type="dxa"/>
        <w:tblLayout w:type="fixed"/>
        <w:tblLook w:val="01E0" w:firstRow="1" w:lastRow="1" w:firstColumn="1" w:lastColumn="1" w:noHBand="0" w:noVBand="0"/>
      </w:tblPr>
      <w:tblGrid>
        <w:gridCol w:w="7937"/>
        <w:gridCol w:w="1277"/>
        <w:gridCol w:w="1134"/>
      </w:tblGrid>
      <w:tr w:rsidR="005B36AA" w14:paraId="4FC9E2F4" w14:textId="77777777" w:rsidTr="005B36AA">
        <w:trPr>
          <w:trHeight w:val="227"/>
        </w:trPr>
        <w:tc>
          <w:tcPr>
            <w:tcW w:w="7937" w:type="dxa"/>
            <w:tcBorders>
              <w:bottom w:val="single" w:sz="4" w:space="0" w:color="000000"/>
            </w:tcBorders>
          </w:tcPr>
          <w:p w14:paraId="0652DDB8" w14:textId="77777777" w:rsidR="005B36AA" w:rsidRDefault="005B36AA" w:rsidP="005B36AA">
            <w:pPr>
              <w:pStyle w:val="TableRowHead"/>
            </w:pPr>
          </w:p>
        </w:tc>
        <w:tc>
          <w:tcPr>
            <w:tcW w:w="1277" w:type="dxa"/>
            <w:tcBorders>
              <w:bottom w:val="single" w:sz="4" w:space="0" w:color="000000"/>
            </w:tcBorders>
            <w:vAlign w:val="bottom"/>
          </w:tcPr>
          <w:p w14:paraId="34108282" w14:textId="77777777" w:rsidR="005B36AA" w:rsidRDefault="005B36AA" w:rsidP="00D753B9">
            <w:pPr>
              <w:pStyle w:val="Subtitle"/>
            </w:pPr>
            <w:r>
              <w:t>202</w:t>
            </w:r>
            <w:r w:rsidR="00D753B9">
              <w:t>1</w:t>
            </w:r>
            <w:r>
              <w:br/>
            </w:r>
            <w:r w:rsidRPr="00012AAD">
              <w:t>‘000</w:t>
            </w:r>
          </w:p>
        </w:tc>
        <w:tc>
          <w:tcPr>
            <w:tcW w:w="1134" w:type="dxa"/>
            <w:tcBorders>
              <w:bottom w:val="single" w:sz="4" w:space="0" w:color="000000"/>
            </w:tcBorders>
            <w:vAlign w:val="bottom"/>
          </w:tcPr>
          <w:p w14:paraId="786B8493" w14:textId="77777777" w:rsidR="005B36AA" w:rsidRPr="00ED3F65" w:rsidRDefault="005B36AA" w:rsidP="00D753B9">
            <w:pPr>
              <w:pStyle w:val="Subtitle"/>
              <w:rPr>
                <w:b w:val="0"/>
              </w:rPr>
            </w:pPr>
            <w:r>
              <w:rPr>
                <w:b w:val="0"/>
              </w:rPr>
              <w:t>20</w:t>
            </w:r>
            <w:r w:rsidR="00D753B9">
              <w:rPr>
                <w:b w:val="0"/>
              </w:rPr>
              <w:t>20</w:t>
            </w:r>
            <w:r w:rsidRPr="00ED3F65">
              <w:rPr>
                <w:b w:val="0"/>
              </w:rPr>
              <w:br/>
              <w:t>‘000</w:t>
            </w:r>
          </w:p>
        </w:tc>
      </w:tr>
      <w:tr w:rsidR="00D753B9" w:rsidRPr="003B72E1" w14:paraId="5339ED3F" w14:textId="77777777" w:rsidTr="005B36AA">
        <w:trPr>
          <w:trHeight w:val="227"/>
        </w:trPr>
        <w:tc>
          <w:tcPr>
            <w:tcW w:w="7937" w:type="dxa"/>
          </w:tcPr>
          <w:p w14:paraId="0F1485AF" w14:textId="77777777" w:rsidR="00D753B9" w:rsidRDefault="00D753B9" w:rsidP="00D753B9">
            <w:pPr>
              <w:pStyle w:val="TableRowHead"/>
            </w:pPr>
            <w:r>
              <w:t>Shares in issue at the beginning of the year</w:t>
            </w:r>
          </w:p>
        </w:tc>
        <w:tc>
          <w:tcPr>
            <w:tcW w:w="1277" w:type="dxa"/>
            <w:vAlign w:val="bottom"/>
          </w:tcPr>
          <w:p w14:paraId="2159324A" w14:textId="77777777" w:rsidR="00D753B9" w:rsidRDefault="00F34FEB" w:rsidP="00D753B9">
            <w:pPr>
              <w:pStyle w:val="Subtitle"/>
            </w:pPr>
            <w:r>
              <w:t>446,157</w:t>
            </w:r>
          </w:p>
        </w:tc>
        <w:tc>
          <w:tcPr>
            <w:tcW w:w="1134" w:type="dxa"/>
            <w:vAlign w:val="bottom"/>
          </w:tcPr>
          <w:p w14:paraId="75EAFEB2" w14:textId="77777777" w:rsidR="00D753B9" w:rsidRPr="00D753B9" w:rsidRDefault="00D753B9" w:rsidP="00D753B9">
            <w:pPr>
              <w:pStyle w:val="Subtitle"/>
              <w:rPr>
                <w:b w:val="0"/>
              </w:rPr>
            </w:pPr>
            <w:r w:rsidRPr="00D753B9">
              <w:rPr>
                <w:b w:val="0"/>
              </w:rPr>
              <w:t>446,007</w:t>
            </w:r>
          </w:p>
        </w:tc>
      </w:tr>
      <w:tr w:rsidR="00D753B9" w:rsidRPr="003B72E1" w14:paraId="0D018F03" w14:textId="77777777" w:rsidTr="005B36AA">
        <w:trPr>
          <w:trHeight w:val="227"/>
        </w:trPr>
        <w:tc>
          <w:tcPr>
            <w:tcW w:w="7937" w:type="dxa"/>
          </w:tcPr>
          <w:p w14:paraId="704F6A04" w14:textId="77777777" w:rsidR="00D753B9" w:rsidRDefault="00D753B9" w:rsidP="00D753B9">
            <w:pPr>
              <w:pStyle w:val="TableRowHead"/>
            </w:pPr>
            <w:r>
              <w:t>Effect of shares held by Employee Benefit Trust</w:t>
            </w:r>
          </w:p>
        </w:tc>
        <w:tc>
          <w:tcPr>
            <w:tcW w:w="1277" w:type="dxa"/>
            <w:vAlign w:val="bottom"/>
          </w:tcPr>
          <w:p w14:paraId="31A31D61" w14:textId="77777777" w:rsidR="00D753B9" w:rsidRDefault="00F34FEB" w:rsidP="00D753B9">
            <w:pPr>
              <w:pStyle w:val="Subtitle"/>
            </w:pPr>
            <w:r>
              <w:t>(1,116)</w:t>
            </w:r>
          </w:p>
        </w:tc>
        <w:tc>
          <w:tcPr>
            <w:tcW w:w="1134" w:type="dxa"/>
            <w:vAlign w:val="bottom"/>
          </w:tcPr>
          <w:p w14:paraId="59AAEAE1" w14:textId="77777777" w:rsidR="00D753B9" w:rsidRPr="00D753B9" w:rsidRDefault="00D753B9" w:rsidP="00D753B9">
            <w:pPr>
              <w:pStyle w:val="Subtitle"/>
              <w:rPr>
                <w:b w:val="0"/>
              </w:rPr>
            </w:pPr>
            <w:r w:rsidRPr="00D753B9">
              <w:rPr>
                <w:b w:val="0"/>
              </w:rPr>
              <w:t>(2,235)</w:t>
            </w:r>
          </w:p>
        </w:tc>
      </w:tr>
      <w:tr w:rsidR="00D753B9" w:rsidRPr="003B72E1" w14:paraId="692B0517" w14:textId="77777777" w:rsidTr="005B36AA">
        <w:trPr>
          <w:trHeight w:val="227"/>
        </w:trPr>
        <w:tc>
          <w:tcPr>
            <w:tcW w:w="7937" w:type="dxa"/>
          </w:tcPr>
          <w:p w14:paraId="0FD80E54" w14:textId="77777777" w:rsidR="00D753B9" w:rsidRDefault="00D753B9" w:rsidP="00D60835">
            <w:pPr>
              <w:pStyle w:val="TableRowHead"/>
            </w:pPr>
            <w:r>
              <w:t xml:space="preserve">Effect of shares issued </w:t>
            </w:r>
            <w:r w:rsidR="00D60835">
              <w:t>in equity placing</w:t>
            </w:r>
            <w:r w:rsidR="000E1B98">
              <w:t xml:space="preserve"> in the year</w:t>
            </w:r>
          </w:p>
        </w:tc>
        <w:tc>
          <w:tcPr>
            <w:tcW w:w="1277" w:type="dxa"/>
            <w:vAlign w:val="bottom"/>
          </w:tcPr>
          <w:p w14:paraId="6EAA74BE" w14:textId="77777777" w:rsidR="00D753B9" w:rsidRDefault="00F34FEB" w:rsidP="00D753B9">
            <w:pPr>
              <w:pStyle w:val="Subtitle"/>
            </w:pPr>
            <w:r>
              <w:t>66,707</w:t>
            </w:r>
          </w:p>
        </w:tc>
        <w:tc>
          <w:tcPr>
            <w:tcW w:w="1134" w:type="dxa"/>
            <w:vAlign w:val="bottom"/>
          </w:tcPr>
          <w:p w14:paraId="1C4DA120" w14:textId="18BCD421" w:rsidR="00D753B9" w:rsidRPr="00D753B9" w:rsidRDefault="002D3D01" w:rsidP="00D753B9">
            <w:pPr>
              <w:pStyle w:val="Subtitle"/>
              <w:rPr>
                <w:b w:val="0"/>
              </w:rPr>
            </w:pPr>
            <w:r w:rsidRPr="000E1B98">
              <w:t>–</w:t>
            </w:r>
          </w:p>
        </w:tc>
      </w:tr>
      <w:tr w:rsidR="00D753B9" w:rsidRPr="003B72E1" w14:paraId="637F8A34" w14:textId="77777777" w:rsidTr="005B36AA">
        <w:trPr>
          <w:trHeight w:val="227"/>
        </w:trPr>
        <w:tc>
          <w:tcPr>
            <w:tcW w:w="7937" w:type="dxa"/>
            <w:tcBorders>
              <w:bottom w:val="single" w:sz="4" w:space="0" w:color="auto"/>
            </w:tcBorders>
          </w:tcPr>
          <w:p w14:paraId="326F3399" w14:textId="77777777" w:rsidR="00D753B9" w:rsidRDefault="00D753B9" w:rsidP="000E1B98">
            <w:pPr>
              <w:pStyle w:val="TableRowHead"/>
            </w:pPr>
            <w:r>
              <w:t>Effect of</w:t>
            </w:r>
            <w:r w:rsidR="000E1B98">
              <w:t xml:space="preserve"> shares issued during the year</w:t>
            </w:r>
          </w:p>
        </w:tc>
        <w:tc>
          <w:tcPr>
            <w:tcW w:w="1277" w:type="dxa"/>
            <w:tcBorders>
              <w:bottom w:val="single" w:sz="4" w:space="0" w:color="auto"/>
            </w:tcBorders>
            <w:vAlign w:val="bottom"/>
          </w:tcPr>
          <w:p w14:paraId="6F1B522A" w14:textId="77777777" w:rsidR="00D753B9" w:rsidRPr="000A154E" w:rsidRDefault="00F34FEB" w:rsidP="00D753B9">
            <w:pPr>
              <w:pStyle w:val="Subtitle"/>
            </w:pPr>
            <w:r>
              <w:t>16</w:t>
            </w:r>
          </w:p>
        </w:tc>
        <w:tc>
          <w:tcPr>
            <w:tcW w:w="1134" w:type="dxa"/>
            <w:tcBorders>
              <w:bottom w:val="single" w:sz="4" w:space="0" w:color="auto"/>
            </w:tcBorders>
            <w:vAlign w:val="bottom"/>
          </w:tcPr>
          <w:p w14:paraId="062C1072" w14:textId="1F22C27E" w:rsidR="00D753B9" w:rsidRPr="00D753B9" w:rsidRDefault="002D3D01" w:rsidP="00D753B9">
            <w:pPr>
              <w:pStyle w:val="Subtitle"/>
              <w:rPr>
                <w:b w:val="0"/>
              </w:rPr>
            </w:pPr>
            <w:r>
              <w:rPr>
                <w:b w:val="0"/>
              </w:rPr>
              <w:t>112</w:t>
            </w:r>
          </w:p>
        </w:tc>
      </w:tr>
      <w:tr w:rsidR="00D753B9" w:rsidRPr="003B72E1" w14:paraId="0D5EF885" w14:textId="77777777" w:rsidTr="005B36AA">
        <w:trPr>
          <w:trHeight w:val="227"/>
        </w:trPr>
        <w:tc>
          <w:tcPr>
            <w:tcW w:w="7937" w:type="dxa"/>
            <w:tcBorders>
              <w:top w:val="single" w:sz="4" w:space="0" w:color="auto"/>
              <w:bottom w:val="single" w:sz="4" w:space="0" w:color="auto"/>
            </w:tcBorders>
          </w:tcPr>
          <w:p w14:paraId="2EE5CDD9" w14:textId="77777777" w:rsidR="00D753B9" w:rsidRPr="005060E6" w:rsidRDefault="00D753B9" w:rsidP="00D753B9">
            <w:pPr>
              <w:pStyle w:val="TableRowHead"/>
              <w:rPr>
                <w:b/>
              </w:rPr>
            </w:pPr>
            <w:r w:rsidRPr="005060E6">
              <w:rPr>
                <w:b/>
              </w:rPr>
              <w:t xml:space="preserve">Weighted average number of Ordinary Shares in issue during the </w:t>
            </w:r>
            <w:r>
              <w:rPr>
                <w:b/>
              </w:rPr>
              <w:t>year</w:t>
            </w:r>
          </w:p>
        </w:tc>
        <w:tc>
          <w:tcPr>
            <w:tcW w:w="1277" w:type="dxa"/>
            <w:tcBorders>
              <w:top w:val="single" w:sz="4" w:space="0" w:color="auto"/>
              <w:bottom w:val="single" w:sz="4" w:space="0" w:color="auto"/>
            </w:tcBorders>
            <w:vAlign w:val="bottom"/>
          </w:tcPr>
          <w:p w14:paraId="4116D952" w14:textId="77777777" w:rsidR="00D753B9" w:rsidRPr="00E111F7" w:rsidRDefault="00F34FEB" w:rsidP="00D753B9">
            <w:pPr>
              <w:pStyle w:val="Subtitle"/>
            </w:pPr>
            <w:r>
              <w:t>511,764</w:t>
            </w:r>
          </w:p>
        </w:tc>
        <w:tc>
          <w:tcPr>
            <w:tcW w:w="1134" w:type="dxa"/>
            <w:tcBorders>
              <w:top w:val="single" w:sz="4" w:space="0" w:color="auto"/>
              <w:bottom w:val="single" w:sz="4" w:space="0" w:color="auto"/>
            </w:tcBorders>
            <w:vAlign w:val="bottom"/>
          </w:tcPr>
          <w:p w14:paraId="249BF050" w14:textId="77777777" w:rsidR="00D753B9" w:rsidRPr="00D753B9" w:rsidRDefault="00D753B9" w:rsidP="00D753B9">
            <w:pPr>
              <w:pStyle w:val="Subtitle"/>
              <w:rPr>
                <w:b w:val="0"/>
              </w:rPr>
            </w:pPr>
            <w:r w:rsidRPr="00D753B9">
              <w:rPr>
                <w:b w:val="0"/>
              </w:rPr>
              <w:t>443,884</w:t>
            </w:r>
          </w:p>
        </w:tc>
      </w:tr>
      <w:tr w:rsidR="00D753B9" w:rsidRPr="003B72E1" w14:paraId="466E5B71" w14:textId="77777777" w:rsidTr="008B13C4">
        <w:trPr>
          <w:trHeight w:val="227"/>
        </w:trPr>
        <w:tc>
          <w:tcPr>
            <w:tcW w:w="7937" w:type="dxa"/>
            <w:tcBorders>
              <w:top w:val="single" w:sz="4" w:space="0" w:color="auto"/>
              <w:bottom w:val="single" w:sz="4" w:space="0" w:color="auto"/>
            </w:tcBorders>
          </w:tcPr>
          <w:p w14:paraId="0F70B66C" w14:textId="77777777" w:rsidR="00D753B9" w:rsidRPr="005060E6" w:rsidRDefault="00D753B9" w:rsidP="00D753B9">
            <w:pPr>
              <w:pStyle w:val="TableRowHead"/>
              <w:rPr>
                <w:b/>
              </w:rPr>
            </w:pPr>
            <w:r>
              <w:t>Dilutive effect of share awards</w:t>
            </w:r>
          </w:p>
        </w:tc>
        <w:tc>
          <w:tcPr>
            <w:tcW w:w="1277" w:type="dxa"/>
            <w:tcBorders>
              <w:top w:val="single" w:sz="4" w:space="0" w:color="auto"/>
              <w:bottom w:val="single" w:sz="4" w:space="0" w:color="auto"/>
            </w:tcBorders>
            <w:vAlign w:val="bottom"/>
          </w:tcPr>
          <w:p w14:paraId="7213183C" w14:textId="77777777" w:rsidR="00D753B9" w:rsidRPr="00E111F7" w:rsidRDefault="00E923D0" w:rsidP="00D753B9">
            <w:pPr>
              <w:pStyle w:val="Subtitle"/>
            </w:pPr>
            <w:r>
              <w:t>660</w:t>
            </w:r>
          </w:p>
        </w:tc>
        <w:tc>
          <w:tcPr>
            <w:tcW w:w="1134" w:type="dxa"/>
            <w:tcBorders>
              <w:top w:val="single" w:sz="4" w:space="0" w:color="auto"/>
              <w:bottom w:val="single" w:sz="4" w:space="0" w:color="auto"/>
            </w:tcBorders>
            <w:vAlign w:val="bottom"/>
          </w:tcPr>
          <w:p w14:paraId="6195AF2E" w14:textId="77777777" w:rsidR="00D753B9" w:rsidRPr="00D753B9" w:rsidRDefault="00D753B9" w:rsidP="00D753B9">
            <w:pPr>
              <w:pStyle w:val="Subtitle"/>
              <w:rPr>
                <w:b w:val="0"/>
              </w:rPr>
            </w:pPr>
            <w:r w:rsidRPr="00D753B9">
              <w:rPr>
                <w:b w:val="0"/>
              </w:rPr>
              <w:t>1,180</w:t>
            </w:r>
          </w:p>
        </w:tc>
      </w:tr>
      <w:tr w:rsidR="00D753B9" w:rsidRPr="003B72E1" w14:paraId="1E43AA85" w14:textId="77777777" w:rsidTr="008B13C4">
        <w:trPr>
          <w:trHeight w:val="227"/>
        </w:trPr>
        <w:tc>
          <w:tcPr>
            <w:tcW w:w="7937" w:type="dxa"/>
            <w:tcBorders>
              <w:top w:val="single" w:sz="4" w:space="0" w:color="auto"/>
              <w:bottom w:val="single" w:sz="4" w:space="0" w:color="auto"/>
            </w:tcBorders>
          </w:tcPr>
          <w:p w14:paraId="12B6CED4" w14:textId="77777777" w:rsidR="00D753B9" w:rsidRPr="005060E6" w:rsidRDefault="00D753B9" w:rsidP="00D753B9">
            <w:pPr>
              <w:pStyle w:val="TableRowHead"/>
              <w:rPr>
                <w:b/>
              </w:rPr>
            </w:pPr>
            <w:r w:rsidRPr="00D750D5">
              <w:rPr>
                <w:b/>
              </w:rPr>
              <w:t>Weighted average number of Ordinary Shares for diluted earnings per share</w:t>
            </w:r>
          </w:p>
        </w:tc>
        <w:tc>
          <w:tcPr>
            <w:tcW w:w="1277" w:type="dxa"/>
            <w:tcBorders>
              <w:top w:val="single" w:sz="4" w:space="0" w:color="auto"/>
              <w:bottom w:val="single" w:sz="4" w:space="0" w:color="auto"/>
            </w:tcBorders>
            <w:vAlign w:val="bottom"/>
          </w:tcPr>
          <w:p w14:paraId="0A294727" w14:textId="77777777" w:rsidR="00D753B9" w:rsidRPr="00E111F7" w:rsidRDefault="00E923D0" w:rsidP="00D753B9">
            <w:pPr>
              <w:pStyle w:val="Subtitle"/>
            </w:pPr>
            <w:r>
              <w:t>512,424</w:t>
            </w:r>
          </w:p>
        </w:tc>
        <w:tc>
          <w:tcPr>
            <w:tcW w:w="1134" w:type="dxa"/>
            <w:tcBorders>
              <w:top w:val="single" w:sz="4" w:space="0" w:color="auto"/>
              <w:bottom w:val="single" w:sz="4" w:space="0" w:color="auto"/>
            </w:tcBorders>
            <w:vAlign w:val="bottom"/>
          </w:tcPr>
          <w:p w14:paraId="6C9B561E" w14:textId="77777777" w:rsidR="00D753B9" w:rsidRPr="00D753B9" w:rsidRDefault="00D753B9" w:rsidP="00D753B9">
            <w:pPr>
              <w:pStyle w:val="Subtitle"/>
              <w:rPr>
                <w:b w:val="0"/>
              </w:rPr>
            </w:pPr>
            <w:r w:rsidRPr="00D753B9">
              <w:rPr>
                <w:b w:val="0"/>
              </w:rPr>
              <w:t>445,064</w:t>
            </w:r>
          </w:p>
        </w:tc>
      </w:tr>
    </w:tbl>
    <w:p w14:paraId="37BEF1C4" w14:textId="395EA605" w:rsidR="005B36AA" w:rsidRDefault="005B36AA" w:rsidP="005B36AA">
      <w:pPr>
        <w:pStyle w:val="BodyText"/>
      </w:pPr>
    </w:p>
    <w:tbl>
      <w:tblPr>
        <w:tblW w:w="10348" w:type="dxa"/>
        <w:tblLayout w:type="fixed"/>
        <w:tblLook w:val="01E0" w:firstRow="1" w:lastRow="1" w:firstColumn="1" w:lastColumn="1" w:noHBand="0" w:noVBand="0"/>
      </w:tblPr>
      <w:tblGrid>
        <w:gridCol w:w="3855"/>
        <w:gridCol w:w="3233"/>
        <w:gridCol w:w="850"/>
        <w:gridCol w:w="1276"/>
        <w:gridCol w:w="1134"/>
      </w:tblGrid>
      <w:tr w:rsidR="004B163D" w14:paraId="4685EA44" w14:textId="77777777" w:rsidTr="003E2891">
        <w:trPr>
          <w:trHeight w:val="227"/>
        </w:trPr>
        <w:tc>
          <w:tcPr>
            <w:tcW w:w="10348" w:type="dxa"/>
            <w:gridSpan w:val="5"/>
          </w:tcPr>
          <w:p w14:paraId="334DB0D7" w14:textId="77777777" w:rsidR="004B163D" w:rsidRDefault="004B163D" w:rsidP="005B36AA">
            <w:pPr>
              <w:pStyle w:val="Subtitle"/>
              <w:rPr>
                <w:b w:val="0"/>
              </w:rPr>
            </w:pPr>
          </w:p>
        </w:tc>
      </w:tr>
      <w:tr w:rsidR="004B163D" w14:paraId="771AE39B" w14:textId="77777777" w:rsidTr="003E2891">
        <w:trPr>
          <w:trHeight w:val="227"/>
        </w:trPr>
        <w:tc>
          <w:tcPr>
            <w:tcW w:w="7938" w:type="dxa"/>
            <w:gridSpan w:val="3"/>
            <w:tcBorders>
              <w:bottom w:val="single" w:sz="4" w:space="0" w:color="000000"/>
            </w:tcBorders>
          </w:tcPr>
          <w:p w14:paraId="1A791B75" w14:textId="77777777" w:rsidR="004B163D" w:rsidRPr="0099221E" w:rsidRDefault="004B163D" w:rsidP="005B36AA">
            <w:pPr>
              <w:pStyle w:val="Subtitle"/>
              <w:rPr>
                <w:b w:val="0"/>
              </w:rPr>
            </w:pPr>
            <w:bookmarkStart w:id="12" w:name="_Hlk23763773"/>
          </w:p>
        </w:tc>
        <w:tc>
          <w:tcPr>
            <w:tcW w:w="1276" w:type="dxa"/>
            <w:tcBorders>
              <w:bottom w:val="single" w:sz="4" w:space="0" w:color="000000"/>
            </w:tcBorders>
            <w:vAlign w:val="bottom"/>
          </w:tcPr>
          <w:p w14:paraId="331F086F" w14:textId="77777777" w:rsidR="004B163D" w:rsidRPr="00172308" w:rsidRDefault="004B163D" w:rsidP="005B36AA">
            <w:pPr>
              <w:pStyle w:val="Subtitle"/>
            </w:pPr>
            <w:r w:rsidRPr="00172308">
              <w:t>2021</w:t>
            </w:r>
          </w:p>
          <w:p w14:paraId="48935541" w14:textId="77777777" w:rsidR="004B163D" w:rsidRPr="00172308" w:rsidRDefault="004B163D" w:rsidP="005B36AA">
            <w:pPr>
              <w:pStyle w:val="Subtitle"/>
            </w:pPr>
            <w:r w:rsidRPr="00172308">
              <w:t>pence</w:t>
            </w:r>
          </w:p>
        </w:tc>
        <w:tc>
          <w:tcPr>
            <w:tcW w:w="1134" w:type="dxa"/>
            <w:tcBorders>
              <w:bottom w:val="single" w:sz="4" w:space="0" w:color="000000"/>
            </w:tcBorders>
            <w:vAlign w:val="bottom"/>
          </w:tcPr>
          <w:p w14:paraId="573A6AAA" w14:textId="77777777" w:rsidR="004B163D" w:rsidRPr="0099221E" w:rsidRDefault="004B163D" w:rsidP="005B36AA">
            <w:pPr>
              <w:pStyle w:val="Subtitle"/>
              <w:rPr>
                <w:b w:val="0"/>
              </w:rPr>
            </w:pPr>
            <w:r>
              <w:rPr>
                <w:b w:val="0"/>
              </w:rPr>
              <w:t>2020</w:t>
            </w:r>
            <w:r w:rsidRPr="0099221E">
              <w:rPr>
                <w:b w:val="0"/>
              </w:rPr>
              <w:br/>
              <w:t>pence</w:t>
            </w:r>
          </w:p>
        </w:tc>
      </w:tr>
      <w:tr w:rsidR="004B163D" w14:paraId="4690FB80" w14:textId="77777777" w:rsidTr="003E2891">
        <w:trPr>
          <w:trHeight w:val="227"/>
        </w:trPr>
        <w:tc>
          <w:tcPr>
            <w:tcW w:w="7938" w:type="dxa"/>
            <w:gridSpan w:val="3"/>
            <w:tcBorders>
              <w:top w:val="single" w:sz="4" w:space="0" w:color="000000"/>
              <w:bottom w:val="single" w:sz="8" w:space="0" w:color="auto"/>
            </w:tcBorders>
          </w:tcPr>
          <w:p w14:paraId="5D9AA812" w14:textId="77777777" w:rsidR="004B163D" w:rsidRPr="004B163D" w:rsidRDefault="004B163D" w:rsidP="004B163D">
            <w:pPr>
              <w:pStyle w:val="Subtitle"/>
              <w:jc w:val="left"/>
            </w:pPr>
            <w:r w:rsidRPr="004B163D">
              <w:t>Basic earnings per Ordinary Share</w:t>
            </w:r>
          </w:p>
        </w:tc>
        <w:tc>
          <w:tcPr>
            <w:tcW w:w="1276" w:type="dxa"/>
            <w:tcBorders>
              <w:top w:val="single" w:sz="4" w:space="0" w:color="000000"/>
              <w:bottom w:val="single" w:sz="8" w:space="0" w:color="auto"/>
            </w:tcBorders>
            <w:vAlign w:val="bottom"/>
          </w:tcPr>
          <w:p w14:paraId="112E90A3" w14:textId="77777777" w:rsidR="004B163D" w:rsidRPr="00172308" w:rsidRDefault="00F34FEB" w:rsidP="005B36AA">
            <w:pPr>
              <w:pStyle w:val="Subtitle"/>
            </w:pPr>
            <w:r w:rsidRPr="00172308">
              <w:t>5.0</w:t>
            </w:r>
          </w:p>
        </w:tc>
        <w:tc>
          <w:tcPr>
            <w:tcW w:w="1134" w:type="dxa"/>
            <w:tcBorders>
              <w:top w:val="single" w:sz="4" w:space="0" w:color="000000"/>
              <w:bottom w:val="single" w:sz="8" w:space="0" w:color="auto"/>
            </w:tcBorders>
            <w:vAlign w:val="bottom"/>
          </w:tcPr>
          <w:p w14:paraId="426F6560" w14:textId="77777777" w:rsidR="004B163D" w:rsidRPr="003B72E1" w:rsidRDefault="004B163D" w:rsidP="005B36AA">
            <w:pPr>
              <w:pStyle w:val="Subtitle"/>
              <w:rPr>
                <w:b w:val="0"/>
              </w:rPr>
            </w:pPr>
            <w:r>
              <w:rPr>
                <w:b w:val="0"/>
              </w:rPr>
              <w:t>(2.6)</w:t>
            </w:r>
          </w:p>
        </w:tc>
      </w:tr>
      <w:bookmarkEnd w:id="12"/>
      <w:tr w:rsidR="005B36AA" w:rsidRPr="00D57337" w14:paraId="0A45CE00" w14:textId="77777777" w:rsidTr="005B36AA">
        <w:trPr>
          <w:trHeight w:val="80"/>
        </w:trPr>
        <w:tc>
          <w:tcPr>
            <w:tcW w:w="3855" w:type="dxa"/>
          </w:tcPr>
          <w:p w14:paraId="430D3F5B" w14:textId="77777777" w:rsidR="005B36AA" w:rsidRPr="00D57337" w:rsidRDefault="005B36AA" w:rsidP="005B36AA">
            <w:pPr>
              <w:widowControl/>
              <w:autoSpaceDE/>
              <w:autoSpaceDN/>
              <w:rPr>
                <w:rFonts w:asciiTheme="minorHAnsi" w:eastAsiaTheme="minorHAnsi" w:hAnsiTheme="minorHAnsi" w:cstheme="minorBidi"/>
                <w:sz w:val="18"/>
                <w:szCs w:val="18"/>
                <w:lang w:eastAsia="en-US" w:bidi="ar-SA"/>
              </w:rPr>
            </w:pPr>
          </w:p>
        </w:tc>
        <w:tc>
          <w:tcPr>
            <w:tcW w:w="3233" w:type="dxa"/>
            <w:vAlign w:val="bottom"/>
          </w:tcPr>
          <w:p w14:paraId="6E446870" w14:textId="77777777" w:rsidR="005B36AA" w:rsidRPr="00D57337" w:rsidRDefault="005B36AA" w:rsidP="005B36AA">
            <w:pPr>
              <w:widowControl/>
              <w:autoSpaceDE/>
              <w:autoSpaceDN/>
              <w:jc w:val="right"/>
              <w:rPr>
                <w:rFonts w:asciiTheme="minorHAnsi" w:eastAsiaTheme="minorHAnsi" w:hAnsiTheme="minorHAnsi" w:cstheme="minorBidi"/>
                <w:b/>
                <w:sz w:val="18"/>
                <w:szCs w:val="18"/>
                <w:lang w:eastAsia="en-US" w:bidi="ar-SA"/>
              </w:rPr>
            </w:pPr>
          </w:p>
        </w:tc>
        <w:tc>
          <w:tcPr>
            <w:tcW w:w="3260" w:type="dxa"/>
            <w:gridSpan w:val="3"/>
            <w:vAlign w:val="bottom"/>
          </w:tcPr>
          <w:p w14:paraId="51677D7C" w14:textId="77777777" w:rsidR="005B36AA" w:rsidRPr="00D57337" w:rsidRDefault="005B36AA" w:rsidP="005B36AA">
            <w:pPr>
              <w:widowControl/>
              <w:autoSpaceDE/>
              <w:autoSpaceDN/>
              <w:jc w:val="right"/>
              <w:rPr>
                <w:rFonts w:asciiTheme="minorHAnsi" w:eastAsiaTheme="minorHAnsi" w:hAnsiTheme="minorHAnsi" w:cstheme="minorBidi"/>
                <w:sz w:val="18"/>
                <w:szCs w:val="18"/>
                <w:lang w:eastAsia="en-US" w:bidi="ar-SA"/>
              </w:rPr>
            </w:pPr>
          </w:p>
        </w:tc>
      </w:tr>
      <w:tr w:rsidR="004B163D" w:rsidRPr="00D57337" w14:paraId="6826D750" w14:textId="77777777" w:rsidTr="003E2891">
        <w:trPr>
          <w:trHeight w:val="227"/>
        </w:trPr>
        <w:tc>
          <w:tcPr>
            <w:tcW w:w="7938" w:type="dxa"/>
            <w:gridSpan w:val="3"/>
            <w:tcBorders>
              <w:top w:val="single" w:sz="4" w:space="0" w:color="000000"/>
              <w:bottom w:val="single" w:sz="8" w:space="0" w:color="auto"/>
            </w:tcBorders>
          </w:tcPr>
          <w:p w14:paraId="32FC8235" w14:textId="77777777" w:rsidR="004B163D" w:rsidRPr="003B72E1" w:rsidRDefault="004B163D" w:rsidP="004B163D">
            <w:pPr>
              <w:widowControl/>
              <w:autoSpaceDE/>
              <w:autoSpaceDN/>
              <w:rPr>
                <w:rFonts w:asciiTheme="minorHAnsi" w:eastAsiaTheme="minorHAnsi" w:hAnsiTheme="minorHAnsi" w:cstheme="minorBidi"/>
                <w:sz w:val="18"/>
                <w:szCs w:val="18"/>
                <w:lang w:eastAsia="en-US" w:bidi="ar-SA"/>
              </w:rPr>
            </w:pPr>
            <w:r>
              <w:rPr>
                <w:rFonts w:asciiTheme="minorHAnsi" w:eastAsiaTheme="minorHAnsi" w:hAnsiTheme="minorHAnsi" w:cstheme="minorBidi"/>
                <w:b/>
                <w:sz w:val="18"/>
                <w:szCs w:val="18"/>
                <w:lang w:eastAsia="en-US" w:bidi="ar-SA"/>
              </w:rPr>
              <w:t>Diluted</w:t>
            </w:r>
            <w:r w:rsidRPr="00D57337">
              <w:rPr>
                <w:rFonts w:asciiTheme="minorHAnsi" w:eastAsiaTheme="minorHAnsi" w:hAnsiTheme="minorHAnsi" w:cstheme="minorBidi"/>
                <w:b/>
                <w:sz w:val="18"/>
                <w:szCs w:val="18"/>
                <w:lang w:eastAsia="en-US" w:bidi="ar-SA"/>
              </w:rPr>
              <w:t xml:space="preserve"> earnings per Ordinary Share</w:t>
            </w:r>
          </w:p>
        </w:tc>
        <w:tc>
          <w:tcPr>
            <w:tcW w:w="1276" w:type="dxa"/>
            <w:tcBorders>
              <w:top w:val="single" w:sz="4" w:space="0" w:color="000000"/>
              <w:bottom w:val="single" w:sz="8" w:space="0" w:color="auto"/>
            </w:tcBorders>
            <w:vAlign w:val="bottom"/>
          </w:tcPr>
          <w:p w14:paraId="1C1C0B8A" w14:textId="77777777" w:rsidR="004B163D" w:rsidRPr="00172308" w:rsidRDefault="00F34FEB" w:rsidP="005B36AA">
            <w:pPr>
              <w:widowControl/>
              <w:autoSpaceDE/>
              <w:autoSpaceDN/>
              <w:jc w:val="right"/>
              <w:rPr>
                <w:rFonts w:asciiTheme="minorHAnsi" w:eastAsiaTheme="minorHAnsi" w:hAnsiTheme="minorHAnsi" w:cstheme="minorBidi"/>
                <w:b/>
                <w:sz w:val="18"/>
                <w:szCs w:val="18"/>
                <w:lang w:eastAsia="en-US" w:bidi="ar-SA"/>
              </w:rPr>
            </w:pPr>
            <w:r w:rsidRPr="00172308">
              <w:rPr>
                <w:rFonts w:asciiTheme="minorHAnsi" w:eastAsiaTheme="minorHAnsi" w:hAnsiTheme="minorHAnsi" w:cstheme="minorBidi"/>
                <w:b/>
                <w:sz w:val="18"/>
                <w:szCs w:val="18"/>
                <w:lang w:eastAsia="en-US" w:bidi="ar-SA"/>
              </w:rPr>
              <w:t>5.0</w:t>
            </w:r>
          </w:p>
        </w:tc>
        <w:tc>
          <w:tcPr>
            <w:tcW w:w="1134" w:type="dxa"/>
            <w:tcBorders>
              <w:top w:val="single" w:sz="4" w:space="0" w:color="000000"/>
              <w:bottom w:val="single" w:sz="8" w:space="0" w:color="auto"/>
            </w:tcBorders>
            <w:vAlign w:val="bottom"/>
          </w:tcPr>
          <w:p w14:paraId="7AF37044" w14:textId="77777777" w:rsidR="004B163D" w:rsidRPr="003B72E1" w:rsidRDefault="004B163D" w:rsidP="005B36AA">
            <w:pPr>
              <w:widowControl/>
              <w:autoSpaceDE/>
              <w:autoSpaceDN/>
              <w:jc w:val="right"/>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t>(2.6)</w:t>
            </w:r>
          </w:p>
        </w:tc>
      </w:tr>
    </w:tbl>
    <w:p w14:paraId="351F0695" w14:textId="77777777" w:rsidR="00962910" w:rsidRDefault="00962910" w:rsidP="00962910">
      <w:pPr>
        <w:pStyle w:val="Heading2"/>
        <w:numPr>
          <w:ilvl w:val="0"/>
          <w:numId w:val="0"/>
        </w:numPr>
        <w:ind w:left="720"/>
      </w:pPr>
    </w:p>
    <w:p w14:paraId="024C58E6" w14:textId="7F13E3AE" w:rsidR="00FF1E44" w:rsidRDefault="00D51EFF" w:rsidP="00FF1E44">
      <w:pPr>
        <w:pStyle w:val="Heading2"/>
      </w:pPr>
      <w:r>
        <w:t xml:space="preserve">Impairment of </w:t>
      </w:r>
      <w:r w:rsidR="00CE1D63">
        <w:t>goodwill, intangible assets and p</w:t>
      </w:r>
      <w:r>
        <w:t>roperty, plant and equipment</w:t>
      </w:r>
    </w:p>
    <w:p w14:paraId="45FB3011" w14:textId="77777777" w:rsidR="00325F49" w:rsidRDefault="00325F49" w:rsidP="008D296E">
      <w:pPr>
        <w:pStyle w:val="Heading2"/>
        <w:numPr>
          <w:ilvl w:val="0"/>
          <w:numId w:val="0"/>
        </w:numPr>
        <w:ind w:left="720"/>
      </w:pPr>
    </w:p>
    <w:p w14:paraId="6FB40622" w14:textId="79C2DA2F" w:rsidR="00325F49" w:rsidRDefault="00FF1E44" w:rsidP="00FF1E44">
      <w:pPr>
        <w:pStyle w:val="BodyText"/>
        <w:jc w:val="both"/>
      </w:pPr>
      <w:r w:rsidRPr="007E04B7">
        <w:t>The Group</w:t>
      </w:r>
      <w:r w:rsidR="00325F49">
        <w:t xml:space="preserve"> performed an impairment test on the carrying value of goodwill (£449.4m) at 24 September 2021 using a value in use model to determine the recoverable amount. The recoverable amount had significant headroom above the carrying value and therefore, no impairment </w:t>
      </w:r>
      <w:r w:rsidR="00325F49">
        <w:lastRenderedPageBreak/>
        <w:t xml:space="preserve">was recorded (2020: £nil). There was also no impairment of intangible assets (2020: £0.2m). There was an impairment of £4.4m recorded on property, plant and equipment following a comprehensive review of assets during the year (2020: £6.1m). </w:t>
      </w:r>
      <w:r>
        <w:t xml:space="preserve"> </w:t>
      </w:r>
    </w:p>
    <w:p w14:paraId="582CCCE4" w14:textId="77777777" w:rsidR="009B1C1E" w:rsidRDefault="009B1C1E" w:rsidP="009B1C1E">
      <w:pPr>
        <w:pStyle w:val="Heading2"/>
        <w:numPr>
          <w:ilvl w:val="0"/>
          <w:numId w:val="0"/>
        </w:numPr>
        <w:ind w:left="720"/>
      </w:pPr>
    </w:p>
    <w:p w14:paraId="160DCB41" w14:textId="77777777" w:rsidR="005B36AA" w:rsidRDefault="005B36AA" w:rsidP="008E109E">
      <w:pPr>
        <w:pStyle w:val="Heading2"/>
      </w:pPr>
      <w:r>
        <w:t xml:space="preserve">Borrowings </w:t>
      </w:r>
    </w:p>
    <w:tbl>
      <w:tblPr>
        <w:tblStyle w:val="TableGrid"/>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6"/>
        <w:gridCol w:w="1314"/>
        <w:gridCol w:w="850"/>
        <w:gridCol w:w="1278"/>
        <w:gridCol w:w="990"/>
      </w:tblGrid>
      <w:tr w:rsidR="004B163D" w14:paraId="03FEA397" w14:textId="77777777" w:rsidTr="004B163D">
        <w:trPr>
          <w:trHeight w:val="211"/>
          <w:jc w:val="center"/>
        </w:trPr>
        <w:tc>
          <w:tcPr>
            <w:tcW w:w="5916" w:type="dxa"/>
            <w:vAlign w:val="bottom"/>
          </w:tcPr>
          <w:p w14:paraId="2A3B3F14" w14:textId="77777777" w:rsidR="004B163D" w:rsidRPr="006D1798" w:rsidRDefault="004B163D" w:rsidP="005B36AA">
            <w:pPr>
              <w:pStyle w:val="T2"/>
              <w:jc w:val="left"/>
            </w:pPr>
          </w:p>
        </w:tc>
        <w:tc>
          <w:tcPr>
            <w:tcW w:w="1314" w:type="dxa"/>
          </w:tcPr>
          <w:p w14:paraId="3DEF9A2A" w14:textId="77777777" w:rsidR="004B163D" w:rsidDel="00446715" w:rsidRDefault="004B163D" w:rsidP="005771B0">
            <w:pPr>
              <w:pStyle w:val="T2"/>
              <w:jc w:val="center"/>
              <w:rPr>
                <w:b/>
              </w:rPr>
            </w:pPr>
          </w:p>
        </w:tc>
        <w:tc>
          <w:tcPr>
            <w:tcW w:w="850" w:type="dxa"/>
          </w:tcPr>
          <w:p w14:paraId="2BFA0411" w14:textId="77777777" w:rsidR="004B163D" w:rsidDel="00446715" w:rsidRDefault="004B163D" w:rsidP="005771B0">
            <w:pPr>
              <w:pStyle w:val="T2"/>
              <w:jc w:val="center"/>
              <w:rPr>
                <w:b/>
              </w:rPr>
            </w:pPr>
          </w:p>
        </w:tc>
        <w:tc>
          <w:tcPr>
            <w:tcW w:w="1278" w:type="dxa"/>
          </w:tcPr>
          <w:p w14:paraId="317ACC9B" w14:textId="77777777" w:rsidR="004B163D" w:rsidDel="00446715" w:rsidRDefault="004B163D" w:rsidP="004B163D">
            <w:pPr>
              <w:pStyle w:val="T2"/>
              <w:rPr>
                <w:b/>
              </w:rPr>
            </w:pPr>
            <w:r>
              <w:rPr>
                <w:b/>
              </w:rPr>
              <w:t>2021</w:t>
            </w:r>
          </w:p>
        </w:tc>
        <w:tc>
          <w:tcPr>
            <w:tcW w:w="990" w:type="dxa"/>
          </w:tcPr>
          <w:p w14:paraId="4F081446" w14:textId="77777777" w:rsidR="004B163D" w:rsidRDefault="004B163D" w:rsidP="004B163D">
            <w:pPr>
              <w:pStyle w:val="T2"/>
            </w:pPr>
            <w:r>
              <w:t>2020</w:t>
            </w:r>
          </w:p>
        </w:tc>
      </w:tr>
      <w:tr w:rsidR="001C457E" w14:paraId="60F9DCE3" w14:textId="77777777" w:rsidTr="004B163D">
        <w:trPr>
          <w:trHeight w:val="211"/>
          <w:jc w:val="center"/>
        </w:trPr>
        <w:tc>
          <w:tcPr>
            <w:tcW w:w="5916" w:type="dxa"/>
            <w:tcBorders>
              <w:bottom w:val="single" w:sz="4" w:space="0" w:color="auto"/>
            </w:tcBorders>
            <w:vAlign w:val="bottom"/>
          </w:tcPr>
          <w:p w14:paraId="5AD68962" w14:textId="77777777" w:rsidR="001C457E" w:rsidRPr="006D1798" w:rsidRDefault="001C457E" w:rsidP="005B36AA">
            <w:pPr>
              <w:pStyle w:val="T2"/>
              <w:jc w:val="left"/>
            </w:pPr>
          </w:p>
        </w:tc>
        <w:tc>
          <w:tcPr>
            <w:tcW w:w="1314" w:type="dxa"/>
            <w:tcBorders>
              <w:bottom w:val="single" w:sz="4" w:space="0" w:color="auto"/>
            </w:tcBorders>
          </w:tcPr>
          <w:p w14:paraId="736150E9" w14:textId="77777777" w:rsidR="001C457E" w:rsidRPr="005C7C70" w:rsidRDefault="001C457E" w:rsidP="005B36AA">
            <w:pPr>
              <w:pStyle w:val="T2"/>
              <w:rPr>
                <w:b/>
              </w:rPr>
            </w:pPr>
          </w:p>
        </w:tc>
        <w:tc>
          <w:tcPr>
            <w:tcW w:w="850" w:type="dxa"/>
            <w:tcBorders>
              <w:bottom w:val="single" w:sz="4" w:space="0" w:color="auto"/>
            </w:tcBorders>
          </w:tcPr>
          <w:p w14:paraId="7769F274" w14:textId="77777777" w:rsidR="001C457E" w:rsidRPr="005C7C70" w:rsidRDefault="001C457E" w:rsidP="005B36AA">
            <w:pPr>
              <w:pStyle w:val="T2"/>
              <w:rPr>
                <w:b/>
              </w:rPr>
            </w:pPr>
          </w:p>
        </w:tc>
        <w:tc>
          <w:tcPr>
            <w:tcW w:w="1278" w:type="dxa"/>
            <w:tcBorders>
              <w:bottom w:val="single" w:sz="4" w:space="0" w:color="auto"/>
            </w:tcBorders>
            <w:vAlign w:val="bottom"/>
          </w:tcPr>
          <w:p w14:paraId="36873710" w14:textId="77777777" w:rsidR="001C457E" w:rsidRDefault="001C457E" w:rsidP="005B36AA">
            <w:pPr>
              <w:pStyle w:val="T2"/>
              <w:rPr>
                <w:b/>
              </w:rPr>
            </w:pPr>
            <w:r w:rsidRPr="005C7C70">
              <w:rPr>
                <w:b/>
              </w:rPr>
              <w:t>£m</w:t>
            </w:r>
          </w:p>
        </w:tc>
        <w:tc>
          <w:tcPr>
            <w:tcW w:w="990" w:type="dxa"/>
            <w:tcBorders>
              <w:bottom w:val="single" w:sz="4" w:space="0" w:color="auto"/>
            </w:tcBorders>
          </w:tcPr>
          <w:p w14:paraId="7C584271" w14:textId="77777777" w:rsidR="001C457E" w:rsidRPr="00405D63" w:rsidRDefault="001C457E" w:rsidP="005B36AA">
            <w:pPr>
              <w:pStyle w:val="T2"/>
            </w:pPr>
            <w:r w:rsidRPr="00405D63">
              <w:t>£m</w:t>
            </w:r>
          </w:p>
        </w:tc>
      </w:tr>
      <w:tr w:rsidR="004B163D" w14:paraId="6F8A0354" w14:textId="77777777" w:rsidTr="004B163D">
        <w:trPr>
          <w:trHeight w:val="211"/>
          <w:jc w:val="center"/>
        </w:trPr>
        <w:tc>
          <w:tcPr>
            <w:tcW w:w="5916" w:type="dxa"/>
            <w:tcBorders>
              <w:top w:val="single" w:sz="4" w:space="0" w:color="auto"/>
            </w:tcBorders>
            <w:vAlign w:val="bottom"/>
          </w:tcPr>
          <w:p w14:paraId="6C9BE9C5" w14:textId="77777777" w:rsidR="004B163D" w:rsidRPr="006D1798" w:rsidRDefault="004B163D" w:rsidP="004B163D">
            <w:pPr>
              <w:pStyle w:val="T2"/>
              <w:ind w:left="176"/>
              <w:jc w:val="left"/>
            </w:pPr>
            <w:r>
              <w:t>Bank overdrafts</w:t>
            </w:r>
          </w:p>
        </w:tc>
        <w:tc>
          <w:tcPr>
            <w:tcW w:w="1314" w:type="dxa"/>
            <w:tcBorders>
              <w:top w:val="single" w:sz="4" w:space="0" w:color="auto"/>
            </w:tcBorders>
          </w:tcPr>
          <w:p w14:paraId="34642DB1" w14:textId="77777777" w:rsidR="004B163D" w:rsidRDefault="004B163D" w:rsidP="004B163D">
            <w:pPr>
              <w:pStyle w:val="T2"/>
              <w:rPr>
                <w:b/>
                <w:bCs/>
              </w:rPr>
            </w:pPr>
          </w:p>
        </w:tc>
        <w:tc>
          <w:tcPr>
            <w:tcW w:w="850" w:type="dxa"/>
            <w:tcBorders>
              <w:top w:val="single" w:sz="4" w:space="0" w:color="auto"/>
            </w:tcBorders>
          </w:tcPr>
          <w:p w14:paraId="0239B459" w14:textId="77777777" w:rsidR="004B163D" w:rsidRDefault="004B163D" w:rsidP="004B163D">
            <w:pPr>
              <w:pStyle w:val="T2"/>
              <w:rPr>
                <w:b/>
                <w:bCs/>
              </w:rPr>
            </w:pPr>
          </w:p>
        </w:tc>
        <w:tc>
          <w:tcPr>
            <w:tcW w:w="1278" w:type="dxa"/>
            <w:tcBorders>
              <w:top w:val="single" w:sz="4" w:space="0" w:color="auto"/>
            </w:tcBorders>
          </w:tcPr>
          <w:p w14:paraId="7AC87406" w14:textId="77777777" w:rsidR="004B163D" w:rsidRDefault="00F34FEB" w:rsidP="004B163D">
            <w:pPr>
              <w:pStyle w:val="T2"/>
              <w:rPr>
                <w:b/>
                <w:bCs/>
              </w:rPr>
            </w:pPr>
            <w:r>
              <w:rPr>
                <w:b/>
                <w:bCs/>
              </w:rPr>
              <w:t>(45.5)</w:t>
            </w:r>
          </w:p>
        </w:tc>
        <w:tc>
          <w:tcPr>
            <w:tcW w:w="990" w:type="dxa"/>
            <w:tcBorders>
              <w:top w:val="single" w:sz="4" w:space="0" w:color="auto"/>
            </w:tcBorders>
          </w:tcPr>
          <w:p w14:paraId="77180523" w14:textId="77777777" w:rsidR="004B163D" w:rsidRPr="004B163D" w:rsidRDefault="004B163D" w:rsidP="004B163D">
            <w:pPr>
              <w:pStyle w:val="T2"/>
              <w:rPr>
                <w:bCs/>
              </w:rPr>
            </w:pPr>
            <w:r w:rsidRPr="004B163D">
              <w:rPr>
                <w:bCs/>
              </w:rPr>
              <w:t>(220.0)</w:t>
            </w:r>
          </w:p>
        </w:tc>
      </w:tr>
      <w:tr w:rsidR="004B163D" w14:paraId="2C4A5A4E" w14:textId="77777777" w:rsidTr="004B163D">
        <w:trPr>
          <w:trHeight w:val="211"/>
          <w:jc w:val="center"/>
        </w:trPr>
        <w:tc>
          <w:tcPr>
            <w:tcW w:w="5916" w:type="dxa"/>
            <w:vAlign w:val="bottom"/>
          </w:tcPr>
          <w:p w14:paraId="1CAE91D9" w14:textId="77777777" w:rsidR="004B163D" w:rsidRPr="006D1798" w:rsidRDefault="004B163D" w:rsidP="004B163D">
            <w:pPr>
              <w:pStyle w:val="T2"/>
              <w:ind w:left="176"/>
              <w:jc w:val="left"/>
            </w:pPr>
            <w:r w:rsidRPr="006D1798">
              <w:t>Bank borrowings</w:t>
            </w:r>
          </w:p>
        </w:tc>
        <w:tc>
          <w:tcPr>
            <w:tcW w:w="1314" w:type="dxa"/>
          </w:tcPr>
          <w:p w14:paraId="701DEDB2" w14:textId="77777777" w:rsidR="004B163D" w:rsidRDefault="004B163D" w:rsidP="004B163D">
            <w:pPr>
              <w:pStyle w:val="T2"/>
              <w:rPr>
                <w:b/>
                <w:bCs/>
              </w:rPr>
            </w:pPr>
          </w:p>
        </w:tc>
        <w:tc>
          <w:tcPr>
            <w:tcW w:w="850" w:type="dxa"/>
          </w:tcPr>
          <w:p w14:paraId="4734CAE3" w14:textId="77777777" w:rsidR="004B163D" w:rsidRDefault="004B163D" w:rsidP="004B163D">
            <w:pPr>
              <w:pStyle w:val="T2"/>
              <w:rPr>
                <w:b/>
                <w:bCs/>
              </w:rPr>
            </w:pPr>
          </w:p>
        </w:tc>
        <w:tc>
          <w:tcPr>
            <w:tcW w:w="1278" w:type="dxa"/>
          </w:tcPr>
          <w:p w14:paraId="4F583ECE" w14:textId="77777777" w:rsidR="004B163D" w:rsidRPr="005D0EFF" w:rsidRDefault="00F34FEB" w:rsidP="00172308">
            <w:pPr>
              <w:pStyle w:val="T2"/>
              <w:rPr>
                <w:b/>
                <w:bCs/>
              </w:rPr>
            </w:pPr>
            <w:r>
              <w:rPr>
                <w:b/>
                <w:bCs/>
              </w:rPr>
              <w:t>(1</w:t>
            </w:r>
            <w:r w:rsidR="00172308">
              <w:rPr>
                <w:b/>
                <w:bCs/>
              </w:rPr>
              <w:t>50.1</w:t>
            </w:r>
            <w:r>
              <w:rPr>
                <w:b/>
                <w:bCs/>
              </w:rPr>
              <w:t>)</w:t>
            </w:r>
          </w:p>
        </w:tc>
        <w:tc>
          <w:tcPr>
            <w:tcW w:w="990" w:type="dxa"/>
          </w:tcPr>
          <w:p w14:paraId="076E4499" w14:textId="77777777" w:rsidR="004B163D" w:rsidRPr="004B163D" w:rsidRDefault="004B163D" w:rsidP="004B163D">
            <w:pPr>
              <w:pStyle w:val="T2"/>
              <w:rPr>
                <w:bCs/>
              </w:rPr>
            </w:pPr>
            <w:r w:rsidRPr="004B163D">
              <w:rPr>
                <w:bCs/>
              </w:rPr>
              <w:t>(283.5)</w:t>
            </w:r>
          </w:p>
        </w:tc>
      </w:tr>
      <w:tr w:rsidR="004B163D" w14:paraId="30ABF165" w14:textId="77777777" w:rsidTr="004B163D">
        <w:trPr>
          <w:trHeight w:val="211"/>
          <w:jc w:val="center"/>
        </w:trPr>
        <w:tc>
          <w:tcPr>
            <w:tcW w:w="5916" w:type="dxa"/>
            <w:tcBorders>
              <w:bottom w:val="single" w:sz="4" w:space="0" w:color="auto"/>
            </w:tcBorders>
            <w:vAlign w:val="bottom"/>
          </w:tcPr>
          <w:p w14:paraId="3B772912" w14:textId="77777777" w:rsidR="004B163D" w:rsidRPr="006D1798" w:rsidRDefault="004B163D" w:rsidP="004B163D">
            <w:pPr>
              <w:pStyle w:val="T2"/>
              <w:ind w:left="176"/>
              <w:jc w:val="left"/>
            </w:pPr>
            <w:r w:rsidRPr="006D1798">
              <w:t xml:space="preserve">Private </w:t>
            </w:r>
            <w:r>
              <w:t>p</w:t>
            </w:r>
            <w:r w:rsidRPr="006D1798">
              <w:t xml:space="preserve">lacement </w:t>
            </w:r>
            <w:r>
              <w:t>n</w:t>
            </w:r>
            <w:r w:rsidRPr="006D1798">
              <w:t>otes</w:t>
            </w:r>
          </w:p>
        </w:tc>
        <w:tc>
          <w:tcPr>
            <w:tcW w:w="1314" w:type="dxa"/>
            <w:tcBorders>
              <w:bottom w:val="single" w:sz="4" w:space="0" w:color="auto"/>
            </w:tcBorders>
          </w:tcPr>
          <w:p w14:paraId="656F5CFF" w14:textId="77777777" w:rsidR="004B163D" w:rsidRDefault="004B163D" w:rsidP="004B163D">
            <w:pPr>
              <w:pStyle w:val="T2"/>
              <w:rPr>
                <w:b/>
                <w:bCs/>
              </w:rPr>
            </w:pPr>
          </w:p>
        </w:tc>
        <w:tc>
          <w:tcPr>
            <w:tcW w:w="850" w:type="dxa"/>
            <w:tcBorders>
              <w:bottom w:val="single" w:sz="4" w:space="0" w:color="auto"/>
            </w:tcBorders>
          </w:tcPr>
          <w:p w14:paraId="7C4F8B15" w14:textId="77777777" w:rsidR="004B163D" w:rsidRDefault="004B163D" w:rsidP="004B163D">
            <w:pPr>
              <w:pStyle w:val="T2"/>
              <w:rPr>
                <w:b/>
                <w:bCs/>
              </w:rPr>
            </w:pPr>
          </w:p>
        </w:tc>
        <w:tc>
          <w:tcPr>
            <w:tcW w:w="1278" w:type="dxa"/>
            <w:tcBorders>
              <w:bottom w:val="single" w:sz="4" w:space="0" w:color="auto"/>
            </w:tcBorders>
          </w:tcPr>
          <w:p w14:paraId="1297ACC7" w14:textId="77777777" w:rsidR="004B163D" w:rsidRPr="005D0EFF" w:rsidRDefault="00F34FEB" w:rsidP="00172308">
            <w:pPr>
              <w:pStyle w:val="T2"/>
              <w:rPr>
                <w:b/>
                <w:bCs/>
              </w:rPr>
            </w:pPr>
            <w:r>
              <w:rPr>
                <w:b/>
                <w:bCs/>
              </w:rPr>
              <w:t>(10</w:t>
            </w:r>
            <w:r w:rsidR="00172308">
              <w:rPr>
                <w:b/>
                <w:bCs/>
              </w:rPr>
              <w:t>6</w:t>
            </w:r>
            <w:r>
              <w:rPr>
                <w:b/>
                <w:bCs/>
              </w:rPr>
              <w:t>.</w:t>
            </w:r>
            <w:r w:rsidR="00172308">
              <w:rPr>
                <w:b/>
                <w:bCs/>
              </w:rPr>
              <w:t>6</w:t>
            </w:r>
            <w:r>
              <w:rPr>
                <w:b/>
                <w:bCs/>
              </w:rPr>
              <w:t>)</w:t>
            </w:r>
          </w:p>
        </w:tc>
        <w:tc>
          <w:tcPr>
            <w:tcW w:w="990" w:type="dxa"/>
            <w:tcBorders>
              <w:bottom w:val="single" w:sz="4" w:space="0" w:color="auto"/>
            </w:tcBorders>
          </w:tcPr>
          <w:p w14:paraId="5FCC036A" w14:textId="77777777" w:rsidR="004B163D" w:rsidRPr="004B163D" w:rsidRDefault="004B163D" w:rsidP="004B163D">
            <w:pPr>
              <w:pStyle w:val="T2"/>
              <w:rPr>
                <w:bCs/>
              </w:rPr>
            </w:pPr>
            <w:r w:rsidRPr="004B163D">
              <w:rPr>
                <w:bCs/>
              </w:rPr>
              <w:t>(114.0)</w:t>
            </w:r>
          </w:p>
        </w:tc>
      </w:tr>
      <w:tr w:rsidR="004B163D" w14:paraId="0D10F9E1" w14:textId="77777777" w:rsidTr="004B163D">
        <w:trPr>
          <w:trHeight w:val="211"/>
          <w:jc w:val="center"/>
        </w:trPr>
        <w:tc>
          <w:tcPr>
            <w:tcW w:w="5916" w:type="dxa"/>
            <w:tcBorders>
              <w:top w:val="single" w:sz="4" w:space="0" w:color="auto"/>
              <w:bottom w:val="single" w:sz="8" w:space="0" w:color="auto"/>
            </w:tcBorders>
            <w:vAlign w:val="bottom"/>
          </w:tcPr>
          <w:p w14:paraId="4F587B25" w14:textId="77777777" w:rsidR="004B163D" w:rsidRPr="0026155F" w:rsidRDefault="004B163D" w:rsidP="004B163D">
            <w:pPr>
              <w:pStyle w:val="T2"/>
              <w:ind w:left="176"/>
              <w:jc w:val="left"/>
              <w:rPr>
                <w:b/>
              </w:rPr>
            </w:pPr>
            <w:r>
              <w:rPr>
                <w:b/>
              </w:rPr>
              <w:t>Total borrowings</w:t>
            </w:r>
          </w:p>
        </w:tc>
        <w:tc>
          <w:tcPr>
            <w:tcW w:w="1314" w:type="dxa"/>
            <w:tcBorders>
              <w:top w:val="single" w:sz="4" w:space="0" w:color="auto"/>
              <w:bottom w:val="single" w:sz="8" w:space="0" w:color="auto"/>
            </w:tcBorders>
          </w:tcPr>
          <w:p w14:paraId="107910E9" w14:textId="77777777" w:rsidR="004B163D" w:rsidRDefault="004B163D" w:rsidP="004B163D">
            <w:pPr>
              <w:pStyle w:val="T2"/>
              <w:rPr>
                <w:b/>
                <w:bCs/>
              </w:rPr>
            </w:pPr>
          </w:p>
        </w:tc>
        <w:tc>
          <w:tcPr>
            <w:tcW w:w="850" w:type="dxa"/>
            <w:tcBorders>
              <w:top w:val="single" w:sz="4" w:space="0" w:color="auto"/>
              <w:bottom w:val="single" w:sz="8" w:space="0" w:color="auto"/>
            </w:tcBorders>
          </w:tcPr>
          <w:p w14:paraId="0F8A85A7" w14:textId="77777777" w:rsidR="004B163D" w:rsidRDefault="004B163D" w:rsidP="004B163D">
            <w:pPr>
              <w:pStyle w:val="T2"/>
              <w:rPr>
                <w:b/>
                <w:bCs/>
              </w:rPr>
            </w:pPr>
          </w:p>
        </w:tc>
        <w:tc>
          <w:tcPr>
            <w:tcW w:w="1278" w:type="dxa"/>
            <w:tcBorders>
              <w:top w:val="single" w:sz="4" w:space="0" w:color="auto"/>
              <w:bottom w:val="single" w:sz="8" w:space="0" w:color="auto"/>
            </w:tcBorders>
          </w:tcPr>
          <w:p w14:paraId="50360453" w14:textId="77777777" w:rsidR="004B163D" w:rsidRPr="0026155F" w:rsidRDefault="00F34FEB" w:rsidP="004B163D">
            <w:pPr>
              <w:pStyle w:val="T2"/>
              <w:rPr>
                <w:b/>
                <w:bCs/>
              </w:rPr>
            </w:pPr>
            <w:r>
              <w:rPr>
                <w:b/>
                <w:bCs/>
              </w:rPr>
              <w:t>(302.2)</w:t>
            </w:r>
          </w:p>
        </w:tc>
        <w:tc>
          <w:tcPr>
            <w:tcW w:w="990" w:type="dxa"/>
            <w:tcBorders>
              <w:top w:val="single" w:sz="4" w:space="0" w:color="auto"/>
              <w:bottom w:val="single" w:sz="8" w:space="0" w:color="auto"/>
            </w:tcBorders>
          </w:tcPr>
          <w:p w14:paraId="4350C7E2" w14:textId="77777777" w:rsidR="004B163D" w:rsidRPr="004B163D" w:rsidRDefault="004B163D" w:rsidP="004B163D">
            <w:pPr>
              <w:pStyle w:val="T2"/>
              <w:rPr>
                <w:bCs/>
              </w:rPr>
            </w:pPr>
            <w:r w:rsidRPr="004B163D">
              <w:rPr>
                <w:bCs/>
              </w:rPr>
              <w:t>(617.5)</w:t>
            </w:r>
          </w:p>
        </w:tc>
      </w:tr>
    </w:tbl>
    <w:p w14:paraId="5F4ED8DF" w14:textId="77777777" w:rsidR="005B36AA" w:rsidRDefault="005B36AA" w:rsidP="005B36AA">
      <w:pPr>
        <w:pStyle w:val="Heading2"/>
        <w:numPr>
          <w:ilvl w:val="0"/>
          <w:numId w:val="0"/>
        </w:numPr>
      </w:pPr>
    </w:p>
    <w:p w14:paraId="6EE2BC53" w14:textId="77777777" w:rsidR="005B36AA" w:rsidRDefault="005B36AA" w:rsidP="005B36AA">
      <w:pPr>
        <w:pStyle w:val="Paragraph"/>
        <w:spacing w:before="0" w:after="120"/>
        <w:jc w:val="both"/>
        <w:rPr>
          <w:b/>
          <w:bCs/>
        </w:rPr>
      </w:pPr>
      <w:r w:rsidRPr="00FD7A57">
        <w:rPr>
          <w:b/>
          <w:bCs/>
        </w:rPr>
        <w:t>Bank Borrowings</w:t>
      </w:r>
    </w:p>
    <w:p w14:paraId="0B5FA9C7" w14:textId="138C20B6" w:rsidR="0026720B" w:rsidRDefault="005B36AA" w:rsidP="005B36AA">
      <w:pPr>
        <w:pStyle w:val="Paragraph"/>
        <w:spacing w:before="0" w:after="120"/>
        <w:jc w:val="both"/>
      </w:pPr>
      <w:r>
        <w:t xml:space="preserve">The Group’s bank borrowings, net of finance fees </w:t>
      </w:r>
      <w:r w:rsidRPr="00B01662">
        <w:t>comprised of £</w:t>
      </w:r>
      <w:r w:rsidR="00B01662" w:rsidRPr="00B01662">
        <w:t>150.1</w:t>
      </w:r>
      <w:r w:rsidRPr="00B01662">
        <w:t>m at</w:t>
      </w:r>
      <w:r>
        <w:t xml:space="preserve"> 2</w:t>
      </w:r>
      <w:r w:rsidR="00F34FEB">
        <w:t>4 September 2021</w:t>
      </w:r>
      <w:r>
        <w:t xml:space="preserve"> (September 20</w:t>
      </w:r>
      <w:r w:rsidR="00F34FEB">
        <w:t>20</w:t>
      </w:r>
      <w:r>
        <w:t>: £</w:t>
      </w:r>
      <w:r w:rsidR="00633573">
        <w:t>283.5</w:t>
      </w:r>
      <w:r>
        <w:t xml:space="preserve">m) with maturities to January </w:t>
      </w:r>
      <w:r w:rsidR="00E61B08">
        <w:t xml:space="preserve">2026. During the year, the Group refinanced the £50m bilateral loan which had been due to mature in January 2022 to a new three- year term maturing in January 2024. </w:t>
      </w:r>
      <w:r>
        <w:t xml:space="preserve">The Group </w:t>
      </w:r>
      <w:r w:rsidRPr="0026720B">
        <w:t>had £</w:t>
      </w:r>
      <w:r w:rsidR="0026720B" w:rsidRPr="0026720B">
        <w:t>360.0</w:t>
      </w:r>
      <w:r w:rsidRPr="0026720B">
        <w:t>m (</w:t>
      </w:r>
      <w:r>
        <w:t>September 20</w:t>
      </w:r>
      <w:r w:rsidR="00F34FEB">
        <w:t>20</w:t>
      </w:r>
      <w:r>
        <w:t>: £1</w:t>
      </w:r>
      <w:r w:rsidR="00F34FEB">
        <w:t>85</w:t>
      </w:r>
      <w:r w:rsidR="00660EC8">
        <w:t>.0</w:t>
      </w:r>
      <w:r>
        <w:t>m) of undrawn committed bank facilities in respect of which all conditions precedent had been met. Uncommitted facilities undrawn at 2</w:t>
      </w:r>
      <w:r w:rsidR="00545A6F">
        <w:t>4</w:t>
      </w:r>
      <w:r>
        <w:t xml:space="preserve"> September 202</w:t>
      </w:r>
      <w:r w:rsidR="00545A6F">
        <w:t>1</w:t>
      </w:r>
      <w:r>
        <w:t xml:space="preserve"> amounted </w:t>
      </w:r>
      <w:r w:rsidRPr="007D67A1">
        <w:t>to £</w:t>
      </w:r>
      <w:r w:rsidR="0026720B">
        <w:t>6.7</w:t>
      </w:r>
      <w:r w:rsidRPr="007D67A1">
        <w:t>m (September</w:t>
      </w:r>
      <w:r>
        <w:t xml:space="preserve"> 20</w:t>
      </w:r>
      <w:r w:rsidR="00545A6F">
        <w:t>20</w:t>
      </w:r>
      <w:r>
        <w:t xml:space="preserve">: £7.0m). </w:t>
      </w:r>
      <w:r w:rsidR="00BC4226">
        <w:t xml:space="preserve">The Group secured an additional £45.0m three year committed bank facility in June 2021, which was drawndown in October 2021. </w:t>
      </w:r>
      <w:r w:rsidR="0026720B" w:rsidRPr="0026720B">
        <w:t xml:space="preserve">The Group </w:t>
      </w:r>
      <w:r w:rsidR="00BC4226">
        <w:t xml:space="preserve">also </w:t>
      </w:r>
      <w:r w:rsidR="0026720B" w:rsidRPr="008E109E">
        <w:t>extended the maturity of its £340.0m revolving credit facility by one year to January 2026.</w:t>
      </w:r>
      <w:r w:rsidR="0026720B" w:rsidRPr="0026720B">
        <w:t xml:space="preserve">     </w:t>
      </w:r>
    </w:p>
    <w:p w14:paraId="7000E0E0" w14:textId="77777777" w:rsidR="00962910" w:rsidRDefault="00962910" w:rsidP="00962910">
      <w:pPr>
        <w:pStyle w:val="Heading2"/>
        <w:numPr>
          <w:ilvl w:val="0"/>
          <w:numId w:val="0"/>
        </w:numPr>
        <w:ind w:left="720"/>
      </w:pPr>
    </w:p>
    <w:p w14:paraId="6CBFEA4F" w14:textId="77777777" w:rsidR="005B36AA" w:rsidRPr="00FD7A57" w:rsidRDefault="005B36AA" w:rsidP="005B36AA">
      <w:pPr>
        <w:pStyle w:val="Paragraph"/>
        <w:spacing w:before="0" w:after="120"/>
        <w:jc w:val="both"/>
        <w:rPr>
          <w:b/>
          <w:bCs/>
        </w:rPr>
      </w:pPr>
      <w:r w:rsidRPr="00FD7A57">
        <w:rPr>
          <w:b/>
          <w:bCs/>
        </w:rPr>
        <w:t>Private Placement Notes</w:t>
      </w:r>
    </w:p>
    <w:p w14:paraId="198CB922" w14:textId="6842BEDE" w:rsidR="005B36AA" w:rsidRDefault="005B36AA" w:rsidP="005B36AA">
      <w:pPr>
        <w:spacing w:after="120"/>
        <w:jc w:val="both"/>
        <w:rPr>
          <w:rFonts w:eastAsiaTheme="minorHAnsi"/>
          <w:sz w:val="18"/>
          <w:szCs w:val="18"/>
          <w:lang w:bidi="ar-SA"/>
        </w:rPr>
      </w:pPr>
      <w:r>
        <w:rPr>
          <w:sz w:val="18"/>
          <w:szCs w:val="18"/>
        </w:rPr>
        <w:t xml:space="preserve">The Group’s outstanding Private Placement Notes net of finance fees comprised of </w:t>
      </w:r>
      <w:r w:rsidRPr="007D67A1">
        <w:rPr>
          <w:sz w:val="18"/>
          <w:szCs w:val="18"/>
        </w:rPr>
        <w:t>£</w:t>
      </w:r>
      <w:r w:rsidR="00545A6F">
        <w:rPr>
          <w:sz w:val="18"/>
          <w:szCs w:val="18"/>
        </w:rPr>
        <w:t>10</w:t>
      </w:r>
      <w:r w:rsidR="00B01662">
        <w:rPr>
          <w:sz w:val="18"/>
          <w:szCs w:val="18"/>
        </w:rPr>
        <w:t>6</w:t>
      </w:r>
      <w:r w:rsidR="00545A6F">
        <w:rPr>
          <w:sz w:val="18"/>
          <w:szCs w:val="18"/>
        </w:rPr>
        <w:t>.</w:t>
      </w:r>
      <w:r w:rsidR="00B01662">
        <w:rPr>
          <w:sz w:val="18"/>
          <w:szCs w:val="18"/>
        </w:rPr>
        <w:t>6</w:t>
      </w:r>
      <w:r w:rsidRPr="007D67A1">
        <w:rPr>
          <w:sz w:val="18"/>
          <w:szCs w:val="18"/>
        </w:rPr>
        <w:t>m</w:t>
      </w:r>
      <w:r>
        <w:rPr>
          <w:sz w:val="18"/>
          <w:szCs w:val="18"/>
        </w:rPr>
        <w:t xml:space="preserve"> (denominated as $120.9m and £18m) at </w:t>
      </w:r>
      <w:r w:rsidR="00C55CEF">
        <w:rPr>
          <w:sz w:val="18"/>
          <w:szCs w:val="18"/>
        </w:rPr>
        <w:t xml:space="preserve">24 </w:t>
      </w:r>
      <w:r>
        <w:rPr>
          <w:sz w:val="18"/>
          <w:szCs w:val="18"/>
        </w:rPr>
        <w:t xml:space="preserve">September </w:t>
      </w:r>
      <w:r w:rsidR="00C55CEF">
        <w:rPr>
          <w:sz w:val="18"/>
          <w:szCs w:val="18"/>
        </w:rPr>
        <w:t xml:space="preserve">2021 </w:t>
      </w:r>
      <w:r>
        <w:rPr>
          <w:sz w:val="18"/>
          <w:szCs w:val="18"/>
        </w:rPr>
        <w:t>(20</w:t>
      </w:r>
      <w:r w:rsidR="00545A6F">
        <w:rPr>
          <w:sz w:val="18"/>
          <w:szCs w:val="18"/>
        </w:rPr>
        <w:t>20</w:t>
      </w:r>
      <w:r>
        <w:rPr>
          <w:sz w:val="18"/>
          <w:szCs w:val="18"/>
        </w:rPr>
        <w:t>: £</w:t>
      </w:r>
      <w:r w:rsidR="00545A6F">
        <w:rPr>
          <w:sz w:val="18"/>
          <w:szCs w:val="18"/>
        </w:rPr>
        <w:t>11</w:t>
      </w:r>
      <w:r w:rsidR="00BC4226">
        <w:rPr>
          <w:sz w:val="18"/>
          <w:szCs w:val="18"/>
        </w:rPr>
        <w:t>4.0</w:t>
      </w:r>
      <w:r>
        <w:rPr>
          <w:sz w:val="18"/>
          <w:szCs w:val="18"/>
        </w:rPr>
        <w:t>m, denominated as $120.9m and £18m). These were issued as fixed rate debt in October 2013 ($65m) and June 2016 ($</w:t>
      </w:r>
      <w:r w:rsidR="00BC4226">
        <w:rPr>
          <w:sz w:val="18"/>
          <w:szCs w:val="18"/>
        </w:rPr>
        <w:t>55.9</w:t>
      </w:r>
      <w:r>
        <w:rPr>
          <w:sz w:val="18"/>
          <w:szCs w:val="18"/>
        </w:rPr>
        <w:t>m and £18m).</w:t>
      </w:r>
      <w:r w:rsidR="00E61B08">
        <w:rPr>
          <w:sz w:val="18"/>
          <w:szCs w:val="18"/>
        </w:rPr>
        <w:t xml:space="preserve"> </w:t>
      </w:r>
    </w:p>
    <w:p w14:paraId="46A71E80" w14:textId="77777777" w:rsidR="005B36AA" w:rsidRDefault="005B36AA" w:rsidP="005B36AA">
      <w:pPr>
        <w:spacing w:after="120"/>
        <w:jc w:val="both"/>
        <w:rPr>
          <w:sz w:val="18"/>
          <w:szCs w:val="18"/>
        </w:rPr>
      </w:pPr>
      <w:r>
        <w:rPr>
          <w:sz w:val="18"/>
          <w:szCs w:val="18"/>
        </w:rPr>
        <w:t>The Group swapped the $120.9m Private Placement Notes from fixed rate US Dollar to fixed rate sterling using cross–currency interest rate swaps. The fixed rate US dollar to fixed rate sterling swaps are designated as cash flow hedges.</w:t>
      </w:r>
    </w:p>
    <w:p w14:paraId="1449E37A" w14:textId="77777777" w:rsidR="00BC4226" w:rsidRDefault="00BC4226" w:rsidP="005B36AA">
      <w:pPr>
        <w:spacing w:after="120"/>
        <w:jc w:val="both"/>
        <w:rPr>
          <w:sz w:val="18"/>
          <w:szCs w:val="18"/>
        </w:rPr>
      </w:pPr>
      <w:r>
        <w:rPr>
          <w:sz w:val="18"/>
          <w:szCs w:val="18"/>
        </w:rPr>
        <w:t>Subsequent to the year end, the Group repaid the fixed rate debt of $65m in October 2021.</w:t>
      </w:r>
    </w:p>
    <w:p w14:paraId="71A88407" w14:textId="77777777" w:rsidR="00FF1E44" w:rsidRDefault="00C55CEF" w:rsidP="005B36AA">
      <w:pPr>
        <w:spacing w:after="120"/>
        <w:jc w:val="both"/>
        <w:rPr>
          <w:b/>
          <w:bCs/>
          <w:sz w:val="18"/>
          <w:szCs w:val="18"/>
        </w:rPr>
      </w:pPr>
      <w:r w:rsidRPr="008E109E">
        <w:rPr>
          <w:b/>
          <w:bCs/>
          <w:sz w:val="18"/>
          <w:szCs w:val="18"/>
        </w:rPr>
        <w:t xml:space="preserve">Reconciliation of movements </w:t>
      </w:r>
      <w:r w:rsidR="00FF1E44">
        <w:rPr>
          <w:b/>
          <w:bCs/>
          <w:sz w:val="18"/>
          <w:szCs w:val="18"/>
        </w:rPr>
        <w:t xml:space="preserve">of liabilities to cash flows arising from financing activities </w:t>
      </w:r>
    </w:p>
    <w:p w14:paraId="68DDF009" w14:textId="77777777" w:rsidR="00373106" w:rsidRPr="008E109E" w:rsidRDefault="00373106" w:rsidP="005B36AA">
      <w:pPr>
        <w:spacing w:after="120"/>
        <w:jc w:val="both"/>
        <w:rPr>
          <w:sz w:val="18"/>
          <w:szCs w:val="18"/>
        </w:rPr>
      </w:pPr>
      <w:r w:rsidRPr="008E109E">
        <w:rPr>
          <w:sz w:val="18"/>
          <w:szCs w:val="18"/>
        </w:rPr>
        <w:t xml:space="preserve">The reconciliation of the movement in the Group’s liabilities to cash flows arising from financing activities is included below. </w:t>
      </w:r>
      <w:r>
        <w:rPr>
          <w:sz w:val="18"/>
          <w:szCs w:val="18"/>
        </w:rPr>
        <w:t xml:space="preserve">In addition, the Group has presented the movement in the Group’s cash and cash equivalents and bank overdrafts to present the movement in the Group’s overall net debt for the year.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0"/>
        <w:gridCol w:w="1344"/>
        <w:gridCol w:w="1343"/>
        <w:gridCol w:w="1345"/>
        <w:gridCol w:w="1345"/>
      </w:tblGrid>
      <w:tr w:rsidR="00373106" w:rsidRPr="00883953" w14:paraId="7180CFB3" w14:textId="77777777" w:rsidTr="00373106">
        <w:tc>
          <w:tcPr>
            <w:tcW w:w="4800" w:type="dxa"/>
          </w:tcPr>
          <w:p w14:paraId="254E6DE6" w14:textId="77777777" w:rsidR="00FF1E44" w:rsidRPr="00883953" w:rsidRDefault="00FF1E44" w:rsidP="008F5708">
            <w:pPr>
              <w:pStyle w:val="BodyText"/>
              <w:rPr>
                <w:b/>
              </w:rPr>
            </w:pPr>
          </w:p>
        </w:tc>
        <w:tc>
          <w:tcPr>
            <w:tcW w:w="1344" w:type="dxa"/>
            <w:vAlign w:val="bottom"/>
          </w:tcPr>
          <w:p w14:paraId="4CDAE838" w14:textId="77777777" w:rsidR="00FF1E44" w:rsidRPr="00883953" w:rsidRDefault="00FF1E44" w:rsidP="008F5708">
            <w:pPr>
              <w:pStyle w:val="BodyText"/>
              <w:jc w:val="right"/>
              <w:rPr>
                <w:b/>
              </w:rPr>
            </w:pPr>
            <w:r w:rsidRPr="00883953">
              <w:rPr>
                <w:b/>
              </w:rPr>
              <w:t xml:space="preserve">At </w:t>
            </w:r>
          </w:p>
          <w:p w14:paraId="050B9A1E" w14:textId="77777777" w:rsidR="00FF1E44" w:rsidRPr="00883953" w:rsidRDefault="00FF1E44" w:rsidP="008F5708">
            <w:pPr>
              <w:pStyle w:val="BodyText"/>
              <w:jc w:val="right"/>
              <w:rPr>
                <w:b/>
              </w:rPr>
            </w:pPr>
            <w:r w:rsidRPr="00883953">
              <w:rPr>
                <w:b/>
              </w:rPr>
              <w:t>2</w:t>
            </w:r>
            <w:r>
              <w:rPr>
                <w:b/>
              </w:rPr>
              <w:t>5</w:t>
            </w:r>
            <w:r w:rsidRPr="00883953">
              <w:rPr>
                <w:b/>
              </w:rPr>
              <w:t xml:space="preserve"> September 20</w:t>
            </w:r>
            <w:r>
              <w:rPr>
                <w:b/>
              </w:rPr>
              <w:t>20</w:t>
            </w:r>
          </w:p>
        </w:tc>
        <w:tc>
          <w:tcPr>
            <w:tcW w:w="1343" w:type="dxa"/>
            <w:vAlign w:val="bottom"/>
          </w:tcPr>
          <w:p w14:paraId="29242859" w14:textId="77777777" w:rsidR="00FF1E44" w:rsidRPr="00883953" w:rsidRDefault="00FF1E44" w:rsidP="008F5708">
            <w:pPr>
              <w:pStyle w:val="BodyText"/>
              <w:jc w:val="right"/>
              <w:rPr>
                <w:b/>
              </w:rPr>
            </w:pPr>
            <w:r w:rsidRPr="00883953">
              <w:rPr>
                <w:b/>
              </w:rPr>
              <w:t xml:space="preserve">Cash </w:t>
            </w:r>
          </w:p>
          <w:p w14:paraId="6B2CA1B1" w14:textId="77777777" w:rsidR="00FF1E44" w:rsidRPr="00883953" w:rsidRDefault="00FF1E44" w:rsidP="008F5708">
            <w:pPr>
              <w:pStyle w:val="BodyText"/>
              <w:jc w:val="right"/>
              <w:rPr>
                <w:b/>
              </w:rPr>
            </w:pPr>
            <w:r w:rsidRPr="00883953">
              <w:rPr>
                <w:b/>
              </w:rPr>
              <w:t>flow</w:t>
            </w:r>
          </w:p>
        </w:tc>
        <w:tc>
          <w:tcPr>
            <w:tcW w:w="1345" w:type="dxa"/>
            <w:vAlign w:val="bottom"/>
          </w:tcPr>
          <w:p w14:paraId="2A43E875" w14:textId="77777777" w:rsidR="00FF1E44" w:rsidRPr="00883953" w:rsidRDefault="00FF1E44" w:rsidP="008F5708">
            <w:pPr>
              <w:pStyle w:val="BodyText"/>
              <w:jc w:val="right"/>
              <w:rPr>
                <w:b/>
              </w:rPr>
            </w:pPr>
            <w:r w:rsidRPr="00883953">
              <w:rPr>
                <w:b/>
              </w:rPr>
              <w:t>Translation and non-cash adjustments</w:t>
            </w:r>
          </w:p>
        </w:tc>
        <w:tc>
          <w:tcPr>
            <w:tcW w:w="1345" w:type="dxa"/>
            <w:vAlign w:val="bottom"/>
          </w:tcPr>
          <w:p w14:paraId="0A398C60" w14:textId="77777777" w:rsidR="00FF1E44" w:rsidRPr="00883953" w:rsidRDefault="00FF1E44" w:rsidP="008F5708">
            <w:pPr>
              <w:pStyle w:val="BodyText"/>
              <w:jc w:val="right"/>
              <w:rPr>
                <w:b/>
              </w:rPr>
            </w:pPr>
            <w:r w:rsidRPr="00883953">
              <w:rPr>
                <w:b/>
              </w:rPr>
              <w:t xml:space="preserve">At </w:t>
            </w:r>
          </w:p>
          <w:p w14:paraId="5CCAF75F" w14:textId="77777777" w:rsidR="00FF1E44" w:rsidRPr="00883953" w:rsidRDefault="00FF1E44" w:rsidP="008F5708">
            <w:pPr>
              <w:pStyle w:val="BodyText"/>
              <w:jc w:val="right"/>
              <w:rPr>
                <w:b/>
              </w:rPr>
            </w:pPr>
            <w:r w:rsidRPr="00883953">
              <w:rPr>
                <w:b/>
              </w:rPr>
              <w:t>2</w:t>
            </w:r>
            <w:r>
              <w:rPr>
                <w:b/>
              </w:rPr>
              <w:t>4</w:t>
            </w:r>
            <w:r w:rsidRPr="00883953">
              <w:rPr>
                <w:b/>
              </w:rPr>
              <w:t xml:space="preserve"> September 202</w:t>
            </w:r>
            <w:r>
              <w:rPr>
                <w:b/>
              </w:rPr>
              <w:t>1</w:t>
            </w:r>
          </w:p>
        </w:tc>
      </w:tr>
      <w:tr w:rsidR="00373106" w:rsidRPr="00883953" w14:paraId="56C666D7" w14:textId="77777777" w:rsidTr="00373106">
        <w:tc>
          <w:tcPr>
            <w:tcW w:w="4800" w:type="dxa"/>
            <w:tcBorders>
              <w:bottom w:val="single" w:sz="4" w:space="0" w:color="auto"/>
            </w:tcBorders>
          </w:tcPr>
          <w:p w14:paraId="75ACFE36" w14:textId="77777777" w:rsidR="00FF1E44" w:rsidRPr="00883953" w:rsidRDefault="00FF1E44" w:rsidP="008F5708">
            <w:pPr>
              <w:pStyle w:val="BodyText"/>
              <w:rPr>
                <w:b/>
              </w:rPr>
            </w:pPr>
          </w:p>
        </w:tc>
        <w:tc>
          <w:tcPr>
            <w:tcW w:w="1344" w:type="dxa"/>
            <w:tcBorders>
              <w:bottom w:val="single" w:sz="4" w:space="0" w:color="auto"/>
            </w:tcBorders>
          </w:tcPr>
          <w:p w14:paraId="08A144F2" w14:textId="77777777" w:rsidR="00FF1E44" w:rsidRPr="00883953" w:rsidRDefault="00FF1E44" w:rsidP="008F5708">
            <w:pPr>
              <w:pStyle w:val="BodyText"/>
              <w:jc w:val="right"/>
              <w:rPr>
                <w:b/>
              </w:rPr>
            </w:pPr>
            <w:r w:rsidRPr="00883953">
              <w:rPr>
                <w:b/>
              </w:rPr>
              <w:t>£m</w:t>
            </w:r>
          </w:p>
        </w:tc>
        <w:tc>
          <w:tcPr>
            <w:tcW w:w="1343" w:type="dxa"/>
            <w:tcBorders>
              <w:bottom w:val="single" w:sz="4" w:space="0" w:color="auto"/>
            </w:tcBorders>
          </w:tcPr>
          <w:p w14:paraId="2DDEBDF9" w14:textId="77777777" w:rsidR="00FF1E44" w:rsidRPr="00883953" w:rsidRDefault="00FF1E44" w:rsidP="008F5708">
            <w:pPr>
              <w:pStyle w:val="BodyText"/>
              <w:jc w:val="right"/>
              <w:rPr>
                <w:b/>
              </w:rPr>
            </w:pPr>
            <w:r w:rsidRPr="00883953">
              <w:rPr>
                <w:b/>
              </w:rPr>
              <w:t>£m</w:t>
            </w:r>
          </w:p>
        </w:tc>
        <w:tc>
          <w:tcPr>
            <w:tcW w:w="1345" w:type="dxa"/>
            <w:tcBorders>
              <w:bottom w:val="single" w:sz="4" w:space="0" w:color="auto"/>
            </w:tcBorders>
          </w:tcPr>
          <w:p w14:paraId="552ACCED" w14:textId="77777777" w:rsidR="00FF1E44" w:rsidRPr="00883953" w:rsidRDefault="00FF1E44" w:rsidP="008F5708">
            <w:pPr>
              <w:pStyle w:val="BodyText"/>
              <w:jc w:val="right"/>
              <w:rPr>
                <w:b/>
              </w:rPr>
            </w:pPr>
            <w:r w:rsidRPr="00883953">
              <w:rPr>
                <w:b/>
              </w:rPr>
              <w:t>£m</w:t>
            </w:r>
          </w:p>
        </w:tc>
        <w:tc>
          <w:tcPr>
            <w:tcW w:w="1345" w:type="dxa"/>
            <w:tcBorders>
              <w:bottom w:val="single" w:sz="4" w:space="0" w:color="auto"/>
            </w:tcBorders>
          </w:tcPr>
          <w:p w14:paraId="66048746" w14:textId="77777777" w:rsidR="00FF1E44" w:rsidRPr="00883953" w:rsidRDefault="00FF1E44" w:rsidP="008F5708">
            <w:pPr>
              <w:pStyle w:val="BodyText"/>
              <w:jc w:val="right"/>
              <w:rPr>
                <w:b/>
              </w:rPr>
            </w:pPr>
            <w:r w:rsidRPr="00883953">
              <w:rPr>
                <w:b/>
              </w:rPr>
              <w:t>£m</w:t>
            </w:r>
          </w:p>
        </w:tc>
      </w:tr>
      <w:tr w:rsidR="00373106" w:rsidRPr="004B097D" w14:paraId="32D57A68" w14:textId="77777777" w:rsidTr="008E109E">
        <w:tc>
          <w:tcPr>
            <w:tcW w:w="4800" w:type="dxa"/>
            <w:tcBorders>
              <w:top w:val="single" w:sz="4" w:space="0" w:color="auto"/>
            </w:tcBorders>
          </w:tcPr>
          <w:p w14:paraId="14641ADA" w14:textId="77777777" w:rsidR="00373106" w:rsidRDefault="00373106" w:rsidP="00373106">
            <w:pPr>
              <w:pStyle w:val="BodyText"/>
            </w:pPr>
            <w:r>
              <w:t>Bank borrowings</w:t>
            </w:r>
          </w:p>
        </w:tc>
        <w:tc>
          <w:tcPr>
            <w:tcW w:w="1344" w:type="dxa"/>
            <w:tcBorders>
              <w:top w:val="single" w:sz="4" w:space="0" w:color="auto"/>
            </w:tcBorders>
          </w:tcPr>
          <w:p w14:paraId="5F66E161" w14:textId="77777777" w:rsidR="00373106" w:rsidRPr="004B097D" w:rsidRDefault="00373106" w:rsidP="00373106">
            <w:pPr>
              <w:pStyle w:val="BodyText"/>
              <w:jc w:val="right"/>
              <w:rPr>
                <w:b/>
              </w:rPr>
            </w:pPr>
            <w:r w:rsidRPr="004B097D">
              <w:rPr>
                <w:b/>
              </w:rPr>
              <w:t>(2</w:t>
            </w:r>
            <w:r>
              <w:rPr>
                <w:b/>
              </w:rPr>
              <w:t>83.5</w:t>
            </w:r>
            <w:r w:rsidRPr="004B097D">
              <w:rPr>
                <w:b/>
              </w:rPr>
              <w:t>)</w:t>
            </w:r>
          </w:p>
        </w:tc>
        <w:tc>
          <w:tcPr>
            <w:tcW w:w="1343" w:type="dxa"/>
            <w:tcBorders>
              <w:top w:val="single" w:sz="4" w:space="0" w:color="auto"/>
            </w:tcBorders>
          </w:tcPr>
          <w:p w14:paraId="08E12B52" w14:textId="77777777" w:rsidR="00373106" w:rsidRPr="004B097D" w:rsidRDefault="00373106" w:rsidP="00373106">
            <w:pPr>
              <w:pStyle w:val="BodyText"/>
              <w:jc w:val="right"/>
              <w:rPr>
                <w:b/>
              </w:rPr>
            </w:pPr>
            <w:r>
              <w:rPr>
                <w:b/>
              </w:rPr>
              <w:t>130.9</w:t>
            </w:r>
          </w:p>
        </w:tc>
        <w:tc>
          <w:tcPr>
            <w:tcW w:w="1345" w:type="dxa"/>
            <w:tcBorders>
              <w:top w:val="single" w:sz="4" w:space="0" w:color="auto"/>
            </w:tcBorders>
          </w:tcPr>
          <w:p w14:paraId="41479D8A" w14:textId="77777777" w:rsidR="00373106" w:rsidRPr="004B097D" w:rsidRDefault="00373106" w:rsidP="00373106">
            <w:pPr>
              <w:pStyle w:val="BodyText"/>
              <w:jc w:val="right"/>
              <w:rPr>
                <w:b/>
              </w:rPr>
            </w:pPr>
            <w:r>
              <w:rPr>
                <w:b/>
              </w:rPr>
              <w:t>2.5</w:t>
            </w:r>
          </w:p>
        </w:tc>
        <w:tc>
          <w:tcPr>
            <w:tcW w:w="1345" w:type="dxa"/>
            <w:tcBorders>
              <w:top w:val="single" w:sz="4" w:space="0" w:color="auto"/>
            </w:tcBorders>
          </w:tcPr>
          <w:p w14:paraId="73738C2C" w14:textId="77777777" w:rsidR="00373106" w:rsidRPr="004B097D" w:rsidRDefault="00373106" w:rsidP="00373106">
            <w:pPr>
              <w:pStyle w:val="BodyText"/>
              <w:jc w:val="right"/>
              <w:rPr>
                <w:b/>
              </w:rPr>
            </w:pPr>
            <w:r w:rsidRPr="004B097D">
              <w:rPr>
                <w:b/>
              </w:rPr>
              <w:t>(</w:t>
            </w:r>
            <w:r>
              <w:rPr>
                <w:b/>
              </w:rPr>
              <w:t>150.1</w:t>
            </w:r>
            <w:r w:rsidRPr="004B097D">
              <w:rPr>
                <w:b/>
              </w:rPr>
              <w:t>)</w:t>
            </w:r>
          </w:p>
        </w:tc>
      </w:tr>
      <w:tr w:rsidR="00373106" w:rsidRPr="004B097D" w14:paraId="26893391" w14:textId="77777777" w:rsidTr="008F5708">
        <w:tc>
          <w:tcPr>
            <w:tcW w:w="4800" w:type="dxa"/>
          </w:tcPr>
          <w:p w14:paraId="42C5BC86" w14:textId="77777777" w:rsidR="00373106" w:rsidRDefault="00373106" w:rsidP="008F5708">
            <w:pPr>
              <w:pStyle w:val="BodyText"/>
            </w:pPr>
            <w:r>
              <w:t>Private Placement Notes</w:t>
            </w:r>
          </w:p>
        </w:tc>
        <w:tc>
          <w:tcPr>
            <w:tcW w:w="1344" w:type="dxa"/>
          </w:tcPr>
          <w:p w14:paraId="36DE4B3B" w14:textId="77777777" w:rsidR="00373106" w:rsidRPr="004B097D" w:rsidRDefault="00373106" w:rsidP="008F5708">
            <w:pPr>
              <w:pStyle w:val="BodyText"/>
              <w:jc w:val="right"/>
              <w:rPr>
                <w:b/>
              </w:rPr>
            </w:pPr>
            <w:r w:rsidRPr="004B097D">
              <w:rPr>
                <w:b/>
              </w:rPr>
              <w:t>(1</w:t>
            </w:r>
            <w:r>
              <w:rPr>
                <w:b/>
              </w:rPr>
              <w:t>14.0</w:t>
            </w:r>
            <w:r w:rsidRPr="004B097D">
              <w:rPr>
                <w:b/>
              </w:rPr>
              <w:t>)</w:t>
            </w:r>
          </w:p>
        </w:tc>
        <w:tc>
          <w:tcPr>
            <w:tcW w:w="1343" w:type="dxa"/>
          </w:tcPr>
          <w:p w14:paraId="08F8D527" w14:textId="77777777" w:rsidR="00373106" w:rsidRPr="004B097D" w:rsidRDefault="00373106" w:rsidP="008F5708">
            <w:pPr>
              <w:pStyle w:val="BodyText"/>
              <w:jc w:val="right"/>
              <w:rPr>
                <w:b/>
              </w:rPr>
            </w:pPr>
            <w:r w:rsidRPr="004B097D">
              <w:rPr>
                <w:b/>
                <w:bCs/>
              </w:rPr>
              <w:t>–</w:t>
            </w:r>
          </w:p>
        </w:tc>
        <w:tc>
          <w:tcPr>
            <w:tcW w:w="1345" w:type="dxa"/>
          </w:tcPr>
          <w:p w14:paraId="4D15EDEB" w14:textId="77777777" w:rsidR="00373106" w:rsidRPr="004B097D" w:rsidRDefault="00373106" w:rsidP="008F5708">
            <w:pPr>
              <w:pStyle w:val="BodyText"/>
              <w:jc w:val="right"/>
              <w:rPr>
                <w:b/>
              </w:rPr>
            </w:pPr>
            <w:r>
              <w:rPr>
                <w:b/>
              </w:rPr>
              <w:t>7.4</w:t>
            </w:r>
          </w:p>
        </w:tc>
        <w:tc>
          <w:tcPr>
            <w:tcW w:w="1345" w:type="dxa"/>
          </w:tcPr>
          <w:p w14:paraId="5D55256A" w14:textId="77777777" w:rsidR="00373106" w:rsidRPr="004B097D" w:rsidRDefault="00373106" w:rsidP="008F5708">
            <w:pPr>
              <w:pStyle w:val="BodyText"/>
              <w:jc w:val="right"/>
              <w:rPr>
                <w:b/>
              </w:rPr>
            </w:pPr>
            <w:r w:rsidRPr="004B097D">
              <w:rPr>
                <w:b/>
              </w:rPr>
              <w:t>(</w:t>
            </w:r>
            <w:r>
              <w:rPr>
                <w:b/>
              </w:rPr>
              <w:t>106.6</w:t>
            </w:r>
            <w:r w:rsidRPr="004B097D">
              <w:rPr>
                <w:b/>
              </w:rPr>
              <w:t>)</w:t>
            </w:r>
          </w:p>
        </w:tc>
      </w:tr>
      <w:tr w:rsidR="00373106" w:rsidRPr="004B097D" w14:paraId="470812C2" w14:textId="77777777" w:rsidTr="00373106">
        <w:tc>
          <w:tcPr>
            <w:tcW w:w="4800" w:type="dxa"/>
          </w:tcPr>
          <w:p w14:paraId="788C1644" w14:textId="77777777" w:rsidR="00373106" w:rsidRDefault="00373106" w:rsidP="00373106">
            <w:pPr>
              <w:pStyle w:val="BodyText"/>
            </w:pPr>
            <w:r>
              <w:t>Lease liabilities</w:t>
            </w:r>
          </w:p>
        </w:tc>
        <w:tc>
          <w:tcPr>
            <w:tcW w:w="1344" w:type="dxa"/>
          </w:tcPr>
          <w:p w14:paraId="313F31AE" w14:textId="77777777" w:rsidR="00373106" w:rsidRPr="004B097D" w:rsidRDefault="00373106" w:rsidP="00373106">
            <w:pPr>
              <w:pStyle w:val="BodyText"/>
              <w:jc w:val="right"/>
              <w:rPr>
                <w:b/>
              </w:rPr>
            </w:pPr>
            <w:r>
              <w:rPr>
                <w:b/>
                <w:bCs/>
              </w:rPr>
              <w:t>(60.7)</w:t>
            </w:r>
          </w:p>
        </w:tc>
        <w:tc>
          <w:tcPr>
            <w:tcW w:w="1343" w:type="dxa"/>
          </w:tcPr>
          <w:p w14:paraId="6061A72B" w14:textId="77777777" w:rsidR="00373106" w:rsidRPr="004B097D" w:rsidRDefault="00373106" w:rsidP="00373106">
            <w:pPr>
              <w:pStyle w:val="BodyText"/>
              <w:jc w:val="right"/>
              <w:rPr>
                <w:b/>
              </w:rPr>
            </w:pPr>
            <w:r>
              <w:rPr>
                <w:b/>
              </w:rPr>
              <w:t>15.6</w:t>
            </w:r>
          </w:p>
        </w:tc>
        <w:tc>
          <w:tcPr>
            <w:tcW w:w="1345" w:type="dxa"/>
          </w:tcPr>
          <w:p w14:paraId="1D56F6FD" w14:textId="77777777" w:rsidR="00373106" w:rsidRPr="004B097D" w:rsidRDefault="00373106" w:rsidP="00373106">
            <w:pPr>
              <w:pStyle w:val="BodyText"/>
              <w:jc w:val="right"/>
              <w:rPr>
                <w:b/>
              </w:rPr>
            </w:pPr>
            <w:r w:rsidRPr="004B097D">
              <w:rPr>
                <w:b/>
              </w:rPr>
              <w:t>(</w:t>
            </w:r>
            <w:r>
              <w:rPr>
                <w:b/>
              </w:rPr>
              <w:t>14.5</w:t>
            </w:r>
            <w:r w:rsidRPr="004B097D">
              <w:rPr>
                <w:b/>
              </w:rPr>
              <w:t>)</w:t>
            </w:r>
          </w:p>
        </w:tc>
        <w:tc>
          <w:tcPr>
            <w:tcW w:w="1345" w:type="dxa"/>
          </w:tcPr>
          <w:p w14:paraId="2C4DFDA3" w14:textId="77777777" w:rsidR="00373106" w:rsidRPr="004B097D" w:rsidRDefault="00373106" w:rsidP="00373106">
            <w:pPr>
              <w:pStyle w:val="BodyText"/>
              <w:jc w:val="right"/>
              <w:rPr>
                <w:b/>
              </w:rPr>
            </w:pPr>
            <w:r w:rsidRPr="004B097D">
              <w:rPr>
                <w:b/>
              </w:rPr>
              <w:t>(</w:t>
            </w:r>
            <w:r>
              <w:rPr>
                <w:b/>
              </w:rPr>
              <w:t>59.6</w:t>
            </w:r>
            <w:r w:rsidRPr="004B097D">
              <w:rPr>
                <w:b/>
              </w:rPr>
              <w:t>)</w:t>
            </w:r>
          </w:p>
        </w:tc>
      </w:tr>
      <w:tr w:rsidR="00373106" w:rsidRPr="004B097D" w14:paraId="653F9D38" w14:textId="77777777" w:rsidTr="00373106">
        <w:tc>
          <w:tcPr>
            <w:tcW w:w="4800" w:type="dxa"/>
            <w:tcBorders>
              <w:top w:val="single" w:sz="4" w:space="0" w:color="auto"/>
              <w:bottom w:val="single" w:sz="4" w:space="0" w:color="auto"/>
            </w:tcBorders>
          </w:tcPr>
          <w:p w14:paraId="1BC46D54" w14:textId="77777777" w:rsidR="00FF1E44" w:rsidRPr="005771B0" w:rsidRDefault="00373106" w:rsidP="008F5708">
            <w:pPr>
              <w:pStyle w:val="BodyText"/>
              <w:rPr>
                <w:b/>
              </w:rPr>
            </w:pPr>
            <w:r>
              <w:rPr>
                <w:b/>
              </w:rPr>
              <w:t>Total changes in liabilities arising from financing activities</w:t>
            </w:r>
          </w:p>
        </w:tc>
        <w:tc>
          <w:tcPr>
            <w:tcW w:w="1344" w:type="dxa"/>
            <w:tcBorders>
              <w:top w:val="single" w:sz="4" w:space="0" w:color="auto"/>
              <w:bottom w:val="single" w:sz="4" w:space="0" w:color="auto"/>
            </w:tcBorders>
          </w:tcPr>
          <w:p w14:paraId="59A2E29E" w14:textId="77777777" w:rsidR="00FF1E44" w:rsidRPr="004B097D" w:rsidRDefault="00FF1E44" w:rsidP="008F5708">
            <w:pPr>
              <w:pStyle w:val="BodyText"/>
              <w:jc w:val="right"/>
              <w:rPr>
                <w:b/>
                <w:bCs/>
              </w:rPr>
            </w:pPr>
            <w:r>
              <w:rPr>
                <w:b/>
                <w:bCs/>
              </w:rPr>
              <w:t>(</w:t>
            </w:r>
            <w:r w:rsidR="00373106">
              <w:rPr>
                <w:b/>
                <w:bCs/>
              </w:rPr>
              <w:t>458.2</w:t>
            </w:r>
            <w:r>
              <w:rPr>
                <w:b/>
                <w:bCs/>
              </w:rPr>
              <w:t>)</w:t>
            </w:r>
          </w:p>
        </w:tc>
        <w:tc>
          <w:tcPr>
            <w:tcW w:w="1343" w:type="dxa"/>
            <w:tcBorders>
              <w:top w:val="single" w:sz="4" w:space="0" w:color="auto"/>
              <w:bottom w:val="single" w:sz="4" w:space="0" w:color="auto"/>
            </w:tcBorders>
          </w:tcPr>
          <w:p w14:paraId="58DC9C97" w14:textId="77777777" w:rsidR="00FF1E44" w:rsidRPr="004B097D" w:rsidRDefault="00373106" w:rsidP="008F5708">
            <w:pPr>
              <w:pStyle w:val="BodyText"/>
              <w:jc w:val="right"/>
              <w:rPr>
                <w:b/>
              </w:rPr>
            </w:pPr>
            <w:r>
              <w:rPr>
                <w:b/>
              </w:rPr>
              <w:t>146.5</w:t>
            </w:r>
          </w:p>
        </w:tc>
        <w:tc>
          <w:tcPr>
            <w:tcW w:w="1345" w:type="dxa"/>
            <w:tcBorders>
              <w:top w:val="single" w:sz="4" w:space="0" w:color="auto"/>
              <w:bottom w:val="single" w:sz="4" w:space="0" w:color="auto"/>
            </w:tcBorders>
          </w:tcPr>
          <w:p w14:paraId="22703ADA" w14:textId="77777777" w:rsidR="00FF1E44" w:rsidRPr="004B097D" w:rsidRDefault="00373106" w:rsidP="008F5708">
            <w:pPr>
              <w:pStyle w:val="BodyText"/>
              <w:jc w:val="right"/>
              <w:rPr>
                <w:b/>
              </w:rPr>
            </w:pPr>
            <w:r>
              <w:rPr>
                <w:b/>
              </w:rPr>
              <w:t>(4.6)</w:t>
            </w:r>
          </w:p>
        </w:tc>
        <w:tc>
          <w:tcPr>
            <w:tcW w:w="1345" w:type="dxa"/>
            <w:tcBorders>
              <w:top w:val="single" w:sz="4" w:space="0" w:color="auto"/>
              <w:bottom w:val="single" w:sz="4" w:space="0" w:color="auto"/>
            </w:tcBorders>
          </w:tcPr>
          <w:p w14:paraId="468E898C" w14:textId="77777777" w:rsidR="00FF1E44" w:rsidRPr="004B097D" w:rsidRDefault="00FF1E44" w:rsidP="008F5708">
            <w:pPr>
              <w:pStyle w:val="BodyText"/>
              <w:jc w:val="right"/>
              <w:rPr>
                <w:b/>
              </w:rPr>
            </w:pPr>
            <w:r>
              <w:rPr>
                <w:b/>
              </w:rPr>
              <w:t>(</w:t>
            </w:r>
            <w:r w:rsidR="00373106">
              <w:rPr>
                <w:b/>
              </w:rPr>
              <w:t>316.3</w:t>
            </w:r>
            <w:r>
              <w:rPr>
                <w:b/>
              </w:rPr>
              <w:t>)</w:t>
            </w:r>
          </w:p>
        </w:tc>
      </w:tr>
      <w:tr w:rsidR="00373106" w:rsidRPr="004B097D" w14:paraId="52B8C20F" w14:textId="77777777" w:rsidTr="00373106">
        <w:tc>
          <w:tcPr>
            <w:tcW w:w="4800" w:type="dxa"/>
            <w:tcBorders>
              <w:bottom w:val="single" w:sz="4" w:space="0" w:color="auto"/>
            </w:tcBorders>
          </w:tcPr>
          <w:p w14:paraId="547F539F" w14:textId="77777777" w:rsidR="00FF1E44" w:rsidRDefault="00373106" w:rsidP="008F5708">
            <w:pPr>
              <w:pStyle w:val="BodyText"/>
            </w:pPr>
            <w:r>
              <w:t>Cash and cash equivalents and bank overdrafts</w:t>
            </w:r>
          </w:p>
        </w:tc>
        <w:tc>
          <w:tcPr>
            <w:tcW w:w="1344" w:type="dxa"/>
            <w:tcBorders>
              <w:bottom w:val="single" w:sz="4" w:space="0" w:color="auto"/>
            </w:tcBorders>
          </w:tcPr>
          <w:p w14:paraId="33B7D247" w14:textId="77777777" w:rsidR="00FF1E44" w:rsidRPr="004B097D" w:rsidRDefault="00373106" w:rsidP="008F5708">
            <w:pPr>
              <w:pStyle w:val="BodyText"/>
              <w:jc w:val="right"/>
              <w:rPr>
                <w:b/>
              </w:rPr>
            </w:pPr>
            <w:r>
              <w:rPr>
                <w:b/>
                <w:bCs/>
              </w:rPr>
              <w:t>47.0</w:t>
            </w:r>
          </w:p>
        </w:tc>
        <w:tc>
          <w:tcPr>
            <w:tcW w:w="1343" w:type="dxa"/>
            <w:tcBorders>
              <w:bottom w:val="single" w:sz="4" w:space="0" w:color="auto"/>
            </w:tcBorders>
          </w:tcPr>
          <w:p w14:paraId="2E0ACDA1" w14:textId="77777777" w:rsidR="00FF1E44" w:rsidRPr="004B097D" w:rsidRDefault="00373106" w:rsidP="008F5708">
            <w:pPr>
              <w:pStyle w:val="BodyText"/>
              <w:jc w:val="right"/>
              <w:rPr>
                <w:b/>
              </w:rPr>
            </w:pPr>
            <w:r>
              <w:rPr>
                <w:b/>
              </w:rPr>
              <w:t>27.0</w:t>
            </w:r>
          </w:p>
        </w:tc>
        <w:tc>
          <w:tcPr>
            <w:tcW w:w="1345" w:type="dxa"/>
            <w:tcBorders>
              <w:bottom w:val="single" w:sz="4" w:space="0" w:color="auto"/>
            </w:tcBorders>
          </w:tcPr>
          <w:p w14:paraId="6F7F592D" w14:textId="77777777" w:rsidR="00FF1E44" w:rsidRPr="004B097D" w:rsidRDefault="00373106" w:rsidP="008F5708">
            <w:pPr>
              <w:pStyle w:val="BodyText"/>
              <w:jc w:val="right"/>
              <w:rPr>
                <w:b/>
              </w:rPr>
            </w:pPr>
            <w:r>
              <w:rPr>
                <w:b/>
              </w:rPr>
              <w:t>(0.4)</w:t>
            </w:r>
          </w:p>
        </w:tc>
        <w:tc>
          <w:tcPr>
            <w:tcW w:w="1345" w:type="dxa"/>
            <w:tcBorders>
              <w:bottom w:val="single" w:sz="4" w:space="0" w:color="auto"/>
            </w:tcBorders>
          </w:tcPr>
          <w:p w14:paraId="038CFC54" w14:textId="77777777" w:rsidR="00FF1E44" w:rsidRPr="004B097D" w:rsidRDefault="00373106" w:rsidP="008F5708">
            <w:pPr>
              <w:pStyle w:val="BodyText"/>
              <w:jc w:val="right"/>
              <w:rPr>
                <w:b/>
              </w:rPr>
            </w:pPr>
            <w:r>
              <w:rPr>
                <w:b/>
              </w:rPr>
              <w:t>73.6</w:t>
            </w:r>
          </w:p>
        </w:tc>
      </w:tr>
      <w:tr w:rsidR="00373106" w:rsidRPr="004B097D" w14:paraId="1F24A4F8" w14:textId="77777777" w:rsidTr="00373106">
        <w:tc>
          <w:tcPr>
            <w:tcW w:w="4800" w:type="dxa"/>
            <w:tcBorders>
              <w:top w:val="single" w:sz="4" w:space="0" w:color="auto"/>
              <w:bottom w:val="single" w:sz="4" w:space="0" w:color="auto"/>
            </w:tcBorders>
          </w:tcPr>
          <w:p w14:paraId="14F9A559" w14:textId="77777777" w:rsidR="00FF1E44" w:rsidRPr="00883953" w:rsidRDefault="00FF1E44" w:rsidP="008F5708">
            <w:pPr>
              <w:pStyle w:val="BodyText"/>
              <w:rPr>
                <w:b/>
              </w:rPr>
            </w:pPr>
            <w:r w:rsidRPr="00883953">
              <w:rPr>
                <w:b/>
              </w:rPr>
              <w:t>Net Debt</w:t>
            </w:r>
          </w:p>
        </w:tc>
        <w:tc>
          <w:tcPr>
            <w:tcW w:w="1344" w:type="dxa"/>
            <w:tcBorders>
              <w:top w:val="single" w:sz="4" w:space="0" w:color="auto"/>
              <w:bottom w:val="single" w:sz="4" w:space="0" w:color="auto"/>
            </w:tcBorders>
          </w:tcPr>
          <w:p w14:paraId="48491063" w14:textId="77777777" w:rsidR="00FF1E44" w:rsidRPr="004B097D" w:rsidRDefault="00FF1E44" w:rsidP="008F5708">
            <w:pPr>
              <w:pStyle w:val="BodyText"/>
              <w:jc w:val="right"/>
              <w:rPr>
                <w:b/>
              </w:rPr>
            </w:pPr>
            <w:r w:rsidRPr="004B097D">
              <w:rPr>
                <w:b/>
              </w:rPr>
              <w:t>(</w:t>
            </w:r>
            <w:r>
              <w:rPr>
                <w:b/>
              </w:rPr>
              <w:t>411.2</w:t>
            </w:r>
            <w:r w:rsidRPr="004B097D">
              <w:rPr>
                <w:b/>
              </w:rPr>
              <w:t>)</w:t>
            </w:r>
          </w:p>
        </w:tc>
        <w:tc>
          <w:tcPr>
            <w:tcW w:w="1343" w:type="dxa"/>
            <w:tcBorders>
              <w:top w:val="single" w:sz="4" w:space="0" w:color="auto"/>
              <w:bottom w:val="single" w:sz="4" w:space="0" w:color="auto"/>
            </w:tcBorders>
          </w:tcPr>
          <w:p w14:paraId="360683A0" w14:textId="77777777" w:rsidR="00FF1E44" w:rsidRPr="004B097D" w:rsidRDefault="00FF1E44" w:rsidP="008F5708">
            <w:pPr>
              <w:pStyle w:val="BodyText"/>
              <w:jc w:val="right"/>
              <w:rPr>
                <w:b/>
              </w:rPr>
            </w:pPr>
            <w:r>
              <w:rPr>
                <w:b/>
              </w:rPr>
              <w:t>173.5</w:t>
            </w:r>
          </w:p>
        </w:tc>
        <w:tc>
          <w:tcPr>
            <w:tcW w:w="1345" w:type="dxa"/>
            <w:tcBorders>
              <w:top w:val="single" w:sz="4" w:space="0" w:color="auto"/>
              <w:bottom w:val="single" w:sz="4" w:space="0" w:color="auto"/>
            </w:tcBorders>
          </w:tcPr>
          <w:p w14:paraId="32F46CEA" w14:textId="77777777" w:rsidR="00FF1E44" w:rsidRPr="004B097D" w:rsidRDefault="00FF1E44" w:rsidP="008F5708">
            <w:pPr>
              <w:pStyle w:val="BodyText"/>
              <w:jc w:val="right"/>
              <w:rPr>
                <w:b/>
              </w:rPr>
            </w:pPr>
            <w:r w:rsidRPr="004B097D">
              <w:rPr>
                <w:b/>
              </w:rPr>
              <w:t>(</w:t>
            </w:r>
            <w:r>
              <w:rPr>
                <w:b/>
              </w:rPr>
              <w:t>5.0</w:t>
            </w:r>
            <w:r w:rsidRPr="004B097D">
              <w:rPr>
                <w:b/>
              </w:rPr>
              <w:t>)</w:t>
            </w:r>
          </w:p>
        </w:tc>
        <w:tc>
          <w:tcPr>
            <w:tcW w:w="1345" w:type="dxa"/>
            <w:tcBorders>
              <w:top w:val="single" w:sz="4" w:space="0" w:color="auto"/>
              <w:bottom w:val="single" w:sz="4" w:space="0" w:color="auto"/>
            </w:tcBorders>
          </w:tcPr>
          <w:p w14:paraId="6603140A" w14:textId="77777777" w:rsidR="00FF1E44" w:rsidRPr="004B097D" w:rsidRDefault="00FF1E44" w:rsidP="008F5708">
            <w:pPr>
              <w:pStyle w:val="BodyText"/>
              <w:jc w:val="right"/>
              <w:rPr>
                <w:b/>
              </w:rPr>
            </w:pPr>
            <w:r w:rsidRPr="004B097D">
              <w:rPr>
                <w:b/>
              </w:rPr>
              <w:t>(</w:t>
            </w:r>
            <w:r>
              <w:rPr>
                <w:b/>
              </w:rPr>
              <w:t>242.7</w:t>
            </w:r>
            <w:r w:rsidRPr="004B097D">
              <w:rPr>
                <w:b/>
              </w:rPr>
              <w:t>)</w:t>
            </w:r>
          </w:p>
        </w:tc>
      </w:tr>
    </w:tbl>
    <w:p w14:paraId="5BD96FB2" w14:textId="77777777" w:rsidR="00E61B08" w:rsidRDefault="00E61B08" w:rsidP="005B36AA">
      <w:pPr>
        <w:spacing w:after="120"/>
        <w:jc w:val="both"/>
        <w:rPr>
          <w:sz w:val="18"/>
          <w:szCs w:val="18"/>
        </w:rPr>
      </w:pPr>
    </w:p>
    <w:p w14:paraId="4650C882" w14:textId="77777777" w:rsidR="00373106" w:rsidRDefault="00373106" w:rsidP="005B36AA">
      <w:pPr>
        <w:spacing w:after="120"/>
        <w:jc w:val="both"/>
        <w:rPr>
          <w:sz w:val="18"/>
          <w:szCs w:val="18"/>
        </w:rPr>
      </w:pPr>
      <w:r>
        <w:rPr>
          <w:sz w:val="18"/>
          <w:szCs w:val="18"/>
        </w:rPr>
        <w:t>Net debt excluding the impact of lease liabilities is used by the Group for the purpose of calculating leverage under the Group’s financing agreements. The movement in net debt excluding lease liabilities represents a decrease in net debt of £167.4</w:t>
      </w:r>
      <w:r w:rsidR="00112F16">
        <w:rPr>
          <w:sz w:val="18"/>
          <w:szCs w:val="18"/>
        </w:rPr>
        <w:t>m</w:t>
      </w:r>
      <w:r>
        <w:rPr>
          <w:sz w:val="18"/>
          <w:szCs w:val="18"/>
        </w:rPr>
        <w:t xml:space="preserve"> </w:t>
      </w:r>
      <w:r w:rsidR="001118CD">
        <w:rPr>
          <w:sz w:val="18"/>
          <w:szCs w:val="18"/>
        </w:rPr>
        <w:t>to £183.1m</w:t>
      </w:r>
      <w:r w:rsidR="00550751">
        <w:rPr>
          <w:sz w:val="18"/>
          <w:szCs w:val="18"/>
        </w:rPr>
        <w:t xml:space="preserve"> at 24 September 2021</w:t>
      </w:r>
      <w:r w:rsidR="001118CD">
        <w:rPr>
          <w:sz w:val="18"/>
          <w:szCs w:val="18"/>
        </w:rPr>
        <w:t xml:space="preserve"> </w:t>
      </w:r>
      <w:r>
        <w:rPr>
          <w:sz w:val="18"/>
          <w:szCs w:val="18"/>
        </w:rPr>
        <w:t xml:space="preserve">and is set out in the Alternative Performance Measures section of this Results Statement on page </w:t>
      </w:r>
      <w:r w:rsidR="006A5F0C">
        <w:rPr>
          <w:sz w:val="18"/>
          <w:szCs w:val="18"/>
        </w:rPr>
        <w:t>23</w:t>
      </w:r>
      <w:r>
        <w:rPr>
          <w:sz w:val="18"/>
          <w:szCs w:val="18"/>
        </w:rPr>
        <w:t xml:space="preserve">.  </w:t>
      </w:r>
    </w:p>
    <w:p w14:paraId="2428FBA5" w14:textId="77777777" w:rsidR="00CE1D63" w:rsidRPr="001778ED" w:rsidRDefault="00CE1D63" w:rsidP="00CE1D63">
      <w:pPr>
        <w:rPr>
          <w:b/>
          <w:bCs/>
          <w:sz w:val="18"/>
          <w:szCs w:val="18"/>
        </w:rPr>
      </w:pPr>
      <w:r w:rsidRPr="001778ED">
        <w:rPr>
          <w:b/>
          <w:bCs/>
          <w:sz w:val="18"/>
          <w:szCs w:val="18"/>
        </w:rPr>
        <w:t>Covenants</w:t>
      </w:r>
    </w:p>
    <w:p w14:paraId="534AA94E" w14:textId="3B547ACD" w:rsidR="00CE1D63" w:rsidRDefault="00CE1D63" w:rsidP="00CE1D63">
      <w:pPr>
        <w:spacing w:after="120"/>
        <w:jc w:val="both"/>
        <w:rPr>
          <w:sz w:val="18"/>
          <w:szCs w:val="18"/>
        </w:rPr>
      </w:pPr>
      <w:r>
        <w:rPr>
          <w:sz w:val="18"/>
          <w:szCs w:val="18"/>
        </w:rPr>
        <w:t xml:space="preserve">The Group secured agreement with its bank lending syndicate and Private Placement Noteholders to waive the Net Debt to EBITDA covenant condition for the March 2021 </w:t>
      </w:r>
      <w:r w:rsidR="00BC4226">
        <w:rPr>
          <w:sz w:val="18"/>
          <w:szCs w:val="18"/>
        </w:rPr>
        <w:t xml:space="preserve">test period </w:t>
      </w:r>
      <w:r>
        <w:rPr>
          <w:sz w:val="18"/>
          <w:szCs w:val="18"/>
        </w:rPr>
        <w:t xml:space="preserve">and amend the Net Debt to EBITDA covenant condition for the June 2021 test period. There was a return to normal operating covenant conditions at September 2021 and the Group </w:t>
      </w:r>
      <w:r w:rsidR="00BC4226">
        <w:rPr>
          <w:sz w:val="18"/>
          <w:szCs w:val="18"/>
        </w:rPr>
        <w:t>was</w:t>
      </w:r>
      <w:r>
        <w:rPr>
          <w:sz w:val="18"/>
          <w:szCs w:val="18"/>
        </w:rPr>
        <w:t xml:space="preserve"> in compliance with all conditions.</w:t>
      </w:r>
    </w:p>
    <w:p w14:paraId="724DF04C" w14:textId="77777777" w:rsidR="00C55CEF" w:rsidRDefault="00373106" w:rsidP="005B36AA">
      <w:pPr>
        <w:spacing w:after="120"/>
        <w:jc w:val="both"/>
        <w:rPr>
          <w:b/>
          <w:bCs/>
          <w:sz w:val="18"/>
          <w:szCs w:val="18"/>
        </w:rPr>
      </w:pPr>
      <w:r w:rsidRPr="008E109E">
        <w:rPr>
          <w:b/>
          <w:bCs/>
          <w:sz w:val="18"/>
          <w:szCs w:val="18"/>
        </w:rPr>
        <w:t xml:space="preserve">IBOR </w:t>
      </w:r>
      <w:r w:rsidR="005B20E0">
        <w:rPr>
          <w:b/>
          <w:bCs/>
          <w:sz w:val="18"/>
          <w:szCs w:val="18"/>
        </w:rPr>
        <w:t>Reform – Transition to new benchmark interest rates</w:t>
      </w:r>
    </w:p>
    <w:p w14:paraId="33088115" w14:textId="77777777" w:rsidR="00CE1D63" w:rsidRDefault="005B20E0" w:rsidP="005B36AA">
      <w:pPr>
        <w:spacing w:after="120"/>
        <w:jc w:val="both"/>
        <w:rPr>
          <w:sz w:val="18"/>
          <w:szCs w:val="18"/>
        </w:rPr>
      </w:pPr>
      <w:r w:rsidRPr="008E109E">
        <w:rPr>
          <w:sz w:val="18"/>
          <w:szCs w:val="18"/>
        </w:rPr>
        <w:t xml:space="preserve">In response to the transition to new benchmark interest rates, the Group identified all contracts with reference to LIBOR within the business and appointed a project team to ensure a smooth transition to alternative benchmark rates. To date, the Group has updated all of its floating rate bank borrowing facility agreements to include appropriate transition language from GBP LIBOR to SONIA and closed out all existing GBP LIBOR interest rate swaps (£100.0m) and replaced them with SONIA interest rate swaps (£90.0m). The Group no longer holds any derivatives or hedge relationships that reference LIBOR. </w:t>
      </w:r>
      <w:r w:rsidR="00BC4226">
        <w:rPr>
          <w:sz w:val="18"/>
          <w:szCs w:val="18"/>
        </w:rPr>
        <w:t xml:space="preserve">Furthermore in November 2021, the Group updated all of its floating rate intercompany loan documentation and other committed facilities to allow for transition from LIBOR to SONIA. </w:t>
      </w:r>
      <w:r w:rsidRPr="008E109E">
        <w:rPr>
          <w:sz w:val="18"/>
          <w:szCs w:val="18"/>
        </w:rPr>
        <w:t>The work on transitioning other contracts and arrangements that are linked to LIBOR is ongoing but it expected to complete ahead of the cessation of the publication of LIBOR.</w:t>
      </w:r>
    </w:p>
    <w:p w14:paraId="5302B5DC" w14:textId="77777777" w:rsidR="00455686" w:rsidRDefault="00455686" w:rsidP="008E109E">
      <w:pPr>
        <w:pStyle w:val="Heading2"/>
      </w:pPr>
      <w:r w:rsidRPr="00B01480">
        <w:t>Retirement Benefit Obligations</w:t>
      </w:r>
    </w:p>
    <w:p w14:paraId="2A07A977" w14:textId="77777777" w:rsidR="00455686" w:rsidRPr="00B01480" w:rsidRDefault="00455686" w:rsidP="00CF055B">
      <w:pPr>
        <w:pStyle w:val="Heading2"/>
        <w:numPr>
          <w:ilvl w:val="0"/>
          <w:numId w:val="0"/>
        </w:numPr>
        <w:ind w:left="720"/>
      </w:pPr>
    </w:p>
    <w:p w14:paraId="02FD0D54" w14:textId="77777777" w:rsidR="00455686" w:rsidRDefault="00455686" w:rsidP="00455686">
      <w:pPr>
        <w:pStyle w:val="Paragraph"/>
        <w:spacing w:before="0" w:after="120"/>
        <w:jc w:val="both"/>
      </w:pPr>
      <w:r>
        <w:t>The Group operates three</w:t>
      </w:r>
      <w:r w:rsidRPr="00F91BA7">
        <w:t xml:space="preserve"> legacy defined benefit pension schemes in the Republic of Irel</w:t>
      </w:r>
      <w:r>
        <w:t>and (the ‘Irish schemes’) and one</w:t>
      </w:r>
      <w:r w:rsidRPr="00F91BA7">
        <w:t xml:space="preserve"> legacy defined benefit pension scheme and one legacy defined benefit commitment in the UK (the </w:t>
      </w:r>
      <w:r>
        <w:t>‘</w:t>
      </w:r>
      <w:r w:rsidRPr="00F91BA7">
        <w:t>UK scheme</w:t>
      </w:r>
      <w:r>
        <w:t>s’</w:t>
      </w:r>
      <w:r w:rsidRPr="00F91BA7">
        <w:t xml:space="preserve">). These are all closed to future accrual and </w:t>
      </w:r>
      <w:r w:rsidRPr="00F91BA7">
        <w:lastRenderedPageBreak/>
        <w:t>there is an assumption applied in the valuation of the schemes that there will be no discretionary increases in pension</w:t>
      </w:r>
      <w:r>
        <w:t xml:space="preserve"> </w:t>
      </w:r>
      <w:r w:rsidRPr="00F91BA7">
        <w:t>payment</w:t>
      </w:r>
      <w:r>
        <w:t>s</w:t>
      </w:r>
      <w:r w:rsidRPr="00F91BA7">
        <w:t>. The scheme assets are held in separate Trustee administered funds. The Group continues to seek ways to reduce its liabilities through various restructuring initiatives in co</w:t>
      </w:r>
      <w:r>
        <w:t>-</w:t>
      </w:r>
      <w:r w:rsidRPr="00F91BA7">
        <w:t xml:space="preserve">operation with the respective schemes. </w:t>
      </w:r>
    </w:p>
    <w:p w14:paraId="40F513DA" w14:textId="32F7EBA8" w:rsidR="005B36AA" w:rsidRDefault="005B36AA" w:rsidP="005B36AA">
      <w:pPr>
        <w:pStyle w:val="Paragraph"/>
        <w:spacing w:before="0" w:after="120"/>
        <w:jc w:val="both"/>
      </w:pPr>
      <w:r w:rsidRPr="00F91BA7">
        <w:t xml:space="preserve">In consultation with the independent actuaries to the scheme, the valuation of pension obligations </w:t>
      </w:r>
      <w:r w:rsidR="00BC4226" w:rsidRPr="00F91BA7">
        <w:t>h</w:t>
      </w:r>
      <w:r w:rsidR="00BC4226">
        <w:t>as</w:t>
      </w:r>
      <w:r w:rsidR="00BC4226" w:rsidRPr="00F91BA7">
        <w:t xml:space="preserve"> </w:t>
      </w:r>
      <w:r w:rsidRPr="00F91BA7">
        <w:t>been updated to reflect current market discount rates, rates of increase in salaries, pension payments and inflation, current market values of investments and actual investment returns.</w:t>
      </w:r>
    </w:p>
    <w:p w14:paraId="15075EDA" w14:textId="77777777" w:rsidR="005B36AA" w:rsidRDefault="005B36AA" w:rsidP="005B36AA">
      <w:pPr>
        <w:pStyle w:val="Paragraph"/>
        <w:spacing w:before="0" w:after="120"/>
        <w:jc w:val="both"/>
      </w:pPr>
      <w:r w:rsidRPr="00B71062">
        <w:t xml:space="preserve">The Group’s </w:t>
      </w:r>
      <w:r>
        <w:t>retirement</w:t>
      </w:r>
      <w:r w:rsidRPr="00B71062">
        <w:t xml:space="preserve"> benefit obligations moved from a net</w:t>
      </w:r>
      <w:r>
        <w:t xml:space="preserve"> liability of £</w:t>
      </w:r>
      <w:r w:rsidR="004B163D">
        <w:t>82.1</w:t>
      </w:r>
      <w:r>
        <w:t>m at 2</w:t>
      </w:r>
      <w:r w:rsidR="004B163D">
        <w:t>5</w:t>
      </w:r>
      <w:r>
        <w:t xml:space="preserve"> September 20</w:t>
      </w:r>
      <w:r w:rsidR="004B163D">
        <w:t>20</w:t>
      </w:r>
      <w:r>
        <w:t xml:space="preserve"> to a net </w:t>
      </w:r>
      <w:r w:rsidRPr="00545A6F">
        <w:t>liability of £</w:t>
      </w:r>
      <w:r w:rsidR="00545A6F" w:rsidRPr="00545A6F">
        <w:t>46.0</w:t>
      </w:r>
      <w:r w:rsidRPr="00545A6F">
        <w:t>m</w:t>
      </w:r>
      <w:r w:rsidRPr="005A2C63">
        <w:t xml:space="preserve"> at</w:t>
      </w:r>
      <w:r w:rsidR="004B163D">
        <w:t xml:space="preserve"> 24</w:t>
      </w:r>
      <w:r w:rsidRPr="00947E6A">
        <w:t xml:space="preserve"> September </w:t>
      </w:r>
      <w:r w:rsidRPr="00B01662">
        <w:t>202</w:t>
      </w:r>
      <w:r w:rsidR="004B163D" w:rsidRPr="00B01662">
        <w:t>1</w:t>
      </w:r>
      <w:r w:rsidRPr="00B01662">
        <w:t xml:space="preserve">. This reduction in the net liability position is </w:t>
      </w:r>
      <w:r w:rsidR="008A0EF5" w:rsidRPr="00B01662">
        <w:t xml:space="preserve">mainly </w:t>
      </w:r>
      <w:r w:rsidRPr="00B01662">
        <w:t xml:space="preserve">driven by </w:t>
      </w:r>
      <w:r w:rsidR="00B01662" w:rsidRPr="00B01662">
        <w:t>an actuarial gain on assets of £31.0m</w:t>
      </w:r>
      <w:r w:rsidR="004A0199">
        <w:t xml:space="preserve"> and actuarial gains on liabilities of £5.3m</w:t>
      </w:r>
      <w:r w:rsidRPr="00B01662">
        <w:t xml:space="preserve">. </w:t>
      </w:r>
      <w:r w:rsidR="00D364D9" w:rsidRPr="00B01662">
        <w:t>During the</w:t>
      </w:r>
      <w:r w:rsidR="00D364D9">
        <w:t xml:space="preserve"> year, the Group paid £</w:t>
      </w:r>
      <w:r w:rsidR="00545A6F">
        <w:t>8.0</w:t>
      </w:r>
      <w:r w:rsidR="00D364D9">
        <w:t xml:space="preserve">m </w:t>
      </w:r>
      <w:r w:rsidR="008A0EF5">
        <w:t>(20</w:t>
      </w:r>
      <w:r w:rsidR="00545A6F">
        <w:t>20</w:t>
      </w:r>
      <w:r w:rsidR="008A0EF5">
        <w:t>: £1</w:t>
      </w:r>
      <w:r w:rsidR="00545A6F">
        <w:t>0.4</w:t>
      </w:r>
      <w:r w:rsidR="008A0EF5">
        <w:t xml:space="preserve">m) </w:t>
      </w:r>
      <w:r w:rsidR="00D364D9">
        <w:t xml:space="preserve">in contributions to the pension schemes. </w:t>
      </w:r>
    </w:p>
    <w:p w14:paraId="56CE94B4" w14:textId="77777777" w:rsidR="00112F16" w:rsidRPr="005771B0" w:rsidRDefault="00112F16" w:rsidP="00112F16">
      <w:pPr>
        <w:pStyle w:val="Paragraph"/>
        <w:spacing w:before="0" w:after="120"/>
        <w:jc w:val="both"/>
      </w:pPr>
      <w:r w:rsidRPr="005771B0">
        <w:t>Where a funding valuation reveals a deficit in a scheme, the Group will generally agree a schedule of contributions with the trustees designed to address the deficit over an agreed future time horizon. Full actuarial valuations were carried out between</w:t>
      </w:r>
      <w:r>
        <w:t xml:space="preserve"> 31 March 2019 and 31 March 2020.</w:t>
      </w:r>
      <w:r w:rsidRPr="005771B0">
        <w:t xml:space="preserve"> In general, actuarial valuations are not available for public inspection, however, the results of valuations are advised to members of the various schemes. All of the schemes are operating under the terms of current funding proposals agreed with relevant pension authorities.</w:t>
      </w:r>
      <w:r>
        <w:t xml:space="preserve"> Based on current discussions with the Trustees of the scheme cash contributions are expected to be approximately £15m in FY22.</w:t>
      </w:r>
    </w:p>
    <w:p w14:paraId="4E2BB07B" w14:textId="77777777" w:rsidR="00112F16" w:rsidRDefault="005B36AA" w:rsidP="005B36AA">
      <w:pPr>
        <w:pStyle w:val="Paragraph"/>
        <w:spacing w:before="0" w:after="120"/>
        <w:jc w:val="both"/>
      </w:pPr>
      <w:r>
        <w:t xml:space="preserve">In protecting the business and liquidity in response to the COVID-19 pandemic, the Group entered a formal agreement with the Trustees of the legacy defined benefit pension scheme in the UK to defer cash contributions to the pension for a period of six months which resulted </w:t>
      </w:r>
      <w:r w:rsidR="00BA2D4A">
        <w:t>i</w:t>
      </w:r>
      <w:r>
        <w:t>n a reduction of cash contributions of £</w:t>
      </w:r>
      <w:r w:rsidR="00545A6F">
        <w:t>5.1</w:t>
      </w:r>
      <w:r>
        <w:t>m</w:t>
      </w:r>
      <w:r w:rsidR="000E1B98">
        <w:t xml:space="preserve"> (2020: £4.9m)</w:t>
      </w:r>
      <w:r w:rsidR="00112F16">
        <w:t>. In aggregate, £10.0m has been deferred over 2020 and 2021. This deferral is included in the funding plan as part of the annual contribution</w:t>
      </w:r>
      <w:r w:rsidR="00BC4226">
        <w:t xml:space="preserve"> from the Group</w:t>
      </w:r>
      <w:r w:rsidR="00112F16">
        <w:t xml:space="preserve">.  </w:t>
      </w:r>
    </w:p>
    <w:p w14:paraId="7D1E3885" w14:textId="00339DEE" w:rsidR="00CE48FE" w:rsidRDefault="00CE48FE" w:rsidP="005771B0">
      <w:pPr>
        <w:pStyle w:val="Paragraph"/>
        <w:spacing w:before="0" w:after="120"/>
        <w:jc w:val="both"/>
      </w:pPr>
      <w:bookmarkStart w:id="13" w:name="_Hlk52524505"/>
      <w:r w:rsidRPr="00C961CA">
        <w:t xml:space="preserve">In October 2020, the Trustees of two of the smaller Irish defined benefit pension schemes purchased an insurance policy for the scheme liabilities relating to pension members. The insurance policy </w:t>
      </w:r>
      <w:r w:rsidR="00B01662" w:rsidRPr="00C961CA">
        <w:t>was</w:t>
      </w:r>
      <w:r w:rsidRPr="00C961CA">
        <w:t xml:space="preserve"> treated as a plan asset </w:t>
      </w:r>
      <w:r w:rsidR="00633573">
        <w:t>and the fair value of the policy is deemed to be the present value of the related obligations</w:t>
      </w:r>
      <w:r w:rsidR="00C961CA" w:rsidRPr="00C961CA">
        <w:t>.</w:t>
      </w:r>
      <w:r w:rsidR="00C961CA">
        <w:t xml:space="preserve"> </w:t>
      </w:r>
    </w:p>
    <w:p w14:paraId="0B6B3E5B" w14:textId="77777777" w:rsidR="00545A6F" w:rsidRDefault="00545A6F" w:rsidP="005771B0">
      <w:pPr>
        <w:pStyle w:val="Paragraph"/>
        <w:spacing w:before="0" w:after="120"/>
        <w:jc w:val="both"/>
      </w:pPr>
      <w:r w:rsidRPr="00545A6F">
        <w:t xml:space="preserve">In January 2021, the Group and the Trustees of all three Irish schemes reached agreement to wind up the two smaller schemes and transfer deferred beneficiaries to the larger scheme. </w:t>
      </w:r>
      <w:r w:rsidR="00166D6C">
        <w:t>At</w:t>
      </w:r>
      <w:r w:rsidRPr="00545A6F">
        <w:t xml:space="preserve"> 24 September 2021, the transfer process had</w:t>
      </w:r>
      <w:r w:rsidR="00112F16">
        <w:t xml:space="preserve"> substantially</w:t>
      </w:r>
      <w:r w:rsidRPr="00545A6F">
        <w:t xml:space="preserve"> completed and the Group recognised a settlement charge </w:t>
      </w:r>
      <w:r w:rsidR="00112F16">
        <w:t xml:space="preserve">within exceptional items </w:t>
      </w:r>
      <w:r w:rsidRPr="00545A6F">
        <w:t>of £</w:t>
      </w:r>
      <w:r>
        <w:t>2.8</w:t>
      </w:r>
      <w:r w:rsidRPr="00545A6F">
        <w:t>m for the members that transferred out of the scheme</w:t>
      </w:r>
      <w:r w:rsidR="007D4120">
        <w:t>, and £1.2m of transaction costs associated with the restructure (Note 4)</w:t>
      </w:r>
      <w:r w:rsidRPr="00545A6F">
        <w:t>.</w:t>
      </w:r>
      <w:r w:rsidR="00C961CA">
        <w:t xml:space="preserve"> In addition, the Trustees agreed to complete the buy-out of the </w:t>
      </w:r>
      <w:r w:rsidR="00E4753A">
        <w:t>scheme insurance policy</w:t>
      </w:r>
      <w:r w:rsidR="00C961CA">
        <w:t xml:space="preserve"> in respect of pension members which eliminated the Group’s obligations under the scheme. The carrying value of the plan assets and scheme liabilities prior to settlement were £1</w:t>
      </w:r>
      <w:r w:rsidR="00112F16">
        <w:t>5.0</w:t>
      </w:r>
      <w:r w:rsidR="00C961CA">
        <w:t>m</w:t>
      </w:r>
      <w:r w:rsidR="00E4753A">
        <w:t xml:space="preserve"> respectively</w:t>
      </w:r>
      <w:r w:rsidR="00C961CA">
        <w:t xml:space="preserve">. </w:t>
      </w:r>
    </w:p>
    <w:p w14:paraId="2C43DC3C" w14:textId="77777777" w:rsidR="00CE1D63" w:rsidRDefault="00CE1D63" w:rsidP="00CE1D63">
      <w:pPr>
        <w:widowControl/>
        <w:adjustRightInd w:val="0"/>
        <w:jc w:val="both"/>
        <w:rPr>
          <w:rFonts w:asciiTheme="minorHAnsi" w:hAnsiTheme="minorHAnsi" w:cstheme="minorHAnsi"/>
          <w:sz w:val="18"/>
          <w:szCs w:val="18"/>
        </w:rPr>
      </w:pPr>
      <w:r>
        <w:rPr>
          <w:rFonts w:asciiTheme="minorHAnsi" w:hAnsiTheme="minorHAnsi" w:cstheme="minorHAnsi"/>
          <w:sz w:val="18"/>
          <w:szCs w:val="18"/>
        </w:rPr>
        <w:t>The financial position of the schemes was as follows:</w:t>
      </w:r>
    </w:p>
    <w:tbl>
      <w:tblPr>
        <w:tblW w:w="10206" w:type="dxa"/>
        <w:tblLayout w:type="fixed"/>
        <w:tblLook w:val="01E0" w:firstRow="1" w:lastRow="1" w:firstColumn="1" w:lastColumn="1" w:noHBand="0" w:noVBand="0"/>
      </w:tblPr>
      <w:tblGrid>
        <w:gridCol w:w="4678"/>
        <w:gridCol w:w="921"/>
        <w:gridCol w:w="921"/>
        <w:gridCol w:w="922"/>
        <w:gridCol w:w="921"/>
        <w:gridCol w:w="921"/>
        <w:gridCol w:w="922"/>
      </w:tblGrid>
      <w:tr w:rsidR="00CE1D63" w14:paraId="01CCEBF4" w14:textId="77777777" w:rsidTr="00BC4226">
        <w:trPr>
          <w:trHeight w:val="227"/>
        </w:trPr>
        <w:tc>
          <w:tcPr>
            <w:tcW w:w="4678" w:type="dxa"/>
            <w:tcBorders>
              <w:bottom w:val="single" w:sz="4" w:space="0" w:color="auto"/>
            </w:tcBorders>
            <w:vAlign w:val="bottom"/>
          </w:tcPr>
          <w:p w14:paraId="4264C5F5" w14:textId="77777777" w:rsidR="00CE1D63" w:rsidRPr="00637F6B" w:rsidRDefault="00CE1D63" w:rsidP="00BC4226">
            <w:pPr>
              <w:pStyle w:val="TableRowHead"/>
            </w:pPr>
          </w:p>
        </w:tc>
        <w:tc>
          <w:tcPr>
            <w:tcW w:w="921" w:type="dxa"/>
            <w:tcBorders>
              <w:bottom w:val="single" w:sz="4" w:space="0" w:color="auto"/>
            </w:tcBorders>
            <w:vAlign w:val="bottom"/>
          </w:tcPr>
          <w:p w14:paraId="2F0B31E1" w14:textId="77777777" w:rsidR="00CE1D63" w:rsidRDefault="00CE1D63" w:rsidP="00BC4226">
            <w:pPr>
              <w:pStyle w:val="Subtitle"/>
              <w:rPr>
                <w:bCs/>
              </w:rPr>
            </w:pPr>
            <w:r w:rsidRPr="00074798">
              <w:rPr>
                <w:bCs/>
              </w:rPr>
              <w:t xml:space="preserve">UK </w:t>
            </w:r>
          </w:p>
          <w:p w14:paraId="5B855177" w14:textId="77777777" w:rsidR="00CE1D63" w:rsidRPr="00074798" w:rsidRDefault="00CE1D63" w:rsidP="00BC4226">
            <w:pPr>
              <w:pStyle w:val="Subtitle"/>
              <w:rPr>
                <w:bCs/>
              </w:rPr>
            </w:pPr>
            <w:r w:rsidRPr="00074798">
              <w:rPr>
                <w:bCs/>
              </w:rPr>
              <w:t>Schemes</w:t>
            </w:r>
            <w:r w:rsidRPr="00074798">
              <w:rPr>
                <w:bCs/>
              </w:rPr>
              <w:br/>
              <w:t>£m</w:t>
            </w:r>
          </w:p>
        </w:tc>
        <w:tc>
          <w:tcPr>
            <w:tcW w:w="921" w:type="dxa"/>
            <w:tcBorders>
              <w:bottom w:val="single" w:sz="4" w:space="0" w:color="auto"/>
            </w:tcBorders>
            <w:vAlign w:val="bottom"/>
          </w:tcPr>
          <w:p w14:paraId="24931C12" w14:textId="77777777" w:rsidR="00CE1D63" w:rsidRPr="00074798" w:rsidRDefault="00CE1D63" w:rsidP="00BC4226">
            <w:pPr>
              <w:pStyle w:val="Subtitle"/>
              <w:rPr>
                <w:bCs/>
              </w:rPr>
            </w:pPr>
            <w:r w:rsidRPr="00074798">
              <w:rPr>
                <w:bCs/>
              </w:rPr>
              <w:t>Irish Schemes</w:t>
            </w:r>
            <w:r w:rsidRPr="00074798">
              <w:rPr>
                <w:bCs/>
              </w:rPr>
              <w:br/>
              <w:t>£m</w:t>
            </w:r>
          </w:p>
        </w:tc>
        <w:tc>
          <w:tcPr>
            <w:tcW w:w="922" w:type="dxa"/>
            <w:tcBorders>
              <w:bottom w:val="single" w:sz="4" w:space="0" w:color="auto"/>
            </w:tcBorders>
            <w:vAlign w:val="bottom"/>
          </w:tcPr>
          <w:p w14:paraId="3AA8B036" w14:textId="77777777" w:rsidR="00CE1D63" w:rsidRDefault="00CE1D63" w:rsidP="00BC4226">
            <w:pPr>
              <w:pStyle w:val="Subtitle"/>
            </w:pPr>
            <w:r>
              <w:t>2021</w:t>
            </w:r>
          </w:p>
          <w:p w14:paraId="747CE101" w14:textId="77777777" w:rsidR="00CE1D63" w:rsidRPr="00637F6B" w:rsidRDefault="00CE1D63" w:rsidP="00BC4226">
            <w:pPr>
              <w:pStyle w:val="Subtitle"/>
            </w:pPr>
            <w:r>
              <w:t>Total</w:t>
            </w:r>
            <w:r w:rsidRPr="00637F6B">
              <w:br/>
              <w:t>£m</w:t>
            </w:r>
          </w:p>
        </w:tc>
        <w:tc>
          <w:tcPr>
            <w:tcW w:w="921" w:type="dxa"/>
            <w:tcBorders>
              <w:bottom w:val="single" w:sz="4" w:space="0" w:color="auto"/>
            </w:tcBorders>
            <w:vAlign w:val="bottom"/>
          </w:tcPr>
          <w:p w14:paraId="75D0D7F3" w14:textId="77777777" w:rsidR="00CE1D63" w:rsidRPr="008E46B3" w:rsidRDefault="00CE1D63" w:rsidP="00BC4226">
            <w:pPr>
              <w:pStyle w:val="Subtitle"/>
              <w:rPr>
                <w:b w:val="0"/>
                <w:bCs/>
              </w:rPr>
            </w:pPr>
            <w:r w:rsidRPr="008E46B3">
              <w:rPr>
                <w:b w:val="0"/>
                <w:bCs/>
              </w:rPr>
              <w:t xml:space="preserve">UK </w:t>
            </w:r>
          </w:p>
          <w:p w14:paraId="67F97764" w14:textId="77777777" w:rsidR="00CE1D63" w:rsidRPr="008E46B3" w:rsidRDefault="00CE1D63" w:rsidP="00BC4226">
            <w:pPr>
              <w:pStyle w:val="Subtitle"/>
              <w:rPr>
                <w:b w:val="0"/>
              </w:rPr>
            </w:pPr>
            <w:r w:rsidRPr="008E46B3">
              <w:rPr>
                <w:b w:val="0"/>
                <w:bCs/>
              </w:rPr>
              <w:t>Schemes</w:t>
            </w:r>
            <w:r w:rsidRPr="008E46B3">
              <w:rPr>
                <w:b w:val="0"/>
                <w:bCs/>
              </w:rPr>
              <w:br/>
              <w:t>£m</w:t>
            </w:r>
          </w:p>
        </w:tc>
        <w:tc>
          <w:tcPr>
            <w:tcW w:w="921" w:type="dxa"/>
            <w:tcBorders>
              <w:bottom w:val="single" w:sz="4" w:space="0" w:color="auto"/>
            </w:tcBorders>
            <w:vAlign w:val="bottom"/>
          </w:tcPr>
          <w:p w14:paraId="686629BE" w14:textId="77777777" w:rsidR="00CE1D63" w:rsidRPr="008E46B3" w:rsidRDefault="00CE1D63" w:rsidP="00BC4226">
            <w:pPr>
              <w:pStyle w:val="Subtitle"/>
              <w:rPr>
                <w:b w:val="0"/>
              </w:rPr>
            </w:pPr>
            <w:r w:rsidRPr="008E46B3">
              <w:rPr>
                <w:b w:val="0"/>
                <w:bCs/>
              </w:rPr>
              <w:t>Irish Schemes</w:t>
            </w:r>
            <w:r w:rsidRPr="008E46B3">
              <w:rPr>
                <w:b w:val="0"/>
                <w:bCs/>
              </w:rPr>
              <w:br/>
              <w:t>£m</w:t>
            </w:r>
          </w:p>
        </w:tc>
        <w:tc>
          <w:tcPr>
            <w:tcW w:w="922" w:type="dxa"/>
            <w:tcBorders>
              <w:bottom w:val="single" w:sz="4" w:space="0" w:color="auto"/>
            </w:tcBorders>
            <w:vAlign w:val="bottom"/>
          </w:tcPr>
          <w:p w14:paraId="325C45E0" w14:textId="77777777" w:rsidR="00CE1D63" w:rsidRDefault="00CE1D63" w:rsidP="00BC4226">
            <w:pPr>
              <w:pStyle w:val="Subtitle"/>
              <w:rPr>
                <w:b w:val="0"/>
              </w:rPr>
            </w:pPr>
            <w:r>
              <w:rPr>
                <w:b w:val="0"/>
              </w:rPr>
              <w:t>2020</w:t>
            </w:r>
          </w:p>
          <w:p w14:paraId="18F172C7" w14:textId="77777777" w:rsidR="00CE1D63" w:rsidRPr="00637F6B" w:rsidRDefault="00CE1D63" w:rsidP="00BC4226">
            <w:pPr>
              <w:pStyle w:val="Subtitle"/>
              <w:rPr>
                <w:b w:val="0"/>
              </w:rPr>
            </w:pPr>
            <w:r>
              <w:rPr>
                <w:b w:val="0"/>
              </w:rPr>
              <w:t>Total</w:t>
            </w:r>
            <w:r w:rsidRPr="00637F6B">
              <w:rPr>
                <w:b w:val="0"/>
              </w:rPr>
              <w:br/>
              <w:t>£m</w:t>
            </w:r>
          </w:p>
        </w:tc>
      </w:tr>
      <w:tr w:rsidR="00CE1D63" w14:paraId="28D93BE9" w14:textId="77777777" w:rsidTr="00BC4226">
        <w:trPr>
          <w:trHeight w:val="227"/>
        </w:trPr>
        <w:tc>
          <w:tcPr>
            <w:tcW w:w="4678" w:type="dxa"/>
            <w:tcBorders>
              <w:top w:val="single" w:sz="4" w:space="0" w:color="auto"/>
            </w:tcBorders>
            <w:vAlign w:val="bottom"/>
          </w:tcPr>
          <w:p w14:paraId="2D8490D6" w14:textId="77777777" w:rsidR="00CE1D63" w:rsidRPr="00637F6B" w:rsidRDefault="00CE1D63" w:rsidP="00BC4226">
            <w:pPr>
              <w:pStyle w:val="TableRowHead"/>
            </w:pPr>
            <w:r w:rsidRPr="00637F6B">
              <w:t>Fair value of plan assets</w:t>
            </w:r>
          </w:p>
        </w:tc>
        <w:tc>
          <w:tcPr>
            <w:tcW w:w="921" w:type="dxa"/>
            <w:tcBorders>
              <w:top w:val="single" w:sz="4" w:space="0" w:color="auto"/>
            </w:tcBorders>
            <w:vAlign w:val="bottom"/>
          </w:tcPr>
          <w:p w14:paraId="51B52721" w14:textId="77777777" w:rsidR="00CE1D63" w:rsidRPr="008A4B06" w:rsidRDefault="00CE1D63" w:rsidP="00BC4226">
            <w:pPr>
              <w:pStyle w:val="Subtitle"/>
              <w:rPr>
                <w:bCs/>
              </w:rPr>
            </w:pPr>
            <w:r>
              <w:rPr>
                <w:bCs/>
              </w:rPr>
              <w:t>260.6</w:t>
            </w:r>
          </w:p>
        </w:tc>
        <w:tc>
          <w:tcPr>
            <w:tcW w:w="921" w:type="dxa"/>
            <w:tcBorders>
              <w:top w:val="single" w:sz="4" w:space="0" w:color="auto"/>
            </w:tcBorders>
            <w:vAlign w:val="bottom"/>
          </w:tcPr>
          <w:p w14:paraId="2DAAEF1C" w14:textId="77777777" w:rsidR="00CE1D63" w:rsidRPr="008A4B06" w:rsidRDefault="00CE1D63" w:rsidP="00BC4226">
            <w:pPr>
              <w:pStyle w:val="Subtitle"/>
              <w:rPr>
                <w:bCs/>
              </w:rPr>
            </w:pPr>
            <w:r>
              <w:rPr>
                <w:bCs/>
              </w:rPr>
              <w:t>220.7</w:t>
            </w:r>
          </w:p>
        </w:tc>
        <w:tc>
          <w:tcPr>
            <w:tcW w:w="922" w:type="dxa"/>
            <w:tcBorders>
              <w:top w:val="single" w:sz="4" w:space="0" w:color="auto"/>
            </w:tcBorders>
            <w:vAlign w:val="bottom"/>
          </w:tcPr>
          <w:p w14:paraId="11A3E203" w14:textId="77777777" w:rsidR="00CE1D63" w:rsidRPr="00637F6B" w:rsidRDefault="00CE1D63" w:rsidP="00BC4226">
            <w:pPr>
              <w:pStyle w:val="Subtitle"/>
            </w:pPr>
            <w:r>
              <w:t>481.3</w:t>
            </w:r>
          </w:p>
        </w:tc>
        <w:tc>
          <w:tcPr>
            <w:tcW w:w="921" w:type="dxa"/>
            <w:tcBorders>
              <w:top w:val="single" w:sz="4" w:space="0" w:color="auto"/>
            </w:tcBorders>
          </w:tcPr>
          <w:p w14:paraId="57224296" w14:textId="77777777" w:rsidR="00CE1D63" w:rsidRPr="004B163D" w:rsidRDefault="00CE1D63" w:rsidP="00BC4226">
            <w:pPr>
              <w:pStyle w:val="Subtitle"/>
              <w:rPr>
                <w:b w:val="0"/>
              </w:rPr>
            </w:pPr>
            <w:r>
              <w:rPr>
                <w:b w:val="0"/>
              </w:rPr>
              <w:t>232.8</w:t>
            </w:r>
          </w:p>
        </w:tc>
        <w:tc>
          <w:tcPr>
            <w:tcW w:w="921" w:type="dxa"/>
            <w:tcBorders>
              <w:top w:val="single" w:sz="4" w:space="0" w:color="auto"/>
            </w:tcBorders>
          </w:tcPr>
          <w:p w14:paraId="586168DB" w14:textId="77777777" w:rsidR="00CE1D63" w:rsidRPr="004B163D" w:rsidRDefault="00CE1D63" w:rsidP="00BC4226">
            <w:pPr>
              <w:pStyle w:val="Subtitle"/>
              <w:rPr>
                <w:b w:val="0"/>
              </w:rPr>
            </w:pPr>
            <w:r>
              <w:rPr>
                <w:b w:val="0"/>
              </w:rPr>
              <w:t>270.0</w:t>
            </w:r>
          </w:p>
        </w:tc>
        <w:tc>
          <w:tcPr>
            <w:tcW w:w="922" w:type="dxa"/>
            <w:tcBorders>
              <w:top w:val="single" w:sz="4" w:space="0" w:color="auto"/>
            </w:tcBorders>
            <w:vAlign w:val="bottom"/>
          </w:tcPr>
          <w:p w14:paraId="2C0076C5" w14:textId="77777777" w:rsidR="00CE1D63" w:rsidRPr="004B163D" w:rsidRDefault="00CE1D63" w:rsidP="00BC4226">
            <w:pPr>
              <w:pStyle w:val="Subtitle"/>
              <w:rPr>
                <w:b w:val="0"/>
              </w:rPr>
            </w:pPr>
            <w:r w:rsidRPr="004B163D">
              <w:rPr>
                <w:b w:val="0"/>
              </w:rPr>
              <w:t>502.8</w:t>
            </w:r>
          </w:p>
        </w:tc>
      </w:tr>
      <w:tr w:rsidR="00CE1D63" w14:paraId="50ED02A8" w14:textId="77777777" w:rsidTr="00BC4226">
        <w:trPr>
          <w:trHeight w:val="227"/>
        </w:trPr>
        <w:tc>
          <w:tcPr>
            <w:tcW w:w="4678" w:type="dxa"/>
            <w:tcBorders>
              <w:bottom w:val="single" w:sz="4" w:space="0" w:color="auto"/>
            </w:tcBorders>
            <w:vAlign w:val="bottom"/>
          </w:tcPr>
          <w:p w14:paraId="30DC130A" w14:textId="77777777" w:rsidR="00CE1D63" w:rsidRPr="00637F6B" w:rsidRDefault="00CE1D63" w:rsidP="00BC4226">
            <w:pPr>
              <w:pStyle w:val="TableRowHead"/>
            </w:pPr>
            <w:r w:rsidRPr="00637F6B">
              <w:t>Present value of scheme liabilities</w:t>
            </w:r>
          </w:p>
        </w:tc>
        <w:tc>
          <w:tcPr>
            <w:tcW w:w="921" w:type="dxa"/>
            <w:tcBorders>
              <w:bottom w:val="single" w:sz="4" w:space="0" w:color="auto"/>
            </w:tcBorders>
            <w:vAlign w:val="bottom"/>
          </w:tcPr>
          <w:p w14:paraId="05D345B8" w14:textId="77777777" w:rsidR="00CE1D63" w:rsidRPr="008A4B06" w:rsidRDefault="00CE1D63" w:rsidP="00BC4226">
            <w:pPr>
              <w:pStyle w:val="Subtitle"/>
              <w:rPr>
                <w:bCs/>
              </w:rPr>
            </w:pPr>
            <w:r>
              <w:rPr>
                <w:bCs/>
              </w:rPr>
              <w:t>(347.7)</w:t>
            </w:r>
          </w:p>
        </w:tc>
        <w:tc>
          <w:tcPr>
            <w:tcW w:w="921" w:type="dxa"/>
            <w:tcBorders>
              <w:bottom w:val="single" w:sz="4" w:space="0" w:color="auto"/>
            </w:tcBorders>
            <w:vAlign w:val="bottom"/>
          </w:tcPr>
          <w:p w14:paraId="15266A94" w14:textId="77777777" w:rsidR="00CE1D63" w:rsidRPr="008A4B06" w:rsidRDefault="00CE1D63" w:rsidP="00BC4226">
            <w:pPr>
              <w:pStyle w:val="Subtitle"/>
              <w:rPr>
                <w:bCs/>
              </w:rPr>
            </w:pPr>
            <w:r>
              <w:rPr>
                <w:bCs/>
              </w:rPr>
              <w:t>(179.6)</w:t>
            </w:r>
          </w:p>
        </w:tc>
        <w:tc>
          <w:tcPr>
            <w:tcW w:w="922" w:type="dxa"/>
            <w:tcBorders>
              <w:bottom w:val="single" w:sz="4" w:space="0" w:color="auto"/>
            </w:tcBorders>
            <w:vAlign w:val="bottom"/>
          </w:tcPr>
          <w:p w14:paraId="7DD37539" w14:textId="77777777" w:rsidR="00CE1D63" w:rsidRPr="00637F6B" w:rsidRDefault="00CE1D63" w:rsidP="00BC4226">
            <w:pPr>
              <w:pStyle w:val="Subtitle"/>
            </w:pPr>
            <w:r>
              <w:t>(527.3)</w:t>
            </w:r>
          </w:p>
        </w:tc>
        <w:tc>
          <w:tcPr>
            <w:tcW w:w="921" w:type="dxa"/>
            <w:tcBorders>
              <w:bottom w:val="single" w:sz="4" w:space="0" w:color="auto"/>
            </w:tcBorders>
          </w:tcPr>
          <w:p w14:paraId="3444F428" w14:textId="77777777" w:rsidR="00CE1D63" w:rsidRPr="004B163D" w:rsidRDefault="00CE1D63" w:rsidP="00BC4226">
            <w:pPr>
              <w:pStyle w:val="Subtitle"/>
              <w:rPr>
                <w:b w:val="0"/>
              </w:rPr>
            </w:pPr>
            <w:r>
              <w:rPr>
                <w:b w:val="0"/>
              </w:rPr>
              <w:t>(356.7)</w:t>
            </w:r>
          </w:p>
        </w:tc>
        <w:tc>
          <w:tcPr>
            <w:tcW w:w="921" w:type="dxa"/>
            <w:tcBorders>
              <w:bottom w:val="single" w:sz="4" w:space="0" w:color="auto"/>
            </w:tcBorders>
          </w:tcPr>
          <w:p w14:paraId="54578476" w14:textId="77777777" w:rsidR="00CE1D63" w:rsidRPr="004B163D" w:rsidRDefault="00CE1D63" w:rsidP="00BC4226">
            <w:pPr>
              <w:pStyle w:val="Subtitle"/>
              <w:rPr>
                <w:b w:val="0"/>
              </w:rPr>
            </w:pPr>
            <w:r>
              <w:rPr>
                <w:b w:val="0"/>
              </w:rPr>
              <w:t>(228.2)</w:t>
            </w:r>
          </w:p>
        </w:tc>
        <w:tc>
          <w:tcPr>
            <w:tcW w:w="922" w:type="dxa"/>
            <w:tcBorders>
              <w:bottom w:val="single" w:sz="4" w:space="0" w:color="auto"/>
            </w:tcBorders>
            <w:vAlign w:val="bottom"/>
          </w:tcPr>
          <w:p w14:paraId="3C818C38" w14:textId="77777777" w:rsidR="00CE1D63" w:rsidRPr="004B163D" w:rsidRDefault="00CE1D63" w:rsidP="00BC4226">
            <w:pPr>
              <w:pStyle w:val="Subtitle"/>
              <w:rPr>
                <w:b w:val="0"/>
              </w:rPr>
            </w:pPr>
            <w:r w:rsidRPr="004B163D">
              <w:rPr>
                <w:b w:val="0"/>
              </w:rPr>
              <w:t>(584.9)</w:t>
            </w:r>
          </w:p>
        </w:tc>
      </w:tr>
      <w:tr w:rsidR="00CE1D63" w14:paraId="4AA50777" w14:textId="77777777" w:rsidTr="00BC4226">
        <w:trPr>
          <w:trHeight w:val="227"/>
        </w:trPr>
        <w:tc>
          <w:tcPr>
            <w:tcW w:w="4678" w:type="dxa"/>
            <w:tcBorders>
              <w:top w:val="single" w:sz="4" w:space="0" w:color="auto"/>
            </w:tcBorders>
            <w:vAlign w:val="bottom"/>
          </w:tcPr>
          <w:p w14:paraId="2F8BB75B" w14:textId="77777777" w:rsidR="00CE1D63" w:rsidRPr="00637F6B" w:rsidRDefault="00CE1D63" w:rsidP="00BC4226">
            <w:pPr>
              <w:pStyle w:val="TableRowHead"/>
            </w:pPr>
            <w:r w:rsidRPr="00637F6B">
              <w:t>(Deficit)/surplus in schemes</w:t>
            </w:r>
          </w:p>
        </w:tc>
        <w:tc>
          <w:tcPr>
            <w:tcW w:w="921" w:type="dxa"/>
            <w:tcBorders>
              <w:top w:val="single" w:sz="4" w:space="0" w:color="auto"/>
            </w:tcBorders>
            <w:vAlign w:val="bottom"/>
          </w:tcPr>
          <w:p w14:paraId="1E05ED1C" w14:textId="77777777" w:rsidR="00CE1D63" w:rsidRPr="008A4B06" w:rsidRDefault="00CE1D63" w:rsidP="00BC4226">
            <w:pPr>
              <w:pStyle w:val="Subtitle"/>
              <w:rPr>
                <w:bCs/>
              </w:rPr>
            </w:pPr>
            <w:r>
              <w:rPr>
                <w:bCs/>
              </w:rPr>
              <w:t>(87.1)</w:t>
            </w:r>
          </w:p>
        </w:tc>
        <w:tc>
          <w:tcPr>
            <w:tcW w:w="921" w:type="dxa"/>
            <w:tcBorders>
              <w:top w:val="single" w:sz="4" w:space="0" w:color="auto"/>
            </w:tcBorders>
            <w:vAlign w:val="bottom"/>
          </w:tcPr>
          <w:p w14:paraId="646616D9" w14:textId="77777777" w:rsidR="00CE1D63" w:rsidRPr="008A4B06" w:rsidRDefault="00CE1D63" w:rsidP="00BC4226">
            <w:pPr>
              <w:pStyle w:val="Subtitle"/>
              <w:rPr>
                <w:bCs/>
              </w:rPr>
            </w:pPr>
            <w:r>
              <w:rPr>
                <w:bCs/>
              </w:rPr>
              <w:t>41.1</w:t>
            </w:r>
          </w:p>
        </w:tc>
        <w:tc>
          <w:tcPr>
            <w:tcW w:w="922" w:type="dxa"/>
            <w:tcBorders>
              <w:top w:val="single" w:sz="4" w:space="0" w:color="auto"/>
            </w:tcBorders>
            <w:vAlign w:val="bottom"/>
          </w:tcPr>
          <w:p w14:paraId="3B876E34" w14:textId="77777777" w:rsidR="00CE1D63" w:rsidRPr="00637F6B" w:rsidRDefault="00CE1D63" w:rsidP="00BC4226">
            <w:pPr>
              <w:pStyle w:val="Subtitle"/>
            </w:pPr>
            <w:r>
              <w:t>(46.0)</w:t>
            </w:r>
          </w:p>
        </w:tc>
        <w:tc>
          <w:tcPr>
            <w:tcW w:w="921" w:type="dxa"/>
            <w:tcBorders>
              <w:top w:val="single" w:sz="4" w:space="0" w:color="auto"/>
            </w:tcBorders>
          </w:tcPr>
          <w:p w14:paraId="559BA5E5" w14:textId="77777777" w:rsidR="00CE1D63" w:rsidRPr="004B163D" w:rsidRDefault="00CE1D63" w:rsidP="00BC4226">
            <w:pPr>
              <w:pStyle w:val="Subtitle"/>
              <w:rPr>
                <w:b w:val="0"/>
              </w:rPr>
            </w:pPr>
            <w:r>
              <w:rPr>
                <w:b w:val="0"/>
              </w:rPr>
              <w:t>(123.9)</w:t>
            </w:r>
          </w:p>
        </w:tc>
        <w:tc>
          <w:tcPr>
            <w:tcW w:w="921" w:type="dxa"/>
            <w:tcBorders>
              <w:top w:val="single" w:sz="4" w:space="0" w:color="auto"/>
            </w:tcBorders>
          </w:tcPr>
          <w:p w14:paraId="4F381656" w14:textId="77777777" w:rsidR="00CE1D63" w:rsidRPr="004B163D" w:rsidRDefault="00CE1D63" w:rsidP="00BC4226">
            <w:pPr>
              <w:pStyle w:val="Subtitle"/>
              <w:rPr>
                <w:b w:val="0"/>
              </w:rPr>
            </w:pPr>
            <w:r>
              <w:rPr>
                <w:b w:val="0"/>
              </w:rPr>
              <w:t>41.8</w:t>
            </w:r>
          </w:p>
        </w:tc>
        <w:tc>
          <w:tcPr>
            <w:tcW w:w="922" w:type="dxa"/>
            <w:tcBorders>
              <w:top w:val="single" w:sz="4" w:space="0" w:color="auto"/>
            </w:tcBorders>
            <w:vAlign w:val="bottom"/>
          </w:tcPr>
          <w:p w14:paraId="35BDBA68" w14:textId="77777777" w:rsidR="00CE1D63" w:rsidRPr="004B163D" w:rsidRDefault="00CE1D63" w:rsidP="00BC4226">
            <w:pPr>
              <w:pStyle w:val="Subtitle"/>
              <w:rPr>
                <w:b w:val="0"/>
              </w:rPr>
            </w:pPr>
            <w:r w:rsidRPr="004B163D">
              <w:rPr>
                <w:b w:val="0"/>
              </w:rPr>
              <w:t>(82.1)</w:t>
            </w:r>
          </w:p>
        </w:tc>
      </w:tr>
      <w:tr w:rsidR="00CE1D63" w14:paraId="5A1045DA" w14:textId="77777777" w:rsidTr="00BC4226">
        <w:trPr>
          <w:trHeight w:val="227"/>
        </w:trPr>
        <w:tc>
          <w:tcPr>
            <w:tcW w:w="4678" w:type="dxa"/>
            <w:tcBorders>
              <w:bottom w:val="single" w:sz="4" w:space="0" w:color="auto"/>
            </w:tcBorders>
            <w:vAlign w:val="bottom"/>
          </w:tcPr>
          <w:p w14:paraId="381C3859" w14:textId="77777777" w:rsidR="00CE1D63" w:rsidRPr="00637F6B" w:rsidRDefault="00CE1D63" w:rsidP="00BC4226">
            <w:pPr>
              <w:pStyle w:val="TableRowHead"/>
            </w:pPr>
            <w:r w:rsidRPr="00637F6B">
              <w:t>Deferred tax asset</w:t>
            </w:r>
            <w:r>
              <w:t xml:space="preserve"> </w:t>
            </w:r>
          </w:p>
        </w:tc>
        <w:tc>
          <w:tcPr>
            <w:tcW w:w="921" w:type="dxa"/>
            <w:tcBorders>
              <w:bottom w:val="single" w:sz="4" w:space="0" w:color="auto"/>
            </w:tcBorders>
            <w:vAlign w:val="bottom"/>
          </w:tcPr>
          <w:p w14:paraId="2DAA7930" w14:textId="77777777" w:rsidR="00CE1D63" w:rsidRPr="008A4B06" w:rsidRDefault="00CE1D63" w:rsidP="00BC4226">
            <w:pPr>
              <w:pStyle w:val="Subtitle"/>
              <w:rPr>
                <w:bCs/>
              </w:rPr>
            </w:pPr>
            <w:r>
              <w:rPr>
                <w:bCs/>
              </w:rPr>
              <w:t>21.8</w:t>
            </w:r>
          </w:p>
        </w:tc>
        <w:tc>
          <w:tcPr>
            <w:tcW w:w="921" w:type="dxa"/>
            <w:tcBorders>
              <w:bottom w:val="single" w:sz="4" w:space="0" w:color="auto"/>
            </w:tcBorders>
            <w:vAlign w:val="bottom"/>
          </w:tcPr>
          <w:p w14:paraId="7FF7EB85" w14:textId="77777777" w:rsidR="00CE1D63" w:rsidRPr="005A2C63" w:rsidRDefault="00CE1D63" w:rsidP="00BC4226">
            <w:pPr>
              <w:pStyle w:val="Subtitle"/>
              <w:rPr>
                <w:bCs/>
              </w:rPr>
            </w:pPr>
            <w:r>
              <w:rPr>
                <w:bCs/>
              </w:rPr>
              <w:t>(5.1)</w:t>
            </w:r>
          </w:p>
        </w:tc>
        <w:tc>
          <w:tcPr>
            <w:tcW w:w="922" w:type="dxa"/>
            <w:tcBorders>
              <w:bottom w:val="single" w:sz="4" w:space="0" w:color="auto"/>
            </w:tcBorders>
            <w:vAlign w:val="bottom"/>
          </w:tcPr>
          <w:p w14:paraId="65133949" w14:textId="77777777" w:rsidR="00CE1D63" w:rsidRPr="008E46B3" w:rsidRDefault="00CE1D63" w:rsidP="00BC4226">
            <w:pPr>
              <w:pStyle w:val="Subtitle"/>
            </w:pPr>
            <w:r w:rsidRPr="008E46B3">
              <w:t>16.7</w:t>
            </w:r>
          </w:p>
        </w:tc>
        <w:tc>
          <w:tcPr>
            <w:tcW w:w="921" w:type="dxa"/>
            <w:tcBorders>
              <w:bottom w:val="single" w:sz="4" w:space="0" w:color="auto"/>
            </w:tcBorders>
          </w:tcPr>
          <w:p w14:paraId="2D899BFC" w14:textId="77777777" w:rsidR="00CE1D63" w:rsidRPr="004B163D" w:rsidRDefault="00CE1D63" w:rsidP="00BC4226">
            <w:pPr>
              <w:pStyle w:val="Subtitle"/>
              <w:rPr>
                <w:b w:val="0"/>
              </w:rPr>
            </w:pPr>
            <w:r>
              <w:rPr>
                <w:b w:val="0"/>
              </w:rPr>
              <w:t>23.5</w:t>
            </w:r>
          </w:p>
        </w:tc>
        <w:tc>
          <w:tcPr>
            <w:tcW w:w="921" w:type="dxa"/>
            <w:tcBorders>
              <w:bottom w:val="single" w:sz="4" w:space="0" w:color="auto"/>
            </w:tcBorders>
          </w:tcPr>
          <w:p w14:paraId="1331CCB2" w14:textId="77777777" w:rsidR="00CE1D63" w:rsidRPr="004B163D" w:rsidRDefault="00CE1D63" w:rsidP="00BC4226">
            <w:pPr>
              <w:pStyle w:val="Subtitle"/>
              <w:rPr>
                <w:b w:val="0"/>
              </w:rPr>
            </w:pPr>
            <w:r>
              <w:rPr>
                <w:b w:val="0"/>
              </w:rPr>
              <w:t>(5.2)</w:t>
            </w:r>
          </w:p>
        </w:tc>
        <w:tc>
          <w:tcPr>
            <w:tcW w:w="922" w:type="dxa"/>
            <w:tcBorders>
              <w:bottom w:val="single" w:sz="4" w:space="0" w:color="auto"/>
            </w:tcBorders>
            <w:vAlign w:val="bottom"/>
          </w:tcPr>
          <w:p w14:paraId="78867A57" w14:textId="77777777" w:rsidR="00CE1D63" w:rsidRPr="004B163D" w:rsidRDefault="00CE1D63" w:rsidP="00BC4226">
            <w:pPr>
              <w:pStyle w:val="Subtitle"/>
              <w:rPr>
                <w:b w:val="0"/>
              </w:rPr>
            </w:pPr>
            <w:r w:rsidRPr="004B163D">
              <w:rPr>
                <w:b w:val="0"/>
              </w:rPr>
              <w:t>18.3</w:t>
            </w:r>
          </w:p>
        </w:tc>
      </w:tr>
      <w:tr w:rsidR="00CE1D63" w14:paraId="162F5810" w14:textId="77777777" w:rsidTr="00BC4226">
        <w:trPr>
          <w:trHeight w:val="227"/>
        </w:trPr>
        <w:tc>
          <w:tcPr>
            <w:tcW w:w="4678" w:type="dxa"/>
            <w:tcBorders>
              <w:top w:val="single" w:sz="4" w:space="0" w:color="auto"/>
              <w:bottom w:val="single" w:sz="8" w:space="0" w:color="auto"/>
            </w:tcBorders>
            <w:vAlign w:val="bottom"/>
          </w:tcPr>
          <w:p w14:paraId="3D54ABEA" w14:textId="77777777" w:rsidR="00CE1D63" w:rsidRPr="00692E97" w:rsidRDefault="00CE1D63" w:rsidP="00BC4226">
            <w:pPr>
              <w:pStyle w:val="TableRowHead"/>
              <w:rPr>
                <w:b/>
              </w:rPr>
            </w:pPr>
            <w:r w:rsidRPr="00692E97">
              <w:rPr>
                <w:b/>
              </w:rPr>
              <w:t xml:space="preserve">Net (liability)/asset at end of </w:t>
            </w:r>
            <w:r>
              <w:rPr>
                <w:b/>
              </w:rPr>
              <w:t>year</w:t>
            </w:r>
          </w:p>
        </w:tc>
        <w:tc>
          <w:tcPr>
            <w:tcW w:w="921" w:type="dxa"/>
            <w:tcBorders>
              <w:top w:val="single" w:sz="4" w:space="0" w:color="auto"/>
              <w:bottom w:val="single" w:sz="8" w:space="0" w:color="auto"/>
            </w:tcBorders>
            <w:vAlign w:val="bottom"/>
          </w:tcPr>
          <w:p w14:paraId="7454032D" w14:textId="77777777" w:rsidR="00CE1D63" w:rsidRPr="008A4B06" w:rsidRDefault="00CE1D63" w:rsidP="00BC4226">
            <w:pPr>
              <w:pStyle w:val="Subtitle"/>
              <w:rPr>
                <w:bCs/>
              </w:rPr>
            </w:pPr>
            <w:r>
              <w:rPr>
                <w:bCs/>
              </w:rPr>
              <w:t>(65.3)</w:t>
            </w:r>
          </w:p>
        </w:tc>
        <w:tc>
          <w:tcPr>
            <w:tcW w:w="921" w:type="dxa"/>
            <w:tcBorders>
              <w:top w:val="single" w:sz="4" w:space="0" w:color="auto"/>
              <w:bottom w:val="single" w:sz="8" w:space="0" w:color="auto"/>
            </w:tcBorders>
            <w:vAlign w:val="bottom"/>
          </w:tcPr>
          <w:p w14:paraId="560AC703" w14:textId="77777777" w:rsidR="00CE1D63" w:rsidRPr="00451C23" w:rsidRDefault="00CE1D63" w:rsidP="00BC4226">
            <w:pPr>
              <w:pStyle w:val="Subtitle"/>
              <w:rPr>
                <w:bCs/>
              </w:rPr>
            </w:pPr>
            <w:r>
              <w:rPr>
                <w:bCs/>
              </w:rPr>
              <w:t>36.0</w:t>
            </w:r>
          </w:p>
        </w:tc>
        <w:tc>
          <w:tcPr>
            <w:tcW w:w="922" w:type="dxa"/>
            <w:tcBorders>
              <w:top w:val="single" w:sz="4" w:space="0" w:color="auto"/>
              <w:bottom w:val="single" w:sz="8" w:space="0" w:color="auto"/>
            </w:tcBorders>
            <w:vAlign w:val="bottom"/>
          </w:tcPr>
          <w:p w14:paraId="7681AD0E" w14:textId="77777777" w:rsidR="00CE1D63" w:rsidRPr="00637F6B" w:rsidRDefault="00CE1D63" w:rsidP="00BC4226">
            <w:pPr>
              <w:pStyle w:val="Subtitle"/>
            </w:pPr>
            <w:r>
              <w:t>(29.3)</w:t>
            </w:r>
          </w:p>
        </w:tc>
        <w:tc>
          <w:tcPr>
            <w:tcW w:w="921" w:type="dxa"/>
            <w:tcBorders>
              <w:top w:val="single" w:sz="4" w:space="0" w:color="auto"/>
              <w:bottom w:val="single" w:sz="8" w:space="0" w:color="auto"/>
            </w:tcBorders>
          </w:tcPr>
          <w:p w14:paraId="67D8F2A9" w14:textId="77777777" w:rsidR="00CE1D63" w:rsidRPr="004B163D" w:rsidRDefault="00CE1D63" w:rsidP="00BC4226">
            <w:pPr>
              <w:pStyle w:val="Subtitle"/>
              <w:rPr>
                <w:b w:val="0"/>
              </w:rPr>
            </w:pPr>
            <w:r>
              <w:rPr>
                <w:b w:val="0"/>
              </w:rPr>
              <w:t>(100.4)</w:t>
            </w:r>
          </w:p>
        </w:tc>
        <w:tc>
          <w:tcPr>
            <w:tcW w:w="921" w:type="dxa"/>
            <w:tcBorders>
              <w:top w:val="single" w:sz="4" w:space="0" w:color="auto"/>
              <w:bottom w:val="single" w:sz="8" w:space="0" w:color="auto"/>
            </w:tcBorders>
          </w:tcPr>
          <w:p w14:paraId="08E231E9" w14:textId="77777777" w:rsidR="00CE1D63" w:rsidRPr="004B163D" w:rsidRDefault="00CE1D63" w:rsidP="00BC4226">
            <w:pPr>
              <w:pStyle w:val="Subtitle"/>
              <w:rPr>
                <w:b w:val="0"/>
              </w:rPr>
            </w:pPr>
            <w:r>
              <w:rPr>
                <w:b w:val="0"/>
              </w:rPr>
              <w:t>36.6</w:t>
            </w:r>
          </w:p>
        </w:tc>
        <w:tc>
          <w:tcPr>
            <w:tcW w:w="922" w:type="dxa"/>
            <w:tcBorders>
              <w:top w:val="single" w:sz="4" w:space="0" w:color="auto"/>
              <w:bottom w:val="single" w:sz="8" w:space="0" w:color="auto"/>
            </w:tcBorders>
            <w:vAlign w:val="bottom"/>
          </w:tcPr>
          <w:p w14:paraId="68A17C6D" w14:textId="77777777" w:rsidR="00CE1D63" w:rsidRPr="004B163D" w:rsidRDefault="00CE1D63" w:rsidP="00BC4226">
            <w:pPr>
              <w:pStyle w:val="Subtitle"/>
              <w:rPr>
                <w:b w:val="0"/>
              </w:rPr>
            </w:pPr>
            <w:r w:rsidRPr="004B163D">
              <w:rPr>
                <w:b w:val="0"/>
              </w:rPr>
              <w:t>(63.8)</w:t>
            </w:r>
          </w:p>
        </w:tc>
      </w:tr>
      <w:tr w:rsidR="00CE1D63" w14:paraId="108A6D54" w14:textId="77777777" w:rsidTr="00BC4226">
        <w:trPr>
          <w:trHeight w:val="227"/>
        </w:trPr>
        <w:tc>
          <w:tcPr>
            <w:tcW w:w="4678" w:type="dxa"/>
            <w:vAlign w:val="bottom"/>
          </w:tcPr>
          <w:p w14:paraId="315217F5" w14:textId="77777777" w:rsidR="00CE1D63" w:rsidRDefault="00CE1D63" w:rsidP="00BC4226">
            <w:pPr>
              <w:pStyle w:val="TableRowHead"/>
              <w:rPr>
                <w:b/>
              </w:rPr>
            </w:pPr>
          </w:p>
          <w:p w14:paraId="356DEA0C" w14:textId="77777777" w:rsidR="00CE1D63" w:rsidRPr="00692E97" w:rsidRDefault="00CE1D63" w:rsidP="00BC4226">
            <w:pPr>
              <w:pStyle w:val="TableRowHead"/>
              <w:rPr>
                <w:b/>
              </w:rPr>
            </w:pPr>
            <w:r w:rsidRPr="00692E97">
              <w:rPr>
                <w:b/>
              </w:rPr>
              <w:t>Presented as:</w:t>
            </w:r>
          </w:p>
        </w:tc>
        <w:tc>
          <w:tcPr>
            <w:tcW w:w="921" w:type="dxa"/>
            <w:vAlign w:val="bottom"/>
          </w:tcPr>
          <w:p w14:paraId="54B8923E" w14:textId="77777777" w:rsidR="00CE1D63" w:rsidRPr="00637F6B" w:rsidRDefault="00CE1D63" w:rsidP="00BC4226">
            <w:pPr>
              <w:pStyle w:val="Subtitle"/>
              <w:rPr>
                <w:b w:val="0"/>
              </w:rPr>
            </w:pPr>
          </w:p>
        </w:tc>
        <w:tc>
          <w:tcPr>
            <w:tcW w:w="921" w:type="dxa"/>
            <w:vAlign w:val="bottom"/>
          </w:tcPr>
          <w:p w14:paraId="47CF4417" w14:textId="77777777" w:rsidR="00CE1D63" w:rsidRPr="00637F6B" w:rsidRDefault="00CE1D63" w:rsidP="00BC4226">
            <w:pPr>
              <w:pStyle w:val="Subtitle"/>
              <w:rPr>
                <w:b w:val="0"/>
              </w:rPr>
            </w:pPr>
          </w:p>
        </w:tc>
        <w:tc>
          <w:tcPr>
            <w:tcW w:w="922" w:type="dxa"/>
            <w:vAlign w:val="bottom"/>
          </w:tcPr>
          <w:p w14:paraId="757411F3" w14:textId="77777777" w:rsidR="00CE1D63" w:rsidRPr="00637F6B" w:rsidRDefault="00CE1D63" w:rsidP="00BC4226">
            <w:pPr>
              <w:pStyle w:val="Subtitle"/>
            </w:pPr>
          </w:p>
        </w:tc>
        <w:tc>
          <w:tcPr>
            <w:tcW w:w="921" w:type="dxa"/>
          </w:tcPr>
          <w:p w14:paraId="00E19131" w14:textId="77777777" w:rsidR="00CE1D63" w:rsidRPr="00637F6B" w:rsidRDefault="00CE1D63" w:rsidP="00BC4226">
            <w:pPr>
              <w:pStyle w:val="Subtitle"/>
              <w:rPr>
                <w:b w:val="0"/>
              </w:rPr>
            </w:pPr>
          </w:p>
        </w:tc>
        <w:tc>
          <w:tcPr>
            <w:tcW w:w="921" w:type="dxa"/>
          </w:tcPr>
          <w:p w14:paraId="688BA64B" w14:textId="77777777" w:rsidR="00CE1D63" w:rsidRPr="00637F6B" w:rsidRDefault="00CE1D63" w:rsidP="00BC4226">
            <w:pPr>
              <w:pStyle w:val="Subtitle"/>
              <w:rPr>
                <w:b w:val="0"/>
              </w:rPr>
            </w:pPr>
          </w:p>
        </w:tc>
        <w:tc>
          <w:tcPr>
            <w:tcW w:w="922" w:type="dxa"/>
            <w:vAlign w:val="bottom"/>
          </w:tcPr>
          <w:p w14:paraId="50776C81" w14:textId="77777777" w:rsidR="00CE1D63" w:rsidRPr="00637F6B" w:rsidRDefault="00CE1D63" w:rsidP="00BC4226">
            <w:pPr>
              <w:pStyle w:val="Subtitle"/>
              <w:rPr>
                <w:b w:val="0"/>
              </w:rPr>
            </w:pPr>
          </w:p>
        </w:tc>
      </w:tr>
      <w:tr w:rsidR="00CE1D63" w14:paraId="58672AA0" w14:textId="77777777" w:rsidTr="00BC4226">
        <w:trPr>
          <w:trHeight w:val="227"/>
        </w:trPr>
        <w:tc>
          <w:tcPr>
            <w:tcW w:w="4678" w:type="dxa"/>
            <w:vAlign w:val="bottom"/>
          </w:tcPr>
          <w:p w14:paraId="2990E88A" w14:textId="77777777" w:rsidR="00CE1D63" w:rsidRPr="00637F6B" w:rsidRDefault="00CE1D63" w:rsidP="00BC4226">
            <w:pPr>
              <w:pStyle w:val="TableRowHead"/>
            </w:pPr>
            <w:r>
              <w:t xml:space="preserve">     </w:t>
            </w:r>
            <w:r w:rsidRPr="00322ED6">
              <w:t>Retirement benefit asset*</w:t>
            </w:r>
          </w:p>
        </w:tc>
        <w:tc>
          <w:tcPr>
            <w:tcW w:w="921" w:type="dxa"/>
            <w:vAlign w:val="bottom"/>
          </w:tcPr>
          <w:p w14:paraId="3735B260" w14:textId="77777777" w:rsidR="00CE1D63" w:rsidRPr="00637F6B" w:rsidRDefault="00CE1D63" w:rsidP="00BC4226">
            <w:pPr>
              <w:pStyle w:val="Subtitle"/>
              <w:rPr>
                <w:b w:val="0"/>
              </w:rPr>
            </w:pPr>
          </w:p>
        </w:tc>
        <w:tc>
          <w:tcPr>
            <w:tcW w:w="921" w:type="dxa"/>
            <w:vAlign w:val="bottom"/>
          </w:tcPr>
          <w:p w14:paraId="2208E837" w14:textId="77777777" w:rsidR="00CE1D63" w:rsidRPr="00637F6B" w:rsidRDefault="00CE1D63" w:rsidP="00BC4226">
            <w:pPr>
              <w:pStyle w:val="Subtitle"/>
              <w:rPr>
                <w:b w:val="0"/>
              </w:rPr>
            </w:pPr>
          </w:p>
        </w:tc>
        <w:tc>
          <w:tcPr>
            <w:tcW w:w="922" w:type="dxa"/>
            <w:vAlign w:val="bottom"/>
          </w:tcPr>
          <w:p w14:paraId="4AC14991" w14:textId="77777777" w:rsidR="00CE1D63" w:rsidRPr="00637F6B" w:rsidRDefault="00CE1D63" w:rsidP="00BC4226">
            <w:pPr>
              <w:pStyle w:val="Subtitle"/>
            </w:pPr>
            <w:r>
              <w:t>42.1</w:t>
            </w:r>
          </w:p>
        </w:tc>
        <w:tc>
          <w:tcPr>
            <w:tcW w:w="921" w:type="dxa"/>
          </w:tcPr>
          <w:p w14:paraId="7430135E" w14:textId="77777777" w:rsidR="00CE1D63" w:rsidRPr="004B163D" w:rsidRDefault="00CE1D63" w:rsidP="00BC4226">
            <w:pPr>
              <w:pStyle w:val="Subtitle"/>
              <w:rPr>
                <w:b w:val="0"/>
              </w:rPr>
            </w:pPr>
          </w:p>
        </w:tc>
        <w:tc>
          <w:tcPr>
            <w:tcW w:w="921" w:type="dxa"/>
          </w:tcPr>
          <w:p w14:paraId="7363F93A" w14:textId="77777777" w:rsidR="00CE1D63" w:rsidRPr="004B163D" w:rsidRDefault="00CE1D63" w:rsidP="00BC4226">
            <w:pPr>
              <w:pStyle w:val="Subtitle"/>
              <w:rPr>
                <w:b w:val="0"/>
              </w:rPr>
            </w:pPr>
          </w:p>
        </w:tc>
        <w:tc>
          <w:tcPr>
            <w:tcW w:w="922" w:type="dxa"/>
            <w:vAlign w:val="bottom"/>
          </w:tcPr>
          <w:p w14:paraId="5D5D1E7B" w14:textId="77777777" w:rsidR="00CE1D63" w:rsidRPr="004B163D" w:rsidRDefault="00CE1D63" w:rsidP="00BC4226">
            <w:pPr>
              <w:pStyle w:val="Subtitle"/>
              <w:rPr>
                <w:b w:val="0"/>
              </w:rPr>
            </w:pPr>
            <w:r w:rsidRPr="004B163D">
              <w:rPr>
                <w:b w:val="0"/>
              </w:rPr>
              <w:t>42.9</w:t>
            </w:r>
          </w:p>
        </w:tc>
      </w:tr>
      <w:tr w:rsidR="00CE1D63" w14:paraId="09EA4916" w14:textId="77777777" w:rsidTr="00BC4226">
        <w:trPr>
          <w:trHeight w:val="227"/>
        </w:trPr>
        <w:tc>
          <w:tcPr>
            <w:tcW w:w="4678" w:type="dxa"/>
            <w:tcBorders>
              <w:bottom w:val="single" w:sz="8" w:space="0" w:color="auto"/>
            </w:tcBorders>
            <w:vAlign w:val="bottom"/>
          </w:tcPr>
          <w:p w14:paraId="08DB2315" w14:textId="77777777" w:rsidR="00CE1D63" w:rsidRPr="00637F6B" w:rsidRDefault="00CE1D63" w:rsidP="00BC4226">
            <w:pPr>
              <w:pStyle w:val="TableRowHead"/>
            </w:pPr>
            <w:r>
              <w:t xml:space="preserve">     </w:t>
            </w:r>
            <w:r w:rsidRPr="00637F6B">
              <w:t>Retirement benefit obligation</w:t>
            </w:r>
          </w:p>
        </w:tc>
        <w:tc>
          <w:tcPr>
            <w:tcW w:w="921" w:type="dxa"/>
            <w:tcBorders>
              <w:bottom w:val="single" w:sz="8" w:space="0" w:color="auto"/>
            </w:tcBorders>
            <w:vAlign w:val="bottom"/>
          </w:tcPr>
          <w:p w14:paraId="59DD7FC5" w14:textId="77777777" w:rsidR="00CE1D63" w:rsidRPr="00637F6B" w:rsidRDefault="00CE1D63" w:rsidP="00BC4226">
            <w:pPr>
              <w:pStyle w:val="Subtitle"/>
              <w:rPr>
                <w:b w:val="0"/>
              </w:rPr>
            </w:pPr>
          </w:p>
        </w:tc>
        <w:tc>
          <w:tcPr>
            <w:tcW w:w="921" w:type="dxa"/>
            <w:tcBorders>
              <w:bottom w:val="single" w:sz="8" w:space="0" w:color="auto"/>
            </w:tcBorders>
            <w:vAlign w:val="bottom"/>
          </w:tcPr>
          <w:p w14:paraId="217B89AD" w14:textId="77777777" w:rsidR="00CE1D63" w:rsidRPr="00637F6B" w:rsidRDefault="00CE1D63" w:rsidP="00BC4226">
            <w:pPr>
              <w:pStyle w:val="Subtitle"/>
              <w:rPr>
                <w:b w:val="0"/>
              </w:rPr>
            </w:pPr>
          </w:p>
        </w:tc>
        <w:tc>
          <w:tcPr>
            <w:tcW w:w="922" w:type="dxa"/>
            <w:tcBorders>
              <w:bottom w:val="single" w:sz="8" w:space="0" w:color="auto"/>
            </w:tcBorders>
            <w:vAlign w:val="bottom"/>
          </w:tcPr>
          <w:p w14:paraId="1B5D74E9" w14:textId="77777777" w:rsidR="00CE1D63" w:rsidRPr="00637F6B" w:rsidRDefault="00CE1D63" w:rsidP="00BC4226">
            <w:pPr>
              <w:pStyle w:val="Subtitle"/>
            </w:pPr>
            <w:r>
              <w:t>(88.1)</w:t>
            </w:r>
          </w:p>
        </w:tc>
        <w:tc>
          <w:tcPr>
            <w:tcW w:w="921" w:type="dxa"/>
            <w:tcBorders>
              <w:bottom w:val="single" w:sz="8" w:space="0" w:color="auto"/>
            </w:tcBorders>
          </w:tcPr>
          <w:p w14:paraId="6B5AD7EC" w14:textId="77777777" w:rsidR="00CE1D63" w:rsidRPr="004B163D" w:rsidRDefault="00CE1D63" w:rsidP="00BC4226">
            <w:pPr>
              <w:pStyle w:val="Subtitle"/>
              <w:rPr>
                <w:b w:val="0"/>
              </w:rPr>
            </w:pPr>
          </w:p>
        </w:tc>
        <w:tc>
          <w:tcPr>
            <w:tcW w:w="921" w:type="dxa"/>
            <w:tcBorders>
              <w:bottom w:val="single" w:sz="8" w:space="0" w:color="auto"/>
            </w:tcBorders>
          </w:tcPr>
          <w:p w14:paraId="171A6B4D" w14:textId="77777777" w:rsidR="00CE1D63" w:rsidRPr="004B163D" w:rsidRDefault="00CE1D63" w:rsidP="00BC4226">
            <w:pPr>
              <w:pStyle w:val="Subtitle"/>
              <w:rPr>
                <w:b w:val="0"/>
              </w:rPr>
            </w:pPr>
          </w:p>
        </w:tc>
        <w:tc>
          <w:tcPr>
            <w:tcW w:w="922" w:type="dxa"/>
            <w:tcBorders>
              <w:bottom w:val="single" w:sz="8" w:space="0" w:color="auto"/>
            </w:tcBorders>
            <w:vAlign w:val="bottom"/>
          </w:tcPr>
          <w:p w14:paraId="6B933878" w14:textId="77777777" w:rsidR="00CE1D63" w:rsidRPr="004B163D" w:rsidRDefault="00CE1D63" w:rsidP="00BC4226">
            <w:pPr>
              <w:pStyle w:val="Subtitle"/>
              <w:rPr>
                <w:b w:val="0"/>
              </w:rPr>
            </w:pPr>
            <w:r w:rsidRPr="004B163D">
              <w:rPr>
                <w:b w:val="0"/>
              </w:rPr>
              <w:t>(125.0)</w:t>
            </w:r>
          </w:p>
        </w:tc>
      </w:tr>
      <w:tr w:rsidR="00CE1D63" w14:paraId="068CCDAF" w14:textId="77777777" w:rsidTr="00BC4226">
        <w:trPr>
          <w:trHeight w:val="227"/>
        </w:trPr>
        <w:tc>
          <w:tcPr>
            <w:tcW w:w="10206" w:type="dxa"/>
            <w:gridSpan w:val="7"/>
            <w:tcBorders>
              <w:top w:val="single" w:sz="8" w:space="0" w:color="auto"/>
            </w:tcBorders>
          </w:tcPr>
          <w:p w14:paraId="7C027D45" w14:textId="77777777" w:rsidR="00CE1D63" w:rsidRPr="005A2C63" w:rsidRDefault="00CE1D63" w:rsidP="00BC4226">
            <w:pPr>
              <w:pStyle w:val="TableComments"/>
              <w:ind w:left="29" w:right="316" w:hanging="29"/>
              <w:jc w:val="both"/>
            </w:pPr>
            <w:r w:rsidRPr="00685EA7">
              <w:t>*The value of a net pension benefit asset is the value of any amount the Group reasonably expects to recover by way of a refund of surplus</w:t>
            </w:r>
            <w:r>
              <w:t xml:space="preserve"> </w:t>
            </w:r>
            <w:r w:rsidRPr="00685EA7">
              <w:t>from the remaining assets of a plan at the end of the plan’s life.</w:t>
            </w:r>
          </w:p>
        </w:tc>
      </w:tr>
    </w:tbl>
    <w:p w14:paraId="62BB71BD" w14:textId="77777777" w:rsidR="00CE1D63" w:rsidRDefault="00CE1D63" w:rsidP="005771B0">
      <w:pPr>
        <w:pStyle w:val="Paragraph"/>
        <w:spacing w:before="0" w:after="120"/>
        <w:jc w:val="both"/>
      </w:pPr>
    </w:p>
    <w:bookmarkEnd w:id="13"/>
    <w:p w14:paraId="0A21F311" w14:textId="77777777" w:rsidR="005B36AA" w:rsidRPr="00CE48FE" w:rsidRDefault="005B36AA" w:rsidP="005771B0">
      <w:pPr>
        <w:pStyle w:val="Paragraph"/>
        <w:spacing w:before="0" w:after="120"/>
        <w:jc w:val="both"/>
      </w:pPr>
      <w:r w:rsidRPr="00CE48FE">
        <w:t>The principal actuarial assumptions are as follows:</w:t>
      </w:r>
    </w:p>
    <w:tbl>
      <w:tblPr>
        <w:tblpPr w:leftFromText="180" w:rightFromText="180" w:vertAnchor="text" w:horzAnchor="margin" w:tblpY="39"/>
        <w:tblW w:w="10205" w:type="dxa"/>
        <w:tblLayout w:type="fixed"/>
        <w:tblLook w:val="01E0" w:firstRow="1" w:lastRow="1" w:firstColumn="1" w:lastColumn="1" w:noHBand="0" w:noVBand="0"/>
      </w:tblPr>
      <w:tblGrid>
        <w:gridCol w:w="5669"/>
        <w:gridCol w:w="1134"/>
        <w:gridCol w:w="1134"/>
        <w:gridCol w:w="1134"/>
        <w:gridCol w:w="1134"/>
      </w:tblGrid>
      <w:tr w:rsidR="005B36AA" w14:paraId="67B965D6" w14:textId="77777777" w:rsidTr="005B36AA">
        <w:trPr>
          <w:trHeight w:val="227"/>
        </w:trPr>
        <w:tc>
          <w:tcPr>
            <w:tcW w:w="5669" w:type="dxa"/>
            <w:vAlign w:val="bottom"/>
          </w:tcPr>
          <w:p w14:paraId="53767B30" w14:textId="77777777" w:rsidR="005B36AA" w:rsidRDefault="005B36AA" w:rsidP="005B36AA">
            <w:pPr>
              <w:pStyle w:val="TableRowHead"/>
            </w:pPr>
          </w:p>
        </w:tc>
        <w:tc>
          <w:tcPr>
            <w:tcW w:w="2268" w:type="dxa"/>
            <w:gridSpan w:val="2"/>
            <w:vAlign w:val="bottom"/>
          </w:tcPr>
          <w:p w14:paraId="0360BA21" w14:textId="77777777" w:rsidR="005B36AA" w:rsidRDefault="005B36AA" w:rsidP="005B36AA">
            <w:pPr>
              <w:pStyle w:val="Subtitle"/>
              <w:jc w:val="center"/>
            </w:pPr>
            <w:r>
              <w:t xml:space="preserve">             UK Schemes</w:t>
            </w:r>
          </w:p>
        </w:tc>
        <w:tc>
          <w:tcPr>
            <w:tcW w:w="2268" w:type="dxa"/>
            <w:gridSpan w:val="2"/>
            <w:vAlign w:val="bottom"/>
          </w:tcPr>
          <w:p w14:paraId="30D147BA" w14:textId="77777777" w:rsidR="005B36AA" w:rsidRPr="00F22A70" w:rsidRDefault="005B36AA" w:rsidP="005B36AA">
            <w:pPr>
              <w:pStyle w:val="Subtitle"/>
              <w:jc w:val="center"/>
              <w:rPr>
                <w:b w:val="0"/>
              </w:rPr>
            </w:pPr>
            <w:r>
              <w:rPr>
                <w:b w:val="0"/>
              </w:rPr>
              <w:t xml:space="preserve">            </w:t>
            </w:r>
            <w:r w:rsidRPr="004B163D">
              <w:t>Irish Schemes</w:t>
            </w:r>
          </w:p>
        </w:tc>
      </w:tr>
      <w:tr w:rsidR="005B36AA" w14:paraId="560107A1" w14:textId="77777777" w:rsidTr="005B36AA">
        <w:trPr>
          <w:trHeight w:val="227"/>
        </w:trPr>
        <w:tc>
          <w:tcPr>
            <w:tcW w:w="5669" w:type="dxa"/>
            <w:tcBorders>
              <w:bottom w:val="single" w:sz="4" w:space="0" w:color="000000"/>
            </w:tcBorders>
            <w:vAlign w:val="bottom"/>
          </w:tcPr>
          <w:p w14:paraId="4E84B695" w14:textId="77777777" w:rsidR="005B36AA" w:rsidRDefault="005B36AA" w:rsidP="005B36AA">
            <w:pPr>
              <w:pStyle w:val="TableRowHead"/>
            </w:pPr>
          </w:p>
        </w:tc>
        <w:tc>
          <w:tcPr>
            <w:tcW w:w="1134" w:type="dxa"/>
            <w:tcBorders>
              <w:bottom w:val="single" w:sz="4" w:space="0" w:color="000000"/>
            </w:tcBorders>
            <w:vAlign w:val="bottom"/>
          </w:tcPr>
          <w:p w14:paraId="545D44EC" w14:textId="77777777" w:rsidR="005B36AA" w:rsidRDefault="004B163D" w:rsidP="005B36AA">
            <w:pPr>
              <w:pStyle w:val="Subtitle"/>
            </w:pPr>
            <w:r>
              <w:t>2021</w:t>
            </w:r>
          </w:p>
        </w:tc>
        <w:tc>
          <w:tcPr>
            <w:tcW w:w="1134" w:type="dxa"/>
            <w:tcBorders>
              <w:bottom w:val="single" w:sz="4" w:space="0" w:color="000000"/>
            </w:tcBorders>
            <w:vAlign w:val="bottom"/>
          </w:tcPr>
          <w:p w14:paraId="192A06ED" w14:textId="77777777" w:rsidR="005B36AA" w:rsidRPr="00C520E8" w:rsidRDefault="005B36AA" w:rsidP="004B163D">
            <w:pPr>
              <w:pStyle w:val="Subtitle"/>
              <w:rPr>
                <w:b w:val="0"/>
                <w:bCs/>
              </w:rPr>
            </w:pPr>
            <w:r>
              <w:rPr>
                <w:b w:val="0"/>
                <w:bCs/>
              </w:rPr>
              <w:t>20</w:t>
            </w:r>
            <w:r w:rsidR="004B163D">
              <w:rPr>
                <w:b w:val="0"/>
                <w:bCs/>
              </w:rPr>
              <w:t>20</w:t>
            </w:r>
          </w:p>
        </w:tc>
        <w:tc>
          <w:tcPr>
            <w:tcW w:w="1134" w:type="dxa"/>
            <w:tcBorders>
              <w:bottom w:val="single" w:sz="4" w:space="0" w:color="000000"/>
            </w:tcBorders>
            <w:vAlign w:val="bottom"/>
          </w:tcPr>
          <w:p w14:paraId="7C5868DE" w14:textId="77777777" w:rsidR="005B36AA" w:rsidRPr="00C520E8" w:rsidRDefault="005B36AA" w:rsidP="004B163D">
            <w:pPr>
              <w:pStyle w:val="Subtitle"/>
              <w:rPr>
                <w:bCs/>
              </w:rPr>
            </w:pPr>
            <w:r>
              <w:rPr>
                <w:bCs/>
              </w:rPr>
              <w:t>202</w:t>
            </w:r>
            <w:r w:rsidR="004B163D">
              <w:rPr>
                <w:bCs/>
              </w:rPr>
              <w:t>1</w:t>
            </w:r>
          </w:p>
        </w:tc>
        <w:tc>
          <w:tcPr>
            <w:tcW w:w="1134" w:type="dxa"/>
            <w:tcBorders>
              <w:bottom w:val="single" w:sz="4" w:space="0" w:color="000000"/>
            </w:tcBorders>
            <w:vAlign w:val="bottom"/>
          </w:tcPr>
          <w:p w14:paraId="66BC0462" w14:textId="77777777" w:rsidR="005B36AA" w:rsidRPr="00F22A70" w:rsidRDefault="005B36AA" w:rsidP="004B163D">
            <w:pPr>
              <w:pStyle w:val="Subtitle"/>
              <w:rPr>
                <w:b w:val="0"/>
              </w:rPr>
            </w:pPr>
            <w:r>
              <w:rPr>
                <w:b w:val="0"/>
              </w:rPr>
              <w:t>20</w:t>
            </w:r>
            <w:r w:rsidR="004B163D">
              <w:rPr>
                <w:b w:val="0"/>
              </w:rPr>
              <w:t>20</w:t>
            </w:r>
          </w:p>
        </w:tc>
      </w:tr>
      <w:tr w:rsidR="004B163D" w14:paraId="50EE6073" w14:textId="77777777" w:rsidTr="005B36AA">
        <w:trPr>
          <w:trHeight w:val="227"/>
        </w:trPr>
        <w:tc>
          <w:tcPr>
            <w:tcW w:w="5669" w:type="dxa"/>
            <w:tcBorders>
              <w:top w:val="single" w:sz="4" w:space="0" w:color="000000"/>
            </w:tcBorders>
            <w:vAlign w:val="bottom"/>
          </w:tcPr>
          <w:p w14:paraId="008E9823" w14:textId="77777777" w:rsidR="004B163D" w:rsidRDefault="004B163D" w:rsidP="004B163D">
            <w:pPr>
              <w:pStyle w:val="TableRowHead"/>
            </w:pPr>
            <w:r>
              <w:t>Rate of increase in pension payments*</w:t>
            </w:r>
          </w:p>
        </w:tc>
        <w:tc>
          <w:tcPr>
            <w:tcW w:w="1134" w:type="dxa"/>
            <w:tcBorders>
              <w:top w:val="single" w:sz="4" w:space="0" w:color="000000"/>
            </w:tcBorders>
            <w:vAlign w:val="bottom"/>
          </w:tcPr>
          <w:p w14:paraId="796F38B9" w14:textId="77777777" w:rsidR="004B163D" w:rsidRPr="00C520E8" w:rsidRDefault="00545A6F" w:rsidP="004B163D">
            <w:pPr>
              <w:pStyle w:val="Subtitle"/>
              <w:rPr>
                <w:bCs/>
              </w:rPr>
            </w:pPr>
            <w:r>
              <w:rPr>
                <w:bCs/>
              </w:rPr>
              <w:t>3.35%</w:t>
            </w:r>
          </w:p>
        </w:tc>
        <w:tc>
          <w:tcPr>
            <w:tcW w:w="1134" w:type="dxa"/>
            <w:tcBorders>
              <w:top w:val="single" w:sz="4" w:space="0" w:color="000000"/>
            </w:tcBorders>
            <w:vAlign w:val="bottom"/>
          </w:tcPr>
          <w:p w14:paraId="3AE01263" w14:textId="77777777" w:rsidR="004B163D" w:rsidRPr="004B163D" w:rsidRDefault="004B163D" w:rsidP="004B163D">
            <w:pPr>
              <w:pStyle w:val="Subtitle"/>
              <w:rPr>
                <w:b w:val="0"/>
                <w:bCs/>
              </w:rPr>
            </w:pPr>
            <w:r w:rsidRPr="004B163D">
              <w:rPr>
                <w:b w:val="0"/>
                <w:bCs/>
              </w:rPr>
              <w:t>2.85%</w:t>
            </w:r>
          </w:p>
        </w:tc>
        <w:tc>
          <w:tcPr>
            <w:tcW w:w="1134" w:type="dxa"/>
            <w:tcBorders>
              <w:top w:val="single" w:sz="4" w:space="0" w:color="000000"/>
            </w:tcBorders>
            <w:vAlign w:val="bottom"/>
          </w:tcPr>
          <w:p w14:paraId="412E24AD" w14:textId="77777777" w:rsidR="004B163D" w:rsidRPr="00C520E8" w:rsidRDefault="00545A6F" w:rsidP="004B163D">
            <w:pPr>
              <w:pStyle w:val="Subtitle"/>
              <w:rPr>
                <w:bCs/>
              </w:rPr>
            </w:pPr>
            <w:r>
              <w:rPr>
                <w:bCs/>
              </w:rPr>
              <w:t>0.00%</w:t>
            </w:r>
          </w:p>
        </w:tc>
        <w:tc>
          <w:tcPr>
            <w:tcW w:w="1134" w:type="dxa"/>
            <w:tcBorders>
              <w:top w:val="single" w:sz="4" w:space="0" w:color="000000"/>
            </w:tcBorders>
            <w:vAlign w:val="bottom"/>
          </w:tcPr>
          <w:p w14:paraId="2241C9FB" w14:textId="77777777" w:rsidR="004B163D" w:rsidRPr="004B163D" w:rsidRDefault="004B163D" w:rsidP="004B163D">
            <w:pPr>
              <w:pStyle w:val="Subtitle"/>
              <w:rPr>
                <w:b w:val="0"/>
                <w:bCs/>
              </w:rPr>
            </w:pPr>
            <w:r w:rsidRPr="004B163D">
              <w:rPr>
                <w:b w:val="0"/>
                <w:bCs/>
              </w:rPr>
              <w:t>0.00%</w:t>
            </w:r>
          </w:p>
        </w:tc>
      </w:tr>
      <w:tr w:rsidR="004B163D" w14:paraId="212EABDD" w14:textId="77777777" w:rsidTr="005B36AA">
        <w:trPr>
          <w:trHeight w:val="227"/>
        </w:trPr>
        <w:tc>
          <w:tcPr>
            <w:tcW w:w="5669" w:type="dxa"/>
            <w:vAlign w:val="bottom"/>
          </w:tcPr>
          <w:p w14:paraId="63F6F371" w14:textId="77777777" w:rsidR="004B163D" w:rsidRDefault="004B163D" w:rsidP="004B163D">
            <w:pPr>
              <w:pStyle w:val="TableRowHead"/>
            </w:pPr>
            <w:r>
              <w:t>Discount rate</w:t>
            </w:r>
          </w:p>
        </w:tc>
        <w:tc>
          <w:tcPr>
            <w:tcW w:w="1134" w:type="dxa"/>
            <w:vAlign w:val="bottom"/>
          </w:tcPr>
          <w:p w14:paraId="13E623D3" w14:textId="77777777" w:rsidR="004B163D" w:rsidRPr="00C520E8" w:rsidRDefault="00545A6F" w:rsidP="004B163D">
            <w:pPr>
              <w:pStyle w:val="Subtitle"/>
              <w:rPr>
                <w:bCs/>
              </w:rPr>
            </w:pPr>
            <w:r>
              <w:rPr>
                <w:bCs/>
              </w:rPr>
              <w:t>1.90%</w:t>
            </w:r>
          </w:p>
        </w:tc>
        <w:tc>
          <w:tcPr>
            <w:tcW w:w="1134" w:type="dxa"/>
            <w:vAlign w:val="bottom"/>
          </w:tcPr>
          <w:p w14:paraId="7EF90D19" w14:textId="77777777" w:rsidR="004B163D" w:rsidRPr="004B163D" w:rsidRDefault="004B163D" w:rsidP="004B163D">
            <w:pPr>
              <w:pStyle w:val="Subtitle"/>
              <w:rPr>
                <w:b w:val="0"/>
                <w:bCs/>
              </w:rPr>
            </w:pPr>
            <w:r w:rsidRPr="004B163D">
              <w:rPr>
                <w:b w:val="0"/>
                <w:bCs/>
              </w:rPr>
              <w:t>1.70%</w:t>
            </w:r>
          </w:p>
        </w:tc>
        <w:tc>
          <w:tcPr>
            <w:tcW w:w="1134" w:type="dxa"/>
            <w:vAlign w:val="bottom"/>
          </w:tcPr>
          <w:p w14:paraId="337861CF" w14:textId="77777777" w:rsidR="004B163D" w:rsidRPr="00C520E8" w:rsidRDefault="00545A6F" w:rsidP="004B163D">
            <w:pPr>
              <w:pStyle w:val="Subtitle"/>
              <w:rPr>
                <w:bCs/>
              </w:rPr>
            </w:pPr>
            <w:r>
              <w:rPr>
                <w:bCs/>
              </w:rPr>
              <w:t>1.13%</w:t>
            </w:r>
          </w:p>
        </w:tc>
        <w:tc>
          <w:tcPr>
            <w:tcW w:w="1134" w:type="dxa"/>
            <w:vAlign w:val="bottom"/>
          </w:tcPr>
          <w:p w14:paraId="2C4D0111" w14:textId="77777777" w:rsidR="004B163D" w:rsidRPr="004B163D" w:rsidRDefault="004B163D" w:rsidP="004B163D">
            <w:pPr>
              <w:pStyle w:val="Subtitle"/>
              <w:rPr>
                <w:b w:val="0"/>
                <w:bCs/>
              </w:rPr>
            </w:pPr>
            <w:r w:rsidRPr="004B163D">
              <w:rPr>
                <w:b w:val="0"/>
                <w:bCs/>
              </w:rPr>
              <w:t>0.95%</w:t>
            </w:r>
          </w:p>
        </w:tc>
      </w:tr>
      <w:tr w:rsidR="004B163D" w14:paraId="58E523A6" w14:textId="77777777" w:rsidTr="005B36AA">
        <w:trPr>
          <w:trHeight w:val="227"/>
        </w:trPr>
        <w:tc>
          <w:tcPr>
            <w:tcW w:w="5669" w:type="dxa"/>
            <w:tcBorders>
              <w:bottom w:val="single" w:sz="8" w:space="0" w:color="auto"/>
            </w:tcBorders>
            <w:vAlign w:val="bottom"/>
          </w:tcPr>
          <w:p w14:paraId="16840A17" w14:textId="77777777" w:rsidR="004B163D" w:rsidRDefault="004B163D" w:rsidP="004B163D">
            <w:pPr>
              <w:pStyle w:val="TableRowHead"/>
            </w:pPr>
            <w:r>
              <w:t>Inflation rate**</w:t>
            </w:r>
          </w:p>
        </w:tc>
        <w:tc>
          <w:tcPr>
            <w:tcW w:w="1134" w:type="dxa"/>
            <w:tcBorders>
              <w:bottom w:val="single" w:sz="8" w:space="0" w:color="auto"/>
            </w:tcBorders>
            <w:vAlign w:val="bottom"/>
          </w:tcPr>
          <w:p w14:paraId="6283CECC" w14:textId="77777777" w:rsidR="004B163D" w:rsidRPr="00C520E8" w:rsidRDefault="00545A6F" w:rsidP="004B163D">
            <w:pPr>
              <w:pStyle w:val="Subtitle"/>
              <w:rPr>
                <w:bCs/>
              </w:rPr>
            </w:pPr>
            <w:r>
              <w:rPr>
                <w:bCs/>
              </w:rPr>
              <w:t>3.45%</w:t>
            </w:r>
          </w:p>
        </w:tc>
        <w:tc>
          <w:tcPr>
            <w:tcW w:w="1134" w:type="dxa"/>
            <w:tcBorders>
              <w:bottom w:val="single" w:sz="8" w:space="0" w:color="auto"/>
            </w:tcBorders>
            <w:vAlign w:val="bottom"/>
          </w:tcPr>
          <w:p w14:paraId="75A15C05" w14:textId="77777777" w:rsidR="004B163D" w:rsidRPr="004B163D" w:rsidRDefault="004B163D" w:rsidP="004B163D">
            <w:pPr>
              <w:pStyle w:val="Subtitle"/>
              <w:rPr>
                <w:b w:val="0"/>
                <w:bCs/>
              </w:rPr>
            </w:pPr>
            <w:r w:rsidRPr="004B163D">
              <w:rPr>
                <w:b w:val="0"/>
                <w:bCs/>
              </w:rPr>
              <w:t>2.95%</w:t>
            </w:r>
          </w:p>
        </w:tc>
        <w:tc>
          <w:tcPr>
            <w:tcW w:w="1134" w:type="dxa"/>
            <w:tcBorders>
              <w:bottom w:val="single" w:sz="8" w:space="0" w:color="auto"/>
            </w:tcBorders>
            <w:vAlign w:val="bottom"/>
          </w:tcPr>
          <w:p w14:paraId="4A542BF2" w14:textId="77777777" w:rsidR="004B163D" w:rsidRPr="00C520E8" w:rsidRDefault="00545A6F" w:rsidP="004B163D">
            <w:pPr>
              <w:pStyle w:val="Subtitle"/>
              <w:rPr>
                <w:bCs/>
              </w:rPr>
            </w:pPr>
            <w:r>
              <w:rPr>
                <w:bCs/>
              </w:rPr>
              <w:t>1.80%</w:t>
            </w:r>
          </w:p>
        </w:tc>
        <w:tc>
          <w:tcPr>
            <w:tcW w:w="1134" w:type="dxa"/>
            <w:tcBorders>
              <w:bottom w:val="single" w:sz="8" w:space="0" w:color="auto"/>
            </w:tcBorders>
            <w:vAlign w:val="bottom"/>
          </w:tcPr>
          <w:p w14:paraId="1A26ADC5" w14:textId="77777777" w:rsidR="004B163D" w:rsidRPr="004B163D" w:rsidRDefault="004B163D" w:rsidP="004B163D">
            <w:pPr>
              <w:pStyle w:val="Subtitle"/>
              <w:rPr>
                <w:b w:val="0"/>
                <w:bCs/>
              </w:rPr>
            </w:pPr>
            <w:r w:rsidRPr="004B163D">
              <w:rPr>
                <w:b w:val="0"/>
                <w:bCs/>
              </w:rPr>
              <w:t>1.50%</w:t>
            </w:r>
          </w:p>
        </w:tc>
      </w:tr>
      <w:tr w:rsidR="005B36AA" w14:paraId="72DDCD76" w14:textId="77777777" w:rsidTr="005B36AA">
        <w:trPr>
          <w:trHeight w:val="227"/>
        </w:trPr>
        <w:tc>
          <w:tcPr>
            <w:tcW w:w="10205" w:type="dxa"/>
            <w:gridSpan w:val="5"/>
            <w:tcBorders>
              <w:top w:val="single" w:sz="8" w:space="0" w:color="auto"/>
            </w:tcBorders>
          </w:tcPr>
          <w:p w14:paraId="69958346" w14:textId="77777777" w:rsidR="005B36AA" w:rsidRPr="00660EC8" w:rsidRDefault="005B36AA" w:rsidP="005B36AA">
            <w:pPr>
              <w:pStyle w:val="TableComments"/>
              <w:ind w:left="0" w:right="316"/>
              <w:jc w:val="both"/>
              <w:rPr>
                <w:szCs w:val="16"/>
              </w:rPr>
            </w:pPr>
            <w:r w:rsidRPr="00E05961">
              <w:rPr>
                <w:szCs w:val="16"/>
              </w:rPr>
              <w:t xml:space="preserve">* </w:t>
            </w:r>
            <w:r>
              <w:t xml:space="preserve"> </w:t>
            </w:r>
            <w:r w:rsidRPr="00202445">
              <w:rPr>
                <w:szCs w:val="16"/>
              </w:rPr>
              <w:t>The rate of increase in pension payments applies to the majority of the liability base, however there are certain categories within the Group's Irish Schemes that have an entitlement to pension indexation</w:t>
            </w:r>
            <w:r w:rsidR="00BA2D4A">
              <w:rPr>
                <w:szCs w:val="16"/>
              </w:rPr>
              <w:t>.</w:t>
            </w:r>
          </w:p>
          <w:p w14:paraId="27DA0AD1" w14:textId="7C9D9D49" w:rsidR="005B36AA" w:rsidRDefault="005B36AA" w:rsidP="005B36AA">
            <w:pPr>
              <w:pStyle w:val="TableComments"/>
              <w:ind w:left="0" w:right="316"/>
              <w:jc w:val="both"/>
            </w:pPr>
            <w:r>
              <w:t>**Inflation is Retail Price Index (RPI) for UK Schemes, for reference Consumer Price Index (CPI) is assumed to be 0.</w:t>
            </w:r>
            <w:r w:rsidR="00CE1D63">
              <w:t>4</w:t>
            </w:r>
            <w:r>
              <w:t>% per annum lower than RPI</w:t>
            </w:r>
            <w:r w:rsidR="00BA2D4A">
              <w:t>.</w:t>
            </w:r>
          </w:p>
        </w:tc>
      </w:tr>
    </w:tbl>
    <w:p w14:paraId="4B846106" w14:textId="77777777" w:rsidR="00962910" w:rsidRDefault="00962910" w:rsidP="00962910">
      <w:pPr>
        <w:pStyle w:val="Heading2"/>
        <w:numPr>
          <w:ilvl w:val="0"/>
          <w:numId w:val="0"/>
        </w:numPr>
        <w:ind w:left="720"/>
      </w:pPr>
    </w:p>
    <w:p w14:paraId="308B10BA" w14:textId="77777777" w:rsidR="00BC10FA" w:rsidRDefault="00BC10FA" w:rsidP="00F87268">
      <w:pPr>
        <w:pStyle w:val="Heading2"/>
      </w:pPr>
      <w:r>
        <w:t>Share capital and share premium</w:t>
      </w:r>
    </w:p>
    <w:p w14:paraId="620D7879" w14:textId="64CE88FB" w:rsidR="00BC10FA" w:rsidRPr="008E109E" w:rsidRDefault="00BC10FA" w:rsidP="00693EA1">
      <w:pPr>
        <w:pStyle w:val="Heading2"/>
        <w:numPr>
          <w:ilvl w:val="0"/>
          <w:numId w:val="0"/>
        </w:numPr>
        <w:jc w:val="both"/>
        <w:rPr>
          <w:b w:val="0"/>
          <w:bCs w:val="0"/>
        </w:rPr>
      </w:pPr>
      <w:r w:rsidRPr="008E109E">
        <w:rPr>
          <w:b w:val="0"/>
          <w:bCs w:val="0"/>
        </w:rPr>
        <w:t xml:space="preserve">As disclosed in </w:t>
      </w:r>
      <w:r w:rsidR="00633573">
        <w:rPr>
          <w:b w:val="0"/>
          <w:bCs w:val="0"/>
        </w:rPr>
        <w:t>N</w:t>
      </w:r>
      <w:r w:rsidRPr="008E109E">
        <w:rPr>
          <w:b w:val="0"/>
          <w:bCs w:val="0"/>
        </w:rPr>
        <w:t xml:space="preserve">ote </w:t>
      </w:r>
      <w:r w:rsidR="00CE1D63">
        <w:rPr>
          <w:b w:val="0"/>
          <w:bCs w:val="0"/>
        </w:rPr>
        <w:t>6</w:t>
      </w:r>
      <w:r w:rsidRPr="008E109E">
        <w:rPr>
          <w:b w:val="0"/>
          <w:bCs w:val="0"/>
        </w:rPr>
        <w:t>, the Group completed an equity placing on 26 November 2020. The Group issued 80,357,142 ordinary shares with a nominal value of £0.01 each on the London Stock Exchange at a placing price of 112 pence per ordinary share. This resulted in total proceeds of £90</w:t>
      </w:r>
      <w:r w:rsidR="00693EA1">
        <w:rPr>
          <w:b w:val="0"/>
          <w:bCs w:val="0"/>
        </w:rPr>
        <w:t>.0</w:t>
      </w:r>
      <w:r w:rsidRPr="008E109E">
        <w:rPr>
          <w:b w:val="0"/>
          <w:bCs w:val="0"/>
        </w:rPr>
        <w:t>m being received with £0.8m being recorded as part of share capital and £89.2m recorded as share premium. Transaction costs of £3</w:t>
      </w:r>
      <w:r w:rsidR="00693EA1">
        <w:rPr>
          <w:b w:val="0"/>
          <w:bCs w:val="0"/>
        </w:rPr>
        <w:t>.0</w:t>
      </w:r>
      <w:r w:rsidRPr="008E109E">
        <w:rPr>
          <w:b w:val="0"/>
          <w:bCs w:val="0"/>
        </w:rPr>
        <w:t xml:space="preserve">m relating to the issue were deducted from retained earnings. </w:t>
      </w:r>
    </w:p>
    <w:p w14:paraId="39D3B00B" w14:textId="77777777" w:rsidR="00086243" w:rsidRDefault="00086243" w:rsidP="008E109E">
      <w:pPr>
        <w:pStyle w:val="Heading2"/>
        <w:numPr>
          <w:ilvl w:val="0"/>
          <w:numId w:val="0"/>
        </w:numPr>
        <w:ind w:left="720" w:hanging="720"/>
      </w:pPr>
    </w:p>
    <w:p w14:paraId="09157A07" w14:textId="77777777" w:rsidR="005B36AA" w:rsidRDefault="00B84A07" w:rsidP="008E109E">
      <w:pPr>
        <w:pStyle w:val="Heading2"/>
      </w:pPr>
      <w:r>
        <w:t>D</w:t>
      </w:r>
      <w:r w:rsidR="00A75DA2">
        <w:t>isposal of undertakings</w:t>
      </w:r>
    </w:p>
    <w:p w14:paraId="17F724D4" w14:textId="77777777" w:rsidR="005B36AA" w:rsidRDefault="005B36AA" w:rsidP="005B36AA">
      <w:pPr>
        <w:pStyle w:val="Heading2"/>
        <w:numPr>
          <w:ilvl w:val="0"/>
          <w:numId w:val="0"/>
        </w:numPr>
        <w:ind w:left="720"/>
      </w:pPr>
    </w:p>
    <w:p w14:paraId="7F4C9B06" w14:textId="77777777" w:rsidR="003E2891" w:rsidRDefault="003E2891" w:rsidP="003E2891">
      <w:pPr>
        <w:pStyle w:val="Paragraph"/>
        <w:spacing w:before="0" w:after="120"/>
        <w:jc w:val="both"/>
      </w:pPr>
      <w:r w:rsidRPr="00746AA1">
        <w:lastRenderedPageBreak/>
        <w:t>On 28 July 2020, the Group announced that it had entered into a conditional agreement to sell its interest in its molasses trading businesses</w:t>
      </w:r>
      <w:r>
        <w:t xml:space="preserve"> </w:t>
      </w:r>
      <w:r w:rsidRPr="00746AA1">
        <w:t>Premier Molasses Company Limited</w:t>
      </w:r>
      <w:r>
        <w:t xml:space="preserve"> </w:t>
      </w:r>
      <w:r w:rsidRPr="00746AA1">
        <w:t>(‘Premier Molasses’) and United Molasses (Ireland) Limited (‘UMI’)</w:t>
      </w:r>
      <w:r w:rsidR="00164CAD">
        <w:t xml:space="preserve"> </w:t>
      </w:r>
      <w:r w:rsidR="00164CAD" w:rsidRPr="00746AA1">
        <w:t>to United Molasses Marketing (Ireland) Limited and United Molasses Marketing Limited</w:t>
      </w:r>
      <w:r w:rsidRPr="00746AA1">
        <w:t>.</w:t>
      </w:r>
      <w:r w:rsidR="00164CAD">
        <w:t xml:space="preserve"> The final approval of the relevant anti-trust authorities and the transaction settled on 2 December 2020. </w:t>
      </w:r>
      <w:r w:rsidRPr="00CD1BE0">
        <w:t xml:space="preserve"> </w:t>
      </w:r>
      <w:r w:rsidR="00164CAD">
        <w:t>The total net assets disposed of amounted to £13.1m</w:t>
      </w:r>
      <w:r w:rsidR="00700DF0">
        <w:t xml:space="preserve"> with an overall profit on disposal of £11.3m being generated</w:t>
      </w:r>
      <w:r w:rsidR="00354FA3">
        <w:t xml:space="preserve"> and net cash inflow on disposal of £16.3m.</w:t>
      </w:r>
    </w:p>
    <w:p w14:paraId="26062098" w14:textId="77777777" w:rsidR="00D51EFF" w:rsidRDefault="00D51EFF" w:rsidP="00D51EFF">
      <w:pPr>
        <w:pStyle w:val="Heading2"/>
      </w:pPr>
      <w:r>
        <w:t>Dividends Paid and Proposed</w:t>
      </w:r>
    </w:p>
    <w:p w14:paraId="541D3166" w14:textId="77777777" w:rsidR="00D51EFF" w:rsidRDefault="00D51EFF" w:rsidP="00D51EFF">
      <w:pPr>
        <w:pStyle w:val="Heading2"/>
        <w:numPr>
          <w:ilvl w:val="0"/>
          <w:numId w:val="0"/>
        </w:numPr>
      </w:pPr>
    </w:p>
    <w:p w14:paraId="7EFCE926" w14:textId="77777777" w:rsidR="00D51EFF" w:rsidRDefault="00D51EFF" w:rsidP="00D51EFF">
      <w:pPr>
        <w:pStyle w:val="BodyText"/>
        <w:jc w:val="both"/>
      </w:pPr>
      <w:r w:rsidRPr="007E04B7">
        <w:t xml:space="preserve">The Group </w:t>
      </w:r>
      <w:r>
        <w:t>did not proceed with any dividends in the current financial year and there is no proposed final dividend for the year. This is in line with previous announcements</w:t>
      </w:r>
      <w:r w:rsidR="00196EB6">
        <w:t xml:space="preserve"> </w:t>
      </w:r>
      <w:r>
        <w:t xml:space="preserve">(2020: £nil). The final dividend for the year ended 27 September 2019 of £16.7m was paid in FY20. </w:t>
      </w:r>
    </w:p>
    <w:p w14:paraId="261400FD" w14:textId="77777777" w:rsidR="00BE0F00" w:rsidRDefault="00BE0F00" w:rsidP="00BE0F00">
      <w:pPr>
        <w:pStyle w:val="Heading2"/>
        <w:numPr>
          <w:ilvl w:val="0"/>
          <w:numId w:val="0"/>
        </w:numPr>
        <w:ind w:left="720"/>
      </w:pPr>
    </w:p>
    <w:p w14:paraId="3973A0D3" w14:textId="77777777" w:rsidR="005B36AA" w:rsidRPr="005771B0" w:rsidRDefault="00700DF0" w:rsidP="008E109E">
      <w:pPr>
        <w:pStyle w:val="Heading2"/>
      </w:pPr>
      <w:r>
        <w:t>S</w:t>
      </w:r>
      <w:r w:rsidR="005B36AA" w:rsidRPr="005771B0">
        <w:t>ubsequent Events</w:t>
      </w:r>
    </w:p>
    <w:p w14:paraId="23ED9499" w14:textId="77777777" w:rsidR="00BC4226" w:rsidRDefault="00BC4226" w:rsidP="005B36AA">
      <w:pPr>
        <w:pStyle w:val="Heading2"/>
        <w:numPr>
          <w:ilvl w:val="0"/>
          <w:numId w:val="0"/>
        </w:numPr>
        <w:ind w:left="720" w:hanging="720"/>
        <w:rPr>
          <w:rFonts w:asciiTheme="minorHAnsi" w:eastAsiaTheme="minorHAnsi" w:hAnsiTheme="minorHAnsi" w:cstheme="minorBidi"/>
          <w:b w:val="0"/>
          <w:bCs w:val="0"/>
          <w:lang w:eastAsia="en-US" w:bidi="ar-SA"/>
        </w:rPr>
      </w:pPr>
    </w:p>
    <w:p w14:paraId="6C6A722B" w14:textId="77777777" w:rsidR="005B36AA" w:rsidRPr="008D296E" w:rsidRDefault="00BC4226" w:rsidP="005B36AA">
      <w:pPr>
        <w:pStyle w:val="Heading2"/>
        <w:numPr>
          <w:ilvl w:val="0"/>
          <w:numId w:val="0"/>
        </w:numPr>
        <w:ind w:left="720" w:hanging="720"/>
        <w:rPr>
          <w:rFonts w:asciiTheme="minorHAnsi" w:eastAsiaTheme="minorHAnsi" w:hAnsiTheme="minorHAnsi" w:cstheme="minorBidi"/>
          <w:bCs w:val="0"/>
          <w:lang w:eastAsia="en-US" w:bidi="ar-SA"/>
        </w:rPr>
      </w:pPr>
      <w:r w:rsidRPr="008D296E">
        <w:rPr>
          <w:rFonts w:asciiTheme="minorHAnsi" w:eastAsiaTheme="minorHAnsi" w:hAnsiTheme="minorHAnsi" w:cstheme="minorBidi"/>
          <w:bCs w:val="0"/>
          <w:lang w:eastAsia="en-US" w:bidi="ar-SA"/>
        </w:rPr>
        <w:t>Bank Refinancing</w:t>
      </w:r>
    </w:p>
    <w:p w14:paraId="4AAACB7D" w14:textId="77777777" w:rsidR="009C6E5A" w:rsidRPr="008E46B3" w:rsidRDefault="00086243" w:rsidP="005771B0">
      <w:pPr>
        <w:pStyle w:val="Heading2"/>
        <w:numPr>
          <w:ilvl w:val="0"/>
          <w:numId w:val="0"/>
        </w:numPr>
        <w:jc w:val="both"/>
        <w:rPr>
          <w:rFonts w:asciiTheme="minorHAnsi" w:eastAsiaTheme="minorHAnsi" w:hAnsiTheme="minorHAnsi" w:cstheme="minorBidi"/>
          <w:b w:val="0"/>
          <w:bCs w:val="0"/>
          <w:lang w:eastAsia="en-US" w:bidi="ar-SA"/>
        </w:rPr>
      </w:pPr>
      <w:r w:rsidRPr="008E46B3">
        <w:rPr>
          <w:rFonts w:asciiTheme="minorHAnsi" w:eastAsiaTheme="minorHAnsi" w:hAnsiTheme="minorHAnsi" w:cstheme="minorBidi"/>
          <w:b w:val="0"/>
          <w:bCs w:val="0"/>
          <w:lang w:eastAsia="en-US" w:bidi="ar-SA"/>
        </w:rPr>
        <w:t xml:space="preserve">The Private </w:t>
      </w:r>
      <w:r>
        <w:rPr>
          <w:rFonts w:asciiTheme="minorHAnsi" w:eastAsiaTheme="minorHAnsi" w:hAnsiTheme="minorHAnsi" w:cstheme="minorBidi"/>
          <w:b w:val="0"/>
          <w:bCs w:val="0"/>
          <w:lang w:eastAsia="en-US" w:bidi="ar-SA"/>
        </w:rPr>
        <w:t>Placement Notes of $65m, which matured in October 2021, were repaid and replaced by a three-year term loan facility of £45m, maturing in June 2024.</w:t>
      </w:r>
    </w:p>
    <w:p w14:paraId="154D5B98" w14:textId="77777777" w:rsidR="004B163D" w:rsidRDefault="004B163D" w:rsidP="005771B0">
      <w:pPr>
        <w:pStyle w:val="Heading2"/>
        <w:numPr>
          <w:ilvl w:val="0"/>
          <w:numId w:val="0"/>
        </w:numPr>
        <w:jc w:val="both"/>
        <w:rPr>
          <w:rFonts w:asciiTheme="minorHAnsi" w:eastAsiaTheme="minorHAnsi" w:hAnsiTheme="minorHAnsi" w:cstheme="minorBidi"/>
          <w:lang w:eastAsia="en-US" w:bidi="ar-SA"/>
        </w:rPr>
      </w:pPr>
    </w:p>
    <w:p w14:paraId="53BFA03F" w14:textId="77777777" w:rsidR="00BC4226" w:rsidRDefault="00BC4226" w:rsidP="005771B0">
      <w:pPr>
        <w:pStyle w:val="Heading2"/>
        <w:numPr>
          <w:ilvl w:val="0"/>
          <w:numId w:val="0"/>
        </w:numPr>
        <w:jc w:val="both"/>
        <w:rPr>
          <w:rFonts w:asciiTheme="minorHAnsi" w:eastAsiaTheme="minorHAnsi" w:hAnsiTheme="minorHAnsi" w:cstheme="minorBidi"/>
          <w:lang w:eastAsia="en-US" w:bidi="ar-SA"/>
        </w:rPr>
      </w:pPr>
      <w:r>
        <w:rPr>
          <w:rFonts w:asciiTheme="minorHAnsi" w:eastAsiaTheme="minorHAnsi" w:hAnsiTheme="minorHAnsi" w:cstheme="minorBidi"/>
          <w:lang w:eastAsia="en-US" w:bidi="ar-SA"/>
        </w:rPr>
        <w:t>Resignation of Chief Executive Officer</w:t>
      </w:r>
    </w:p>
    <w:p w14:paraId="79737C68" w14:textId="17E46B68" w:rsidR="001934F6" w:rsidRPr="0000558A" w:rsidRDefault="001934F6" w:rsidP="005771B0">
      <w:pPr>
        <w:pStyle w:val="Heading2"/>
        <w:numPr>
          <w:ilvl w:val="0"/>
          <w:numId w:val="0"/>
        </w:numPr>
        <w:jc w:val="both"/>
        <w:rPr>
          <w:rFonts w:asciiTheme="minorHAnsi" w:eastAsiaTheme="minorHAnsi" w:hAnsiTheme="minorHAnsi" w:cstheme="minorBidi"/>
          <w:b w:val="0"/>
          <w:lang w:eastAsia="en-US" w:bidi="ar-SA"/>
        </w:rPr>
      </w:pPr>
      <w:r w:rsidRPr="0000558A">
        <w:rPr>
          <w:rFonts w:asciiTheme="minorHAnsi" w:eastAsiaTheme="minorHAnsi" w:hAnsiTheme="minorHAnsi" w:cstheme="minorBidi"/>
          <w:b w:val="0"/>
          <w:lang w:eastAsia="en-US" w:bidi="ar-SA"/>
        </w:rPr>
        <w:t xml:space="preserve">On 25 November 2021, </w:t>
      </w:r>
      <w:r w:rsidR="00BC4226">
        <w:rPr>
          <w:rFonts w:asciiTheme="minorHAnsi" w:eastAsiaTheme="minorHAnsi" w:hAnsiTheme="minorHAnsi" w:cstheme="minorBidi"/>
          <w:b w:val="0"/>
          <w:lang w:eastAsia="en-US" w:bidi="ar-SA"/>
        </w:rPr>
        <w:t xml:space="preserve">the </w:t>
      </w:r>
      <w:r w:rsidR="00BC4226" w:rsidRPr="00F84E11">
        <w:rPr>
          <w:rFonts w:asciiTheme="minorHAnsi" w:eastAsiaTheme="minorHAnsi" w:hAnsiTheme="minorHAnsi" w:cstheme="minorBidi"/>
          <w:b w:val="0"/>
          <w:lang w:eastAsia="en-US" w:bidi="ar-SA"/>
        </w:rPr>
        <w:t xml:space="preserve">Group </w:t>
      </w:r>
      <w:r w:rsidR="00BC4226" w:rsidRPr="00297B7B">
        <w:rPr>
          <w:rFonts w:asciiTheme="minorHAnsi" w:eastAsiaTheme="minorHAnsi" w:hAnsiTheme="minorHAnsi" w:cstheme="minorBidi"/>
          <w:b w:val="0"/>
          <w:lang w:eastAsia="en-US" w:bidi="ar-SA"/>
        </w:rPr>
        <w:t xml:space="preserve">announced </w:t>
      </w:r>
      <w:r w:rsidRPr="00297B7B">
        <w:rPr>
          <w:rFonts w:asciiTheme="minorHAnsi" w:eastAsiaTheme="minorHAnsi" w:hAnsiTheme="minorHAnsi" w:cstheme="minorBidi"/>
          <w:b w:val="0"/>
          <w:lang w:eastAsia="en-US" w:bidi="ar-SA"/>
        </w:rPr>
        <w:t>that</w:t>
      </w:r>
      <w:r w:rsidRPr="0000558A">
        <w:rPr>
          <w:rFonts w:asciiTheme="minorHAnsi" w:eastAsiaTheme="minorHAnsi" w:hAnsiTheme="minorHAnsi" w:cstheme="minorBidi"/>
          <w:b w:val="0"/>
          <w:lang w:eastAsia="en-US" w:bidi="ar-SA"/>
        </w:rPr>
        <w:t xml:space="preserve"> Patrick Coveney is stepping down from his role as Director and Chief Executive Officer. He will resign from both positions effective </w:t>
      </w:r>
      <w:r w:rsidR="00BC4226">
        <w:rPr>
          <w:rFonts w:asciiTheme="minorHAnsi" w:eastAsiaTheme="minorHAnsi" w:hAnsiTheme="minorHAnsi" w:cstheme="minorBidi"/>
          <w:b w:val="0"/>
          <w:lang w:eastAsia="en-US" w:bidi="ar-SA"/>
        </w:rPr>
        <w:t>3</w:t>
      </w:r>
      <w:r w:rsidR="00BC4226" w:rsidRPr="0000558A">
        <w:rPr>
          <w:rFonts w:asciiTheme="minorHAnsi" w:eastAsiaTheme="minorHAnsi" w:hAnsiTheme="minorHAnsi" w:cstheme="minorBidi"/>
          <w:b w:val="0"/>
          <w:lang w:eastAsia="en-US" w:bidi="ar-SA"/>
        </w:rPr>
        <w:t xml:space="preserve">0 </w:t>
      </w:r>
      <w:r w:rsidRPr="0000558A">
        <w:rPr>
          <w:rFonts w:asciiTheme="minorHAnsi" w:eastAsiaTheme="minorHAnsi" w:hAnsiTheme="minorHAnsi" w:cstheme="minorBidi"/>
          <w:b w:val="0"/>
          <w:lang w:eastAsia="en-US" w:bidi="ar-SA"/>
        </w:rPr>
        <w:t xml:space="preserve">March 2022. </w:t>
      </w:r>
    </w:p>
    <w:p w14:paraId="5E7894B8" w14:textId="77777777" w:rsidR="001934F6" w:rsidRPr="005771B0" w:rsidRDefault="001934F6" w:rsidP="005771B0">
      <w:pPr>
        <w:pStyle w:val="Heading2"/>
        <w:numPr>
          <w:ilvl w:val="0"/>
          <w:numId w:val="0"/>
        </w:numPr>
        <w:jc w:val="both"/>
        <w:rPr>
          <w:rFonts w:asciiTheme="minorHAnsi" w:eastAsiaTheme="minorHAnsi" w:hAnsiTheme="minorHAnsi" w:cstheme="minorBidi"/>
          <w:lang w:eastAsia="en-US" w:bidi="ar-SA"/>
        </w:rPr>
      </w:pPr>
    </w:p>
    <w:p w14:paraId="52EE4942" w14:textId="77777777" w:rsidR="005B36AA" w:rsidRDefault="005B36AA" w:rsidP="008E109E">
      <w:pPr>
        <w:pStyle w:val="Heading2"/>
      </w:pPr>
      <w:r>
        <w:t>Information</w:t>
      </w:r>
    </w:p>
    <w:p w14:paraId="1A7D50D4" w14:textId="77777777" w:rsidR="005B36AA" w:rsidRDefault="005B36AA" w:rsidP="005B36AA">
      <w:pPr>
        <w:pStyle w:val="BodyText"/>
      </w:pPr>
    </w:p>
    <w:p w14:paraId="7DD46799" w14:textId="46A56FA5" w:rsidR="005B36AA" w:rsidRPr="00EE38FD" w:rsidRDefault="005B36AA" w:rsidP="00BE0F00">
      <w:pPr>
        <w:rPr>
          <w:b/>
          <w:caps/>
          <w:color w:val="000000"/>
          <w:sz w:val="18"/>
        </w:rPr>
      </w:pPr>
      <w:r w:rsidRPr="00403EFB">
        <w:rPr>
          <w:rFonts w:asciiTheme="minorHAnsi" w:hAnsiTheme="minorHAnsi" w:cstheme="minorHAnsi"/>
          <w:sz w:val="18"/>
          <w:szCs w:val="18"/>
        </w:rPr>
        <w:t xml:space="preserve">Copies of the </w:t>
      </w:r>
      <w:r w:rsidR="00633573">
        <w:rPr>
          <w:rFonts w:asciiTheme="minorHAnsi" w:hAnsiTheme="minorHAnsi" w:cstheme="minorHAnsi"/>
          <w:sz w:val="18"/>
          <w:szCs w:val="18"/>
        </w:rPr>
        <w:t>Annual Report and Group Financial Statements</w:t>
      </w:r>
      <w:r w:rsidRPr="00403EFB">
        <w:rPr>
          <w:rFonts w:asciiTheme="minorHAnsi" w:hAnsiTheme="minorHAnsi" w:cstheme="minorHAnsi"/>
          <w:sz w:val="18"/>
          <w:szCs w:val="18"/>
        </w:rPr>
        <w:t xml:space="preserve"> are available for download from the Group's website at </w:t>
      </w:r>
      <w:hyperlink r:id="rId11">
        <w:r w:rsidRPr="00403EFB">
          <w:rPr>
            <w:rFonts w:asciiTheme="minorHAnsi" w:hAnsiTheme="minorHAnsi" w:cstheme="minorHAnsi"/>
            <w:sz w:val="18"/>
            <w:szCs w:val="18"/>
          </w:rPr>
          <w:t>www.greencore.com.</w:t>
        </w:r>
      </w:hyperlink>
    </w:p>
    <w:p w14:paraId="58974454" w14:textId="77777777" w:rsidR="005B36AA" w:rsidRDefault="005B36AA" w:rsidP="005B36AA">
      <w:pPr>
        <w:spacing w:after="5" w:line="242" w:lineRule="auto"/>
        <w:ind w:right="-567"/>
        <w:jc w:val="both"/>
        <w:rPr>
          <w:b/>
          <w:color w:val="000000"/>
          <w:sz w:val="18"/>
        </w:rPr>
      </w:pPr>
    </w:p>
    <w:p w14:paraId="2B05631D" w14:textId="77777777" w:rsidR="00BE0F00" w:rsidRDefault="00BE0F00" w:rsidP="00BE0F00">
      <w:pPr>
        <w:spacing w:before="27"/>
        <w:ind w:left="20"/>
        <w:rPr>
          <w:b/>
          <w:color w:val="001F5F"/>
          <w:sz w:val="20"/>
          <w:szCs w:val="20"/>
        </w:rPr>
      </w:pPr>
      <w:r w:rsidRPr="005B36AA">
        <w:rPr>
          <w:b/>
          <w:color w:val="001F5F"/>
          <w:sz w:val="20"/>
          <w:szCs w:val="20"/>
        </w:rPr>
        <w:t>APPENDIX: ALTERNATIVE PERFORMANCE MEASURES</w:t>
      </w:r>
    </w:p>
    <w:p w14:paraId="0F863755" w14:textId="77777777" w:rsidR="00BE0F00" w:rsidRDefault="00BE0F00" w:rsidP="005B36AA">
      <w:pPr>
        <w:widowControl/>
        <w:adjustRightInd w:val="0"/>
        <w:jc w:val="both"/>
        <w:rPr>
          <w:rFonts w:asciiTheme="minorHAnsi" w:hAnsiTheme="minorHAnsi" w:cstheme="minorHAnsi"/>
          <w:sz w:val="18"/>
          <w:szCs w:val="18"/>
        </w:rPr>
      </w:pPr>
    </w:p>
    <w:p w14:paraId="3E252C26" w14:textId="77777777" w:rsidR="005B36AA" w:rsidRDefault="005B36AA" w:rsidP="005B36AA">
      <w:pPr>
        <w:widowControl/>
        <w:adjustRightInd w:val="0"/>
        <w:jc w:val="both"/>
        <w:rPr>
          <w:sz w:val="18"/>
          <w:szCs w:val="18"/>
        </w:rPr>
      </w:pPr>
      <w:r w:rsidRPr="00403EFB">
        <w:rPr>
          <w:rFonts w:asciiTheme="minorHAnsi" w:hAnsiTheme="minorHAnsi" w:cstheme="minorHAnsi"/>
          <w:sz w:val="18"/>
          <w:szCs w:val="18"/>
        </w:rPr>
        <w:t>The Group uses the following Alternative Performance Measures (‘APMs’) which are non-IFRS measures to monitor the performance of its operations and of the Group as a whole: Pro Forma Revenue Growth, Adjusted EBITDA, Adjusted Operating Profit, Adjusted Operating Margin, Adjusted Profit before Tax (‘PBT’), Adjusted Earnings, Adjusted Earnings per Share, Maintenance and Strategic Capital Expenditure, Free Cash Flow</w:t>
      </w:r>
      <w:r>
        <w:rPr>
          <w:rFonts w:asciiTheme="minorHAnsi" w:hAnsiTheme="minorHAnsi" w:cstheme="minorHAnsi"/>
          <w:sz w:val="18"/>
          <w:szCs w:val="18"/>
        </w:rPr>
        <w:t xml:space="preserve">, Free Cash Flow Conversion, </w:t>
      </w:r>
      <w:r w:rsidR="00BD6BE2">
        <w:rPr>
          <w:rFonts w:asciiTheme="minorHAnsi" w:hAnsiTheme="minorHAnsi" w:cstheme="minorHAnsi"/>
          <w:sz w:val="18"/>
          <w:szCs w:val="18"/>
        </w:rPr>
        <w:t xml:space="preserve">Net Debt, </w:t>
      </w:r>
      <w:r w:rsidRPr="00403EFB">
        <w:rPr>
          <w:rFonts w:asciiTheme="minorHAnsi" w:hAnsiTheme="minorHAnsi" w:cstheme="minorHAnsi"/>
          <w:sz w:val="18"/>
          <w:szCs w:val="18"/>
        </w:rPr>
        <w:t>Net Debt</w:t>
      </w:r>
      <w:r>
        <w:rPr>
          <w:rFonts w:asciiTheme="minorHAnsi" w:hAnsiTheme="minorHAnsi" w:cstheme="minorHAnsi"/>
          <w:sz w:val="18"/>
          <w:szCs w:val="18"/>
        </w:rPr>
        <w:t xml:space="preserve"> excluding lease liabilities and Return on Invested Capital (‘ROIC’)</w:t>
      </w:r>
      <w:r w:rsidRPr="00403EFB">
        <w:rPr>
          <w:rFonts w:asciiTheme="minorHAnsi" w:hAnsiTheme="minorHAnsi" w:cstheme="minorHAnsi"/>
          <w:sz w:val="18"/>
          <w:szCs w:val="18"/>
        </w:rPr>
        <w:t>.</w:t>
      </w:r>
      <w:r>
        <w:rPr>
          <w:rFonts w:asciiTheme="minorHAnsi" w:hAnsiTheme="minorHAnsi" w:cstheme="minorHAnsi"/>
          <w:sz w:val="18"/>
          <w:szCs w:val="18"/>
        </w:rPr>
        <w:t xml:space="preserve"> </w:t>
      </w:r>
      <w:r w:rsidR="00583467">
        <w:rPr>
          <w:sz w:val="18"/>
          <w:szCs w:val="18"/>
        </w:rPr>
        <w:t xml:space="preserve">The APMs used in this results statement are consistent with those used in the Annual Report and are consistent year on year. </w:t>
      </w:r>
    </w:p>
    <w:p w14:paraId="331B7B48" w14:textId="77777777" w:rsidR="005B36AA" w:rsidRDefault="005B36AA" w:rsidP="005B36AA">
      <w:pPr>
        <w:widowControl/>
        <w:adjustRightInd w:val="0"/>
        <w:jc w:val="both"/>
        <w:rPr>
          <w:sz w:val="18"/>
          <w:szCs w:val="18"/>
        </w:rPr>
      </w:pPr>
    </w:p>
    <w:p w14:paraId="40554BF4" w14:textId="77777777" w:rsidR="005B36AA" w:rsidRDefault="005B36AA" w:rsidP="005B36AA">
      <w:pPr>
        <w:widowControl/>
        <w:adjustRightInd w:val="0"/>
        <w:jc w:val="both"/>
        <w:rPr>
          <w:sz w:val="18"/>
          <w:szCs w:val="18"/>
        </w:rPr>
      </w:pPr>
      <w:r w:rsidRPr="0062480F">
        <w:rPr>
          <w:sz w:val="18"/>
          <w:szCs w:val="18"/>
        </w:rPr>
        <w:t xml:space="preserve">The Group believes that these APMs provide useful historical information to help investors evaluate the performance of the underlying business and are measures commonly used by certain investors and security analysts for evaluating the performance of the Group. In addition, the Group uses certain APMs which reflect the underlying performance on the basis that this provides a more relevant focus on the core business performance of the Group. </w:t>
      </w:r>
    </w:p>
    <w:p w14:paraId="234F9E78" w14:textId="77777777" w:rsidR="005B36AA" w:rsidRDefault="005B36AA" w:rsidP="005B36AA">
      <w:pPr>
        <w:widowControl/>
        <w:adjustRightInd w:val="0"/>
        <w:jc w:val="both"/>
        <w:rPr>
          <w:rFonts w:asciiTheme="minorHAnsi" w:hAnsiTheme="minorHAnsi" w:cstheme="minorHAnsi"/>
          <w:sz w:val="18"/>
          <w:szCs w:val="18"/>
        </w:rPr>
      </w:pPr>
      <w:r w:rsidRPr="00403EFB">
        <w:rPr>
          <w:rFonts w:asciiTheme="minorHAnsi" w:hAnsiTheme="minorHAnsi" w:cstheme="minorHAnsi"/>
          <w:sz w:val="18"/>
          <w:szCs w:val="18"/>
        </w:rPr>
        <w:tab/>
      </w:r>
      <w:r w:rsidRPr="00403EFB">
        <w:rPr>
          <w:rFonts w:asciiTheme="minorHAnsi" w:hAnsiTheme="minorHAnsi" w:cstheme="minorHAnsi"/>
          <w:sz w:val="18"/>
          <w:szCs w:val="18"/>
        </w:rPr>
        <w:tab/>
      </w:r>
      <w:r w:rsidRPr="00403EFB">
        <w:rPr>
          <w:rFonts w:asciiTheme="minorHAnsi" w:hAnsiTheme="minorHAnsi" w:cstheme="minorHAnsi"/>
          <w:sz w:val="18"/>
          <w:szCs w:val="18"/>
        </w:rPr>
        <w:tab/>
      </w:r>
      <w:r w:rsidRPr="00403EFB">
        <w:rPr>
          <w:rFonts w:asciiTheme="minorHAnsi" w:hAnsiTheme="minorHAnsi" w:cstheme="minorHAnsi"/>
          <w:sz w:val="18"/>
          <w:szCs w:val="18"/>
        </w:rPr>
        <w:tab/>
      </w:r>
      <w:r w:rsidRPr="00403EFB">
        <w:rPr>
          <w:rFonts w:asciiTheme="minorHAnsi" w:hAnsiTheme="minorHAnsi" w:cstheme="minorHAnsi"/>
          <w:sz w:val="18"/>
          <w:szCs w:val="18"/>
        </w:rPr>
        <w:tab/>
      </w:r>
      <w:r w:rsidRPr="00403EFB">
        <w:rPr>
          <w:rFonts w:asciiTheme="minorHAnsi" w:hAnsiTheme="minorHAnsi" w:cstheme="minorHAnsi"/>
          <w:sz w:val="18"/>
          <w:szCs w:val="18"/>
        </w:rPr>
        <w:tab/>
      </w:r>
      <w:r w:rsidRPr="00403EFB">
        <w:rPr>
          <w:rFonts w:asciiTheme="minorHAnsi" w:hAnsiTheme="minorHAnsi" w:cstheme="minorHAnsi"/>
          <w:sz w:val="18"/>
          <w:szCs w:val="18"/>
        </w:rPr>
        <w:tab/>
      </w:r>
    </w:p>
    <w:p w14:paraId="407F185E" w14:textId="77777777" w:rsidR="005B36AA" w:rsidRPr="00EE38FD" w:rsidRDefault="005B36AA" w:rsidP="005B36AA">
      <w:pPr>
        <w:pStyle w:val="Heading2"/>
        <w:numPr>
          <w:ilvl w:val="0"/>
          <w:numId w:val="0"/>
        </w:numPr>
        <w:rPr>
          <w:caps/>
        </w:rPr>
      </w:pPr>
      <w:r w:rsidRPr="00EE38FD">
        <w:rPr>
          <w:caps/>
        </w:rPr>
        <w:t>Pro Forma Revenue Growth</w:t>
      </w:r>
    </w:p>
    <w:p w14:paraId="66D69F85" w14:textId="77777777" w:rsidR="005B36AA" w:rsidRDefault="005B36AA" w:rsidP="005B36AA">
      <w:pPr>
        <w:pStyle w:val="BodyText"/>
      </w:pPr>
    </w:p>
    <w:p w14:paraId="52B29532" w14:textId="77777777" w:rsidR="005B36AA" w:rsidRPr="00EE38FD" w:rsidRDefault="005B36AA" w:rsidP="005B36AA">
      <w:pPr>
        <w:widowControl/>
        <w:adjustRightInd w:val="0"/>
        <w:jc w:val="both"/>
        <w:rPr>
          <w:rFonts w:asciiTheme="minorHAnsi" w:hAnsiTheme="minorHAnsi" w:cstheme="minorHAnsi"/>
          <w:sz w:val="18"/>
          <w:szCs w:val="18"/>
        </w:rPr>
      </w:pPr>
      <w:r w:rsidRPr="00EE38FD">
        <w:rPr>
          <w:rFonts w:asciiTheme="minorHAnsi" w:hAnsiTheme="minorHAnsi" w:cstheme="minorHAnsi"/>
          <w:sz w:val="18"/>
          <w:szCs w:val="18"/>
        </w:rPr>
        <w:t>The Group uses Pro Forma Revenue Growth as a supplemental measure of its performance. The Group believes that Pro Forma Revenue Growth provides a</w:t>
      </w:r>
      <w:r w:rsidR="007D4120">
        <w:rPr>
          <w:rFonts w:asciiTheme="minorHAnsi" w:hAnsiTheme="minorHAnsi" w:cstheme="minorHAnsi"/>
          <w:sz w:val="18"/>
          <w:szCs w:val="18"/>
        </w:rPr>
        <w:t>n</w:t>
      </w:r>
      <w:r w:rsidRPr="00EE38FD">
        <w:rPr>
          <w:rFonts w:asciiTheme="minorHAnsi" w:hAnsiTheme="minorHAnsi" w:cstheme="minorHAnsi"/>
          <w:sz w:val="18"/>
          <w:szCs w:val="18"/>
        </w:rPr>
        <w:t xml:space="preserve"> accurate guide to</w:t>
      </w:r>
      <w:r w:rsidR="00B127CE">
        <w:rPr>
          <w:rFonts w:asciiTheme="minorHAnsi" w:hAnsiTheme="minorHAnsi" w:cstheme="minorHAnsi"/>
          <w:sz w:val="18"/>
          <w:szCs w:val="18"/>
        </w:rPr>
        <w:t xml:space="preserve"> underlying revenue performance and is c</w:t>
      </w:r>
      <w:r w:rsidR="00D3732A">
        <w:rPr>
          <w:rFonts w:asciiTheme="minorHAnsi" w:hAnsiTheme="minorHAnsi" w:cstheme="minorHAnsi"/>
          <w:sz w:val="18"/>
          <w:szCs w:val="18"/>
        </w:rPr>
        <w:t>alculated by adjusting reported</w:t>
      </w:r>
      <w:r w:rsidR="00B127CE">
        <w:rPr>
          <w:rFonts w:asciiTheme="minorHAnsi" w:hAnsiTheme="minorHAnsi" w:cstheme="minorHAnsi"/>
          <w:sz w:val="18"/>
          <w:szCs w:val="18"/>
        </w:rPr>
        <w:t xml:space="preserve"> revenue for the impact of acquisitions, disposals and foreign currency. </w:t>
      </w:r>
    </w:p>
    <w:p w14:paraId="28127DE0" w14:textId="77777777" w:rsidR="005B36AA" w:rsidRPr="00EE38FD" w:rsidRDefault="005B36AA" w:rsidP="005B36AA">
      <w:pPr>
        <w:widowControl/>
        <w:adjustRightInd w:val="0"/>
        <w:jc w:val="both"/>
        <w:rPr>
          <w:rFonts w:asciiTheme="minorHAnsi" w:hAnsiTheme="minorHAnsi" w:cstheme="minorHAnsi"/>
          <w:sz w:val="18"/>
          <w:szCs w:val="18"/>
        </w:rPr>
      </w:pPr>
    </w:p>
    <w:p w14:paraId="6873C4A0" w14:textId="77777777" w:rsidR="005B36AA" w:rsidRDefault="005B36AA" w:rsidP="005B36AA">
      <w:pPr>
        <w:widowControl/>
        <w:adjustRightInd w:val="0"/>
        <w:jc w:val="both"/>
        <w:rPr>
          <w:sz w:val="18"/>
          <w:szCs w:val="18"/>
        </w:rPr>
      </w:pPr>
      <w:r w:rsidRPr="003A6352">
        <w:rPr>
          <w:sz w:val="18"/>
          <w:szCs w:val="18"/>
        </w:rPr>
        <w:t>P</w:t>
      </w:r>
      <w:r w:rsidR="00D60E6D">
        <w:rPr>
          <w:sz w:val="18"/>
          <w:szCs w:val="18"/>
        </w:rPr>
        <w:t>ro Forma Revenue Growth adjusts</w:t>
      </w:r>
      <w:r w:rsidR="003E2891" w:rsidRPr="003A6352">
        <w:rPr>
          <w:sz w:val="18"/>
          <w:szCs w:val="18"/>
        </w:rPr>
        <w:t xml:space="preserve"> </w:t>
      </w:r>
      <w:r w:rsidR="003E2891" w:rsidRPr="00196436">
        <w:rPr>
          <w:sz w:val="18"/>
          <w:szCs w:val="18"/>
        </w:rPr>
        <w:t xml:space="preserve">reported revenue to reflect the </w:t>
      </w:r>
      <w:r w:rsidR="003E2891">
        <w:rPr>
          <w:sz w:val="18"/>
          <w:szCs w:val="18"/>
        </w:rPr>
        <w:t xml:space="preserve">disposal of Premier Molasses Company Limited </w:t>
      </w:r>
      <w:r w:rsidR="003E2891" w:rsidRPr="00196436">
        <w:rPr>
          <w:sz w:val="18"/>
          <w:szCs w:val="18"/>
        </w:rPr>
        <w:t>for</w:t>
      </w:r>
      <w:r w:rsidR="00D60E6D">
        <w:rPr>
          <w:sz w:val="18"/>
          <w:szCs w:val="18"/>
        </w:rPr>
        <w:t xml:space="preserve"> FY20 and for revenue in FY21 up to the date of disposal.</w:t>
      </w:r>
      <w:r w:rsidR="003E2891" w:rsidRPr="00196436">
        <w:rPr>
          <w:sz w:val="18"/>
          <w:szCs w:val="18"/>
        </w:rPr>
        <w:t xml:space="preserve"> It also presents the </w:t>
      </w:r>
      <w:r w:rsidR="003E2891">
        <w:rPr>
          <w:sz w:val="18"/>
          <w:szCs w:val="18"/>
        </w:rPr>
        <w:t xml:space="preserve">revenue </w:t>
      </w:r>
      <w:r w:rsidR="003E2891" w:rsidRPr="00196436">
        <w:rPr>
          <w:sz w:val="18"/>
          <w:szCs w:val="18"/>
        </w:rPr>
        <w:t>on a constant currency basis</w:t>
      </w:r>
      <w:r w:rsidR="00D60E6D">
        <w:rPr>
          <w:sz w:val="18"/>
          <w:szCs w:val="18"/>
        </w:rPr>
        <w:t xml:space="preserve"> utilising FY20 FX rates on FY21 reported revenue</w:t>
      </w:r>
      <w:r w:rsidR="003E2891">
        <w:rPr>
          <w:sz w:val="18"/>
          <w:szCs w:val="18"/>
        </w:rPr>
        <w:t>.</w:t>
      </w:r>
    </w:p>
    <w:p w14:paraId="3C4B2E8D" w14:textId="77777777" w:rsidR="003E2891" w:rsidRPr="00EE38FD" w:rsidRDefault="003E2891" w:rsidP="005B36AA">
      <w:pPr>
        <w:widowControl/>
        <w:adjustRightInd w:val="0"/>
        <w:jc w:val="both"/>
        <w:rPr>
          <w:rFonts w:asciiTheme="minorHAnsi" w:hAnsiTheme="minorHAnsi" w:cstheme="minorHAnsi"/>
          <w:sz w:val="18"/>
          <w:szCs w:val="18"/>
        </w:rPr>
      </w:pPr>
    </w:p>
    <w:tbl>
      <w:tblPr>
        <w:tblW w:w="10205" w:type="dxa"/>
        <w:tblLayout w:type="fixed"/>
        <w:tblLook w:val="01E0" w:firstRow="1" w:lastRow="1" w:firstColumn="1" w:lastColumn="1" w:noHBand="0" w:noVBand="0"/>
      </w:tblPr>
      <w:tblGrid>
        <w:gridCol w:w="8505"/>
        <w:gridCol w:w="1700"/>
      </w:tblGrid>
      <w:tr w:rsidR="005B36AA" w14:paraId="01BB7363" w14:textId="77777777" w:rsidTr="005B36AA">
        <w:trPr>
          <w:trHeight w:val="227"/>
        </w:trPr>
        <w:tc>
          <w:tcPr>
            <w:tcW w:w="8505" w:type="dxa"/>
            <w:tcBorders>
              <w:bottom w:val="single" w:sz="4" w:space="0" w:color="auto"/>
            </w:tcBorders>
            <w:vAlign w:val="bottom"/>
          </w:tcPr>
          <w:p w14:paraId="2B45BDCD" w14:textId="77777777" w:rsidR="005B36AA" w:rsidRPr="00F567E7" w:rsidRDefault="005B36AA" w:rsidP="005B36AA">
            <w:pPr>
              <w:pStyle w:val="TableRowHead"/>
            </w:pPr>
          </w:p>
        </w:tc>
        <w:tc>
          <w:tcPr>
            <w:tcW w:w="1700" w:type="dxa"/>
            <w:tcBorders>
              <w:bottom w:val="single" w:sz="4" w:space="0" w:color="auto"/>
            </w:tcBorders>
            <w:vAlign w:val="bottom"/>
          </w:tcPr>
          <w:p w14:paraId="2D8F2E80" w14:textId="77777777" w:rsidR="005B36AA" w:rsidRDefault="005B36AA" w:rsidP="005B36AA">
            <w:pPr>
              <w:pStyle w:val="Subtitle"/>
            </w:pPr>
            <w:r>
              <w:t>202</w:t>
            </w:r>
            <w:r w:rsidR="003E2891">
              <w:t>1</w:t>
            </w:r>
            <w:r>
              <w:br/>
              <w:t>Convenience Foods</w:t>
            </w:r>
          </w:p>
          <w:p w14:paraId="68F7B3D9" w14:textId="77777777" w:rsidR="005B36AA" w:rsidRPr="00F567E7" w:rsidRDefault="005B36AA" w:rsidP="005B36AA">
            <w:pPr>
              <w:pStyle w:val="Subtitle"/>
            </w:pPr>
            <w:r>
              <w:t>UK &amp; Ireland</w:t>
            </w:r>
            <w:r>
              <w:br/>
              <w:t>%</w:t>
            </w:r>
          </w:p>
        </w:tc>
      </w:tr>
      <w:tr w:rsidR="005B36AA" w14:paraId="7E960411" w14:textId="77777777" w:rsidTr="005B36AA">
        <w:trPr>
          <w:trHeight w:val="227"/>
        </w:trPr>
        <w:tc>
          <w:tcPr>
            <w:tcW w:w="8505" w:type="dxa"/>
            <w:tcBorders>
              <w:top w:val="single" w:sz="4" w:space="0" w:color="auto"/>
            </w:tcBorders>
            <w:vAlign w:val="bottom"/>
          </w:tcPr>
          <w:p w14:paraId="0F46517E" w14:textId="77777777" w:rsidR="005B36AA" w:rsidRPr="00F567E7" w:rsidRDefault="005B36AA" w:rsidP="005B36AA">
            <w:pPr>
              <w:pStyle w:val="TableRowHead"/>
            </w:pPr>
            <w:r w:rsidRPr="00F567E7">
              <w:t>Reported revenue</w:t>
            </w:r>
          </w:p>
        </w:tc>
        <w:tc>
          <w:tcPr>
            <w:tcW w:w="1700" w:type="dxa"/>
            <w:tcBorders>
              <w:top w:val="single" w:sz="4" w:space="0" w:color="auto"/>
            </w:tcBorders>
            <w:vAlign w:val="bottom"/>
          </w:tcPr>
          <w:p w14:paraId="17B10EEB" w14:textId="77777777" w:rsidR="005B36AA" w:rsidRPr="0050671B" w:rsidRDefault="00D60E6D" w:rsidP="005B36AA">
            <w:pPr>
              <w:pStyle w:val="Subtitle"/>
            </w:pPr>
            <w:r>
              <w:t>4.8%</w:t>
            </w:r>
          </w:p>
        </w:tc>
      </w:tr>
      <w:tr w:rsidR="005B36AA" w14:paraId="6C74206D" w14:textId="77777777" w:rsidTr="005B36AA">
        <w:trPr>
          <w:trHeight w:val="227"/>
        </w:trPr>
        <w:tc>
          <w:tcPr>
            <w:tcW w:w="8505" w:type="dxa"/>
            <w:vAlign w:val="bottom"/>
          </w:tcPr>
          <w:p w14:paraId="5C26F0F1" w14:textId="77777777" w:rsidR="005B36AA" w:rsidRPr="00F567E7" w:rsidRDefault="005B36AA" w:rsidP="00D60E6D">
            <w:pPr>
              <w:pStyle w:val="TableRowHead"/>
            </w:pPr>
            <w:r w:rsidRPr="00F567E7">
              <w:t xml:space="preserve">Impact of disposals </w:t>
            </w:r>
          </w:p>
        </w:tc>
        <w:tc>
          <w:tcPr>
            <w:tcW w:w="1700" w:type="dxa"/>
            <w:vAlign w:val="bottom"/>
          </w:tcPr>
          <w:p w14:paraId="5CF635A0" w14:textId="77777777" w:rsidR="005B36AA" w:rsidRPr="0050671B" w:rsidRDefault="00D60E6D" w:rsidP="005B36AA">
            <w:pPr>
              <w:pStyle w:val="Subtitle"/>
            </w:pPr>
            <w:r>
              <w:t>1.3%</w:t>
            </w:r>
          </w:p>
        </w:tc>
      </w:tr>
      <w:tr w:rsidR="005B36AA" w14:paraId="79066B51" w14:textId="77777777" w:rsidTr="005B36AA">
        <w:trPr>
          <w:trHeight w:val="227"/>
        </w:trPr>
        <w:tc>
          <w:tcPr>
            <w:tcW w:w="8505" w:type="dxa"/>
            <w:tcBorders>
              <w:bottom w:val="single" w:sz="4" w:space="0" w:color="auto"/>
            </w:tcBorders>
            <w:vAlign w:val="bottom"/>
          </w:tcPr>
          <w:p w14:paraId="3E0CE59E" w14:textId="77777777" w:rsidR="005B36AA" w:rsidRPr="00F567E7" w:rsidRDefault="005B36AA" w:rsidP="005B36AA">
            <w:pPr>
              <w:pStyle w:val="TableRowHead"/>
            </w:pPr>
            <w:r>
              <w:t>Impact of currency</w:t>
            </w:r>
          </w:p>
        </w:tc>
        <w:tc>
          <w:tcPr>
            <w:tcW w:w="1700" w:type="dxa"/>
            <w:tcBorders>
              <w:bottom w:val="single" w:sz="4" w:space="0" w:color="auto"/>
            </w:tcBorders>
            <w:vAlign w:val="bottom"/>
          </w:tcPr>
          <w:p w14:paraId="0FD1A728" w14:textId="77777777" w:rsidR="005B36AA" w:rsidRPr="0050671B" w:rsidRDefault="00D60E6D" w:rsidP="005B36AA">
            <w:pPr>
              <w:pStyle w:val="Subtitle"/>
            </w:pPr>
            <w:r>
              <w:t>0.1%</w:t>
            </w:r>
          </w:p>
        </w:tc>
      </w:tr>
      <w:tr w:rsidR="005B36AA" w14:paraId="628F533D" w14:textId="77777777" w:rsidTr="005B36AA">
        <w:trPr>
          <w:trHeight w:val="227"/>
        </w:trPr>
        <w:tc>
          <w:tcPr>
            <w:tcW w:w="8505" w:type="dxa"/>
            <w:tcBorders>
              <w:top w:val="single" w:sz="4" w:space="0" w:color="auto"/>
              <w:bottom w:val="single" w:sz="8" w:space="0" w:color="auto"/>
            </w:tcBorders>
            <w:vAlign w:val="bottom"/>
          </w:tcPr>
          <w:p w14:paraId="064FEEB3" w14:textId="77777777" w:rsidR="005B36AA" w:rsidRPr="00F567E7" w:rsidRDefault="005B36AA" w:rsidP="005B36AA">
            <w:pPr>
              <w:pStyle w:val="TableRowHead"/>
              <w:rPr>
                <w:b/>
              </w:rPr>
            </w:pPr>
            <w:r w:rsidRPr="00F567E7">
              <w:rPr>
                <w:b/>
              </w:rPr>
              <w:t>Pro Forma Revenue Growth (%)</w:t>
            </w:r>
          </w:p>
        </w:tc>
        <w:tc>
          <w:tcPr>
            <w:tcW w:w="1700" w:type="dxa"/>
            <w:tcBorders>
              <w:top w:val="single" w:sz="4" w:space="0" w:color="auto"/>
              <w:bottom w:val="single" w:sz="8" w:space="0" w:color="auto"/>
            </w:tcBorders>
            <w:vAlign w:val="bottom"/>
          </w:tcPr>
          <w:p w14:paraId="43850EA3" w14:textId="77777777" w:rsidR="005B36AA" w:rsidRPr="0050671B" w:rsidRDefault="00D60E6D" w:rsidP="005B36AA">
            <w:pPr>
              <w:pStyle w:val="Subtitle"/>
            </w:pPr>
            <w:r>
              <w:t>6.2%</w:t>
            </w:r>
          </w:p>
        </w:tc>
      </w:tr>
    </w:tbl>
    <w:p w14:paraId="2F7924B3" w14:textId="77777777" w:rsidR="005B36AA" w:rsidRDefault="005B36AA" w:rsidP="005B36AA">
      <w:pPr>
        <w:pStyle w:val="BodyText"/>
      </w:pPr>
    </w:p>
    <w:p w14:paraId="5581C330" w14:textId="77777777" w:rsidR="005B36AA" w:rsidRDefault="005B36AA" w:rsidP="005B36AA">
      <w:pPr>
        <w:widowControl/>
        <w:adjustRightInd w:val="0"/>
        <w:jc w:val="both"/>
        <w:rPr>
          <w:rFonts w:asciiTheme="minorHAnsi" w:hAnsiTheme="minorHAnsi" w:cstheme="minorHAnsi"/>
          <w:sz w:val="18"/>
          <w:szCs w:val="18"/>
        </w:rPr>
      </w:pPr>
      <w:r w:rsidRPr="00660AB2">
        <w:rPr>
          <w:rFonts w:asciiTheme="minorHAnsi" w:hAnsiTheme="minorHAnsi" w:cstheme="minorHAnsi"/>
          <w:sz w:val="18"/>
          <w:szCs w:val="18"/>
        </w:rPr>
        <w:t>The table below shows the Pro Forma Revenue split by food to go categories and other convenience categories</w:t>
      </w:r>
      <w:r w:rsidRPr="00BE1C0F">
        <w:rPr>
          <w:rFonts w:asciiTheme="minorHAnsi" w:hAnsiTheme="minorHAnsi" w:cstheme="minorHAnsi"/>
          <w:sz w:val="18"/>
          <w:szCs w:val="18"/>
        </w:rPr>
        <w:t xml:space="preserve">. </w:t>
      </w:r>
    </w:p>
    <w:p w14:paraId="6E29F24F" w14:textId="77777777" w:rsidR="005B36AA" w:rsidRPr="002A7FD2" w:rsidRDefault="005B36AA" w:rsidP="005B36AA">
      <w:pPr>
        <w:widowControl/>
        <w:adjustRightInd w:val="0"/>
        <w:jc w:val="both"/>
        <w:rPr>
          <w:rFonts w:asciiTheme="minorHAnsi" w:hAnsiTheme="minorHAnsi" w:cstheme="minorHAnsi"/>
          <w:sz w:val="18"/>
          <w:szCs w:val="18"/>
        </w:rPr>
      </w:pPr>
    </w:p>
    <w:tbl>
      <w:tblPr>
        <w:tblW w:w="10206" w:type="dxa"/>
        <w:tblLayout w:type="fixed"/>
        <w:tblLook w:val="01E0" w:firstRow="1" w:lastRow="1" w:firstColumn="1" w:lastColumn="1" w:noHBand="0" w:noVBand="0"/>
      </w:tblPr>
      <w:tblGrid>
        <w:gridCol w:w="4962"/>
        <w:gridCol w:w="803"/>
        <w:gridCol w:w="803"/>
        <w:gridCol w:w="803"/>
        <w:gridCol w:w="426"/>
        <w:gridCol w:w="803"/>
        <w:gridCol w:w="803"/>
        <w:gridCol w:w="803"/>
      </w:tblGrid>
      <w:tr w:rsidR="005B36AA" w14:paraId="7BFF723B" w14:textId="77777777" w:rsidTr="005B36AA">
        <w:trPr>
          <w:trHeight w:val="230"/>
        </w:trPr>
        <w:tc>
          <w:tcPr>
            <w:tcW w:w="4962" w:type="dxa"/>
            <w:vAlign w:val="bottom"/>
          </w:tcPr>
          <w:p w14:paraId="5A41B3CA" w14:textId="77777777" w:rsidR="005B36AA" w:rsidRPr="00F97F7B" w:rsidRDefault="005B36AA" w:rsidP="005B36AA">
            <w:pPr>
              <w:pStyle w:val="TableRowHead"/>
            </w:pPr>
          </w:p>
        </w:tc>
        <w:tc>
          <w:tcPr>
            <w:tcW w:w="2409" w:type="dxa"/>
            <w:gridSpan w:val="3"/>
            <w:vAlign w:val="bottom"/>
          </w:tcPr>
          <w:p w14:paraId="259B2639" w14:textId="77777777" w:rsidR="005B36AA" w:rsidRDefault="005B36AA" w:rsidP="005B36AA">
            <w:pPr>
              <w:pStyle w:val="Subtitle"/>
              <w:jc w:val="center"/>
            </w:pPr>
            <w:r>
              <w:t xml:space="preserve">Food to go </w:t>
            </w:r>
          </w:p>
          <w:p w14:paraId="4C162A61" w14:textId="77777777" w:rsidR="005B36AA" w:rsidRDefault="005B36AA" w:rsidP="005B36AA">
            <w:pPr>
              <w:pStyle w:val="Subtitle"/>
              <w:jc w:val="center"/>
            </w:pPr>
            <w:r>
              <w:t>categories</w:t>
            </w:r>
          </w:p>
        </w:tc>
        <w:tc>
          <w:tcPr>
            <w:tcW w:w="426" w:type="dxa"/>
          </w:tcPr>
          <w:p w14:paraId="0964A4A2" w14:textId="77777777" w:rsidR="005B36AA" w:rsidRDefault="005B36AA" w:rsidP="005B36AA">
            <w:pPr>
              <w:pStyle w:val="Subtitle"/>
              <w:jc w:val="center"/>
            </w:pPr>
          </w:p>
        </w:tc>
        <w:tc>
          <w:tcPr>
            <w:tcW w:w="2409" w:type="dxa"/>
            <w:gridSpan w:val="3"/>
          </w:tcPr>
          <w:p w14:paraId="750C82B6" w14:textId="77777777" w:rsidR="005B36AA" w:rsidRDefault="005B36AA" w:rsidP="005B36AA">
            <w:pPr>
              <w:pStyle w:val="Subtitle"/>
              <w:jc w:val="center"/>
            </w:pPr>
            <w:r>
              <w:t xml:space="preserve">   Other convenience categories</w:t>
            </w:r>
          </w:p>
        </w:tc>
      </w:tr>
      <w:tr w:rsidR="005B36AA" w14:paraId="45BA840D" w14:textId="77777777" w:rsidTr="005B36AA">
        <w:trPr>
          <w:trHeight w:val="230"/>
        </w:trPr>
        <w:tc>
          <w:tcPr>
            <w:tcW w:w="4962" w:type="dxa"/>
            <w:tcBorders>
              <w:bottom w:val="single" w:sz="4" w:space="0" w:color="000000"/>
            </w:tcBorders>
            <w:vAlign w:val="bottom"/>
          </w:tcPr>
          <w:p w14:paraId="11CE33DA" w14:textId="77777777" w:rsidR="005B36AA" w:rsidRPr="00F97F7B" w:rsidRDefault="005B36AA" w:rsidP="005B36AA">
            <w:pPr>
              <w:pStyle w:val="TableRowHead"/>
            </w:pPr>
          </w:p>
        </w:tc>
        <w:tc>
          <w:tcPr>
            <w:tcW w:w="803" w:type="dxa"/>
            <w:tcBorders>
              <w:bottom w:val="single" w:sz="4" w:space="0" w:color="000000"/>
            </w:tcBorders>
            <w:vAlign w:val="bottom"/>
          </w:tcPr>
          <w:p w14:paraId="2EA7F3C2" w14:textId="77777777" w:rsidR="005B36AA" w:rsidRPr="00F97F7B" w:rsidRDefault="005B36AA" w:rsidP="005B36AA">
            <w:pPr>
              <w:pStyle w:val="Subtitle"/>
            </w:pPr>
            <w:r>
              <w:t>H1 FY2</w:t>
            </w:r>
            <w:r w:rsidR="003E2891">
              <w:t>1</w:t>
            </w:r>
          </w:p>
          <w:p w14:paraId="7C3F30D7" w14:textId="77777777" w:rsidR="005B36AA" w:rsidRPr="00F97F7B" w:rsidRDefault="005B36AA" w:rsidP="005B36AA">
            <w:pPr>
              <w:pStyle w:val="Subtitle"/>
            </w:pPr>
            <w:r w:rsidRPr="00F97F7B">
              <w:t>%</w:t>
            </w:r>
          </w:p>
        </w:tc>
        <w:tc>
          <w:tcPr>
            <w:tcW w:w="803" w:type="dxa"/>
            <w:tcBorders>
              <w:bottom w:val="single" w:sz="4" w:space="0" w:color="000000"/>
            </w:tcBorders>
            <w:vAlign w:val="bottom"/>
          </w:tcPr>
          <w:p w14:paraId="1F41A05E" w14:textId="77777777" w:rsidR="005B36AA" w:rsidRPr="00F97F7B" w:rsidRDefault="005B36AA" w:rsidP="005B36AA">
            <w:pPr>
              <w:pStyle w:val="Subtitle"/>
            </w:pPr>
            <w:r>
              <w:t>H2 FY2</w:t>
            </w:r>
            <w:r w:rsidR="003E2891">
              <w:t>1</w:t>
            </w:r>
          </w:p>
          <w:p w14:paraId="33B1FE28" w14:textId="77777777" w:rsidR="005B36AA" w:rsidRPr="00F97F7B" w:rsidRDefault="005B36AA" w:rsidP="005B36AA">
            <w:pPr>
              <w:pStyle w:val="Subtitle"/>
            </w:pPr>
            <w:r w:rsidRPr="00F97F7B">
              <w:t>%</w:t>
            </w:r>
          </w:p>
        </w:tc>
        <w:tc>
          <w:tcPr>
            <w:tcW w:w="803" w:type="dxa"/>
            <w:tcBorders>
              <w:bottom w:val="single" w:sz="4" w:space="0" w:color="000000"/>
            </w:tcBorders>
          </w:tcPr>
          <w:p w14:paraId="4E700D5C" w14:textId="77777777" w:rsidR="005B36AA" w:rsidRPr="00F97F7B" w:rsidRDefault="005B36AA" w:rsidP="005B36AA">
            <w:pPr>
              <w:pStyle w:val="Subtitle"/>
            </w:pPr>
            <w:r>
              <w:t>Full Year</w:t>
            </w:r>
          </w:p>
          <w:p w14:paraId="3BBD718B" w14:textId="77777777" w:rsidR="005B36AA" w:rsidRPr="00F97F7B" w:rsidRDefault="005B36AA" w:rsidP="005B36AA">
            <w:pPr>
              <w:pStyle w:val="Subtitle"/>
            </w:pPr>
            <w:r w:rsidRPr="00F97F7B">
              <w:t>%</w:t>
            </w:r>
          </w:p>
        </w:tc>
        <w:tc>
          <w:tcPr>
            <w:tcW w:w="426" w:type="dxa"/>
            <w:tcBorders>
              <w:bottom w:val="single" w:sz="4" w:space="0" w:color="000000"/>
            </w:tcBorders>
          </w:tcPr>
          <w:p w14:paraId="6DB9A348" w14:textId="77777777" w:rsidR="005B36AA" w:rsidRDefault="005B36AA" w:rsidP="005B36AA">
            <w:pPr>
              <w:pStyle w:val="Subtitle"/>
            </w:pPr>
          </w:p>
        </w:tc>
        <w:tc>
          <w:tcPr>
            <w:tcW w:w="803" w:type="dxa"/>
            <w:tcBorders>
              <w:bottom w:val="single" w:sz="4" w:space="0" w:color="000000"/>
            </w:tcBorders>
            <w:vAlign w:val="bottom"/>
          </w:tcPr>
          <w:p w14:paraId="05B9ED6E" w14:textId="77777777" w:rsidR="005B36AA" w:rsidRPr="00F97F7B" w:rsidRDefault="003E2891" w:rsidP="005B36AA">
            <w:pPr>
              <w:pStyle w:val="Subtitle"/>
            </w:pPr>
            <w:r>
              <w:t>H1 FY21</w:t>
            </w:r>
          </w:p>
          <w:p w14:paraId="48D65A92" w14:textId="77777777" w:rsidR="005B36AA" w:rsidRPr="00F97F7B" w:rsidRDefault="005B36AA" w:rsidP="005B36AA">
            <w:pPr>
              <w:pStyle w:val="Subtitle"/>
            </w:pPr>
            <w:r w:rsidRPr="00F97F7B">
              <w:t>%</w:t>
            </w:r>
          </w:p>
        </w:tc>
        <w:tc>
          <w:tcPr>
            <w:tcW w:w="803" w:type="dxa"/>
            <w:tcBorders>
              <w:bottom w:val="single" w:sz="4" w:space="0" w:color="000000"/>
            </w:tcBorders>
            <w:vAlign w:val="bottom"/>
          </w:tcPr>
          <w:p w14:paraId="625D6310" w14:textId="77777777" w:rsidR="005B36AA" w:rsidRPr="00F97F7B" w:rsidRDefault="003E2891" w:rsidP="005B36AA">
            <w:pPr>
              <w:pStyle w:val="Subtitle"/>
            </w:pPr>
            <w:r>
              <w:t>H2 FY21</w:t>
            </w:r>
          </w:p>
          <w:p w14:paraId="33AE365A" w14:textId="77777777" w:rsidR="005B36AA" w:rsidRPr="00F97F7B" w:rsidRDefault="005B36AA" w:rsidP="005B36AA">
            <w:pPr>
              <w:pStyle w:val="Subtitle"/>
            </w:pPr>
            <w:r w:rsidRPr="00F97F7B">
              <w:t>%</w:t>
            </w:r>
          </w:p>
        </w:tc>
        <w:tc>
          <w:tcPr>
            <w:tcW w:w="803" w:type="dxa"/>
            <w:tcBorders>
              <w:bottom w:val="single" w:sz="4" w:space="0" w:color="000000"/>
            </w:tcBorders>
          </w:tcPr>
          <w:p w14:paraId="3D67F6DC" w14:textId="77777777" w:rsidR="005B36AA" w:rsidRPr="00F97F7B" w:rsidRDefault="005B36AA" w:rsidP="005B36AA">
            <w:pPr>
              <w:pStyle w:val="Subtitle"/>
            </w:pPr>
            <w:r>
              <w:t>Full Year</w:t>
            </w:r>
          </w:p>
          <w:p w14:paraId="5876196E" w14:textId="77777777" w:rsidR="005B36AA" w:rsidRPr="00F97F7B" w:rsidRDefault="005B36AA" w:rsidP="005B36AA">
            <w:pPr>
              <w:pStyle w:val="Subtitle"/>
            </w:pPr>
            <w:r w:rsidRPr="00F97F7B">
              <w:t>%</w:t>
            </w:r>
          </w:p>
        </w:tc>
      </w:tr>
      <w:tr w:rsidR="005B36AA" w14:paraId="73755EFC" w14:textId="77777777" w:rsidTr="005B36AA">
        <w:trPr>
          <w:trHeight w:val="230"/>
        </w:trPr>
        <w:tc>
          <w:tcPr>
            <w:tcW w:w="4962" w:type="dxa"/>
            <w:tcBorders>
              <w:top w:val="single" w:sz="4" w:space="0" w:color="000000"/>
            </w:tcBorders>
            <w:vAlign w:val="bottom"/>
          </w:tcPr>
          <w:p w14:paraId="1F68C090" w14:textId="77777777" w:rsidR="005B36AA" w:rsidRPr="00F97F7B" w:rsidRDefault="005B36AA" w:rsidP="005B36AA">
            <w:pPr>
              <w:pStyle w:val="TableRowHead"/>
            </w:pPr>
            <w:r w:rsidRPr="00F97F7B">
              <w:t>Reported revenue</w:t>
            </w:r>
          </w:p>
        </w:tc>
        <w:tc>
          <w:tcPr>
            <w:tcW w:w="803" w:type="dxa"/>
            <w:tcBorders>
              <w:top w:val="nil"/>
              <w:left w:val="nil"/>
              <w:bottom w:val="nil"/>
              <w:right w:val="nil"/>
            </w:tcBorders>
            <w:shd w:val="clear" w:color="auto" w:fill="auto"/>
          </w:tcPr>
          <w:p w14:paraId="10B025FD" w14:textId="77777777" w:rsidR="005B36AA" w:rsidRPr="0050671B" w:rsidRDefault="00D60E6D" w:rsidP="005B36AA">
            <w:pPr>
              <w:pStyle w:val="Subtitle"/>
            </w:pPr>
            <w:r>
              <w:t>(25.6%)</w:t>
            </w:r>
          </w:p>
        </w:tc>
        <w:tc>
          <w:tcPr>
            <w:tcW w:w="803" w:type="dxa"/>
            <w:tcBorders>
              <w:top w:val="nil"/>
              <w:left w:val="nil"/>
              <w:bottom w:val="nil"/>
              <w:right w:val="nil"/>
            </w:tcBorders>
            <w:shd w:val="clear" w:color="auto" w:fill="auto"/>
          </w:tcPr>
          <w:p w14:paraId="50AE0DF0" w14:textId="77777777" w:rsidR="005B36AA" w:rsidRPr="0050671B" w:rsidRDefault="00D60E6D" w:rsidP="005B36AA">
            <w:pPr>
              <w:pStyle w:val="Subtitle"/>
            </w:pPr>
            <w:r>
              <w:t>58.6%</w:t>
            </w:r>
          </w:p>
        </w:tc>
        <w:tc>
          <w:tcPr>
            <w:tcW w:w="803" w:type="dxa"/>
            <w:tcBorders>
              <w:top w:val="nil"/>
              <w:left w:val="nil"/>
              <w:bottom w:val="nil"/>
              <w:right w:val="nil"/>
            </w:tcBorders>
            <w:shd w:val="clear" w:color="auto" w:fill="auto"/>
          </w:tcPr>
          <w:p w14:paraId="40597E6A" w14:textId="77777777" w:rsidR="005B36AA" w:rsidRPr="0050671B" w:rsidRDefault="00D60E6D" w:rsidP="005B36AA">
            <w:pPr>
              <w:pStyle w:val="Subtitle"/>
            </w:pPr>
            <w:r>
              <w:t>9.0%</w:t>
            </w:r>
          </w:p>
        </w:tc>
        <w:tc>
          <w:tcPr>
            <w:tcW w:w="426" w:type="dxa"/>
            <w:tcBorders>
              <w:top w:val="nil"/>
              <w:left w:val="nil"/>
              <w:bottom w:val="nil"/>
              <w:right w:val="nil"/>
            </w:tcBorders>
          </w:tcPr>
          <w:p w14:paraId="44537443" w14:textId="77777777" w:rsidR="005B36AA" w:rsidRPr="0050671B" w:rsidRDefault="005B36AA" w:rsidP="005B36AA">
            <w:pPr>
              <w:pStyle w:val="Subtitle"/>
            </w:pPr>
          </w:p>
        </w:tc>
        <w:tc>
          <w:tcPr>
            <w:tcW w:w="803" w:type="dxa"/>
            <w:tcBorders>
              <w:top w:val="nil"/>
              <w:left w:val="nil"/>
              <w:bottom w:val="nil"/>
              <w:right w:val="nil"/>
            </w:tcBorders>
            <w:shd w:val="clear" w:color="auto" w:fill="auto"/>
          </w:tcPr>
          <w:p w14:paraId="509FFA51" w14:textId="77777777" w:rsidR="005B36AA" w:rsidRPr="0050671B" w:rsidRDefault="00D60E6D" w:rsidP="005B36AA">
            <w:pPr>
              <w:pStyle w:val="Subtitle"/>
            </w:pPr>
            <w:r>
              <w:t>(7.4%)</w:t>
            </w:r>
          </w:p>
        </w:tc>
        <w:tc>
          <w:tcPr>
            <w:tcW w:w="803" w:type="dxa"/>
            <w:tcBorders>
              <w:top w:val="nil"/>
              <w:left w:val="nil"/>
              <w:bottom w:val="nil"/>
              <w:right w:val="nil"/>
            </w:tcBorders>
            <w:shd w:val="clear" w:color="auto" w:fill="auto"/>
          </w:tcPr>
          <w:p w14:paraId="2452D64F" w14:textId="77777777" w:rsidR="005B36AA" w:rsidRPr="0050671B" w:rsidRDefault="00D60E6D" w:rsidP="005B36AA">
            <w:pPr>
              <w:pStyle w:val="Subtitle"/>
            </w:pPr>
            <w:r>
              <w:t>4.2%</w:t>
            </w:r>
          </w:p>
        </w:tc>
        <w:tc>
          <w:tcPr>
            <w:tcW w:w="803" w:type="dxa"/>
            <w:tcBorders>
              <w:top w:val="nil"/>
              <w:left w:val="nil"/>
              <w:bottom w:val="nil"/>
              <w:right w:val="nil"/>
            </w:tcBorders>
            <w:shd w:val="clear" w:color="auto" w:fill="auto"/>
          </w:tcPr>
          <w:p w14:paraId="18F46939" w14:textId="77777777" w:rsidR="005B36AA" w:rsidRPr="0050671B" w:rsidRDefault="00D60E6D" w:rsidP="005B36AA">
            <w:pPr>
              <w:pStyle w:val="Subtitle"/>
            </w:pPr>
            <w:r>
              <w:t>(1.9%)</w:t>
            </w:r>
          </w:p>
        </w:tc>
      </w:tr>
      <w:tr w:rsidR="005B36AA" w14:paraId="54FD5734" w14:textId="77777777" w:rsidTr="005B36AA">
        <w:trPr>
          <w:trHeight w:val="230"/>
        </w:trPr>
        <w:tc>
          <w:tcPr>
            <w:tcW w:w="4962" w:type="dxa"/>
            <w:vAlign w:val="bottom"/>
          </w:tcPr>
          <w:p w14:paraId="78C9DAFC" w14:textId="30F92D81" w:rsidR="005B36AA" w:rsidRPr="00F97F7B" w:rsidRDefault="005B36AA" w:rsidP="00F84E11">
            <w:pPr>
              <w:pStyle w:val="TableRowHead"/>
            </w:pPr>
            <w:r w:rsidRPr="00F97F7B">
              <w:t xml:space="preserve">Impact of disposals </w:t>
            </w:r>
          </w:p>
        </w:tc>
        <w:tc>
          <w:tcPr>
            <w:tcW w:w="803" w:type="dxa"/>
            <w:tcBorders>
              <w:top w:val="nil"/>
              <w:left w:val="nil"/>
              <w:bottom w:val="nil"/>
              <w:right w:val="nil"/>
            </w:tcBorders>
            <w:shd w:val="clear" w:color="auto" w:fill="auto"/>
          </w:tcPr>
          <w:p w14:paraId="72E2F60C" w14:textId="77777777" w:rsidR="005B36AA" w:rsidRPr="00D60E6D" w:rsidRDefault="00D60E6D" w:rsidP="005B36AA">
            <w:pPr>
              <w:pStyle w:val="Subtitle"/>
            </w:pPr>
            <w:r w:rsidRPr="00D60E6D">
              <w:rPr>
                <w:bCs/>
              </w:rPr>
              <w:t>–</w:t>
            </w:r>
          </w:p>
        </w:tc>
        <w:tc>
          <w:tcPr>
            <w:tcW w:w="803" w:type="dxa"/>
            <w:tcBorders>
              <w:top w:val="nil"/>
              <w:left w:val="nil"/>
              <w:bottom w:val="nil"/>
              <w:right w:val="nil"/>
            </w:tcBorders>
            <w:shd w:val="clear" w:color="auto" w:fill="auto"/>
          </w:tcPr>
          <w:p w14:paraId="080617FC" w14:textId="77777777" w:rsidR="005B36AA" w:rsidRPr="00D60E6D" w:rsidRDefault="00D60E6D" w:rsidP="005B36AA">
            <w:pPr>
              <w:pStyle w:val="Subtitle"/>
            </w:pPr>
            <w:r w:rsidRPr="00D60E6D">
              <w:rPr>
                <w:bCs/>
              </w:rPr>
              <w:t>–</w:t>
            </w:r>
          </w:p>
        </w:tc>
        <w:tc>
          <w:tcPr>
            <w:tcW w:w="803" w:type="dxa"/>
            <w:tcBorders>
              <w:top w:val="nil"/>
              <w:left w:val="nil"/>
              <w:bottom w:val="nil"/>
              <w:right w:val="nil"/>
            </w:tcBorders>
            <w:shd w:val="clear" w:color="auto" w:fill="auto"/>
          </w:tcPr>
          <w:p w14:paraId="6CD2C821" w14:textId="77777777" w:rsidR="005B36AA" w:rsidRPr="00D60E6D" w:rsidRDefault="00D60E6D" w:rsidP="005B36AA">
            <w:pPr>
              <w:pStyle w:val="Subtitle"/>
            </w:pPr>
            <w:r w:rsidRPr="00D60E6D">
              <w:rPr>
                <w:bCs/>
              </w:rPr>
              <w:t>–</w:t>
            </w:r>
          </w:p>
        </w:tc>
        <w:tc>
          <w:tcPr>
            <w:tcW w:w="426" w:type="dxa"/>
            <w:tcBorders>
              <w:top w:val="nil"/>
              <w:left w:val="nil"/>
              <w:bottom w:val="nil"/>
              <w:right w:val="nil"/>
            </w:tcBorders>
          </w:tcPr>
          <w:p w14:paraId="6D5492EC" w14:textId="77777777" w:rsidR="005B36AA" w:rsidRPr="0050671B" w:rsidRDefault="005B36AA" w:rsidP="005B36AA">
            <w:pPr>
              <w:pStyle w:val="Subtitle"/>
            </w:pPr>
          </w:p>
        </w:tc>
        <w:tc>
          <w:tcPr>
            <w:tcW w:w="803" w:type="dxa"/>
            <w:tcBorders>
              <w:top w:val="nil"/>
              <w:left w:val="nil"/>
              <w:bottom w:val="nil"/>
              <w:right w:val="nil"/>
            </w:tcBorders>
            <w:shd w:val="clear" w:color="auto" w:fill="auto"/>
          </w:tcPr>
          <w:p w14:paraId="6095482A" w14:textId="77777777" w:rsidR="005B36AA" w:rsidRPr="0050671B" w:rsidRDefault="00D60E6D" w:rsidP="005B36AA">
            <w:pPr>
              <w:pStyle w:val="Subtitle"/>
            </w:pPr>
            <w:r>
              <w:t>2.1%</w:t>
            </w:r>
          </w:p>
        </w:tc>
        <w:tc>
          <w:tcPr>
            <w:tcW w:w="803" w:type="dxa"/>
            <w:tcBorders>
              <w:top w:val="nil"/>
              <w:left w:val="nil"/>
              <w:bottom w:val="nil"/>
              <w:right w:val="nil"/>
            </w:tcBorders>
            <w:shd w:val="clear" w:color="auto" w:fill="auto"/>
          </w:tcPr>
          <w:p w14:paraId="59FE6AC4" w14:textId="77777777" w:rsidR="005B36AA" w:rsidRPr="0050671B" w:rsidRDefault="00D60E6D" w:rsidP="005B36AA">
            <w:pPr>
              <w:pStyle w:val="Subtitle"/>
            </w:pPr>
            <w:r>
              <w:t>4.7%</w:t>
            </w:r>
          </w:p>
        </w:tc>
        <w:tc>
          <w:tcPr>
            <w:tcW w:w="803" w:type="dxa"/>
            <w:tcBorders>
              <w:top w:val="nil"/>
              <w:left w:val="nil"/>
              <w:bottom w:val="nil"/>
              <w:right w:val="nil"/>
            </w:tcBorders>
            <w:shd w:val="clear" w:color="auto" w:fill="auto"/>
          </w:tcPr>
          <w:p w14:paraId="1052D68B" w14:textId="77777777" w:rsidR="005B36AA" w:rsidRPr="0050671B" w:rsidRDefault="00D60E6D" w:rsidP="005B36AA">
            <w:pPr>
              <w:pStyle w:val="Subtitle"/>
            </w:pPr>
            <w:r>
              <w:t>3.4%</w:t>
            </w:r>
          </w:p>
        </w:tc>
      </w:tr>
      <w:tr w:rsidR="005B36AA" w14:paraId="34420C9A" w14:textId="77777777" w:rsidTr="005B36AA">
        <w:trPr>
          <w:trHeight w:val="230"/>
        </w:trPr>
        <w:tc>
          <w:tcPr>
            <w:tcW w:w="4962" w:type="dxa"/>
            <w:tcBorders>
              <w:bottom w:val="single" w:sz="4" w:space="0" w:color="auto"/>
            </w:tcBorders>
            <w:vAlign w:val="bottom"/>
          </w:tcPr>
          <w:p w14:paraId="16075563" w14:textId="77777777" w:rsidR="005B36AA" w:rsidRPr="00F97F7B" w:rsidRDefault="005B36AA" w:rsidP="005B36AA">
            <w:pPr>
              <w:pStyle w:val="TableRowHead"/>
            </w:pPr>
            <w:r w:rsidRPr="00F97F7B">
              <w:lastRenderedPageBreak/>
              <w:t>Impact of currency</w:t>
            </w:r>
            <w:r w:rsidRPr="00F97F7B">
              <w:tab/>
            </w:r>
          </w:p>
        </w:tc>
        <w:tc>
          <w:tcPr>
            <w:tcW w:w="803" w:type="dxa"/>
            <w:tcBorders>
              <w:top w:val="nil"/>
              <w:left w:val="nil"/>
              <w:bottom w:val="nil"/>
              <w:right w:val="nil"/>
            </w:tcBorders>
            <w:shd w:val="clear" w:color="auto" w:fill="auto"/>
          </w:tcPr>
          <w:p w14:paraId="3263753B" w14:textId="77777777" w:rsidR="005B36AA" w:rsidRPr="00D60E6D" w:rsidRDefault="00D60E6D" w:rsidP="005B36AA">
            <w:pPr>
              <w:pStyle w:val="Subtitle"/>
            </w:pPr>
            <w:r w:rsidRPr="00D60E6D">
              <w:rPr>
                <w:bCs/>
              </w:rPr>
              <w:t>–</w:t>
            </w:r>
          </w:p>
        </w:tc>
        <w:tc>
          <w:tcPr>
            <w:tcW w:w="803" w:type="dxa"/>
            <w:tcBorders>
              <w:top w:val="nil"/>
              <w:left w:val="nil"/>
              <w:bottom w:val="nil"/>
              <w:right w:val="nil"/>
            </w:tcBorders>
            <w:shd w:val="clear" w:color="auto" w:fill="auto"/>
          </w:tcPr>
          <w:p w14:paraId="2C95301A" w14:textId="77777777" w:rsidR="005B36AA" w:rsidRPr="00D60E6D" w:rsidRDefault="00D60E6D" w:rsidP="005B36AA">
            <w:pPr>
              <w:pStyle w:val="Subtitle"/>
            </w:pPr>
            <w:r w:rsidRPr="00D60E6D">
              <w:rPr>
                <w:bCs/>
              </w:rPr>
              <w:t>–</w:t>
            </w:r>
          </w:p>
        </w:tc>
        <w:tc>
          <w:tcPr>
            <w:tcW w:w="803" w:type="dxa"/>
            <w:tcBorders>
              <w:top w:val="nil"/>
              <w:left w:val="nil"/>
              <w:bottom w:val="nil"/>
              <w:right w:val="nil"/>
            </w:tcBorders>
            <w:shd w:val="clear" w:color="auto" w:fill="auto"/>
          </w:tcPr>
          <w:p w14:paraId="72631CD9" w14:textId="77777777" w:rsidR="005B36AA" w:rsidRPr="00D60E6D" w:rsidRDefault="00D60E6D" w:rsidP="005B36AA">
            <w:pPr>
              <w:pStyle w:val="Subtitle"/>
            </w:pPr>
            <w:r w:rsidRPr="00D60E6D">
              <w:rPr>
                <w:bCs/>
              </w:rPr>
              <w:t>–</w:t>
            </w:r>
          </w:p>
        </w:tc>
        <w:tc>
          <w:tcPr>
            <w:tcW w:w="426" w:type="dxa"/>
            <w:tcBorders>
              <w:top w:val="nil"/>
              <w:left w:val="nil"/>
              <w:bottom w:val="nil"/>
              <w:right w:val="nil"/>
            </w:tcBorders>
          </w:tcPr>
          <w:p w14:paraId="5F56B501" w14:textId="77777777" w:rsidR="005B36AA" w:rsidRPr="0050671B" w:rsidRDefault="005B36AA" w:rsidP="005B36AA">
            <w:pPr>
              <w:pStyle w:val="Subtitle"/>
            </w:pPr>
          </w:p>
        </w:tc>
        <w:tc>
          <w:tcPr>
            <w:tcW w:w="803" w:type="dxa"/>
            <w:tcBorders>
              <w:top w:val="nil"/>
              <w:left w:val="nil"/>
              <w:bottom w:val="nil"/>
              <w:right w:val="nil"/>
            </w:tcBorders>
            <w:shd w:val="clear" w:color="auto" w:fill="auto"/>
          </w:tcPr>
          <w:p w14:paraId="1C6AD117" w14:textId="77777777" w:rsidR="005B36AA" w:rsidRPr="0050671B" w:rsidRDefault="00D60E6D" w:rsidP="005B36AA">
            <w:pPr>
              <w:pStyle w:val="Subtitle"/>
            </w:pPr>
            <w:r>
              <w:t>(0.3%)</w:t>
            </w:r>
          </w:p>
        </w:tc>
        <w:tc>
          <w:tcPr>
            <w:tcW w:w="803" w:type="dxa"/>
            <w:tcBorders>
              <w:top w:val="nil"/>
              <w:left w:val="nil"/>
              <w:bottom w:val="nil"/>
              <w:right w:val="nil"/>
            </w:tcBorders>
            <w:shd w:val="clear" w:color="auto" w:fill="auto"/>
          </w:tcPr>
          <w:p w14:paraId="48E41E25" w14:textId="77777777" w:rsidR="005B36AA" w:rsidRPr="0050671B" w:rsidRDefault="00D60E6D" w:rsidP="005B36AA">
            <w:pPr>
              <w:pStyle w:val="Subtitle"/>
            </w:pPr>
            <w:r>
              <w:t>0.7%</w:t>
            </w:r>
          </w:p>
        </w:tc>
        <w:tc>
          <w:tcPr>
            <w:tcW w:w="803" w:type="dxa"/>
            <w:tcBorders>
              <w:top w:val="nil"/>
              <w:left w:val="nil"/>
              <w:bottom w:val="nil"/>
              <w:right w:val="nil"/>
            </w:tcBorders>
            <w:shd w:val="clear" w:color="auto" w:fill="auto"/>
          </w:tcPr>
          <w:p w14:paraId="72655385" w14:textId="77777777" w:rsidR="005B36AA" w:rsidRPr="0050671B" w:rsidRDefault="00D60E6D" w:rsidP="005B36AA">
            <w:pPr>
              <w:pStyle w:val="Subtitle"/>
            </w:pPr>
            <w:r>
              <w:t>0.1%</w:t>
            </w:r>
          </w:p>
        </w:tc>
      </w:tr>
      <w:tr w:rsidR="005B36AA" w:rsidRPr="002C3B46" w14:paraId="7177A1E9" w14:textId="77777777" w:rsidTr="005B36AA">
        <w:trPr>
          <w:trHeight w:val="208"/>
        </w:trPr>
        <w:tc>
          <w:tcPr>
            <w:tcW w:w="4962" w:type="dxa"/>
            <w:tcBorders>
              <w:top w:val="single" w:sz="4" w:space="0" w:color="auto"/>
              <w:bottom w:val="single" w:sz="8" w:space="0" w:color="auto"/>
            </w:tcBorders>
            <w:vAlign w:val="bottom"/>
          </w:tcPr>
          <w:p w14:paraId="64EA5060" w14:textId="77777777" w:rsidR="005B36AA" w:rsidRPr="002C3B46" w:rsidRDefault="005B36AA" w:rsidP="005B36AA">
            <w:pPr>
              <w:pStyle w:val="TableRowHead"/>
              <w:rPr>
                <w:b/>
              </w:rPr>
            </w:pPr>
            <w:r w:rsidRPr="002C3B46">
              <w:rPr>
                <w:b/>
              </w:rPr>
              <w:t>Pro Forma Revenue Growth (%</w:t>
            </w:r>
            <w:r>
              <w:rPr>
                <w:b/>
              </w:rPr>
              <w:t>)</w:t>
            </w:r>
          </w:p>
        </w:tc>
        <w:tc>
          <w:tcPr>
            <w:tcW w:w="803" w:type="dxa"/>
            <w:tcBorders>
              <w:top w:val="single" w:sz="4" w:space="0" w:color="auto"/>
              <w:bottom w:val="single" w:sz="8" w:space="0" w:color="auto"/>
            </w:tcBorders>
            <w:vAlign w:val="center"/>
          </w:tcPr>
          <w:p w14:paraId="0C1A6A50" w14:textId="77777777" w:rsidR="005B36AA" w:rsidRPr="0050671B" w:rsidRDefault="00D60E6D" w:rsidP="005B36AA">
            <w:pPr>
              <w:pStyle w:val="Subtitle"/>
            </w:pPr>
            <w:r>
              <w:t>(25.6%)</w:t>
            </w:r>
          </w:p>
        </w:tc>
        <w:tc>
          <w:tcPr>
            <w:tcW w:w="803" w:type="dxa"/>
            <w:tcBorders>
              <w:top w:val="single" w:sz="4" w:space="0" w:color="auto"/>
              <w:bottom w:val="single" w:sz="8" w:space="0" w:color="auto"/>
            </w:tcBorders>
            <w:vAlign w:val="center"/>
          </w:tcPr>
          <w:p w14:paraId="6C6D4711" w14:textId="77777777" w:rsidR="005B36AA" w:rsidRPr="0050671B" w:rsidRDefault="00D60E6D" w:rsidP="005B36AA">
            <w:pPr>
              <w:pStyle w:val="Subtitle"/>
            </w:pPr>
            <w:r>
              <w:t>58.6%</w:t>
            </w:r>
          </w:p>
        </w:tc>
        <w:tc>
          <w:tcPr>
            <w:tcW w:w="803" w:type="dxa"/>
            <w:tcBorders>
              <w:top w:val="single" w:sz="4" w:space="0" w:color="auto"/>
              <w:bottom w:val="single" w:sz="8" w:space="0" w:color="auto"/>
            </w:tcBorders>
            <w:vAlign w:val="center"/>
          </w:tcPr>
          <w:p w14:paraId="374C465F" w14:textId="77777777" w:rsidR="005B36AA" w:rsidRPr="0050671B" w:rsidRDefault="00D60E6D" w:rsidP="005B36AA">
            <w:pPr>
              <w:pStyle w:val="Subtitle"/>
            </w:pPr>
            <w:r>
              <w:t>9.0%</w:t>
            </w:r>
          </w:p>
        </w:tc>
        <w:tc>
          <w:tcPr>
            <w:tcW w:w="426" w:type="dxa"/>
            <w:tcBorders>
              <w:top w:val="single" w:sz="4" w:space="0" w:color="auto"/>
              <w:bottom w:val="single" w:sz="8" w:space="0" w:color="auto"/>
            </w:tcBorders>
          </w:tcPr>
          <w:p w14:paraId="04347345" w14:textId="77777777" w:rsidR="005B36AA" w:rsidRPr="0050671B" w:rsidRDefault="005B36AA" w:rsidP="005B36AA">
            <w:pPr>
              <w:pStyle w:val="Subtitle"/>
            </w:pPr>
          </w:p>
        </w:tc>
        <w:tc>
          <w:tcPr>
            <w:tcW w:w="803" w:type="dxa"/>
            <w:tcBorders>
              <w:top w:val="single" w:sz="4" w:space="0" w:color="auto"/>
              <w:bottom w:val="single" w:sz="8" w:space="0" w:color="auto"/>
            </w:tcBorders>
            <w:vAlign w:val="center"/>
          </w:tcPr>
          <w:p w14:paraId="6B36DFDA" w14:textId="77777777" w:rsidR="005B36AA" w:rsidRPr="0050671B" w:rsidRDefault="00D60E6D" w:rsidP="005B36AA">
            <w:pPr>
              <w:pStyle w:val="Subtitle"/>
            </w:pPr>
            <w:r>
              <w:t>(5.6%)</w:t>
            </w:r>
          </w:p>
        </w:tc>
        <w:tc>
          <w:tcPr>
            <w:tcW w:w="803" w:type="dxa"/>
            <w:tcBorders>
              <w:top w:val="single" w:sz="4" w:space="0" w:color="auto"/>
              <w:bottom w:val="single" w:sz="8" w:space="0" w:color="auto"/>
            </w:tcBorders>
            <w:vAlign w:val="center"/>
          </w:tcPr>
          <w:p w14:paraId="33369A78" w14:textId="77777777" w:rsidR="005B36AA" w:rsidRPr="0050671B" w:rsidRDefault="00D60E6D" w:rsidP="005B36AA">
            <w:pPr>
              <w:pStyle w:val="Subtitle"/>
            </w:pPr>
            <w:r>
              <w:t>9.6%</w:t>
            </w:r>
          </w:p>
        </w:tc>
        <w:tc>
          <w:tcPr>
            <w:tcW w:w="803" w:type="dxa"/>
            <w:tcBorders>
              <w:top w:val="single" w:sz="4" w:space="0" w:color="auto"/>
              <w:bottom w:val="single" w:sz="8" w:space="0" w:color="auto"/>
            </w:tcBorders>
            <w:vAlign w:val="center"/>
          </w:tcPr>
          <w:p w14:paraId="50D0B334" w14:textId="77777777" w:rsidR="005B36AA" w:rsidRPr="0050671B" w:rsidRDefault="00D60E6D" w:rsidP="005B36AA">
            <w:pPr>
              <w:pStyle w:val="Subtitle"/>
            </w:pPr>
            <w:r>
              <w:t>1.6%</w:t>
            </w:r>
          </w:p>
        </w:tc>
      </w:tr>
    </w:tbl>
    <w:p w14:paraId="158B678D" w14:textId="77777777" w:rsidR="00865915" w:rsidRDefault="00865915" w:rsidP="005B36AA">
      <w:pPr>
        <w:spacing w:after="5" w:line="242" w:lineRule="auto"/>
        <w:ind w:right="-567"/>
        <w:jc w:val="both"/>
        <w:rPr>
          <w:b/>
          <w:caps/>
          <w:color w:val="000000"/>
          <w:sz w:val="18"/>
        </w:rPr>
      </w:pPr>
    </w:p>
    <w:p w14:paraId="20104219" w14:textId="77777777" w:rsidR="005B36AA" w:rsidRDefault="005B36AA" w:rsidP="005B36AA">
      <w:pPr>
        <w:spacing w:after="5" w:line="242" w:lineRule="auto"/>
        <w:ind w:right="-567"/>
        <w:jc w:val="both"/>
        <w:rPr>
          <w:b/>
          <w:caps/>
          <w:color w:val="000000"/>
          <w:sz w:val="18"/>
        </w:rPr>
      </w:pPr>
    </w:p>
    <w:p w14:paraId="2AC48390" w14:textId="77777777" w:rsidR="005B36AA" w:rsidRPr="0062480F" w:rsidRDefault="005B36AA" w:rsidP="005B36AA">
      <w:pPr>
        <w:spacing w:after="5" w:line="242" w:lineRule="auto"/>
        <w:ind w:right="-567"/>
        <w:jc w:val="both"/>
        <w:rPr>
          <w:b/>
          <w:caps/>
          <w:color w:val="000000"/>
          <w:sz w:val="18"/>
        </w:rPr>
      </w:pPr>
      <w:r w:rsidRPr="0062480F">
        <w:rPr>
          <w:b/>
          <w:caps/>
          <w:color w:val="000000"/>
          <w:sz w:val="18"/>
        </w:rPr>
        <w:t>ADJUSTED EBITDA, ADJUSTED OPERATING PROFIT AND ADJUSTED OPERATING MARGIN</w:t>
      </w:r>
    </w:p>
    <w:p w14:paraId="4FF7F3EB" w14:textId="77777777" w:rsidR="005B36AA" w:rsidRDefault="005B36AA" w:rsidP="005B36AA">
      <w:pPr>
        <w:pStyle w:val="BodyText"/>
      </w:pPr>
    </w:p>
    <w:p w14:paraId="76555895" w14:textId="77777777" w:rsidR="005B36AA" w:rsidRPr="002A7FD2" w:rsidRDefault="005B36AA" w:rsidP="005B36AA">
      <w:pPr>
        <w:widowControl/>
        <w:adjustRightInd w:val="0"/>
        <w:jc w:val="both"/>
        <w:rPr>
          <w:rFonts w:asciiTheme="minorHAnsi" w:hAnsiTheme="minorHAnsi" w:cstheme="minorHAnsi"/>
          <w:sz w:val="18"/>
          <w:szCs w:val="18"/>
        </w:rPr>
      </w:pPr>
      <w:r w:rsidRPr="002A7FD2">
        <w:rPr>
          <w:rFonts w:asciiTheme="minorHAnsi" w:hAnsiTheme="minorHAnsi" w:cstheme="minorHAnsi"/>
          <w:sz w:val="18"/>
          <w:szCs w:val="18"/>
        </w:rPr>
        <w:t xml:space="preserve">Adjusted EBITDA, Adjusted Operating Profit and Adjusted Operating Margin are used by the Group to measure the underlying and ongoing operating performance of each </w:t>
      </w:r>
      <w:r w:rsidR="00B127CE">
        <w:rPr>
          <w:rFonts w:asciiTheme="minorHAnsi" w:hAnsiTheme="minorHAnsi" w:cstheme="minorHAnsi"/>
          <w:sz w:val="18"/>
          <w:szCs w:val="18"/>
        </w:rPr>
        <w:t>operating segment</w:t>
      </w:r>
      <w:r>
        <w:rPr>
          <w:rFonts w:asciiTheme="minorHAnsi" w:hAnsiTheme="minorHAnsi" w:cstheme="minorHAnsi"/>
          <w:sz w:val="18"/>
          <w:szCs w:val="18"/>
        </w:rPr>
        <w:t xml:space="preserve"> </w:t>
      </w:r>
      <w:r w:rsidRPr="002A7FD2">
        <w:rPr>
          <w:rFonts w:asciiTheme="minorHAnsi" w:hAnsiTheme="minorHAnsi" w:cstheme="minorHAnsi"/>
          <w:sz w:val="18"/>
          <w:szCs w:val="18"/>
        </w:rPr>
        <w:t>and of the Group as a whole.</w:t>
      </w:r>
    </w:p>
    <w:p w14:paraId="433440A4" w14:textId="77777777" w:rsidR="005B36AA" w:rsidRPr="002A7FD2" w:rsidRDefault="005B36AA" w:rsidP="005B36AA">
      <w:pPr>
        <w:widowControl/>
        <w:adjustRightInd w:val="0"/>
        <w:jc w:val="both"/>
        <w:rPr>
          <w:rFonts w:asciiTheme="minorHAnsi" w:hAnsiTheme="minorHAnsi" w:cstheme="minorHAnsi"/>
          <w:sz w:val="18"/>
          <w:szCs w:val="18"/>
        </w:rPr>
      </w:pPr>
    </w:p>
    <w:p w14:paraId="46A0BECD" w14:textId="77777777" w:rsidR="005B36AA" w:rsidRPr="002A7FD2" w:rsidRDefault="005B36AA" w:rsidP="005B36AA">
      <w:pPr>
        <w:widowControl/>
        <w:adjustRightInd w:val="0"/>
        <w:jc w:val="both"/>
        <w:rPr>
          <w:rFonts w:asciiTheme="minorHAnsi" w:hAnsiTheme="minorHAnsi" w:cstheme="minorHAnsi"/>
          <w:sz w:val="18"/>
          <w:szCs w:val="18"/>
        </w:rPr>
      </w:pPr>
      <w:r w:rsidRPr="002A7FD2">
        <w:rPr>
          <w:rFonts w:asciiTheme="minorHAnsi" w:hAnsiTheme="minorHAnsi" w:cstheme="minorHAnsi"/>
          <w:sz w:val="18"/>
          <w:szCs w:val="18"/>
        </w:rPr>
        <w:t xml:space="preserve">The Group calculates Adjusted Operating Profit as operating profit before amortisation of acquisition related intangibles and exceptional </w:t>
      </w:r>
      <w:r w:rsidR="00B5043C">
        <w:rPr>
          <w:rFonts w:asciiTheme="minorHAnsi" w:hAnsiTheme="minorHAnsi" w:cstheme="minorHAnsi"/>
          <w:sz w:val="18"/>
          <w:szCs w:val="18"/>
        </w:rPr>
        <w:t>items</w:t>
      </w:r>
      <w:r w:rsidRPr="002A7FD2">
        <w:rPr>
          <w:rFonts w:asciiTheme="minorHAnsi" w:hAnsiTheme="minorHAnsi" w:cstheme="minorHAnsi"/>
          <w:sz w:val="18"/>
          <w:szCs w:val="18"/>
        </w:rPr>
        <w:t>. Adjusted EBITDA is calculated as Adjusted Operating Profit plus depreciation and amortisation of</w:t>
      </w:r>
      <w:r>
        <w:rPr>
          <w:rFonts w:asciiTheme="minorHAnsi" w:hAnsiTheme="minorHAnsi" w:cstheme="minorHAnsi"/>
          <w:sz w:val="18"/>
          <w:szCs w:val="18"/>
        </w:rPr>
        <w:t xml:space="preserve"> </w:t>
      </w:r>
      <w:r w:rsidRPr="002A7FD2">
        <w:rPr>
          <w:rFonts w:asciiTheme="minorHAnsi" w:hAnsiTheme="minorHAnsi" w:cstheme="minorHAnsi"/>
          <w:sz w:val="18"/>
          <w:szCs w:val="18"/>
        </w:rPr>
        <w:t>intangible assets. Adjusted Operating Margin is calculated as Adjusted Operating Profit divided by reported revenue.</w:t>
      </w:r>
    </w:p>
    <w:p w14:paraId="3ECD5DD0" w14:textId="77777777" w:rsidR="003E2891" w:rsidRDefault="003E2891" w:rsidP="005B36AA">
      <w:pPr>
        <w:widowControl/>
        <w:adjustRightInd w:val="0"/>
        <w:jc w:val="both"/>
        <w:rPr>
          <w:rFonts w:asciiTheme="minorHAnsi" w:hAnsiTheme="minorHAnsi" w:cstheme="minorHAnsi"/>
          <w:sz w:val="18"/>
          <w:szCs w:val="18"/>
        </w:rPr>
      </w:pPr>
    </w:p>
    <w:p w14:paraId="75EDD66B" w14:textId="77777777" w:rsidR="00086243" w:rsidRDefault="00086243" w:rsidP="00086243">
      <w:pPr>
        <w:widowControl/>
        <w:adjustRightInd w:val="0"/>
        <w:jc w:val="both"/>
        <w:rPr>
          <w:rFonts w:asciiTheme="minorHAnsi" w:hAnsiTheme="minorHAnsi" w:cstheme="minorHAnsi"/>
          <w:sz w:val="18"/>
          <w:szCs w:val="18"/>
        </w:rPr>
      </w:pPr>
      <w:r w:rsidRPr="002A7FD2">
        <w:rPr>
          <w:rFonts w:asciiTheme="minorHAnsi" w:hAnsiTheme="minorHAnsi" w:cstheme="minorHAnsi"/>
          <w:sz w:val="18"/>
          <w:szCs w:val="18"/>
        </w:rPr>
        <w:t>The following table sets forth a reconciliation from the Group’s profit for the financial year to Adjusted Operating Profit, Adjusted EBITDA and Adjusted Operating Margin:</w:t>
      </w:r>
    </w:p>
    <w:tbl>
      <w:tblPr>
        <w:tblW w:w="10206" w:type="dxa"/>
        <w:tblLayout w:type="fixed"/>
        <w:tblLook w:val="01E0" w:firstRow="1" w:lastRow="1" w:firstColumn="1" w:lastColumn="1" w:noHBand="0" w:noVBand="0"/>
      </w:tblPr>
      <w:tblGrid>
        <w:gridCol w:w="8277"/>
        <w:gridCol w:w="937"/>
        <w:gridCol w:w="992"/>
      </w:tblGrid>
      <w:tr w:rsidR="003E2891" w:rsidRPr="00ED1935" w14:paraId="6A769E6D" w14:textId="77777777" w:rsidTr="003E2891">
        <w:trPr>
          <w:trHeight w:val="227"/>
        </w:trPr>
        <w:tc>
          <w:tcPr>
            <w:tcW w:w="8277" w:type="dxa"/>
            <w:tcBorders>
              <w:bottom w:val="single" w:sz="4" w:space="0" w:color="auto"/>
            </w:tcBorders>
          </w:tcPr>
          <w:p w14:paraId="4047C62D" w14:textId="77777777" w:rsidR="003E2891" w:rsidRPr="00ED1935" w:rsidRDefault="003E2891" w:rsidP="005B36AA">
            <w:pPr>
              <w:widowControl/>
              <w:autoSpaceDE/>
              <w:autoSpaceDN/>
              <w:jc w:val="right"/>
              <w:rPr>
                <w:rFonts w:asciiTheme="minorHAnsi" w:eastAsiaTheme="minorHAnsi" w:hAnsiTheme="minorHAnsi" w:cstheme="minorBidi"/>
                <w:sz w:val="18"/>
                <w:szCs w:val="18"/>
                <w:lang w:eastAsia="en-US" w:bidi="ar-SA"/>
              </w:rPr>
            </w:pPr>
          </w:p>
        </w:tc>
        <w:tc>
          <w:tcPr>
            <w:tcW w:w="937" w:type="dxa"/>
            <w:tcBorders>
              <w:bottom w:val="single" w:sz="4" w:space="0" w:color="auto"/>
            </w:tcBorders>
            <w:vAlign w:val="bottom"/>
          </w:tcPr>
          <w:p w14:paraId="1C8A7734" w14:textId="77777777" w:rsidR="003E2891" w:rsidRPr="003E2891" w:rsidRDefault="003E2891" w:rsidP="005B36AA">
            <w:pPr>
              <w:widowControl/>
              <w:autoSpaceDE/>
              <w:autoSpaceDN/>
              <w:jc w:val="right"/>
              <w:rPr>
                <w:rFonts w:asciiTheme="minorHAnsi" w:eastAsiaTheme="minorHAnsi" w:hAnsiTheme="minorHAnsi" w:cstheme="minorBidi"/>
                <w:b/>
                <w:sz w:val="18"/>
                <w:szCs w:val="18"/>
                <w:lang w:eastAsia="en-US" w:bidi="ar-SA"/>
              </w:rPr>
            </w:pPr>
            <w:r w:rsidRPr="003E2891">
              <w:rPr>
                <w:rFonts w:asciiTheme="minorHAnsi" w:eastAsiaTheme="minorHAnsi" w:hAnsiTheme="minorHAnsi" w:cstheme="minorBidi"/>
                <w:b/>
                <w:sz w:val="18"/>
                <w:szCs w:val="18"/>
                <w:lang w:eastAsia="en-US" w:bidi="ar-SA"/>
              </w:rPr>
              <w:t>2021</w:t>
            </w:r>
            <w:r w:rsidRPr="003E2891">
              <w:rPr>
                <w:rFonts w:asciiTheme="minorHAnsi" w:eastAsiaTheme="minorHAnsi" w:hAnsiTheme="minorHAnsi" w:cstheme="minorBidi"/>
                <w:b/>
                <w:sz w:val="18"/>
                <w:szCs w:val="18"/>
                <w:lang w:eastAsia="en-US" w:bidi="ar-SA"/>
              </w:rPr>
              <w:br/>
              <w:t>£m</w:t>
            </w:r>
          </w:p>
        </w:tc>
        <w:tc>
          <w:tcPr>
            <w:tcW w:w="992" w:type="dxa"/>
            <w:tcBorders>
              <w:bottom w:val="single" w:sz="4" w:space="0" w:color="auto"/>
            </w:tcBorders>
            <w:vAlign w:val="bottom"/>
          </w:tcPr>
          <w:p w14:paraId="070BCAFA" w14:textId="77777777" w:rsidR="003E2891" w:rsidRPr="00ED1935" w:rsidRDefault="003E2891" w:rsidP="005B36AA">
            <w:pPr>
              <w:widowControl/>
              <w:autoSpaceDE/>
              <w:autoSpaceDN/>
              <w:jc w:val="right"/>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t>2020</w:t>
            </w:r>
            <w:r w:rsidRPr="00ED1935">
              <w:rPr>
                <w:rFonts w:asciiTheme="minorHAnsi" w:eastAsiaTheme="minorHAnsi" w:hAnsiTheme="minorHAnsi" w:cstheme="minorBidi"/>
                <w:sz w:val="18"/>
                <w:szCs w:val="18"/>
                <w:lang w:eastAsia="en-US" w:bidi="ar-SA"/>
              </w:rPr>
              <w:br/>
            </w:r>
            <w:r>
              <w:rPr>
                <w:rFonts w:asciiTheme="minorHAnsi" w:eastAsiaTheme="minorHAnsi" w:hAnsiTheme="minorHAnsi" w:cstheme="minorBidi"/>
                <w:sz w:val="18"/>
                <w:szCs w:val="18"/>
                <w:lang w:eastAsia="en-US" w:bidi="ar-SA"/>
              </w:rPr>
              <w:t>£m</w:t>
            </w:r>
          </w:p>
        </w:tc>
      </w:tr>
      <w:tr w:rsidR="003E2891" w:rsidRPr="00ED1935" w14:paraId="511B040A" w14:textId="77777777" w:rsidTr="003E2891">
        <w:trPr>
          <w:trHeight w:val="227"/>
        </w:trPr>
        <w:tc>
          <w:tcPr>
            <w:tcW w:w="8277" w:type="dxa"/>
            <w:tcBorders>
              <w:top w:val="single" w:sz="4" w:space="0" w:color="auto"/>
            </w:tcBorders>
            <w:vAlign w:val="center"/>
          </w:tcPr>
          <w:p w14:paraId="63A8B1FC" w14:textId="77777777" w:rsidR="003E2891" w:rsidRPr="005C6F46" w:rsidRDefault="003E2891" w:rsidP="003E2891">
            <w:pPr>
              <w:widowControl/>
              <w:autoSpaceDE/>
              <w:autoSpaceDN/>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b/>
                <w:bCs/>
                <w:sz w:val="18"/>
                <w:szCs w:val="18"/>
                <w:lang w:eastAsia="en-US" w:bidi="ar-SA"/>
              </w:rPr>
              <w:t>Profit</w:t>
            </w:r>
            <w:r w:rsidR="00D60E6D">
              <w:rPr>
                <w:rFonts w:asciiTheme="minorHAnsi" w:eastAsiaTheme="minorHAnsi" w:hAnsiTheme="minorHAnsi" w:cstheme="minorBidi"/>
                <w:b/>
                <w:bCs/>
                <w:sz w:val="18"/>
                <w:szCs w:val="18"/>
                <w:lang w:eastAsia="en-US" w:bidi="ar-SA"/>
              </w:rPr>
              <w:t>/(loss)</w:t>
            </w:r>
            <w:r w:rsidRPr="005771B0">
              <w:rPr>
                <w:rFonts w:asciiTheme="minorHAnsi" w:eastAsiaTheme="minorHAnsi" w:hAnsiTheme="minorHAnsi" w:cstheme="minorBidi"/>
                <w:b/>
                <w:bCs/>
                <w:sz w:val="18"/>
                <w:szCs w:val="18"/>
                <w:lang w:eastAsia="en-US" w:bidi="ar-SA"/>
              </w:rPr>
              <w:t xml:space="preserve"> for the financial year</w:t>
            </w:r>
          </w:p>
        </w:tc>
        <w:tc>
          <w:tcPr>
            <w:tcW w:w="937" w:type="dxa"/>
            <w:tcBorders>
              <w:top w:val="single" w:sz="4" w:space="0" w:color="auto"/>
            </w:tcBorders>
            <w:vAlign w:val="center"/>
          </w:tcPr>
          <w:p w14:paraId="59C0EA16" w14:textId="77777777" w:rsidR="003E2891" w:rsidRPr="003E2891" w:rsidRDefault="00D60E6D" w:rsidP="003E2891">
            <w:pPr>
              <w:widowControl/>
              <w:autoSpaceDE/>
              <w:autoSpaceDN/>
              <w:jc w:val="right"/>
              <w:rPr>
                <w:rFonts w:asciiTheme="minorHAnsi" w:eastAsiaTheme="minorHAnsi" w:hAnsiTheme="minorHAnsi" w:cstheme="minorBidi"/>
                <w:b/>
                <w:sz w:val="18"/>
                <w:szCs w:val="18"/>
                <w:lang w:eastAsia="en-US" w:bidi="ar-SA"/>
              </w:rPr>
            </w:pPr>
            <w:r>
              <w:rPr>
                <w:rFonts w:asciiTheme="minorHAnsi" w:eastAsiaTheme="minorHAnsi" w:hAnsiTheme="minorHAnsi" w:cstheme="minorBidi"/>
                <w:b/>
                <w:sz w:val="18"/>
                <w:szCs w:val="18"/>
                <w:lang w:eastAsia="en-US" w:bidi="ar-SA"/>
              </w:rPr>
              <w:t>25.7</w:t>
            </w:r>
          </w:p>
        </w:tc>
        <w:tc>
          <w:tcPr>
            <w:tcW w:w="992" w:type="dxa"/>
            <w:tcBorders>
              <w:top w:val="single" w:sz="4" w:space="0" w:color="auto"/>
            </w:tcBorders>
            <w:vAlign w:val="center"/>
          </w:tcPr>
          <w:p w14:paraId="58E12A27" w14:textId="77777777" w:rsidR="003E2891" w:rsidRPr="003E2891" w:rsidRDefault="003E2891" w:rsidP="003E2891">
            <w:pPr>
              <w:widowControl/>
              <w:autoSpaceDE/>
              <w:autoSpaceDN/>
              <w:jc w:val="right"/>
              <w:rPr>
                <w:rFonts w:asciiTheme="minorHAnsi" w:eastAsiaTheme="minorHAnsi" w:hAnsiTheme="minorHAnsi" w:cstheme="minorBidi"/>
                <w:sz w:val="18"/>
                <w:szCs w:val="18"/>
                <w:lang w:eastAsia="en-US" w:bidi="ar-SA"/>
              </w:rPr>
            </w:pPr>
            <w:r w:rsidRPr="003E2891">
              <w:rPr>
                <w:rFonts w:asciiTheme="minorHAnsi" w:eastAsiaTheme="minorHAnsi" w:hAnsiTheme="minorHAnsi" w:cstheme="minorBidi"/>
                <w:bCs/>
                <w:sz w:val="18"/>
                <w:szCs w:val="18"/>
                <w:lang w:eastAsia="en-US" w:bidi="ar-SA"/>
              </w:rPr>
              <w:t>(9.9)</w:t>
            </w:r>
          </w:p>
        </w:tc>
      </w:tr>
      <w:tr w:rsidR="003E2891" w:rsidRPr="00ED1935" w14:paraId="6B365B4B" w14:textId="77777777" w:rsidTr="003E2891">
        <w:trPr>
          <w:trHeight w:val="227"/>
        </w:trPr>
        <w:tc>
          <w:tcPr>
            <w:tcW w:w="8277" w:type="dxa"/>
            <w:vAlign w:val="center"/>
          </w:tcPr>
          <w:p w14:paraId="1476E6BA" w14:textId="77777777" w:rsidR="003E2891" w:rsidRPr="005C6F46" w:rsidRDefault="003E2891" w:rsidP="003E2891">
            <w:pPr>
              <w:widowControl/>
              <w:autoSpaceDE/>
              <w:autoSpaceDN/>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 xml:space="preserve">Taxation </w:t>
            </w:r>
            <w:r w:rsidRPr="005771B0">
              <w:rPr>
                <w:rFonts w:asciiTheme="minorHAnsi" w:eastAsiaTheme="minorHAnsi" w:hAnsiTheme="minorHAnsi" w:cstheme="minorBidi"/>
                <w:sz w:val="18"/>
                <w:szCs w:val="18"/>
                <w:vertAlign w:val="superscript"/>
                <w:lang w:eastAsia="en-US" w:bidi="ar-SA"/>
              </w:rPr>
              <w:t>(A)</w:t>
            </w:r>
          </w:p>
        </w:tc>
        <w:tc>
          <w:tcPr>
            <w:tcW w:w="937" w:type="dxa"/>
            <w:vAlign w:val="center"/>
          </w:tcPr>
          <w:p w14:paraId="307E210C" w14:textId="77777777" w:rsidR="003E2891" w:rsidRPr="003E2891" w:rsidRDefault="00D60E6D" w:rsidP="003E2891">
            <w:pPr>
              <w:widowControl/>
              <w:autoSpaceDE/>
              <w:autoSpaceDN/>
              <w:jc w:val="right"/>
              <w:rPr>
                <w:rFonts w:asciiTheme="minorHAnsi" w:eastAsiaTheme="minorHAnsi" w:hAnsiTheme="minorHAnsi" w:cstheme="minorBidi"/>
                <w:b/>
                <w:sz w:val="18"/>
                <w:szCs w:val="18"/>
                <w:lang w:eastAsia="en-US" w:bidi="ar-SA"/>
              </w:rPr>
            </w:pPr>
            <w:r>
              <w:rPr>
                <w:rFonts w:asciiTheme="minorHAnsi" w:eastAsiaTheme="minorHAnsi" w:hAnsiTheme="minorHAnsi" w:cstheme="minorBidi"/>
                <w:b/>
                <w:sz w:val="18"/>
                <w:szCs w:val="18"/>
                <w:lang w:eastAsia="en-US" w:bidi="ar-SA"/>
              </w:rPr>
              <w:t>2.1</w:t>
            </w:r>
          </w:p>
        </w:tc>
        <w:tc>
          <w:tcPr>
            <w:tcW w:w="992" w:type="dxa"/>
            <w:vAlign w:val="center"/>
          </w:tcPr>
          <w:p w14:paraId="71C69B07" w14:textId="77777777" w:rsidR="003E2891" w:rsidRPr="003E2891" w:rsidRDefault="003E2891" w:rsidP="003E2891">
            <w:pPr>
              <w:widowControl/>
              <w:autoSpaceDE/>
              <w:autoSpaceDN/>
              <w:jc w:val="right"/>
              <w:rPr>
                <w:rFonts w:asciiTheme="minorHAnsi" w:eastAsiaTheme="minorHAnsi" w:hAnsiTheme="minorHAnsi" w:cstheme="minorBidi"/>
                <w:sz w:val="18"/>
                <w:szCs w:val="18"/>
                <w:lang w:eastAsia="en-US" w:bidi="ar-SA"/>
              </w:rPr>
            </w:pPr>
            <w:r w:rsidRPr="003E2891">
              <w:rPr>
                <w:rFonts w:asciiTheme="minorHAnsi" w:eastAsiaTheme="minorHAnsi" w:hAnsiTheme="minorHAnsi" w:cstheme="minorBidi"/>
                <w:bCs/>
                <w:sz w:val="18"/>
                <w:szCs w:val="18"/>
                <w:lang w:eastAsia="en-US" w:bidi="ar-SA"/>
              </w:rPr>
              <w:t>(0.9)</w:t>
            </w:r>
          </w:p>
        </w:tc>
      </w:tr>
      <w:tr w:rsidR="00B127CE" w:rsidRPr="00ED1935" w14:paraId="0FCCBC84" w14:textId="77777777" w:rsidTr="003E2891">
        <w:trPr>
          <w:trHeight w:val="227"/>
        </w:trPr>
        <w:tc>
          <w:tcPr>
            <w:tcW w:w="8277" w:type="dxa"/>
            <w:vAlign w:val="center"/>
          </w:tcPr>
          <w:p w14:paraId="1F5940E9" w14:textId="77777777" w:rsidR="00B127CE" w:rsidRPr="005771B0" w:rsidRDefault="00B127CE" w:rsidP="00B127CE">
            <w:pPr>
              <w:widowControl/>
              <w:autoSpaceDE/>
              <w:autoSpaceDN/>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Exceptional items</w:t>
            </w:r>
          </w:p>
        </w:tc>
        <w:tc>
          <w:tcPr>
            <w:tcW w:w="937" w:type="dxa"/>
            <w:vAlign w:val="center"/>
          </w:tcPr>
          <w:p w14:paraId="3E1BFD71" w14:textId="77777777" w:rsidR="00B127CE" w:rsidRPr="00D60E6D" w:rsidRDefault="00B127CE" w:rsidP="00B127CE">
            <w:pPr>
              <w:widowControl/>
              <w:autoSpaceDE/>
              <w:autoSpaceDN/>
              <w:jc w:val="right"/>
              <w:rPr>
                <w:b/>
                <w:bCs/>
                <w:sz w:val="18"/>
                <w:szCs w:val="18"/>
              </w:rPr>
            </w:pPr>
            <w:r>
              <w:rPr>
                <w:rFonts w:asciiTheme="minorHAnsi" w:eastAsiaTheme="minorHAnsi" w:hAnsiTheme="minorHAnsi" w:cstheme="minorBidi"/>
                <w:b/>
                <w:sz w:val="18"/>
                <w:szCs w:val="18"/>
                <w:lang w:eastAsia="en-US" w:bidi="ar-SA"/>
              </w:rPr>
              <w:t>(11.7)</w:t>
            </w:r>
          </w:p>
        </w:tc>
        <w:tc>
          <w:tcPr>
            <w:tcW w:w="992" w:type="dxa"/>
            <w:vAlign w:val="center"/>
          </w:tcPr>
          <w:p w14:paraId="52D6A6E0" w14:textId="77777777" w:rsidR="00B127CE" w:rsidRPr="003E2891" w:rsidRDefault="00B127CE" w:rsidP="00B127CE">
            <w:pPr>
              <w:widowControl/>
              <w:autoSpaceDE/>
              <w:autoSpaceDN/>
              <w:jc w:val="right"/>
              <w:rPr>
                <w:rFonts w:asciiTheme="minorHAnsi" w:eastAsiaTheme="minorHAnsi" w:hAnsiTheme="minorHAnsi" w:cstheme="minorBidi"/>
                <w:bCs/>
                <w:sz w:val="18"/>
                <w:szCs w:val="18"/>
                <w:lang w:eastAsia="en-US" w:bidi="ar-SA"/>
              </w:rPr>
            </w:pPr>
            <w:r w:rsidRPr="003E2891">
              <w:rPr>
                <w:rFonts w:asciiTheme="minorHAnsi" w:eastAsiaTheme="minorHAnsi" w:hAnsiTheme="minorHAnsi" w:cstheme="minorBidi"/>
                <w:bCs/>
                <w:sz w:val="18"/>
                <w:szCs w:val="18"/>
                <w:lang w:eastAsia="en-US" w:bidi="ar-SA"/>
              </w:rPr>
              <w:t>22.8</w:t>
            </w:r>
          </w:p>
        </w:tc>
      </w:tr>
      <w:tr w:rsidR="00B127CE" w:rsidRPr="00ED1935" w14:paraId="7301A9D5" w14:textId="77777777" w:rsidTr="003E2891">
        <w:trPr>
          <w:trHeight w:val="227"/>
        </w:trPr>
        <w:tc>
          <w:tcPr>
            <w:tcW w:w="8277" w:type="dxa"/>
            <w:vAlign w:val="center"/>
          </w:tcPr>
          <w:p w14:paraId="3C68BEF6" w14:textId="77777777" w:rsidR="00B127CE" w:rsidRPr="005771B0" w:rsidRDefault="00B127CE" w:rsidP="00B127CE">
            <w:pPr>
              <w:widowControl/>
              <w:autoSpaceDE/>
              <w:autoSpaceDN/>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Share of profit of associates after tax</w:t>
            </w:r>
          </w:p>
        </w:tc>
        <w:tc>
          <w:tcPr>
            <w:tcW w:w="937" w:type="dxa"/>
            <w:vAlign w:val="center"/>
          </w:tcPr>
          <w:p w14:paraId="1972C740" w14:textId="77777777" w:rsidR="00B127CE" w:rsidRDefault="00B127CE" w:rsidP="00B127CE">
            <w:pPr>
              <w:widowControl/>
              <w:autoSpaceDE/>
              <w:autoSpaceDN/>
              <w:jc w:val="right"/>
              <w:rPr>
                <w:rFonts w:asciiTheme="minorHAnsi" w:eastAsiaTheme="minorHAnsi" w:hAnsiTheme="minorHAnsi" w:cstheme="minorBidi"/>
                <w:b/>
                <w:sz w:val="18"/>
                <w:szCs w:val="18"/>
                <w:lang w:eastAsia="en-US" w:bidi="ar-SA"/>
              </w:rPr>
            </w:pPr>
            <w:r w:rsidRPr="00D60E6D">
              <w:rPr>
                <w:b/>
                <w:bCs/>
                <w:sz w:val="18"/>
                <w:szCs w:val="18"/>
              </w:rPr>
              <w:t>–</w:t>
            </w:r>
          </w:p>
        </w:tc>
        <w:tc>
          <w:tcPr>
            <w:tcW w:w="992" w:type="dxa"/>
            <w:vAlign w:val="center"/>
          </w:tcPr>
          <w:p w14:paraId="63529A98" w14:textId="77777777" w:rsidR="00B127CE" w:rsidRPr="003E2891" w:rsidRDefault="00B127CE" w:rsidP="00B127CE">
            <w:pPr>
              <w:widowControl/>
              <w:autoSpaceDE/>
              <w:autoSpaceDN/>
              <w:jc w:val="right"/>
              <w:rPr>
                <w:rFonts w:asciiTheme="minorHAnsi" w:eastAsiaTheme="minorHAnsi" w:hAnsiTheme="minorHAnsi" w:cstheme="minorBidi"/>
                <w:bCs/>
                <w:sz w:val="18"/>
                <w:szCs w:val="18"/>
                <w:lang w:eastAsia="en-US" w:bidi="ar-SA"/>
              </w:rPr>
            </w:pPr>
            <w:r w:rsidRPr="003E2891">
              <w:rPr>
                <w:rFonts w:asciiTheme="minorHAnsi" w:eastAsiaTheme="minorHAnsi" w:hAnsiTheme="minorHAnsi" w:cstheme="minorBidi"/>
                <w:bCs/>
                <w:sz w:val="18"/>
                <w:szCs w:val="18"/>
                <w:lang w:eastAsia="en-US" w:bidi="ar-SA"/>
              </w:rPr>
              <w:t>(0.6)</w:t>
            </w:r>
          </w:p>
        </w:tc>
      </w:tr>
      <w:tr w:rsidR="00B127CE" w:rsidRPr="00ED1935" w14:paraId="33B4FAE7" w14:textId="77777777" w:rsidTr="003E2891">
        <w:trPr>
          <w:trHeight w:val="227"/>
        </w:trPr>
        <w:tc>
          <w:tcPr>
            <w:tcW w:w="8277" w:type="dxa"/>
            <w:vAlign w:val="center"/>
          </w:tcPr>
          <w:p w14:paraId="21DD50CF" w14:textId="77777777" w:rsidR="00B127CE" w:rsidRPr="005C6F46" w:rsidRDefault="00B127CE" w:rsidP="00B127CE">
            <w:pPr>
              <w:widowControl/>
              <w:autoSpaceDE/>
              <w:autoSpaceDN/>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Net finance costs</w:t>
            </w:r>
            <w:r w:rsidRPr="005771B0">
              <w:rPr>
                <w:rFonts w:asciiTheme="minorHAnsi" w:eastAsiaTheme="minorHAnsi" w:hAnsiTheme="minorHAnsi" w:cstheme="minorBidi"/>
                <w:sz w:val="18"/>
                <w:szCs w:val="18"/>
                <w:vertAlign w:val="superscript"/>
                <w:lang w:eastAsia="en-US" w:bidi="ar-SA"/>
              </w:rPr>
              <w:t xml:space="preserve"> (B)</w:t>
            </w:r>
          </w:p>
        </w:tc>
        <w:tc>
          <w:tcPr>
            <w:tcW w:w="937" w:type="dxa"/>
            <w:vAlign w:val="center"/>
          </w:tcPr>
          <w:p w14:paraId="4271D590" w14:textId="77777777" w:rsidR="00B127CE" w:rsidRPr="003E2891" w:rsidRDefault="00B127CE" w:rsidP="00B127CE">
            <w:pPr>
              <w:widowControl/>
              <w:autoSpaceDE/>
              <w:autoSpaceDN/>
              <w:jc w:val="right"/>
              <w:rPr>
                <w:rFonts w:asciiTheme="minorHAnsi" w:eastAsiaTheme="minorHAnsi" w:hAnsiTheme="minorHAnsi" w:cstheme="minorBidi"/>
                <w:b/>
                <w:sz w:val="18"/>
                <w:szCs w:val="18"/>
                <w:lang w:eastAsia="en-US" w:bidi="ar-SA"/>
              </w:rPr>
            </w:pPr>
            <w:r>
              <w:rPr>
                <w:rFonts w:asciiTheme="minorHAnsi" w:eastAsiaTheme="minorHAnsi" w:hAnsiTheme="minorHAnsi" w:cstheme="minorBidi"/>
                <w:b/>
                <w:sz w:val="18"/>
                <w:szCs w:val="18"/>
                <w:lang w:eastAsia="en-US" w:bidi="ar-SA"/>
              </w:rPr>
              <w:t>19.0</w:t>
            </w:r>
          </w:p>
        </w:tc>
        <w:tc>
          <w:tcPr>
            <w:tcW w:w="992" w:type="dxa"/>
            <w:vAlign w:val="center"/>
          </w:tcPr>
          <w:p w14:paraId="241AD047" w14:textId="77777777" w:rsidR="00B127CE" w:rsidRPr="003E2891" w:rsidRDefault="00B127CE" w:rsidP="00B127CE">
            <w:pPr>
              <w:widowControl/>
              <w:autoSpaceDE/>
              <w:autoSpaceDN/>
              <w:jc w:val="right"/>
              <w:rPr>
                <w:rFonts w:asciiTheme="minorHAnsi" w:eastAsiaTheme="minorHAnsi" w:hAnsiTheme="minorHAnsi" w:cstheme="minorBidi"/>
                <w:sz w:val="18"/>
                <w:szCs w:val="18"/>
                <w:lang w:eastAsia="en-US" w:bidi="ar-SA"/>
              </w:rPr>
            </w:pPr>
            <w:r w:rsidRPr="003E2891">
              <w:rPr>
                <w:rFonts w:asciiTheme="minorHAnsi" w:eastAsiaTheme="minorHAnsi" w:hAnsiTheme="minorHAnsi" w:cstheme="minorBidi"/>
                <w:bCs/>
                <w:sz w:val="18"/>
                <w:szCs w:val="18"/>
                <w:lang w:eastAsia="en-US" w:bidi="ar-SA"/>
              </w:rPr>
              <w:t>17.2</w:t>
            </w:r>
          </w:p>
        </w:tc>
      </w:tr>
      <w:tr w:rsidR="00B127CE" w:rsidRPr="00ED1935" w14:paraId="6BCE4BB4" w14:textId="77777777" w:rsidTr="003E2891">
        <w:trPr>
          <w:trHeight w:val="227"/>
        </w:trPr>
        <w:tc>
          <w:tcPr>
            <w:tcW w:w="8277" w:type="dxa"/>
            <w:tcBorders>
              <w:bottom w:val="single" w:sz="4" w:space="0" w:color="auto"/>
            </w:tcBorders>
            <w:vAlign w:val="center"/>
          </w:tcPr>
          <w:p w14:paraId="410A31DB" w14:textId="77777777" w:rsidR="00B127CE" w:rsidRPr="005C6F46" w:rsidRDefault="00B127CE" w:rsidP="00B127CE">
            <w:pPr>
              <w:widowControl/>
              <w:autoSpaceDE/>
              <w:autoSpaceDN/>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Amortisation of acquisition related intangibles</w:t>
            </w:r>
          </w:p>
        </w:tc>
        <w:tc>
          <w:tcPr>
            <w:tcW w:w="937" w:type="dxa"/>
            <w:tcBorders>
              <w:bottom w:val="single" w:sz="4" w:space="0" w:color="auto"/>
            </w:tcBorders>
            <w:vAlign w:val="center"/>
          </w:tcPr>
          <w:p w14:paraId="3F277267" w14:textId="77777777" w:rsidR="00B127CE" w:rsidRPr="003E2891" w:rsidRDefault="00B127CE" w:rsidP="00B127CE">
            <w:pPr>
              <w:widowControl/>
              <w:autoSpaceDE/>
              <w:autoSpaceDN/>
              <w:jc w:val="right"/>
              <w:rPr>
                <w:rFonts w:asciiTheme="minorHAnsi" w:eastAsiaTheme="minorHAnsi" w:hAnsiTheme="minorHAnsi" w:cstheme="minorBidi"/>
                <w:b/>
                <w:sz w:val="18"/>
                <w:szCs w:val="18"/>
                <w:lang w:eastAsia="en-US" w:bidi="ar-SA"/>
              </w:rPr>
            </w:pPr>
            <w:r>
              <w:rPr>
                <w:rFonts w:asciiTheme="minorHAnsi" w:eastAsiaTheme="minorHAnsi" w:hAnsiTheme="minorHAnsi" w:cstheme="minorBidi"/>
                <w:b/>
                <w:sz w:val="18"/>
                <w:szCs w:val="18"/>
                <w:lang w:eastAsia="en-US" w:bidi="ar-SA"/>
              </w:rPr>
              <w:t>3.9</w:t>
            </w:r>
          </w:p>
        </w:tc>
        <w:tc>
          <w:tcPr>
            <w:tcW w:w="992" w:type="dxa"/>
            <w:tcBorders>
              <w:bottom w:val="single" w:sz="4" w:space="0" w:color="auto"/>
            </w:tcBorders>
            <w:vAlign w:val="center"/>
          </w:tcPr>
          <w:p w14:paraId="675CBD12" w14:textId="77777777" w:rsidR="00B127CE" w:rsidRPr="003E2891" w:rsidRDefault="00B127CE" w:rsidP="00B127CE">
            <w:pPr>
              <w:widowControl/>
              <w:autoSpaceDE/>
              <w:autoSpaceDN/>
              <w:jc w:val="right"/>
              <w:rPr>
                <w:rFonts w:asciiTheme="minorHAnsi" w:eastAsiaTheme="minorHAnsi" w:hAnsiTheme="minorHAnsi" w:cstheme="minorBidi"/>
                <w:sz w:val="18"/>
                <w:szCs w:val="18"/>
                <w:lang w:eastAsia="en-US" w:bidi="ar-SA"/>
              </w:rPr>
            </w:pPr>
            <w:r w:rsidRPr="003E2891">
              <w:rPr>
                <w:rFonts w:asciiTheme="minorHAnsi" w:eastAsiaTheme="minorHAnsi" w:hAnsiTheme="minorHAnsi" w:cstheme="minorBidi"/>
                <w:bCs/>
                <w:sz w:val="18"/>
                <w:szCs w:val="18"/>
                <w:lang w:eastAsia="en-US" w:bidi="ar-SA"/>
              </w:rPr>
              <w:t>3.9</w:t>
            </w:r>
          </w:p>
        </w:tc>
      </w:tr>
      <w:tr w:rsidR="00B127CE" w:rsidRPr="00ED1935" w14:paraId="47029DDA" w14:textId="77777777" w:rsidTr="003E2891">
        <w:trPr>
          <w:trHeight w:val="227"/>
        </w:trPr>
        <w:tc>
          <w:tcPr>
            <w:tcW w:w="8277" w:type="dxa"/>
            <w:tcBorders>
              <w:top w:val="single" w:sz="4" w:space="0" w:color="auto"/>
            </w:tcBorders>
            <w:vAlign w:val="center"/>
          </w:tcPr>
          <w:p w14:paraId="643B355E" w14:textId="77777777" w:rsidR="00B127CE" w:rsidRPr="005C6F46" w:rsidRDefault="00B127CE" w:rsidP="00B127CE">
            <w:pPr>
              <w:widowControl/>
              <w:autoSpaceDE/>
              <w:autoSpaceDN/>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b/>
                <w:bCs/>
                <w:sz w:val="18"/>
                <w:szCs w:val="18"/>
                <w:lang w:eastAsia="en-US" w:bidi="ar-SA"/>
              </w:rPr>
              <w:t>Adjusted Operating Profit</w:t>
            </w:r>
          </w:p>
        </w:tc>
        <w:tc>
          <w:tcPr>
            <w:tcW w:w="937" w:type="dxa"/>
            <w:tcBorders>
              <w:top w:val="single" w:sz="4" w:space="0" w:color="auto"/>
            </w:tcBorders>
            <w:vAlign w:val="center"/>
          </w:tcPr>
          <w:p w14:paraId="4E7B5673" w14:textId="77777777" w:rsidR="00B127CE" w:rsidRPr="003E2891" w:rsidRDefault="00B127CE" w:rsidP="00B127CE">
            <w:pPr>
              <w:widowControl/>
              <w:autoSpaceDE/>
              <w:autoSpaceDN/>
              <w:jc w:val="right"/>
              <w:rPr>
                <w:rFonts w:asciiTheme="minorHAnsi" w:eastAsiaTheme="minorHAnsi" w:hAnsiTheme="minorHAnsi" w:cstheme="minorBidi"/>
                <w:b/>
                <w:sz w:val="18"/>
                <w:szCs w:val="18"/>
                <w:lang w:eastAsia="en-US" w:bidi="ar-SA"/>
              </w:rPr>
            </w:pPr>
            <w:r>
              <w:rPr>
                <w:rFonts w:asciiTheme="minorHAnsi" w:eastAsiaTheme="minorHAnsi" w:hAnsiTheme="minorHAnsi" w:cstheme="minorBidi"/>
                <w:b/>
                <w:sz w:val="18"/>
                <w:szCs w:val="18"/>
                <w:lang w:eastAsia="en-US" w:bidi="ar-SA"/>
              </w:rPr>
              <w:t>39.0</w:t>
            </w:r>
          </w:p>
        </w:tc>
        <w:tc>
          <w:tcPr>
            <w:tcW w:w="992" w:type="dxa"/>
            <w:tcBorders>
              <w:top w:val="single" w:sz="4" w:space="0" w:color="auto"/>
            </w:tcBorders>
            <w:vAlign w:val="center"/>
          </w:tcPr>
          <w:p w14:paraId="6CB06AEB" w14:textId="77777777" w:rsidR="00B127CE" w:rsidRPr="003E2891" w:rsidRDefault="00B127CE" w:rsidP="00B127CE">
            <w:pPr>
              <w:widowControl/>
              <w:autoSpaceDE/>
              <w:autoSpaceDN/>
              <w:jc w:val="right"/>
              <w:rPr>
                <w:rFonts w:asciiTheme="minorHAnsi" w:eastAsiaTheme="minorHAnsi" w:hAnsiTheme="minorHAnsi" w:cstheme="minorBidi"/>
                <w:sz w:val="18"/>
                <w:szCs w:val="18"/>
                <w:lang w:eastAsia="en-US" w:bidi="ar-SA"/>
              </w:rPr>
            </w:pPr>
            <w:r w:rsidRPr="003E2891">
              <w:rPr>
                <w:rFonts w:asciiTheme="minorHAnsi" w:eastAsiaTheme="minorHAnsi" w:hAnsiTheme="minorHAnsi" w:cstheme="minorBidi"/>
                <w:bCs/>
                <w:sz w:val="18"/>
                <w:szCs w:val="18"/>
                <w:lang w:eastAsia="en-US" w:bidi="ar-SA"/>
              </w:rPr>
              <w:t>32.5</w:t>
            </w:r>
          </w:p>
        </w:tc>
      </w:tr>
      <w:tr w:rsidR="00B127CE" w:rsidRPr="00ED1935" w14:paraId="64ECFE62" w14:textId="77777777" w:rsidTr="003E2891">
        <w:trPr>
          <w:trHeight w:val="227"/>
        </w:trPr>
        <w:tc>
          <w:tcPr>
            <w:tcW w:w="8277" w:type="dxa"/>
            <w:tcBorders>
              <w:bottom w:val="single" w:sz="4" w:space="0" w:color="auto"/>
            </w:tcBorders>
            <w:vAlign w:val="center"/>
          </w:tcPr>
          <w:p w14:paraId="4A6E7E00" w14:textId="77777777" w:rsidR="00B127CE" w:rsidRPr="008E46B3" w:rsidRDefault="00B127CE" w:rsidP="00B127CE">
            <w:pPr>
              <w:widowControl/>
              <w:autoSpaceDE/>
              <w:autoSpaceDN/>
              <w:rPr>
                <w:rFonts w:asciiTheme="minorHAnsi" w:eastAsiaTheme="minorHAnsi" w:hAnsiTheme="minorHAnsi" w:cstheme="minorBidi"/>
                <w:sz w:val="18"/>
                <w:szCs w:val="18"/>
                <w:lang w:eastAsia="en-US" w:bidi="ar-SA"/>
              </w:rPr>
            </w:pPr>
            <w:r w:rsidRPr="008E46B3">
              <w:rPr>
                <w:rFonts w:asciiTheme="minorHAnsi" w:eastAsiaTheme="minorHAnsi" w:hAnsiTheme="minorHAnsi" w:cstheme="minorBidi"/>
                <w:sz w:val="18"/>
                <w:szCs w:val="18"/>
                <w:lang w:eastAsia="en-US" w:bidi="ar-SA"/>
              </w:rPr>
              <w:t xml:space="preserve">Depreciation and amortisation </w:t>
            </w:r>
            <w:r w:rsidRPr="008E46B3">
              <w:rPr>
                <w:rFonts w:asciiTheme="minorHAnsi" w:eastAsiaTheme="minorHAnsi" w:hAnsiTheme="minorHAnsi" w:cstheme="minorBidi"/>
                <w:sz w:val="18"/>
                <w:szCs w:val="18"/>
                <w:vertAlign w:val="superscript"/>
                <w:lang w:eastAsia="en-US" w:bidi="ar-SA"/>
              </w:rPr>
              <w:t>(C)</w:t>
            </w:r>
          </w:p>
        </w:tc>
        <w:tc>
          <w:tcPr>
            <w:tcW w:w="937" w:type="dxa"/>
            <w:tcBorders>
              <w:bottom w:val="single" w:sz="4" w:space="0" w:color="auto"/>
            </w:tcBorders>
            <w:vAlign w:val="center"/>
          </w:tcPr>
          <w:p w14:paraId="0BE49C9F" w14:textId="77777777" w:rsidR="00B127CE" w:rsidRPr="003E2891" w:rsidRDefault="0026720B" w:rsidP="00B127CE">
            <w:pPr>
              <w:widowControl/>
              <w:autoSpaceDE/>
              <w:autoSpaceDN/>
              <w:jc w:val="right"/>
              <w:rPr>
                <w:rFonts w:asciiTheme="minorHAnsi" w:eastAsiaTheme="minorHAnsi" w:hAnsiTheme="minorHAnsi" w:cstheme="minorBidi"/>
                <w:b/>
                <w:sz w:val="18"/>
                <w:szCs w:val="18"/>
                <w:lang w:eastAsia="en-US" w:bidi="ar-SA"/>
              </w:rPr>
            </w:pPr>
            <w:r>
              <w:rPr>
                <w:rFonts w:asciiTheme="minorHAnsi" w:eastAsiaTheme="minorHAnsi" w:hAnsiTheme="minorHAnsi" w:cstheme="minorBidi"/>
                <w:b/>
                <w:sz w:val="18"/>
                <w:szCs w:val="18"/>
                <w:lang w:eastAsia="en-US" w:bidi="ar-SA"/>
              </w:rPr>
              <w:t>53.3</w:t>
            </w:r>
          </w:p>
        </w:tc>
        <w:tc>
          <w:tcPr>
            <w:tcW w:w="992" w:type="dxa"/>
            <w:tcBorders>
              <w:bottom w:val="single" w:sz="4" w:space="0" w:color="auto"/>
            </w:tcBorders>
            <w:vAlign w:val="center"/>
          </w:tcPr>
          <w:p w14:paraId="5C593256" w14:textId="77777777" w:rsidR="00B127CE" w:rsidRPr="003E2891" w:rsidRDefault="00B127CE" w:rsidP="00B127CE">
            <w:pPr>
              <w:widowControl/>
              <w:autoSpaceDE/>
              <w:autoSpaceDN/>
              <w:jc w:val="right"/>
              <w:rPr>
                <w:rFonts w:asciiTheme="minorHAnsi" w:eastAsiaTheme="minorHAnsi" w:hAnsiTheme="minorHAnsi" w:cstheme="minorBidi"/>
                <w:sz w:val="18"/>
                <w:szCs w:val="18"/>
                <w:lang w:eastAsia="en-US" w:bidi="ar-SA"/>
              </w:rPr>
            </w:pPr>
            <w:r w:rsidRPr="003E2891">
              <w:rPr>
                <w:rFonts w:asciiTheme="minorHAnsi" w:eastAsiaTheme="minorHAnsi" w:hAnsiTheme="minorHAnsi" w:cstheme="minorBidi"/>
                <w:bCs/>
                <w:sz w:val="18"/>
                <w:szCs w:val="18"/>
                <w:lang w:eastAsia="en-US" w:bidi="ar-SA"/>
              </w:rPr>
              <w:t>52.5</w:t>
            </w:r>
          </w:p>
        </w:tc>
      </w:tr>
      <w:tr w:rsidR="00B127CE" w:rsidRPr="00ED1935" w14:paraId="493C0D9A" w14:textId="77777777" w:rsidTr="003E2891">
        <w:trPr>
          <w:trHeight w:val="227"/>
        </w:trPr>
        <w:tc>
          <w:tcPr>
            <w:tcW w:w="8277" w:type="dxa"/>
            <w:tcBorders>
              <w:top w:val="single" w:sz="4" w:space="0" w:color="auto"/>
              <w:bottom w:val="single" w:sz="8" w:space="0" w:color="auto"/>
            </w:tcBorders>
            <w:vAlign w:val="center"/>
          </w:tcPr>
          <w:p w14:paraId="72E7DA14" w14:textId="77777777" w:rsidR="00B127CE" w:rsidRPr="008E46B3" w:rsidRDefault="00B127CE" w:rsidP="00B127CE">
            <w:pPr>
              <w:widowControl/>
              <w:autoSpaceDE/>
              <w:autoSpaceDN/>
              <w:rPr>
                <w:rFonts w:asciiTheme="minorHAnsi" w:eastAsiaTheme="minorHAnsi" w:hAnsiTheme="minorHAnsi" w:cstheme="minorBidi"/>
                <w:sz w:val="18"/>
                <w:szCs w:val="18"/>
                <w:lang w:eastAsia="en-US" w:bidi="ar-SA"/>
              </w:rPr>
            </w:pPr>
            <w:r w:rsidRPr="008E46B3">
              <w:rPr>
                <w:rFonts w:asciiTheme="minorHAnsi" w:eastAsiaTheme="minorHAnsi" w:hAnsiTheme="minorHAnsi" w:cstheme="minorBidi"/>
                <w:b/>
                <w:bCs/>
                <w:sz w:val="18"/>
                <w:szCs w:val="18"/>
                <w:lang w:eastAsia="en-US" w:bidi="ar-SA"/>
              </w:rPr>
              <w:t>Adjusted EBITDA</w:t>
            </w:r>
          </w:p>
        </w:tc>
        <w:tc>
          <w:tcPr>
            <w:tcW w:w="937" w:type="dxa"/>
            <w:tcBorders>
              <w:top w:val="single" w:sz="4" w:space="0" w:color="auto"/>
              <w:bottom w:val="single" w:sz="8" w:space="0" w:color="auto"/>
            </w:tcBorders>
            <w:vAlign w:val="center"/>
          </w:tcPr>
          <w:p w14:paraId="43A6215C" w14:textId="77777777" w:rsidR="00B127CE" w:rsidRPr="003E2891" w:rsidRDefault="0026720B" w:rsidP="00B127CE">
            <w:pPr>
              <w:widowControl/>
              <w:autoSpaceDE/>
              <w:autoSpaceDN/>
              <w:jc w:val="right"/>
              <w:rPr>
                <w:rFonts w:asciiTheme="minorHAnsi" w:eastAsiaTheme="minorHAnsi" w:hAnsiTheme="minorHAnsi" w:cstheme="minorBidi"/>
                <w:b/>
                <w:sz w:val="18"/>
                <w:szCs w:val="18"/>
                <w:lang w:eastAsia="en-US" w:bidi="ar-SA"/>
              </w:rPr>
            </w:pPr>
            <w:r>
              <w:rPr>
                <w:rFonts w:asciiTheme="minorHAnsi" w:eastAsiaTheme="minorHAnsi" w:hAnsiTheme="minorHAnsi" w:cstheme="minorBidi"/>
                <w:b/>
                <w:sz w:val="18"/>
                <w:szCs w:val="18"/>
                <w:lang w:eastAsia="en-US" w:bidi="ar-SA"/>
              </w:rPr>
              <w:t>92.3</w:t>
            </w:r>
          </w:p>
        </w:tc>
        <w:tc>
          <w:tcPr>
            <w:tcW w:w="992" w:type="dxa"/>
            <w:tcBorders>
              <w:top w:val="single" w:sz="4" w:space="0" w:color="auto"/>
              <w:bottom w:val="single" w:sz="8" w:space="0" w:color="auto"/>
            </w:tcBorders>
            <w:vAlign w:val="center"/>
          </w:tcPr>
          <w:p w14:paraId="575A9612" w14:textId="77777777" w:rsidR="00B127CE" w:rsidRPr="003E2891" w:rsidRDefault="00B127CE" w:rsidP="00B127CE">
            <w:pPr>
              <w:widowControl/>
              <w:autoSpaceDE/>
              <w:autoSpaceDN/>
              <w:jc w:val="right"/>
              <w:rPr>
                <w:rFonts w:asciiTheme="minorHAnsi" w:eastAsiaTheme="minorHAnsi" w:hAnsiTheme="minorHAnsi" w:cstheme="minorBidi"/>
                <w:sz w:val="18"/>
                <w:szCs w:val="18"/>
                <w:lang w:eastAsia="en-US" w:bidi="ar-SA"/>
              </w:rPr>
            </w:pPr>
            <w:r w:rsidRPr="003E2891">
              <w:rPr>
                <w:rFonts w:asciiTheme="minorHAnsi" w:eastAsiaTheme="minorHAnsi" w:hAnsiTheme="minorHAnsi" w:cstheme="minorBidi"/>
                <w:bCs/>
                <w:sz w:val="18"/>
                <w:szCs w:val="18"/>
                <w:lang w:eastAsia="en-US" w:bidi="ar-SA"/>
              </w:rPr>
              <w:t>85.0</w:t>
            </w:r>
          </w:p>
        </w:tc>
      </w:tr>
      <w:tr w:rsidR="00B127CE" w:rsidRPr="00ED1935" w14:paraId="4429FBC2" w14:textId="77777777" w:rsidTr="003E2891">
        <w:trPr>
          <w:trHeight w:val="227"/>
        </w:trPr>
        <w:tc>
          <w:tcPr>
            <w:tcW w:w="8277" w:type="dxa"/>
            <w:tcBorders>
              <w:top w:val="single" w:sz="8" w:space="0" w:color="auto"/>
              <w:bottom w:val="single" w:sz="8" w:space="0" w:color="auto"/>
            </w:tcBorders>
            <w:vAlign w:val="center"/>
          </w:tcPr>
          <w:p w14:paraId="1FE2975A" w14:textId="77777777" w:rsidR="00B127CE" w:rsidRPr="005C6F46" w:rsidRDefault="00B127CE" w:rsidP="00B127CE">
            <w:pPr>
              <w:widowControl/>
              <w:autoSpaceDE/>
              <w:autoSpaceDN/>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b/>
                <w:bCs/>
                <w:sz w:val="18"/>
                <w:szCs w:val="18"/>
                <w:lang w:eastAsia="en-US" w:bidi="ar-SA"/>
              </w:rPr>
              <w:t>Adjusted Operating Margin (%)</w:t>
            </w:r>
          </w:p>
        </w:tc>
        <w:tc>
          <w:tcPr>
            <w:tcW w:w="937" w:type="dxa"/>
            <w:tcBorders>
              <w:top w:val="single" w:sz="8" w:space="0" w:color="auto"/>
              <w:bottom w:val="single" w:sz="8" w:space="0" w:color="auto"/>
            </w:tcBorders>
            <w:vAlign w:val="center"/>
          </w:tcPr>
          <w:p w14:paraId="52D51955" w14:textId="77777777" w:rsidR="00B127CE" w:rsidRPr="003E2891" w:rsidRDefault="00B127CE" w:rsidP="00B127CE">
            <w:pPr>
              <w:widowControl/>
              <w:autoSpaceDE/>
              <w:autoSpaceDN/>
              <w:jc w:val="right"/>
              <w:rPr>
                <w:rFonts w:asciiTheme="minorHAnsi" w:eastAsiaTheme="minorHAnsi" w:hAnsiTheme="minorHAnsi" w:cstheme="minorBidi"/>
                <w:b/>
                <w:sz w:val="18"/>
                <w:szCs w:val="18"/>
                <w:lang w:eastAsia="en-US" w:bidi="ar-SA"/>
              </w:rPr>
            </w:pPr>
            <w:r>
              <w:rPr>
                <w:rFonts w:asciiTheme="minorHAnsi" w:eastAsiaTheme="minorHAnsi" w:hAnsiTheme="minorHAnsi" w:cstheme="minorBidi"/>
                <w:b/>
                <w:sz w:val="18"/>
                <w:szCs w:val="18"/>
                <w:lang w:eastAsia="en-US" w:bidi="ar-SA"/>
              </w:rPr>
              <w:t>2.9%</w:t>
            </w:r>
          </w:p>
        </w:tc>
        <w:tc>
          <w:tcPr>
            <w:tcW w:w="992" w:type="dxa"/>
            <w:tcBorders>
              <w:top w:val="single" w:sz="8" w:space="0" w:color="auto"/>
              <w:bottom w:val="single" w:sz="8" w:space="0" w:color="auto"/>
            </w:tcBorders>
            <w:vAlign w:val="center"/>
          </w:tcPr>
          <w:p w14:paraId="5439B036" w14:textId="77777777" w:rsidR="00B127CE" w:rsidRPr="003E2891" w:rsidRDefault="00B127CE" w:rsidP="00B127CE">
            <w:pPr>
              <w:widowControl/>
              <w:autoSpaceDE/>
              <w:autoSpaceDN/>
              <w:jc w:val="right"/>
              <w:rPr>
                <w:rFonts w:asciiTheme="minorHAnsi" w:eastAsiaTheme="minorHAnsi" w:hAnsiTheme="minorHAnsi" w:cstheme="minorBidi"/>
                <w:sz w:val="18"/>
                <w:szCs w:val="18"/>
                <w:lang w:eastAsia="en-US" w:bidi="ar-SA"/>
              </w:rPr>
            </w:pPr>
            <w:r w:rsidRPr="003E2891">
              <w:rPr>
                <w:rFonts w:asciiTheme="minorHAnsi" w:eastAsiaTheme="minorHAnsi" w:hAnsiTheme="minorHAnsi" w:cstheme="minorBidi"/>
                <w:bCs/>
                <w:sz w:val="18"/>
                <w:szCs w:val="18"/>
                <w:lang w:eastAsia="en-US" w:bidi="ar-SA"/>
              </w:rPr>
              <w:t>2.6%</w:t>
            </w:r>
          </w:p>
        </w:tc>
      </w:tr>
      <w:tr w:rsidR="00B127CE" w:rsidRPr="00ED1935" w14:paraId="17E2BCD0" w14:textId="77777777" w:rsidTr="005B36AA">
        <w:trPr>
          <w:trHeight w:val="227"/>
        </w:trPr>
        <w:tc>
          <w:tcPr>
            <w:tcW w:w="10206" w:type="dxa"/>
            <w:gridSpan w:val="3"/>
            <w:tcBorders>
              <w:top w:val="single" w:sz="8" w:space="0" w:color="auto"/>
            </w:tcBorders>
          </w:tcPr>
          <w:p w14:paraId="19AC09C9" w14:textId="77777777" w:rsidR="00B127CE" w:rsidRPr="005771B0" w:rsidRDefault="00B127CE" w:rsidP="00B127CE">
            <w:pPr>
              <w:pStyle w:val="ListParagraph"/>
              <w:widowControl/>
              <w:numPr>
                <w:ilvl w:val="0"/>
                <w:numId w:val="62"/>
              </w:numPr>
              <w:autoSpaceDE/>
              <w:autoSpaceDN/>
              <w:rPr>
                <w:rFonts w:asciiTheme="minorHAnsi" w:eastAsiaTheme="minorHAnsi" w:hAnsiTheme="minorHAnsi" w:cstheme="minorBidi"/>
                <w:szCs w:val="16"/>
                <w:lang w:eastAsia="en-US" w:bidi="ar-SA"/>
              </w:rPr>
            </w:pPr>
            <w:r w:rsidRPr="005771B0">
              <w:rPr>
                <w:rFonts w:asciiTheme="minorHAnsi" w:eastAsiaTheme="minorHAnsi" w:hAnsiTheme="minorHAnsi" w:cstheme="minorBidi"/>
                <w:sz w:val="16"/>
                <w:szCs w:val="16"/>
                <w:lang w:eastAsia="en-US" w:bidi="ar-SA"/>
              </w:rPr>
              <w:t>Includes tax credit on exceptional items of £</w:t>
            </w:r>
            <w:r>
              <w:rPr>
                <w:rFonts w:asciiTheme="minorHAnsi" w:eastAsiaTheme="minorHAnsi" w:hAnsiTheme="minorHAnsi" w:cstheme="minorBidi"/>
                <w:sz w:val="16"/>
                <w:szCs w:val="16"/>
                <w:lang w:eastAsia="en-US" w:bidi="ar-SA"/>
              </w:rPr>
              <w:t>0.4</w:t>
            </w:r>
            <w:r w:rsidRPr="005771B0">
              <w:rPr>
                <w:rFonts w:asciiTheme="minorHAnsi" w:eastAsiaTheme="minorHAnsi" w:hAnsiTheme="minorHAnsi" w:cstheme="minorBidi"/>
                <w:sz w:val="16"/>
                <w:szCs w:val="16"/>
                <w:lang w:eastAsia="en-US" w:bidi="ar-SA"/>
              </w:rPr>
              <w:t>m (20</w:t>
            </w:r>
            <w:r>
              <w:rPr>
                <w:rFonts w:asciiTheme="minorHAnsi" w:eastAsiaTheme="minorHAnsi" w:hAnsiTheme="minorHAnsi" w:cstheme="minorBidi"/>
                <w:sz w:val="16"/>
                <w:szCs w:val="16"/>
                <w:lang w:eastAsia="en-US" w:bidi="ar-SA"/>
              </w:rPr>
              <w:t>20</w:t>
            </w:r>
            <w:r w:rsidRPr="005771B0">
              <w:rPr>
                <w:rFonts w:asciiTheme="minorHAnsi" w:eastAsiaTheme="minorHAnsi" w:hAnsiTheme="minorHAnsi" w:cstheme="minorBidi"/>
                <w:sz w:val="16"/>
                <w:szCs w:val="16"/>
                <w:lang w:eastAsia="en-US" w:bidi="ar-SA"/>
              </w:rPr>
              <w:t>: £</w:t>
            </w:r>
            <w:r>
              <w:rPr>
                <w:rFonts w:asciiTheme="minorHAnsi" w:eastAsiaTheme="minorHAnsi" w:hAnsiTheme="minorHAnsi" w:cstheme="minorBidi"/>
                <w:sz w:val="16"/>
                <w:szCs w:val="16"/>
                <w:lang w:eastAsia="en-US" w:bidi="ar-SA"/>
              </w:rPr>
              <w:t>2.3</w:t>
            </w:r>
            <w:r w:rsidRPr="005771B0">
              <w:rPr>
                <w:rFonts w:asciiTheme="minorHAnsi" w:eastAsiaTheme="minorHAnsi" w:hAnsiTheme="minorHAnsi" w:cstheme="minorBidi"/>
                <w:sz w:val="16"/>
                <w:szCs w:val="16"/>
                <w:lang w:eastAsia="en-US" w:bidi="ar-SA"/>
              </w:rPr>
              <w:t>m)</w:t>
            </w:r>
            <w:r>
              <w:rPr>
                <w:rFonts w:asciiTheme="minorHAnsi" w:eastAsiaTheme="minorHAnsi" w:hAnsiTheme="minorHAnsi" w:cstheme="minorBidi"/>
                <w:sz w:val="16"/>
                <w:szCs w:val="16"/>
                <w:lang w:eastAsia="en-US" w:bidi="ar-SA"/>
              </w:rPr>
              <w:t>.</w:t>
            </w:r>
          </w:p>
          <w:p w14:paraId="7800225B" w14:textId="77777777" w:rsidR="00B127CE" w:rsidRPr="005771B0" w:rsidRDefault="00B127CE" w:rsidP="00B127CE">
            <w:pPr>
              <w:pStyle w:val="ListParagraph"/>
              <w:widowControl/>
              <w:numPr>
                <w:ilvl w:val="0"/>
                <w:numId w:val="62"/>
              </w:numPr>
              <w:autoSpaceDE/>
              <w:autoSpaceDN/>
              <w:rPr>
                <w:rFonts w:asciiTheme="minorHAnsi" w:eastAsiaTheme="minorHAnsi" w:hAnsiTheme="minorHAnsi" w:cstheme="minorBidi"/>
                <w:szCs w:val="16"/>
                <w:lang w:eastAsia="en-US" w:bidi="ar-SA"/>
              </w:rPr>
            </w:pPr>
            <w:r w:rsidRPr="005771B0">
              <w:rPr>
                <w:rFonts w:asciiTheme="minorHAnsi" w:eastAsiaTheme="minorHAnsi" w:hAnsiTheme="minorHAnsi" w:cstheme="minorBidi"/>
                <w:sz w:val="16"/>
                <w:szCs w:val="16"/>
                <w:lang w:eastAsia="en-US" w:bidi="ar-SA"/>
              </w:rPr>
              <w:t>Finance costs less finance income.</w:t>
            </w:r>
          </w:p>
          <w:p w14:paraId="3833020F" w14:textId="77777777" w:rsidR="00B127CE" w:rsidRPr="005771B0" w:rsidRDefault="00B127CE" w:rsidP="00B127CE">
            <w:pPr>
              <w:pStyle w:val="ListParagraph"/>
              <w:widowControl/>
              <w:numPr>
                <w:ilvl w:val="0"/>
                <w:numId w:val="62"/>
              </w:numPr>
              <w:autoSpaceDE/>
              <w:autoSpaceDN/>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6"/>
                <w:szCs w:val="16"/>
                <w:lang w:eastAsia="en-US" w:bidi="ar-SA"/>
              </w:rPr>
              <w:t xml:space="preserve">Excludes amortisation of acquisition related intangibles. </w:t>
            </w:r>
          </w:p>
        </w:tc>
      </w:tr>
    </w:tbl>
    <w:p w14:paraId="7072365A" w14:textId="77777777" w:rsidR="005B36AA" w:rsidRPr="00802704" w:rsidRDefault="005B36AA" w:rsidP="005B36AA">
      <w:pPr>
        <w:pStyle w:val="BodyText"/>
      </w:pPr>
    </w:p>
    <w:p w14:paraId="689BFCC6" w14:textId="77777777" w:rsidR="005B36AA" w:rsidRDefault="005B36AA" w:rsidP="005B36AA">
      <w:pPr>
        <w:pStyle w:val="Heading2"/>
        <w:numPr>
          <w:ilvl w:val="0"/>
          <w:numId w:val="0"/>
        </w:numPr>
      </w:pPr>
      <w:r>
        <w:t xml:space="preserve">ADJUSTED PROFIT BEFORE TAX ('PBT') </w:t>
      </w:r>
    </w:p>
    <w:p w14:paraId="433D2F4A" w14:textId="77777777" w:rsidR="005B36AA" w:rsidRPr="00802704" w:rsidRDefault="005B36AA" w:rsidP="005B36AA">
      <w:pPr>
        <w:pStyle w:val="BodyText"/>
      </w:pPr>
    </w:p>
    <w:p w14:paraId="1D4C1149" w14:textId="77777777" w:rsidR="005B36AA" w:rsidRDefault="005B36AA" w:rsidP="005B36AA">
      <w:pPr>
        <w:widowControl/>
        <w:adjustRightInd w:val="0"/>
        <w:jc w:val="both"/>
        <w:rPr>
          <w:rFonts w:asciiTheme="minorHAnsi" w:hAnsiTheme="minorHAnsi" w:cstheme="minorHAnsi"/>
          <w:sz w:val="18"/>
          <w:szCs w:val="18"/>
        </w:rPr>
      </w:pPr>
      <w:r w:rsidRPr="002A7FD2">
        <w:rPr>
          <w:rFonts w:asciiTheme="minorHAnsi" w:hAnsiTheme="minorHAnsi" w:cstheme="minorHAnsi"/>
          <w:sz w:val="18"/>
          <w:szCs w:val="18"/>
        </w:rPr>
        <w:t xml:space="preserve">Adjusted PBT is used as a measure by the Group to measure overall performance before associated tax charge and </w:t>
      </w:r>
      <w:r w:rsidR="00B127CE">
        <w:rPr>
          <w:rFonts w:asciiTheme="minorHAnsi" w:hAnsiTheme="minorHAnsi" w:cstheme="minorHAnsi"/>
          <w:sz w:val="18"/>
          <w:szCs w:val="18"/>
        </w:rPr>
        <w:t>other specific</w:t>
      </w:r>
      <w:r w:rsidRPr="002A7FD2">
        <w:rPr>
          <w:rFonts w:asciiTheme="minorHAnsi" w:hAnsiTheme="minorHAnsi" w:cstheme="minorHAnsi"/>
          <w:sz w:val="18"/>
          <w:szCs w:val="18"/>
        </w:rPr>
        <w:t xml:space="preserve"> items.</w:t>
      </w:r>
    </w:p>
    <w:p w14:paraId="0A3FEA79" w14:textId="77777777" w:rsidR="005B36AA" w:rsidRPr="002A7FD2" w:rsidRDefault="005B36AA" w:rsidP="005B36AA">
      <w:pPr>
        <w:widowControl/>
        <w:adjustRightInd w:val="0"/>
        <w:jc w:val="both"/>
        <w:rPr>
          <w:rFonts w:asciiTheme="minorHAnsi" w:hAnsiTheme="minorHAnsi" w:cstheme="minorHAnsi"/>
          <w:sz w:val="18"/>
          <w:szCs w:val="18"/>
        </w:rPr>
      </w:pPr>
    </w:p>
    <w:p w14:paraId="5112EC56" w14:textId="36ACD70B" w:rsidR="005B36AA" w:rsidRPr="002A7FD2" w:rsidRDefault="005B36AA" w:rsidP="005B36AA">
      <w:pPr>
        <w:widowControl/>
        <w:adjustRightInd w:val="0"/>
        <w:jc w:val="both"/>
        <w:rPr>
          <w:rFonts w:asciiTheme="minorHAnsi" w:hAnsiTheme="minorHAnsi" w:cstheme="minorHAnsi"/>
          <w:sz w:val="18"/>
          <w:szCs w:val="18"/>
        </w:rPr>
      </w:pPr>
      <w:r w:rsidRPr="002A7FD2">
        <w:rPr>
          <w:rFonts w:asciiTheme="minorHAnsi" w:hAnsiTheme="minorHAnsi" w:cstheme="minorHAnsi"/>
          <w:sz w:val="18"/>
          <w:szCs w:val="18"/>
        </w:rPr>
        <w:t xml:space="preserve">The Group calculates Adjusted PBT as profit before taxation, excluding tax on share of profit of associates and before exceptional items, pension finance items, amortisation of acquisition related intangibles, FX on inter-company and certain external balances and the movement </w:t>
      </w:r>
      <w:r w:rsidR="00297B7B">
        <w:rPr>
          <w:rFonts w:asciiTheme="minorHAnsi" w:hAnsiTheme="minorHAnsi" w:cstheme="minorHAnsi"/>
          <w:sz w:val="18"/>
          <w:szCs w:val="18"/>
        </w:rPr>
        <w:t>in</w:t>
      </w:r>
      <w:r w:rsidRPr="002A7FD2">
        <w:rPr>
          <w:rFonts w:asciiTheme="minorHAnsi" w:hAnsiTheme="minorHAnsi" w:cstheme="minorHAnsi"/>
          <w:sz w:val="18"/>
          <w:szCs w:val="18"/>
        </w:rPr>
        <w:t xml:space="preserve"> fair value of all derivative financial instruments and related debt adjustments.</w:t>
      </w:r>
    </w:p>
    <w:p w14:paraId="5E018AEA" w14:textId="77777777" w:rsidR="005B36AA" w:rsidRPr="00802704" w:rsidRDefault="005B36AA" w:rsidP="005B36AA">
      <w:pPr>
        <w:pStyle w:val="BodyText"/>
      </w:pPr>
    </w:p>
    <w:p w14:paraId="7C3B0D85" w14:textId="77777777" w:rsidR="005B36AA" w:rsidRDefault="005B36AA" w:rsidP="005B36AA">
      <w:pPr>
        <w:pStyle w:val="BodyText"/>
      </w:pPr>
      <w:r w:rsidRPr="00802704">
        <w:t>The following table sets out the calculation of Adjusted PBT:</w:t>
      </w:r>
    </w:p>
    <w:tbl>
      <w:tblPr>
        <w:tblW w:w="10206" w:type="dxa"/>
        <w:tblLayout w:type="fixed"/>
        <w:tblLook w:val="01E0" w:firstRow="1" w:lastRow="1" w:firstColumn="1" w:lastColumn="1" w:noHBand="0" w:noVBand="0"/>
      </w:tblPr>
      <w:tblGrid>
        <w:gridCol w:w="8222"/>
        <w:gridCol w:w="992"/>
        <w:gridCol w:w="992"/>
      </w:tblGrid>
      <w:tr w:rsidR="005B36AA" w14:paraId="58432292" w14:textId="77777777" w:rsidTr="005B36AA">
        <w:trPr>
          <w:trHeight w:val="227"/>
        </w:trPr>
        <w:tc>
          <w:tcPr>
            <w:tcW w:w="8222" w:type="dxa"/>
            <w:tcBorders>
              <w:bottom w:val="single" w:sz="4" w:space="0" w:color="000000"/>
            </w:tcBorders>
            <w:vAlign w:val="bottom"/>
          </w:tcPr>
          <w:p w14:paraId="00829158" w14:textId="77777777" w:rsidR="005B36AA" w:rsidRPr="00657DE0" w:rsidRDefault="005B36AA" w:rsidP="005771B0">
            <w:pPr>
              <w:widowControl/>
              <w:autoSpaceDE/>
              <w:autoSpaceDN/>
            </w:pPr>
          </w:p>
        </w:tc>
        <w:tc>
          <w:tcPr>
            <w:tcW w:w="992" w:type="dxa"/>
            <w:tcBorders>
              <w:bottom w:val="single" w:sz="4" w:space="0" w:color="000000"/>
            </w:tcBorders>
            <w:vAlign w:val="bottom"/>
          </w:tcPr>
          <w:p w14:paraId="2C0E9158" w14:textId="77777777" w:rsidR="005B36AA" w:rsidRPr="0035290A" w:rsidRDefault="005B36AA" w:rsidP="003E2891">
            <w:pPr>
              <w:widowControl/>
              <w:autoSpaceDE/>
              <w:autoSpaceDN/>
              <w:jc w:val="right"/>
              <w:rPr>
                <w:bCs/>
              </w:rPr>
            </w:pPr>
            <w:r w:rsidRPr="005771B0">
              <w:rPr>
                <w:rFonts w:asciiTheme="minorHAnsi" w:eastAsiaTheme="minorHAnsi" w:hAnsiTheme="minorHAnsi" w:cstheme="minorBidi"/>
                <w:b/>
                <w:bCs/>
                <w:sz w:val="18"/>
                <w:szCs w:val="18"/>
                <w:lang w:eastAsia="en-US" w:bidi="ar-SA"/>
              </w:rPr>
              <w:t>202</w:t>
            </w:r>
            <w:r w:rsidR="003E2891">
              <w:rPr>
                <w:rFonts w:asciiTheme="minorHAnsi" w:eastAsiaTheme="minorHAnsi" w:hAnsiTheme="minorHAnsi" w:cstheme="minorBidi"/>
                <w:b/>
                <w:bCs/>
                <w:sz w:val="18"/>
                <w:szCs w:val="18"/>
                <w:lang w:eastAsia="en-US" w:bidi="ar-SA"/>
              </w:rPr>
              <w:t>1</w:t>
            </w:r>
            <w:r w:rsidRPr="005771B0">
              <w:rPr>
                <w:rFonts w:asciiTheme="minorHAnsi" w:eastAsiaTheme="minorHAnsi" w:hAnsiTheme="minorHAnsi" w:cstheme="minorBidi"/>
                <w:b/>
                <w:bCs/>
                <w:sz w:val="18"/>
                <w:szCs w:val="18"/>
                <w:lang w:eastAsia="en-US" w:bidi="ar-SA"/>
              </w:rPr>
              <w:br/>
              <w:t>£m</w:t>
            </w:r>
          </w:p>
        </w:tc>
        <w:tc>
          <w:tcPr>
            <w:tcW w:w="992" w:type="dxa"/>
            <w:tcBorders>
              <w:bottom w:val="single" w:sz="4" w:space="0" w:color="000000"/>
            </w:tcBorders>
            <w:vAlign w:val="bottom"/>
          </w:tcPr>
          <w:p w14:paraId="45EAB589" w14:textId="77777777" w:rsidR="005B36AA" w:rsidRPr="00657DE0" w:rsidRDefault="005B36AA" w:rsidP="003E2891">
            <w:pPr>
              <w:widowControl/>
              <w:autoSpaceDE/>
              <w:autoSpaceDN/>
              <w:jc w:val="right"/>
            </w:pPr>
            <w:r w:rsidRPr="00657DE0">
              <w:rPr>
                <w:rFonts w:asciiTheme="minorHAnsi" w:eastAsiaTheme="minorHAnsi" w:hAnsiTheme="minorHAnsi" w:cstheme="minorBidi"/>
                <w:sz w:val="18"/>
                <w:szCs w:val="18"/>
                <w:lang w:eastAsia="en-US" w:bidi="ar-SA"/>
              </w:rPr>
              <w:t>20</w:t>
            </w:r>
            <w:r w:rsidR="003E2891">
              <w:rPr>
                <w:rFonts w:asciiTheme="minorHAnsi" w:eastAsiaTheme="minorHAnsi" w:hAnsiTheme="minorHAnsi" w:cstheme="minorBidi"/>
                <w:sz w:val="18"/>
                <w:szCs w:val="18"/>
                <w:lang w:eastAsia="en-US" w:bidi="ar-SA"/>
              </w:rPr>
              <w:t>20</w:t>
            </w:r>
            <w:r w:rsidRPr="00657DE0">
              <w:rPr>
                <w:rFonts w:asciiTheme="minorHAnsi" w:eastAsiaTheme="minorHAnsi" w:hAnsiTheme="minorHAnsi" w:cstheme="minorBidi"/>
                <w:sz w:val="18"/>
                <w:szCs w:val="18"/>
                <w:lang w:eastAsia="en-US" w:bidi="ar-SA"/>
              </w:rPr>
              <w:br/>
              <w:t>£m</w:t>
            </w:r>
          </w:p>
        </w:tc>
      </w:tr>
      <w:tr w:rsidR="003E2891" w:rsidRPr="00197988" w14:paraId="31E6107A" w14:textId="77777777" w:rsidTr="005B36AA">
        <w:trPr>
          <w:trHeight w:val="227"/>
        </w:trPr>
        <w:tc>
          <w:tcPr>
            <w:tcW w:w="8222" w:type="dxa"/>
            <w:tcBorders>
              <w:top w:val="single" w:sz="4" w:space="0" w:color="000000"/>
            </w:tcBorders>
            <w:vAlign w:val="center"/>
          </w:tcPr>
          <w:p w14:paraId="22921C73" w14:textId="77777777" w:rsidR="003E2891" w:rsidRPr="0035290A" w:rsidRDefault="00D60E6D" w:rsidP="00D60E6D">
            <w:pPr>
              <w:widowControl/>
              <w:autoSpaceDE/>
              <w:autoSpaceDN/>
              <w:rPr>
                <w:b/>
                <w:bCs/>
              </w:rPr>
            </w:pPr>
            <w:r>
              <w:rPr>
                <w:rFonts w:asciiTheme="minorHAnsi" w:eastAsiaTheme="minorHAnsi" w:hAnsiTheme="minorHAnsi" w:cstheme="minorBidi"/>
                <w:b/>
                <w:bCs/>
                <w:sz w:val="18"/>
                <w:szCs w:val="18"/>
                <w:lang w:eastAsia="en-US" w:bidi="ar-SA"/>
              </w:rPr>
              <w:t xml:space="preserve">Profit/(loss) before taxation </w:t>
            </w:r>
          </w:p>
        </w:tc>
        <w:tc>
          <w:tcPr>
            <w:tcW w:w="992" w:type="dxa"/>
            <w:tcBorders>
              <w:top w:val="single" w:sz="4" w:space="0" w:color="000000"/>
            </w:tcBorders>
            <w:vAlign w:val="center"/>
          </w:tcPr>
          <w:p w14:paraId="5A5A2059" w14:textId="77777777" w:rsidR="003E2891" w:rsidRPr="00693EA1" w:rsidRDefault="00D60E6D" w:rsidP="003E2891">
            <w:pPr>
              <w:widowControl/>
              <w:autoSpaceDE/>
              <w:autoSpaceDN/>
              <w:jc w:val="right"/>
              <w:rPr>
                <w:bCs/>
                <w:sz w:val="18"/>
                <w:szCs w:val="18"/>
              </w:rPr>
            </w:pPr>
            <w:r w:rsidRPr="00693EA1">
              <w:rPr>
                <w:rFonts w:asciiTheme="minorHAnsi" w:eastAsiaTheme="minorHAnsi" w:hAnsiTheme="minorHAnsi" w:cstheme="minorBidi"/>
                <w:b/>
                <w:bCs/>
                <w:sz w:val="18"/>
                <w:szCs w:val="18"/>
                <w:lang w:eastAsia="en-US" w:bidi="ar-SA"/>
              </w:rPr>
              <w:t>27.8</w:t>
            </w:r>
          </w:p>
        </w:tc>
        <w:tc>
          <w:tcPr>
            <w:tcW w:w="992" w:type="dxa"/>
            <w:tcBorders>
              <w:top w:val="single" w:sz="4" w:space="0" w:color="000000"/>
            </w:tcBorders>
            <w:vAlign w:val="center"/>
          </w:tcPr>
          <w:p w14:paraId="4E97D57E" w14:textId="77777777" w:rsidR="003E2891" w:rsidRPr="003E2891" w:rsidRDefault="003E2891" w:rsidP="003E2891">
            <w:pPr>
              <w:widowControl/>
              <w:autoSpaceDE/>
              <w:autoSpaceDN/>
              <w:jc w:val="right"/>
            </w:pPr>
            <w:r w:rsidRPr="003E2891">
              <w:rPr>
                <w:rFonts w:asciiTheme="minorHAnsi" w:eastAsiaTheme="minorHAnsi" w:hAnsiTheme="minorHAnsi" w:cstheme="minorBidi"/>
                <w:bCs/>
                <w:sz w:val="18"/>
                <w:szCs w:val="18"/>
                <w:lang w:eastAsia="en-US" w:bidi="ar-SA"/>
              </w:rPr>
              <w:t>(10.8)</w:t>
            </w:r>
          </w:p>
        </w:tc>
      </w:tr>
      <w:tr w:rsidR="003E2891" w:rsidRPr="00197988" w14:paraId="5B0C8C18" w14:textId="77777777" w:rsidTr="005B36AA">
        <w:trPr>
          <w:trHeight w:val="227"/>
        </w:trPr>
        <w:tc>
          <w:tcPr>
            <w:tcW w:w="8222" w:type="dxa"/>
            <w:vAlign w:val="center"/>
          </w:tcPr>
          <w:p w14:paraId="6212D9A8" w14:textId="77777777" w:rsidR="003E2891" w:rsidRPr="00657DE0" w:rsidRDefault="003E2891" w:rsidP="003E2891">
            <w:pPr>
              <w:widowControl/>
              <w:autoSpaceDE/>
              <w:autoSpaceDN/>
            </w:pPr>
            <w:r w:rsidRPr="00657DE0">
              <w:rPr>
                <w:rFonts w:asciiTheme="minorHAnsi" w:eastAsiaTheme="minorHAnsi" w:hAnsiTheme="minorHAnsi" w:cstheme="minorBidi"/>
                <w:sz w:val="18"/>
                <w:szCs w:val="18"/>
                <w:lang w:eastAsia="en-US" w:bidi="ar-SA"/>
              </w:rPr>
              <w:t>Taxation on share of profit of associates</w:t>
            </w:r>
          </w:p>
        </w:tc>
        <w:tc>
          <w:tcPr>
            <w:tcW w:w="992" w:type="dxa"/>
            <w:vAlign w:val="center"/>
          </w:tcPr>
          <w:p w14:paraId="0834EADC" w14:textId="77777777" w:rsidR="003E2891" w:rsidRPr="00693EA1" w:rsidRDefault="00D60E6D" w:rsidP="003E2891">
            <w:pPr>
              <w:widowControl/>
              <w:autoSpaceDE/>
              <w:autoSpaceDN/>
              <w:jc w:val="right"/>
              <w:rPr>
                <w:bCs/>
                <w:sz w:val="18"/>
                <w:szCs w:val="18"/>
              </w:rPr>
            </w:pPr>
            <w:r w:rsidRPr="00693EA1">
              <w:rPr>
                <w:b/>
                <w:bCs/>
                <w:sz w:val="18"/>
                <w:szCs w:val="18"/>
              </w:rPr>
              <w:t>–</w:t>
            </w:r>
          </w:p>
        </w:tc>
        <w:tc>
          <w:tcPr>
            <w:tcW w:w="992" w:type="dxa"/>
            <w:vAlign w:val="center"/>
          </w:tcPr>
          <w:p w14:paraId="7122B1D1" w14:textId="77777777" w:rsidR="003E2891" w:rsidRPr="003E2891" w:rsidRDefault="003E2891" w:rsidP="003E2891">
            <w:pPr>
              <w:widowControl/>
              <w:autoSpaceDE/>
              <w:autoSpaceDN/>
              <w:jc w:val="right"/>
            </w:pPr>
            <w:r w:rsidRPr="003E2891">
              <w:rPr>
                <w:rFonts w:asciiTheme="minorHAnsi" w:eastAsiaTheme="minorHAnsi" w:hAnsiTheme="minorHAnsi" w:cstheme="minorBidi"/>
                <w:bCs/>
                <w:sz w:val="18"/>
                <w:szCs w:val="18"/>
                <w:lang w:eastAsia="en-US" w:bidi="ar-SA"/>
              </w:rPr>
              <w:t>0.2</w:t>
            </w:r>
          </w:p>
        </w:tc>
      </w:tr>
      <w:tr w:rsidR="003E2891" w:rsidRPr="00197988" w14:paraId="05FF201F" w14:textId="77777777" w:rsidTr="005B36AA">
        <w:trPr>
          <w:trHeight w:val="227"/>
        </w:trPr>
        <w:tc>
          <w:tcPr>
            <w:tcW w:w="8222" w:type="dxa"/>
            <w:vAlign w:val="center"/>
          </w:tcPr>
          <w:p w14:paraId="0B676796" w14:textId="77777777" w:rsidR="003E2891" w:rsidRPr="00657DE0" w:rsidRDefault="003E2891" w:rsidP="003E2891">
            <w:pPr>
              <w:widowControl/>
              <w:autoSpaceDE/>
              <w:autoSpaceDN/>
            </w:pPr>
            <w:r w:rsidRPr="00657DE0">
              <w:rPr>
                <w:rFonts w:asciiTheme="minorHAnsi" w:eastAsiaTheme="minorHAnsi" w:hAnsiTheme="minorHAnsi" w:cstheme="minorBidi"/>
                <w:sz w:val="18"/>
                <w:szCs w:val="18"/>
                <w:lang w:eastAsia="en-US" w:bidi="ar-SA"/>
              </w:rPr>
              <w:t>Exceptional items</w:t>
            </w:r>
          </w:p>
        </w:tc>
        <w:tc>
          <w:tcPr>
            <w:tcW w:w="992" w:type="dxa"/>
            <w:vAlign w:val="center"/>
          </w:tcPr>
          <w:p w14:paraId="18FDAA6E" w14:textId="77777777" w:rsidR="003E2891" w:rsidRPr="00693EA1" w:rsidRDefault="00D60E6D" w:rsidP="003E2891">
            <w:pPr>
              <w:widowControl/>
              <w:autoSpaceDE/>
              <w:autoSpaceDN/>
              <w:jc w:val="right"/>
              <w:rPr>
                <w:rFonts w:asciiTheme="minorHAnsi" w:eastAsiaTheme="minorHAnsi" w:hAnsiTheme="minorHAnsi" w:cstheme="minorBidi"/>
                <w:b/>
                <w:bCs/>
                <w:sz w:val="18"/>
                <w:szCs w:val="18"/>
                <w:lang w:eastAsia="en-US" w:bidi="ar-SA"/>
              </w:rPr>
            </w:pPr>
            <w:r w:rsidRPr="00693EA1">
              <w:rPr>
                <w:rFonts w:asciiTheme="minorHAnsi" w:eastAsiaTheme="minorHAnsi" w:hAnsiTheme="minorHAnsi" w:cstheme="minorBidi"/>
                <w:b/>
                <w:bCs/>
                <w:sz w:val="18"/>
                <w:szCs w:val="18"/>
                <w:lang w:eastAsia="en-US" w:bidi="ar-SA"/>
              </w:rPr>
              <w:t>(11.7)</w:t>
            </w:r>
          </w:p>
        </w:tc>
        <w:tc>
          <w:tcPr>
            <w:tcW w:w="992" w:type="dxa"/>
            <w:vAlign w:val="center"/>
          </w:tcPr>
          <w:p w14:paraId="567FF5A2" w14:textId="77777777" w:rsidR="003E2891" w:rsidRPr="003E2891" w:rsidRDefault="003E2891" w:rsidP="003E2891">
            <w:pPr>
              <w:widowControl/>
              <w:autoSpaceDE/>
              <w:autoSpaceDN/>
              <w:jc w:val="right"/>
            </w:pPr>
            <w:r w:rsidRPr="003E2891">
              <w:rPr>
                <w:rFonts w:asciiTheme="minorHAnsi" w:eastAsiaTheme="minorHAnsi" w:hAnsiTheme="minorHAnsi" w:cstheme="minorBidi"/>
                <w:bCs/>
                <w:sz w:val="18"/>
                <w:szCs w:val="18"/>
                <w:lang w:eastAsia="en-US" w:bidi="ar-SA"/>
              </w:rPr>
              <w:t>22.8</w:t>
            </w:r>
          </w:p>
        </w:tc>
      </w:tr>
      <w:tr w:rsidR="003E2891" w:rsidRPr="00197988" w14:paraId="479B5C87" w14:textId="77777777" w:rsidTr="005B36AA">
        <w:trPr>
          <w:trHeight w:val="227"/>
        </w:trPr>
        <w:tc>
          <w:tcPr>
            <w:tcW w:w="8222" w:type="dxa"/>
            <w:vAlign w:val="center"/>
          </w:tcPr>
          <w:p w14:paraId="277FF7B1" w14:textId="77777777" w:rsidR="003E2891" w:rsidRPr="00657DE0" w:rsidRDefault="003E2891" w:rsidP="003E2891">
            <w:pPr>
              <w:widowControl/>
              <w:autoSpaceDE/>
              <w:autoSpaceDN/>
            </w:pPr>
            <w:r w:rsidRPr="00657DE0">
              <w:rPr>
                <w:rFonts w:asciiTheme="minorHAnsi" w:eastAsiaTheme="minorHAnsi" w:hAnsiTheme="minorHAnsi" w:cstheme="minorBidi"/>
                <w:sz w:val="18"/>
                <w:szCs w:val="18"/>
                <w:lang w:eastAsia="en-US" w:bidi="ar-SA"/>
              </w:rPr>
              <w:t>Pension finance items</w:t>
            </w:r>
          </w:p>
        </w:tc>
        <w:tc>
          <w:tcPr>
            <w:tcW w:w="992" w:type="dxa"/>
            <w:vAlign w:val="center"/>
          </w:tcPr>
          <w:p w14:paraId="734DFE24" w14:textId="77777777" w:rsidR="003E2891" w:rsidRPr="00693EA1" w:rsidRDefault="00D60E6D" w:rsidP="003E2891">
            <w:pPr>
              <w:widowControl/>
              <w:autoSpaceDE/>
              <w:autoSpaceDN/>
              <w:jc w:val="right"/>
              <w:rPr>
                <w:bCs/>
                <w:sz w:val="18"/>
                <w:szCs w:val="18"/>
              </w:rPr>
            </w:pPr>
            <w:r w:rsidRPr="00693EA1">
              <w:rPr>
                <w:rFonts w:asciiTheme="minorHAnsi" w:eastAsiaTheme="minorHAnsi" w:hAnsiTheme="minorHAnsi" w:cstheme="minorBidi"/>
                <w:b/>
                <w:bCs/>
                <w:sz w:val="18"/>
                <w:szCs w:val="18"/>
                <w:lang w:eastAsia="en-US" w:bidi="ar-SA"/>
              </w:rPr>
              <w:t>1.7</w:t>
            </w:r>
          </w:p>
        </w:tc>
        <w:tc>
          <w:tcPr>
            <w:tcW w:w="992" w:type="dxa"/>
            <w:vAlign w:val="center"/>
          </w:tcPr>
          <w:p w14:paraId="121B97CD" w14:textId="77777777" w:rsidR="003E2891" w:rsidRPr="003E2891" w:rsidRDefault="003E2891" w:rsidP="003E2891">
            <w:pPr>
              <w:widowControl/>
              <w:autoSpaceDE/>
              <w:autoSpaceDN/>
              <w:jc w:val="right"/>
            </w:pPr>
            <w:r w:rsidRPr="003E2891">
              <w:rPr>
                <w:rFonts w:asciiTheme="minorHAnsi" w:eastAsiaTheme="minorHAnsi" w:hAnsiTheme="minorHAnsi" w:cstheme="minorBidi"/>
                <w:bCs/>
                <w:sz w:val="18"/>
                <w:szCs w:val="18"/>
                <w:lang w:eastAsia="en-US" w:bidi="ar-SA"/>
              </w:rPr>
              <w:t>1.9</w:t>
            </w:r>
          </w:p>
        </w:tc>
      </w:tr>
      <w:tr w:rsidR="003E2891" w:rsidRPr="00197988" w14:paraId="24774A5B" w14:textId="77777777" w:rsidTr="005B36AA">
        <w:trPr>
          <w:trHeight w:val="227"/>
        </w:trPr>
        <w:tc>
          <w:tcPr>
            <w:tcW w:w="8222" w:type="dxa"/>
            <w:vAlign w:val="center"/>
          </w:tcPr>
          <w:p w14:paraId="2E3984B4" w14:textId="77777777" w:rsidR="003E2891" w:rsidRPr="00657DE0" w:rsidRDefault="003E2891" w:rsidP="003E2891">
            <w:pPr>
              <w:widowControl/>
              <w:autoSpaceDE/>
              <w:autoSpaceDN/>
            </w:pPr>
            <w:r w:rsidRPr="00657DE0">
              <w:rPr>
                <w:rFonts w:asciiTheme="minorHAnsi" w:eastAsiaTheme="minorHAnsi" w:hAnsiTheme="minorHAnsi" w:cstheme="minorBidi"/>
                <w:sz w:val="18"/>
                <w:szCs w:val="18"/>
                <w:lang w:eastAsia="en-US" w:bidi="ar-SA"/>
              </w:rPr>
              <w:t>Amortisation of acquisition related intangibles</w:t>
            </w:r>
          </w:p>
        </w:tc>
        <w:tc>
          <w:tcPr>
            <w:tcW w:w="992" w:type="dxa"/>
            <w:vAlign w:val="center"/>
          </w:tcPr>
          <w:p w14:paraId="6FA4C92D" w14:textId="77777777" w:rsidR="003E2891" w:rsidRPr="00693EA1" w:rsidRDefault="00D60E6D" w:rsidP="003E2891">
            <w:pPr>
              <w:widowControl/>
              <w:autoSpaceDE/>
              <w:autoSpaceDN/>
              <w:jc w:val="right"/>
              <w:rPr>
                <w:bCs/>
                <w:sz w:val="18"/>
                <w:szCs w:val="18"/>
              </w:rPr>
            </w:pPr>
            <w:r w:rsidRPr="00693EA1">
              <w:rPr>
                <w:rFonts w:asciiTheme="minorHAnsi" w:eastAsiaTheme="minorHAnsi" w:hAnsiTheme="minorHAnsi" w:cstheme="minorBidi"/>
                <w:b/>
                <w:bCs/>
                <w:sz w:val="18"/>
                <w:szCs w:val="18"/>
                <w:lang w:eastAsia="en-US" w:bidi="ar-SA"/>
              </w:rPr>
              <w:t>3.9</w:t>
            </w:r>
          </w:p>
        </w:tc>
        <w:tc>
          <w:tcPr>
            <w:tcW w:w="992" w:type="dxa"/>
            <w:vAlign w:val="center"/>
          </w:tcPr>
          <w:p w14:paraId="1FC6B0BF" w14:textId="77777777" w:rsidR="003E2891" w:rsidRPr="003E2891" w:rsidRDefault="003E2891" w:rsidP="003E2891">
            <w:pPr>
              <w:widowControl/>
              <w:autoSpaceDE/>
              <w:autoSpaceDN/>
              <w:jc w:val="right"/>
            </w:pPr>
            <w:r w:rsidRPr="003E2891">
              <w:rPr>
                <w:rFonts w:asciiTheme="minorHAnsi" w:eastAsiaTheme="minorHAnsi" w:hAnsiTheme="minorHAnsi" w:cstheme="minorBidi"/>
                <w:bCs/>
                <w:sz w:val="18"/>
                <w:szCs w:val="18"/>
                <w:lang w:eastAsia="en-US" w:bidi="ar-SA"/>
              </w:rPr>
              <w:t>3.9</w:t>
            </w:r>
          </w:p>
        </w:tc>
      </w:tr>
      <w:tr w:rsidR="003E2891" w:rsidRPr="00197988" w14:paraId="7A8CF105" w14:textId="77777777" w:rsidTr="005B36AA">
        <w:trPr>
          <w:trHeight w:val="227"/>
        </w:trPr>
        <w:tc>
          <w:tcPr>
            <w:tcW w:w="8222" w:type="dxa"/>
            <w:tcBorders>
              <w:bottom w:val="single" w:sz="4" w:space="0" w:color="auto"/>
            </w:tcBorders>
            <w:vAlign w:val="center"/>
          </w:tcPr>
          <w:p w14:paraId="0F6C5D07" w14:textId="77777777" w:rsidR="003E2891" w:rsidRPr="005771B0" w:rsidRDefault="003E2891" w:rsidP="003E2891">
            <w:pPr>
              <w:widowControl/>
              <w:autoSpaceDE/>
              <w:autoSpaceDN/>
              <w:rPr>
                <w:sz w:val="18"/>
              </w:rPr>
            </w:pPr>
            <w:r w:rsidRPr="00657DE0">
              <w:rPr>
                <w:rFonts w:asciiTheme="minorHAnsi" w:eastAsiaTheme="minorHAnsi" w:hAnsiTheme="minorHAnsi" w:cstheme="minorBidi"/>
                <w:sz w:val="18"/>
                <w:szCs w:val="18"/>
                <w:lang w:eastAsia="en-US" w:bidi="ar-SA"/>
              </w:rPr>
              <w:t>FX and fair value movements</w:t>
            </w:r>
            <w:r w:rsidRPr="005771B0">
              <w:rPr>
                <w:rFonts w:asciiTheme="minorHAnsi" w:eastAsiaTheme="minorHAnsi" w:hAnsiTheme="minorHAnsi" w:cstheme="minorBidi"/>
                <w:sz w:val="18"/>
                <w:szCs w:val="18"/>
                <w:vertAlign w:val="superscript"/>
                <w:lang w:eastAsia="en-US" w:bidi="ar-SA"/>
              </w:rPr>
              <w:t>(A)</w:t>
            </w:r>
          </w:p>
        </w:tc>
        <w:tc>
          <w:tcPr>
            <w:tcW w:w="992" w:type="dxa"/>
            <w:tcBorders>
              <w:bottom w:val="single" w:sz="4" w:space="0" w:color="auto"/>
            </w:tcBorders>
            <w:vAlign w:val="center"/>
          </w:tcPr>
          <w:p w14:paraId="4B399276" w14:textId="77777777" w:rsidR="003E2891" w:rsidRPr="00693EA1" w:rsidRDefault="00D60E6D" w:rsidP="003E2891">
            <w:pPr>
              <w:widowControl/>
              <w:autoSpaceDE/>
              <w:autoSpaceDN/>
              <w:jc w:val="right"/>
              <w:rPr>
                <w:bCs/>
                <w:sz w:val="18"/>
                <w:szCs w:val="18"/>
              </w:rPr>
            </w:pPr>
            <w:r w:rsidRPr="00693EA1">
              <w:rPr>
                <w:rFonts w:asciiTheme="minorHAnsi" w:eastAsiaTheme="minorHAnsi" w:hAnsiTheme="minorHAnsi" w:cstheme="minorBidi"/>
                <w:b/>
                <w:bCs/>
                <w:sz w:val="18"/>
                <w:szCs w:val="18"/>
                <w:lang w:eastAsia="en-US" w:bidi="ar-SA"/>
              </w:rPr>
              <w:t>0.9</w:t>
            </w:r>
          </w:p>
        </w:tc>
        <w:tc>
          <w:tcPr>
            <w:tcW w:w="992" w:type="dxa"/>
            <w:tcBorders>
              <w:bottom w:val="single" w:sz="4" w:space="0" w:color="auto"/>
            </w:tcBorders>
            <w:vAlign w:val="center"/>
          </w:tcPr>
          <w:p w14:paraId="7AB48631" w14:textId="77777777" w:rsidR="003E2891" w:rsidRPr="003E2891" w:rsidRDefault="003E2891" w:rsidP="003E2891">
            <w:pPr>
              <w:widowControl/>
              <w:autoSpaceDE/>
              <w:autoSpaceDN/>
              <w:jc w:val="right"/>
            </w:pPr>
            <w:r w:rsidRPr="003E2891">
              <w:rPr>
                <w:rFonts w:asciiTheme="minorHAnsi" w:eastAsiaTheme="minorHAnsi" w:hAnsiTheme="minorHAnsi" w:cstheme="minorBidi"/>
                <w:bCs/>
                <w:sz w:val="18"/>
                <w:szCs w:val="18"/>
                <w:lang w:eastAsia="en-US" w:bidi="ar-SA"/>
              </w:rPr>
              <w:t>(0.7)</w:t>
            </w:r>
          </w:p>
        </w:tc>
      </w:tr>
      <w:tr w:rsidR="003E2891" w:rsidRPr="00197988" w14:paraId="7527C749" w14:textId="77777777" w:rsidTr="005B36AA">
        <w:trPr>
          <w:trHeight w:val="227"/>
        </w:trPr>
        <w:tc>
          <w:tcPr>
            <w:tcW w:w="8222" w:type="dxa"/>
            <w:tcBorders>
              <w:top w:val="single" w:sz="4" w:space="0" w:color="auto"/>
              <w:bottom w:val="single" w:sz="8" w:space="0" w:color="auto"/>
            </w:tcBorders>
            <w:vAlign w:val="center"/>
          </w:tcPr>
          <w:p w14:paraId="0C074A53" w14:textId="77777777" w:rsidR="003E2891" w:rsidRPr="0035290A" w:rsidRDefault="003E2891" w:rsidP="00D60E6D">
            <w:pPr>
              <w:widowControl/>
              <w:autoSpaceDE/>
              <w:autoSpaceDN/>
              <w:rPr>
                <w:b/>
                <w:bCs/>
              </w:rPr>
            </w:pPr>
            <w:r w:rsidRPr="005771B0">
              <w:rPr>
                <w:rFonts w:asciiTheme="minorHAnsi" w:eastAsiaTheme="minorHAnsi" w:hAnsiTheme="minorHAnsi" w:cstheme="minorBidi"/>
                <w:b/>
                <w:bCs/>
                <w:sz w:val="18"/>
                <w:szCs w:val="18"/>
                <w:lang w:eastAsia="en-US" w:bidi="ar-SA"/>
              </w:rPr>
              <w:t xml:space="preserve">Adjusted Profit Before Tax </w:t>
            </w:r>
          </w:p>
        </w:tc>
        <w:tc>
          <w:tcPr>
            <w:tcW w:w="992" w:type="dxa"/>
            <w:tcBorders>
              <w:top w:val="single" w:sz="4" w:space="0" w:color="auto"/>
              <w:bottom w:val="single" w:sz="8" w:space="0" w:color="auto"/>
            </w:tcBorders>
            <w:vAlign w:val="center"/>
          </w:tcPr>
          <w:p w14:paraId="0EBB0F39" w14:textId="77777777" w:rsidR="003E2891" w:rsidRPr="0035290A" w:rsidRDefault="00D60E6D" w:rsidP="003E2891">
            <w:pPr>
              <w:widowControl/>
              <w:autoSpaceDE/>
              <w:autoSpaceDN/>
              <w:jc w:val="right"/>
              <w:rPr>
                <w:bCs/>
              </w:rPr>
            </w:pPr>
            <w:r>
              <w:rPr>
                <w:rFonts w:asciiTheme="minorHAnsi" w:eastAsiaTheme="minorHAnsi" w:hAnsiTheme="minorHAnsi" w:cstheme="minorBidi"/>
                <w:b/>
                <w:bCs/>
                <w:sz w:val="18"/>
                <w:szCs w:val="18"/>
                <w:lang w:eastAsia="en-US" w:bidi="ar-SA"/>
              </w:rPr>
              <w:t>22.6</w:t>
            </w:r>
          </w:p>
        </w:tc>
        <w:tc>
          <w:tcPr>
            <w:tcW w:w="992" w:type="dxa"/>
            <w:tcBorders>
              <w:top w:val="single" w:sz="4" w:space="0" w:color="auto"/>
              <w:bottom w:val="single" w:sz="8" w:space="0" w:color="auto"/>
            </w:tcBorders>
            <w:vAlign w:val="center"/>
          </w:tcPr>
          <w:p w14:paraId="3943B29B" w14:textId="77777777" w:rsidR="003E2891" w:rsidRPr="003E2891" w:rsidRDefault="003E2891" w:rsidP="003E2891">
            <w:pPr>
              <w:widowControl/>
              <w:autoSpaceDE/>
              <w:autoSpaceDN/>
              <w:jc w:val="right"/>
            </w:pPr>
            <w:r w:rsidRPr="003E2891">
              <w:rPr>
                <w:rFonts w:asciiTheme="minorHAnsi" w:eastAsiaTheme="minorHAnsi" w:hAnsiTheme="minorHAnsi" w:cstheme="minorBidi"/>
                <w:bCs/>
                <w:sz w:val="18"/>
                <w:szCs w:val="18"/>
                <w:lang w:eastAsia="en-US" w:bidi="ar-SA"/>
              </w:rPr>
              <w:t>17.3</w:t>
            </w:r>
          </w:p>
        </w:tc>
      </w:tr>
      <w:tr w:rsidR="005B36AA" w14:paraId="53535D5F" w14:textId="77777777" w:rsidTr="005B36AA">
        <w:trPr>
          <w:trHeight w:val="227"/>
        </w:trPr>
        <w:tc>
          <w:tcPr>
            <w:tcW w:w="10206" w:type="dxa"/>
            <w:gridSpan w:val="3"/>
            <w:tcBorders>
              <w:top w:val="single" w:sz="8" w:space="0" w:color="auto"/>
            </w:tcBorders>
          </w:tcPr>
          <w:p w14:paraId="121539B4" w14:textId="77777777" w:rsidR="005B36AA" w:rsidRPr="005E7265" w:rsidRDefault="005B36AA" w:rsidP="005B36AA">
            <w:pPr>
              <w:pStyle w:val="TableComments"/>
              <w:numPr>
                <w:ilvl w:val="0"/>
                <w:numId w:val="2"/>
              </w:numPr>
              <w:ind w:left="321" w:hanging="321"/>
            </w:pPr>
            <w:r w:rsidRPr="005E7265">
              <w:t>FX on inter-company and certain external balances and the movement in the fair value of all derivative financial instruments and related debt adjustments.</w:t>
            </w:r>
          </w:p>
        </w:tc>
      </w:tr>
    </w:tbl>
    <w:p w14:paraId="4031DB15" w14:textId="77777777" w:rsidR="005B36AA" w:rsidRDefault="005B36AA" w:rsidP="005B36AA">
      <w:pPr>
        <w:pStyle w:val="BodyText"/>
      </w:pPr>
    </w:p>
    <w:p w14:paraId="53AE78BD" w14:textId="672B3DAF" w:rsidR="005B36AA" w:rsidRDefault="005B36AA" w:rsidP="005B36AA">
      <w:pPr>
        <w:pStyle w:val="Heading2"/>
        <w:numPr>
          <w:ilvl w:val="0"/>
          <w:numId w:val="0"/>
        </w:numPr>
      </w:pPr>
      <w:r>
        <w:t xml:space="preserve">ADJUSTED </w:t>
      </w:r>
      <w:r w:rsidR="00633573">
        <w:t xml:space="preserve">BASIC </w:t>
      </w:r>
      <w:r>
        <w:t>EARNINGS PER SHARE ('EPS')</w:t>
      </w:r>
    </w:p>
    <w:p w14:paraId="675AC8C5" w14:textId="77777777" w:rsidR="005B36AA" w:rsidRDefault="005B36AA" w:rsidP="005B36AA">
      <w:pPr>
        <w:pStyle w:val="BodyText"/>
      </w:pPr>
    </w:p>
    <w:p w14:paraId="20D50CCD" w14:textId="77777777" w:rsidR="005B36AA" w:rsidRPr="002A7FD2" w:rsidRDefault="005B36AA" w:rsidP="005B36AA">
      <w:pPr>
        <w:widowControl/>
        <w:adjustRightInd w:val="0"/>
        <w:jc w:val="both"/>
        <w:rPr>
          <w:rFonts w:asciiTheme="minorHAnsi" w:hAnsiTheme="minorHAnsi" w:cstheme="minorHAnsi"/>
          <w:sz w:val="18"/>
          <w:szCs w:val="18"/>
        </w:rPr>
      </w:pPr>
      <w:r w:rsidRPr="002A7FD2">
        <w:rPr>
          <w:rFonts w:asciiTheme="minorHAnsi" w:hAnsiTheme="minorHAnsi" w:cstheme="minorHAnsi"/>
          <w:sz w:val="18"/>
          <w:szCs w:val="18"/>
        </w:rPr>
        <w:t>The Group uses Adjusted Earnings and Adjusted EPS as key measures of the overall underlying performance of the Group and returns generated for each share.</w:t>
      </w:r>
    </w:p>
    <w:p w14:paraId="2858E925" w14:textId="77777777" w:rsidR="005B36AA" w:rsidRPr="002A7FD2" w:rsidRDefault="005B36AA" w:rsidP="005B36AA">
      <w:pPr>
        <w:widowControl/>
        <w:adjustRightInd w:val="0"/>
        <w:jc w:val="both"/>
        <w:rPr>
          <w:rFonts w:asciiTheme="minorHAnsi" w:hAnsiTheme="minorHAnsi" w:cstheme="minorHAnsi"/>
          <w:sz w:val="18"/>
          <w:szCs w:val="18"/>
        </w:rPr>
      </w:pPr>
    </w:p>
    <w:p w14:paraId="75F4EDA8" w14:textId="77777777" w:rsidR="005B36AA" w:rsidRPr="002A7FD2" w:rsidRDefault="005B36AA" w:rsidP="005B36AA">
      <w:pPr>
        <w:widowControl/>
        <w:adjustRightInd w:val="0"/>
        <w:jc w:val="both"/>
        <w:rPr>
          <w:rFonts w:asciiTheme="minorHAnsi" w:hAnsiTheme="minorHAnsi" w:cstheme="minorHAnsi"/>
          <w:sz w:val="18"/>
          <w:szCs w:val="18"/>
        </w:rPr>
      </w:pPr>
      <w:r w:rsidRPr="002A7FD2">
        <w:rPr>
          <w:rFonts w:asciiTheme="minorHAnsi" w:hAnsiTheme="minorHAnsi" w:cstheme="minorHAnsi"/>
          <w:sz w:val="18"/>
          <w:szCs w:val="18"/>
        </w:rPr>
        <w:t>Adjusted Earnings is calculated as Profit attributable to equity holders (as shown on the Group Income Statement) adjusted to exclude exceptional items (net of tax), the effect of foreign exchange (FX) on inter-company and external balances where hedge accounting is not applied, the movement in the fair value of all derivative financial instruments and related debt adjustments, the amortisation of acquisition related intangible assets (net of tax) and the interest expense relating to legacy defined benefit pension liabilities (net of tax). Adjusted EPS is calculated by dividing Adjusted Earnings by the weighted average number of Ordinary Shares in issue during the year, excluding Ordinary Shares purchased by Greencore and held in trust in respect of the Annual Bonus Plan and the Performance Share Plan. Adjusted EPS described as an APM here is Adjusted Basic EPS.</w:t>
      </w:r>
    </w:p>
    <w:p w14:paraId="578CD9BD" w14:textId="77777777" w:rsidR="003E2891" w:rsidRPr="002A7FD2" w:rsidRDefault="003E2891" w:rsidP="005B36AA">
      <w:pPr>
        <w:widowControl/>
        <w:adjustRightInd w:val="0"/>
        <w:jc w:val="both"/>
        <w:rPr>
          <w:rFonts w:asciiTheme="minorHAnsi" w:hAnsiTheme="minorHAnsi" w:cstheme="minorHAnsi"/>
          <w:sz w:val="18"/>
          <w:szCs w:val="18"/>
        </w:rPr>
      </w:pPr>
    </w:p>
    <w:p w14:paraId="6A97EB3F" w14:textId="77777777" w:rsidR="00086243" w:rsidRDefault="00086243" w:rsidP="00086243">
      <w:pPr>
        <w:widowControl/>
        <w:adjustRightInd w:val="0"/>
        <w:jc w:val="both"/>
        <w:rPr>
          <w:rFonts w:asciiTheme="minorHAnsi" w:hAnsiTheme="minorHAnsi" w:cstheme="minorHAnsi"/>
          <w:sz w:val="18"/>
          <w:szCs w:val="18"/>
        </w:rPr>
      </w:pPr>
      <w:r w:rsidRPr="002A7FD2">
        <w:rPr>
          <w:rFonts w:asciiTheme="minorHAnsi" w:hAnsiTheme="minorHAnsi" w:cstheme="minorHAnsi"/>
          <w:sz w:val="18"/>
          <w:szCs w:val="18"/>
        </w:rPr>
        <w:lastRenderedPageBreak/>
        <w:t xml:space="preserve">The following table sets forth a reconciliation of the Group’s Profit attributable to equity holders of the </w:t>
      </w:r>
      <w:r>
        <w:rPr>
          <w:rFonts w:asciiTheme="minorHAnsi" w:hAnsiTheme="minorHAnsi" w:cstheme="minorHAnsi"/>
          <w:sz w:val="18"/>
          <w:szCs w:val="18"/>
        </w:rPr>
        <w:t>Group</w:t>
      </w:r>
      <w:r w:rsidRPr="002A7FD2">
        <w:rPr>
          <w:rFonts w:asciiTheme="minorHAnsi" w:hAnsiTheme="minorHAnsi" w:cstheme="minorHAnsi"/>
          <w:sz w:val="18"/>
          <w:szCs w:val="18"/>
        </w:rPr>
        <w:t xml:space="preserve"> to its Adjusted Earnings for the financial years indicated</w:t>
      </w:r>
      <w:r>
        <w:rPr>
          <w:rFonts w:asciiTheme="minorHAnsi" w:hAnsiTheme="minorHAnsi" w:cstheme="minorHAnsi"/>
          <w:sz w:val="18"/>
          <w:szCs w:val="18"/>
        </w:rPr>
        <w:t>:</w:t>
      </w:r>
    </w:p>
    <w:p w14:paraId="6128C17A" w14:textId="77777777" w:rsidR="00086243" w:rsidRDefault="00086243" w:rsidP="005B36AA">
      <w:pPr>
        <w:pStyle w:val="BodyText"/>
      </w:pPr>
    </w:p>
    <w:tbl>
      <w:tblPr>
        <w:tblW w:w="10205" w:type="dxa"/>
        <w:tblLayout w:type="fixed"/>
        <w:tblLook w:val="01E0" w:firstRow="1" w:lastRow="1" w:firstColumn="1" w:lastColumn="1" w:noHBand="0" w:noVBand="0"/>
      </w:tblPr>
      <w:tblGrid>
        <w:gridCol w:w="7937"/>
        <w:gridCol w:w="1134"/>
        <w:gridCol w:w="1134"/>
      </w:tblGrid>
      <w:tr w:rsidR="005B36AA" w14:paraId="08412557" w14:textId="77777777" w:rsidTr="005B36AA">
        <w:trPr>
          <w:trHeight w:val="227"/>
        </w:trPr>
        <w:tc>
          <w:tcPr>
            <w:tcW w:w="7937" w:type="dxa"/>
            <w:tcBorders>
              <w:bottom w:val="single" w:sz="4" w:space="0" w:color="000000"/>
            </w:tcBorders>
            <w:vAlign w:val="bottom"/>
          </w:tcPr>
          <w:p w14:paraId="73934D3E" w14:textId="77777777" w:rsidR="005B36AA" w:rsidRPr="00697FEE" w:rsidRDefault="005B36AA" w:rsidP="005B36AA">
            <w:pPr>
              <w:pStyle w:val="TableRowHead"/>
            </w:pPr>
          </w:p>
        </w:tc>
        <w:tc>
          <w:tcPr>
            <w:tcW w:w="1134" w:type="dxa"/>
            <w:tcBorders>
              <w:bottom w:val="single" w:sz="4" w:space="0" w:color="000000"/>
            </w:tcBorders>
            <w:vAlign w:val="bottom"/>
          </w:tcPr>
          <w:p w14:paraId="75074140" w14:textId="77777777" w:rsidR="005B36AA" w:rsidRPr="00697FEE" w:rsidRDefault="005B36AA" w:rsidP="003E2891">
            <w:pPr>
              <w:pStyle w:val="Subtitle"/>
            </w:pPr>
            <w:r>
              <w:t>20</w:t>
            </w:r>
            <w:r w:rsidR="003E2891">
              <w:t>21</w:t>
            </w:r>
            <w:r w:rsidRPr="00697FEE">
              <w:br/>
              <w:t>£m</w:t>
            </w:r>
          </w:p>
        </w:tc>
        <w:tc>
          <w:tcPr>
            <w:tcW w:w="1134" w:type="dxa"/>
            <w:tcBorders>
              <w:bottom w:val="single" w:sz="4" w:space="0" w:color="000000"/>
            </w:tcBorders>
            <w:vAlign w:val="bottom"/>
          </w:tcPr>
          <w:p w14:paraId="325F2CA9" w14:textId="77777777" w:rsidR="005B36AA" w:rsidRPr="00697FEE" w:rsidRDefault="005B36AA" w:rsidP="003E2891">
            <w:pPr>
              <w:pStyle w:val="Subtitle"/>
              <w:rPr>
                <w:b w:val="0"/>
              </w:rPr>
            </w:pPr>
            <w:r>
              <w:rPr>
                <w:b w:val="0"/>
              </w:rPr>
              <w:t>20</w:t>
            </w:r>
            <w:r w:rsidR="003E2891">
              <w:rPr>
                <w:b w:val="0"/>
              </w:rPr>
              <w:t>20</w:t>
            </w:r>
            <w:r w:rsidRPr="00697FEE">
              <w:rPr>
                <w:b w:val="0"/>
              </w:rPr>
              <w:br/>
              <w:t>£m</w:t>
            </w:r>
          </w:p>
        </w:tc>
      </w:tr>
      <w:tr w:rsidR="003E2891" w14:paraId="21F25D7F" w14:textId="77777777" w:rsidTr="005B36AA">
        <w:trPr>
          <w:trHeight w:val="227"/>
        </w:trPr>
        <w:tc>
          <w:tcPr>
            <w:tcW w:w="7937" w:type="dxa"/>
            <w:tcBorders>
              <w:top w:val="single" w:sz="4" w:space="0" w:color="000000"/>
            </w:tcBorders>
            <w:vAlign w:val="bottom"/>
          </w:tcPr>
          <w:p w14:paraId="46423B32" w14:textId="77777777" w:rsidR="003E2891" w:rsidRPr="00037A48" w:rsidRDefault="003E2891" w:rsidP="003E2891">
            <w:pPr>
              <w:pStyle w:val="TableRowHead"/>
              <w:rPr>
                <w:b/>
              </w:rPr>
            </w:pPr>
            <w:r w:rsidRPr="00037A48">
              <w:rPr>
                <w:b/>
              </w:rPr>
              <w:t>Profit</w:t>
            </w:r>
            <w:r w:rsidR="00D60E6D">
              <w:rPr>
                <w:b/>
              </w:rPr>
              <w:t>/(loss)</w:t>
            </w:r>
            <w:r w:rsidRPr="00037A48">
              <w:rPr>
                <w:b/>
              </w:rPr>
              <w:t xml:space="preserve"> attributable to equity holders of the </w:t>
            </w:r>
            <w:r>
              <w:rPr>
                <w:b/>
              </w:rPr>
              <w:t>Group</w:t>
            </w:r>
          </w:p>
        </w:tc>
        <w:tc>
          <w:tcPr>
            <w:tcW w:w="1134" w:type="dxa"/>
            <w:tcBorders>
              <w:top w:val="single" w:sz="4" w:space="0" w:color="000000"/>
            </w:tcBorders>
            <w:vAlign w:val="bottom"/>
          </w:tcPr>
          <w:p w14:paraId="75E5B6AA" w14:textId="77777777" w:rsidR="003E2891" w:rsidRPr="00697FEE" w:rsidRDefault="00D60E6D" w:rsidP="003E2891">
            <w:pPr>
              <w:pStyle w:val="Subtitle"/>
            </w:pPr>
            <w:r>
              <w:t>25.4</w:t>
            </w:r>
          </w:p>
        </w:tc>
        <w:tc>
          <w:tcPr>
            <w:tcW w:w="1134" w:type="dxa"/>
            <w:tcBorders>
              <w:top w:val="single" w:sz="4" w:space="0" w:color="000000"/>
            </w:tcBorders>
            <w:vAlign w:val="bottom"/>
          </w:tcPr>
          <w:p w14:paraId="089D9F3B" w14:textId="77777777" w:rsidR="003E2891" w:rsidRPr="003E2891" w:rsidRDefault="003E2891" w:rsidP="003E2891">
            <w:pPr>
              <w:pStyle w:val="Subtitle"/>
              <w:rPr>
                <w:b w:val="0"/>
              </w:rPr>
            </w:pPr>
            <w:r w:rsidRPr="003E2891">
              <w:rPr>
                <w:b w:val="0"/>
              </w:rPr>
              <w:t>(11.5)</w:t>
            </w:r>
          </w:p>
        </w:tc>
      </w:tr>
      <w:tr w:rsidR="003E2891" w14:paraId="40CDA5AC" w14:textId="77777777" w:rsidTr="005B36AA">
        <w:trPr>
          <w:trHeight w:val="227"/>
        </w:trPr>
        <w:tc>
          <w:tcPr>
            <w:tcW w:w="7937" w:type="dxa"/>
            <w:vAlign w:val="bottom"/>
          </w:tcPr>
          <w:p w14:paraId="69F99A6A" w14:textId="77777777" w:rsidR="003E2891" w:rsidRPr="00697FEE" w:rsidRDefault="003E2891" w:rsidP="003E2891">
            <w:pPr>
              <w:pStyle w:val="TableRowHead"/>
            </w:pPr>
            <w:r w:rsidRPr="00697FEE">
              <w:t>Exceptional items (net of tax)</w:t>
            </w:r>
          </w:p>
        </w:tc>
        <w:tc>
          <w:tcPr>
            <w:tcW w:w="1134" w:type="dxa"/>
            <w:vAlign w:val="bottom"/>
          </w:tcPr>
          <w:p w14:paraId="27A5C713" w14:textId="77777777" w:rsidR="003E2891" w:rsidRPr="00697FEE" w:rsidRDefault="0052744C" w:rsidP="003E2891">
            <w:pPr>
              <w:pStyle w:val="Subtitle"/>
            </w:pPr>
            <w:r>
              <w:t>(12.1)</w:t>
            </w:r>
          </w:p>
        </w:tc>
        <w:tc>
          <w:tcPr>
            <w:tcW w:w="1134" w:type="dxa"/>
            <w:vAlign w:val="bottom"/>
          </w:tcPr>
          <w:p w14:paraId="1DD2F354" w14:textId="77777777" w:rsidR="003E2891" w:rsidRPr="003E2891" w:rsidRDefault="003E2891" w:rsidP="003E2891">
            <w:pPr>
              <w:pStyle w:val="Subtitle"/>
              <w:rPr>
                <w:b w:val="0"/>
              </w:rPr>
            </w:pPr>
            <w:r w:rsidRPr="003E2891">
              <w:rPr>
                <w:b w:val="0"/>
              </w:rPr>
              <w:t>20.5</w:t>
            </w:r>
          </w:p>
        </w:tc>
      </w:tr>
      <w:tr w:rsidR="003E2891" w14:paraId="51A611E9" w14:textId="77777777" w:rsidTr="005B36AA">
        <w:trPr>
          <w:trHeight w:val="227"/>
        </w:trPr>
        <w:tc>
          <w:tcPr>
            <w:tcW w:w="7937" w:type="dxa"/>
            <w:vAlign w:val="bottom"/>
          </w:tcPr>
          <w:p w14:paraId="2C598E41" w14:textId="77777777" w:rsidR="003E2891" w:rsidRPr="00697FEE" w:rsidRDefault="003E2891" w:rsidP="003E2891">
            <w:pPr>
              <w:pStyle w:val="TableRowHead"/>
            </w:pPr>
            <w:r w:rsidRPr="00697FEE">
              <w:t>FX effect on inter-company and external balances where hedge accounting is not applied</w:t>
            </w:r>
          </w:p>
        </w:tc>
        <w:tc>
          <w:tcPr>
            <w:tcW w:w="1134" w:type="dxa"/>
            <w:vAlign w:val="bottom"/>
          </w:tcPr>
          <w:p w14:paraId="02B31421" w14:textId="77777777" w:rsidR="003E2891" w:rsidRPr="00697FEE" w:rsidRDefault="0052744C" w:rsidP="003E2891">
            <w:pPr>
              <w:pStyle w:val="Subtitle"/>
            </w:pPr>
            <w:r>
              <w:t>(0.1)</w:t>
            </w:r>
          </w:p>
        </w:tc>
        <w:tc>
          <w:tcPr>
            <w:tcW w:w="1134" w:type="dxa"/>
            <w:vAlign w:val="bottom"/>
          </w:tcPr>
          <w:p w14:paraId="2B17F887" w14:textId="77777777" w:rsidR="003E2891" w:rsidRPr="003E2891" w:rsidRDefault="003E2891" w:rsidP="003E2891">
            <w:pPr>
              <w:pStyle w:val="Subtitle"/>
              <w:rPr>
                <w:b w:val="0"/>
              </w:rPr>
            </w:pPr>
            <w:r w:rsidRPr="003E2891">
              <w:rPr>
                <w:b w:val="0"/>
              </w:rPr>
              <w:t>0.4</w:t>
            </w:r>
          </w:p>
        </w:tc>
      </w:tr>
      <w:tr w:rsidR="003E2891" w14:paraId="04A332B2" w14:textId="77777777" w:rsidTr="005B36AA">
        <w:trPr>
          <w:trHeight w:val="227"/>
        </w:trPr>
        <w:tc>
          <w:tcPr>
            <w:tcW w:w="7937" w:type="dxa"/>
            <w:vAlign w:val="bottom"/>
          </w:tcPr>
          <w:p w14:paraId="6B09F155" w14:textId="77777777" w:rsidR="003E2891" w:rsidRPr="00697FEE" w:rsidRDefault="003E2891" w:rsidP="003E2891">
            <w:pPr>
              <w:pStyle w:val="TableRowHead"/>
            </w:pPr>
            <w:r w:rsidRPr="00697FEE">
              <w:t>Movement in fair value of derivative financial instruments and related debt adjustments</w:t>
            </w:r>
          </w:p>
        </w:tc>
        <w:tc>
          <w:tcPr>
            <w:tcW w:w="1134" w:type="dxa"/>
            <w:vAlign w:val="bottom"/>
          </w:tcPr>
          <w:p w14:paraId="777C33F9" w14:textId="77777777" w:rsidR="003E2891" w:rsidRPr="00697FEE" w:rsidRDefault="0052744C" w:rsidP="003E2891">
            <w:pPr>
              <w:pStyle w:val="Subtitle"/>
            </w:pPr>
            <w:r>
              <w:t>1.0</w:t>
            </w:r>
          </w:p>
        </w:tc>
        <w:tc>
          <w:tcPr>
            <w:tcW w:w="1134" w:type="dxa"/>
            <w:vAlign w:val="bottom"/>
          </w:tcPr>
          <w:p w14:paraId="72E2DF73" w14:textId="77777777" w:rsidR="003E2891" w:rsidRPr="003E2891" w:rsidRDefault="003E2891" w:rsidP="003E2891">
            <w:pPr>
              <w:pStyle w:val="Subtitle"/>
              <w:rPr>
                <w:b w:val="0"/>
              </w:rPr>
            </w:pPr>
            <w:r w:rsidRPr="003E2891">
              <w:rPr>
                <w:b w:val="0"/>
              </w:rPr>
              <w:t>(1.1)</w:t>
            </w:r>
          </w:p>
        </w:tc>
      </w:tr>
      <w:tr w:rsidR="003E2891" w14:paraId="41140E4E" w14:textId="77777777" w:rsidTr="005B36AA">
        <w:trPr>
          <w:trHeight w:val="227"/>
        </w:trPr>
        <w:tc>
          <w:tcPr>
            <w:tcW w:w="7937" w:type="dxa"/>
            <w:vAlign w:val="bottom"/>
          </w:tcPr>
          <w:p w14:paraId="03DC8A25" w14:textId="77777777" w:rsidR="003E2891" w:rsidRPr="00697FEE" w:rsidRDefault="003E2891" w:rsidP="003E2891">
            <w:pPr>
              <w:pStyle w:val="TableRowHead"/>
            </w:pPr>
            <w:r w:rsidRPr="00697FEE">
              <w:t>Amortisation of acquisition related intangible assets (net of tax)</w:t>
            </w:r>
          </w:p>
        </w:tc>
        <w:tc>
          <w:tcPr>
            <w:tcW w:w="1134" w:type="dxa"/>
            <w:vAlign w:val="bottom"/>
          </w:tcPr>
          <w:p w14:paraId="3EAC58C0" w14:textId="77777777" w:rsidR="003E2891" w:rsidRPr="00697FEE" w:rsidRDefault="0052744C" w:rsidP="003E2891">
            <w:pPr>
              <w:pStyle w:val="Subtitle"/>
            </w:pPr>
            <w:r>
              <w:t>3.2</w:t>
            </w:r>
          </w:p>
        </w:tc>
        <w:tc>
          <w:tcPr>
            <w:tcW w:w="1134" w:type="dxa"/>
            <w:vAlign w:val="bottom"/>
          </w:tcPr>
          <w:p w14:paraId="74D59723" w14:textId="77777777" w:rsidR="003E2891" w:rsidRPr="003E2891" w:rsidRDefault="003E2891" w:rsidP="003E2891">
            <w:pPr>
              <w:pStyle w:val="Subtitle"/>
              <w:rPr>
                <w:b w:val="0"/>
              </w:rPr>
            </w:pPr>
            <w:r w:rsidRPr="003E2891">
              <w:rPr>
                <w:b w:val="0"/>
              </w:rPr>
              <w:t>3.2</w:t>
            </w:r>
          </w:p>
        </w:tc>
      </w:tr>
      <w:tr w:rsidR="003E2891" w14:paraId="0FA89E70" w14:textId="77777777" w:rsidTr="005B36AA">
        <w:trPr>
          <w:trHeight w:val="227"/>
        </w:trPr>
        <w:tc>
          <w:tcPr>
            <w:tcW w:w="7937" w:type="dxa"/>
            <w:tcBorders>
              <w:bottom w:val="single" w:sz="4" w:space="0" w:color="000000"/>
            </w:tcBorders>
            <w:vAlign w:val="bottom"/>
          </w:tcPr>
          <w:p w14:paraId="39759217" w14:textId="77777777" w:rsidR="003E2891" w:rsidRPr="00697FEE" w:rsidRDefault="003E2891" w:rsidP="003E2891">
            <w:pPr>
              <w:pStyle w:val="TableRowHead"/>
            </w:pPr>
            <w:r w:rsidRPr="00697FEE">
              <w:t>Pension financing (net of tax)</w:t>
            </w:r>
          </w:p>
        </w:tc>
        <w:tc>
          <w:tcPr>
            <w:tcW w:w="1134" w:type="dxa"/>
            <w:tcBorders>
              <w:bottom w:val="single" w:sz="4" w:space="0" w:color="000000"/>
            </w:tcBorders>
            <w:vAlign w:val="bottom"/>
          </w:tcPr>
          <w:p w14:paraId="6E724855" w14:textId="77777777" w:rsidR="003E2891" w:rsidRPr="00697FEE" w:rsidRDefault="0052744C" w:rsidP="003E2891">
            <w:pPr>
              <w:pStyle w:val="Subtitle"/>
            </w:pPr>
            <w:r>
              <w:t>1.4</w:t>
            </w:r>
          </w:p>
        </w:tc>
        <w:tc>
          <w:tcPr>
            <w:tcW w:w="1134" w:type="dxa"/>
            <w:tcBorders>
              <w:bottom w:val="single" w:sz="4" w:space="0" w:color="000000"/>
            </w:tcBorders>
            <w:vAlign w:val="bottom"/>
          </w:tcPr>
          <w:p w14:paraId="314DC5C3" w14:textId="77777777" w:rsidR="003E2891" w:rsidRPr="003E2891" w:rsidRDefault="003E2891" w:rsidP="003E2891">
            <w:pPr>
              <w:pStyle w:val="Subtitle"/>
              <w:rPr>
                <w:b w:val="0"/>
              </w:rPr>
            </w:pPr>
            <w:r w:rsidRPr="003E2891">
              <w:rPr>
                <w:b w:val="0"/>
              </w:rPr>
              <w:t>1.5</w:t>
            </w:r>
          </w:p>
        </w:tc>
      </w:tr>
      <w:tr w:rsidR="003E2891" w14:paraId="0FA20E13" w14:textId="77777777" w:rsidTr="005B36AA">
        <w:trPr>
          <w:trHeight w:val="227"/>
        </w:trPr>
        <w:tc>
          <w:tcPr>
            <w:tcW w:w="7937" w:type="dxa"/>
            <w:tcBorders>
              <w:top w:val="single" w:sz="4" w:space="0" w:color="000000"/>
              <w:bottom w:val="single" w:sz="8" w:space="0" w:color="auto"/>
            </w:tcBorders>
            <w:vAlign w:val="bottom"/>
          </w:tcPr>
          <w:p w14:paraId="52D2E4EF" w14:textId="77777777" w:rsidR="003E2891" w:rsidRPr="00DC52F0" w:rsidRDefault="003E2891" w:rsidP="003E2891">
            <w:pPr>
              <w:pStyle w:val="TableRowHead"/>
              <w:rPr>
                <w:b/>
              </w:rPr>
            </w:pPr>
            <w:r w:rsidRPr="00DC52F0">
              <w:rPr>
                <w:b/>
              </w:rPr>
              <w:t>Adjusted Earnings</w:t>
            </w:r>
          </w:p>
        </w:tc>
        <w:tc>
          <w:tcPr>
            <w:tcW w:w="1134" w:type="dxa"/>
            <w:tcBorders>
              <w:top w:val="single" w:sz="4" w:space="0" w:color="000000"/>
              <w:bottom w:val="single" w:sz="8" w:space="0" w:color="auto"/>
            </w:tcBorders>
            <w:vAlign w:val="bottom"/>
          </w:tcPr>
          <w:p w14:paraId="7FA59224" w14:textId="77777777" w:rsidR="003E2891" w:rsidRPr="00697FEE" w:rsidRDefault="0052744C" w:rsidP="003E2891">
            <w:pPr>
              <w:pStyle w:val="Subtitle"/>
            </w:pPr>
            <w:r>
              <w:t>18.8</w:t>
            </w:r>
          </w:p>
        </w:tc>
        <w:tc>
          <w:tcPr>
            <w:tcW w:w="1134" w:type="dxa"/>
            <w:tcBorders>
              <w:top w:val="single" w:sz="4" w:space="0" w:color="000000"/>
              <w:bottom w:val="single" w:sz="8" w:space="0" w:color="auto"/>
            </w:tcBorders>
            <w:vAlign w:val="bottom"/>
          </w:tcPr>
          <w:p w14:paraId="0DE46FCF" w14:textId="77777777" w:rsidR="003E2891" w:rsidRPr="003E2891" w:rsidRDefault="003E2891" w:rsidP="003E2891">
            <w:pPr>
              <w:pStyle w:val="Subtitle"/>
              <w:rPr>
                <w:b w:val="0"/>
              </w:rPr>
            </w:pPr>
            <w:r w:rsidRPr="003E2891">
              <w:rPr>
                <w:b w:val="0"/>
              </w:rPr>
              <w:t>13.0</w:t>
            </w:r>
          </w:p>
        </w:tc>
      </w:tr>
      <w:tr w:rsidR="005B36AA" w14:paraId="6E8D5DBE" w14:textId="77777777" w:rsidTr="005B36AA">
        <w:trPr>
          <w:trHeight w:val="227"/>
        </w:trPr>
        <w:tc>
          <w:tcPr>
            <w:tcW w:w="7937" w:type="dxa"/>
            <w:tcBorders>
              <w:top w:val="single" w:sz="8" w:space="0" w:color="auto"/>
            </w:tcBorders>
            <w:vAlign w:val="bottom"/>
          </w:tcPr>
          <w:p w14:paraId="5702B961" w14:textId="77777777" w:rsidR="005B36AA" w:rsidRPr="00697FEE" w:rsidRDefault="005B36AA" w:rsidP="005B36AA">
            <w:pPr>
              <w:pStyle w:val="TableRowHead"/>
            </w:pPr>
          </w:p>
        </w:tc>
        <w:tc>
          <w:tcPr>
            <w:tcW w:w="1134" w:type="dxa"/>
            <w:tcBorders>
              <w:top w:val="single" w:sz="8" w:space="0" w:color="auto"/>
            </w:tcBorders>
            <w:vAlign w:val="bottom"/>
          </w:tcPr>
          <w:p w14:paraId="1E8EAD36" w14:textId="77777777" w:rsidR="005B36AA" w:rsidRPr="00697FEE" w:rsidRDefault="005B36AA" w:rsidP="005B36AA">
            <w:pPr>
              <w:pStyle w:val="Subtitle"/>
            </w:pPr>
          </w:p>
        </w:tc>
        <w:tc>
          <w:tcPr>
            <w:tcW w:w="1134" w:type="dxa"/>
            <w:tcBorders>
              <w:top w:val="single" w:sz="8" w:space="0" w:color="auto"/>
            </w:tcBorders>
            <w:vAlign w:val="bottom"/>
          </w:tcPr>
          <w:p w14:paraId="6297A477" w14:textId="77777777" w:rsidR="005B36AA" w:rsidRPr="00697FEE" w:rsidRDefault="005B36AA" w:rsidP="005B36AA">
            <w:pPr>
              <w:pStyle w:val="Subtitle"/>
              <w:rPr>
                <w:b w:val="0"/>
              </w:rPr>
            </w:pPr>
          </w:p>
        </w:tc>
      </w:tr>
      <w:tr w:rsidR="005B36AA" w14:paraId="24941ABB" w14:textId="77777777" w:rsidTr="005B36AA">
        <w:trPr>
          <w:trHeight w:val="227"/>
        </w:trPr>
        <w:tc>
          <w:tcPr>
            <w:tcW w:w="7937" w:type="dxa"/>
            <w:tcBorders>
              <w:bottom w:val="single" w:sz="4" w:space="0" w:color="000000"/>
            </w:tcBorders>
            <w:vAlign w:val="bottom"/>
          </w:tcPr>
          <w:p w14:paraId="40522D2C" w14:textId="77777777" w:rsidR="005B36AA" w:rsidRPr="00697FEE" w:rsidRDefault="005B36AA" w:rsidP="005B36AA">
            <w:pPr>
              <w:pStyle w:val="TableRowHead"/>
            </w:pPr>
          </w:p>
        </w:tc>
        <w:tc>
          <w:tcPr>
            <w:tcW w:w="1134" w:type="dxa"/>
            <w:tcBorders>
              <w:bottom w:val="single" w:sz="4" w:space="0" w:color="000000"/>
            </w:tcBorders>
            <w:vAlign w:val="bottom"/>
          </w:tcPr>
          <w:p w14:paraId="2B9BC13C" w14:textId="77777777" w:rsidR="005B36AA" w:rsidRPr="00697FEE" w:rsidRDefault="005B36AA" w:rsidP="005B36AA">
            <w:pPr>
              <w:pStyle w:val="Subtitle"/>
            </w:pPr>
            <w:r>
              <w:t>202</w:t>
            </w:r>
            <w:r w:rsidR="003E2891">
              <w:t>1</w:t>
            </w:r>
          </w:p>
          <w:p w14:paraId="1150E2E2" w14:textId="77777777" w:rsidR="005B36AA" w:rsidRPr="00697FEE" w:rsidRDefault="005B36AA" w:rsidP="005B36AA">
            <w:pPr>
              <w:pStyle w:val="Subtitle"/>
            </w:pPr>
            <w:r w:rsidRPr="00697FEE">
              <w:t>‘000</w:t>
            </w:r>
          </w:p>
        </w:tc>
        <w:tc>
          <w:tcPr>
            <w:tcW w:w="1134" w:type="dxa"/>
            <w:tcBorders>
              <w:bottom w:val="single" w:sz="4" w:space="0" w:color="000000"/>
            </w:tcBorders>
            <w:vAlign w:val="bottom"/>
          </w:tcPr>
          <w:p w14:paraId="671CA189" w14:textId="77777777" w:rsidR="003E2891" w:rsidRDefault="005B36AA" w:rsidP="003E2891">
            <w:pPr>
              <w:pStyle w:val="Subtitle"/>
              <w:rPr>
                <w:b w:val="0"/>
              </w:rPr>
            </w:pPr>
            <w:r>
              <w:rPr>
                <w:b w:val="0"/>
              </w:rPr>
              <w:t>20</w:t>
            </w:r>
            <w:r w:rsidR="003E2891">
              <w:rPr>
                <w:b w:val="0"/>
              </w:rPr>
              <w:t>20</w:t>
            </w:r>
          </w:p>
          <w:p w14:paraId="506DEFC4" w14:textId="77777777" w:rsidR="005B36AA" w:rsidRPr="00697FEE" w:rsidRDefault="005B36AA" w:rsidP="003E2891">
            <w:pPr>
              <w:pStyle w:val="Subtitle"/>
              <w:rPr>
                <w:b w:val="0"/>
              </w:rPr>
            </w:pPr>
            <w:r w:rsidRPr="00697FEE">
              <w:rPr>
                <w:b w:val="0"/>
              </w:rPr>
              <w:t>‘000</w:t>
            </w:r>
          </w:p>
        </w:tc>
      </w:tr>
      <w:tr w:rsidR="005B36AA" w14:paraId="300F7501" w14:textId="77777777" w:rsidTr="005B36AA">
        <w:trPr>
          <w:trHeight w:val="227"/>
        </w:trPr>
        <w:tc>
          <w:tcPr>
            <w:tcW w:w="7937" w:type="dxa"/>
            <w:tcBorders>
              <w:top w:val="single" w:sz="4" w:space="0" w:color="000000"/>
              <w:bottom w:val="single" w:sz="8" w:space="0" w:color="auto"/>
            </w:tcBorders>
            <w:vAlign w:val="bottom"/>
          </w:tcPr>
          <w:p w14:paraId="60D23A52" w14:textId="77777777" w:rsidR="005B36AA" w:rsidRPr="00DC52F0" w:rsidRDefault="005B36AA" w:rsidP="005B36AA">
            <w:pPr>
              <w:pStyle w:val="TableRowHead"/>
              <w:rPr>
                <w:b/>
              </w:rPr>
            </w:pPr>
            <w:r w:rsidRPr="00DC52F0">
              <w:rPr>
                <w:b/>
              </w:rPr>
              <w:t>Weighted average number of ordinary shares in issue during the year</w:t>
            </w:r>
          </w:p>
        </w:tc>
        <w:tc>
          <w:tcPr>
            <w:tcW w:w="1134" w:type="dxa"/>
            <w:tcBorders>
              <w:top w:val="single" w:sz="4" w:space="0" w:color="000000"/>
              <w:bottom w:val="single" w:sz="8" w:space="0" w:color="auto"/>
            </w:tcBorders>
            <w:vAlign w:val="bottom"/>
          </w:tcPr>
          <w:p w14:paraId="7C143314" w14:textId="77777777" w:rsidR="005B36AA" w:rsidRPr="00697FEE" w:rsidRDefault="0052744C" w:rsidP="005B36AA">
            <w:pPr>
              <w:pStyle w:val="Subtitle"/>
            </w:pPr>
            <w:r>
              <w:t>511,764</w:t>
            </w:r>
          </w:p>
        </w:tc>
        <w:tc>
          <w:tcPr>
            <w:tcW w:w="1134" w:type="dxa"/>
            <w:tcBorders>
              <w:top w:val="single" w:sz="4" w:space="0" w:color="000000"/>
              <w:bottom w:val="single" w:sz="8" w:space="0" w:color="auto"/>
            </w:tcBorders>
            <w:vAlign w:val="bottom"/>
          </w:tcPr>
          <w:p w14:paraId="2DF8778F" w14:textId="77777777" w:rsidR="005B36AA" w:rsidRPr="00AF77AE" w:rsidRDefault="00AF77AE" w:rsidP="005B36AA">
            <w:pPr>
              <w:pStyle w:val="Subtitle"/>
              <w:rPr>
                <w:b w:val="0"/>
              </w:rPr>
            </w:pPr>
            <w:r w:rsidRPr="00AF77AE">
              <w:rPr>
                <w:b w:val="0"/>
              </w:rPr>
              <w:t>443,884</w:t>
            </w:r>
          </w:p>
        </w:tc>
      </w:tr>
      <w:tr w:rsidR="005B36AA" w14:paraId="05428FB8" w14:textId="77777777" w:rsidTr="005B36AA">
        <w:trPr>
          <w:trHeight w:val="227"/>
        </w:trPr>
        <w:tc>
          <w:tcPr>
            <w:tcW w:w="7937" w:type="dxa"/>
            <w:tcBorders>
              <w:top w:val="single" w:sz="8" w:space="0" w:color="auto"/>
            </w:tcBorders>
            <w:vAlign w:val="bottom"/>
          </w:tcPr>
          <w:p w14:paraId="5C0868D9" w14:textId="77777777" w:rsidR="005B36AA" w:rsidRPr="00697FEE" w:rsidRDefault="005B36AA" w:rsidP="005B36AA">
            <w:pPr>
              <w:pStyle w:val="TableRowHead"/>
            </w:pPr>
          </w:p>
        </w:tc>
        <w:tc>
          <w:tcPr>
            <w:tcW w:w="1134" w:type="dxa"/>
            <w:tcBorders>
              <w:top w:val="single" w:sz="8" w:space="0" w:color="auto"/>
            </w:tcBorders>
            <w:vAlign w:val="bottom"/>
          </w:tcPr>
          <w:p w14:paraId="49AB4398" w14:textId="77777777" w:rsidR="005B36AA" w:rsidRPr="00697FEE" w:rsidRDefault="005B36AA" w:rsidP="005B36AA">
            <w:pPr>
              <w:pStyle w:val="Subtitle"/>
            </w:pPr>
          </w:p>
        </w:tc>
        <w:tc>
          <w:tcPr>
            <w:tcW w:w="1134" w:type="dxa"/>
            <w:tcBorders>
              <w:top w:val="single" w:sz="8" w:space="0" w:color="auto"/>
            </w:tcBorders>
            <w:vAlign w:val="bottom"/>
          </w:tcPr>
          <w:p w14:paraId="4A4CF43C" w14:textId="77777777" w:rsidR="005B36AA" w:rsidRPr="00697FEE" w:rsidRDefault="005B36AA" w:rsidP="005B36AA">
            <w:pPr>
              <w:pStyle w:val="Subtitle"/>
              <w:rPr>
                <w:b w:val="0"/>
              </w:rPr>
            </w:pPr>
          </w:p>
        </w:tc>
      </w:tr>
      <w:tr w:rsidR="005B36AA" w14:paraId="299B4AAA" w14:textId="77777777" w:rsidTr="005B36AA">
        <w:trPr>
          <w:trHeight w:val="227"/>
        </w:trPr>
        <w:tc>
          <w:tcPr>
            <w:tcW w:w="7937" w:type="dxa"/>
            <w:tcBorders>
              <w:bottom w:val="single" w:sz="4" w:space="0" w:color="000000"/>
            </w:tcBorders>
            <w:vAlign w:val="bottom"/>
          </w:tcPr>
          <w:p w14:paraId="65904B3A" w14:textId="77777777" w:rsidR="005B36AA" w:rsidRPr="00697FEE" w:rsidRDefault="005B36AA" w:rsidP="005B36AA">
            <w:pPr>
              <w:pStyle w:val="TableRowHead"/>
            </w:pPr>
          </w:p>
        </w:tc>
        <w:tc>
          <w:tcPr>
            <w:tcW w:w="1134" w:type="dxa"/>
            <w:tcBorders>
              <w:bottom w:val="single" w:sz="4" w:space="0" w:color="000000"/>
            </w:tcBorders>
            <w:vAlign w:val="bottom"/>
          </w:tcPr>
          <w:p w14:paraId="6BA2D18D" w14:textId="77777777" w:rsidR="005B36AA" w:rsidRPr="00697FEE" w:rsidRDefault="005B36AA" w:rsidP="00AF77AE">
            <w:pPr>
              <w:pStyle w:val="Subtitle"/>
            </w:pPr>
            <w:r>
              <w:t>202</w:t>
            </w:r>
            <w:r w:rsidR="00AF77AE">
              <w:t>1</w:t>
            </w:r>
            <w:r w:rsidRPr="00697FEE">
              <w:br/>
              <w:t>pence</w:t>
            </w:r>
          </w:p>
        </w:tc>
        <w:tc>
          <w:tcPr>
            <w:tcW w:w="1134" w:type="dxa"/>
            <w:tcBorders>
              <w:bottom w:val="single" w:sz="4" w:space="0" w:color="000000"/>
            </w:tcBorders>
            <w:vAlign w:val="bottom"/>
          </w:tcPr>
          <w:p w14:paraId="604DF420" w14:textId="77777777" w:rsidR="005B36AA" w:rsidRPr="00697FEE" w:rsidRDefault="005B36AA" w:rsidP="00AF77AE">
            <w:pPr>
              <w:pStyle w:val="Subtitle"/>
              <w:rPr>
                <w:b w:val="0"/>
              </w:rPr>
            </w:pPr>
            <w:r>
              <w:rPr>
                <w:b w:val="0"/>
              </w:rPr>
              <w:t>20</w:t>
            </w:r>
            <w:r w:rsidR="00AF77AE">
              <w:rPr>
                <w:b w:val="0"/>
              </w:rPr>
              <w:t>20</w:t>
            </w:r>
            <w:r w:rsidRPr="00697FEE">
              <w:rPr>
                <w:b w:val="0"/>
              </w:rPr>
              <w:br/>
              <w:t>pence</w:t>
            </w:r>
          </w:p>
        </w:tc>
      </w:tr>
      <w:tr w:rsidR="005B36AA" w14:paraId="0F179FC2" w14:textId="77777777" w:rsidTr="005B36AA">
        <w:trPr>
          <w:trHeight w:val="227"/>
        </w:trPr>
        <w:tc>
          <w:tcPr>
            <w:tcW w:w="7937" w:type="dxa"/>
            <w:tcBorders>
              <w:top w:val="single" w:sz="4" w:space="0" w:color="000000"/>
              <w:bottom w:val="single" w:sz="8" w:space="0" w:color="auto"/>
            </w:tcBorders>
            <w:vAlign w:val="bottom"/>
          </w:tcPr>
          <w:p w14:paraId="458C29D5" w14:textId="37E5601C" w:rsidR="005B36AA" w:rsidRPr="00DC52F0" w:rsidRDefault="005B36AA" w:rsidP="005B36AA">
            <w:pPr>
              <w:pStyle w:val="TableRowHead"/>
              <w:rPr>
                <w:b/>
              </w:rPr>
            </w:pPr>
            <w:r w:rsidRPr="00DC52F0">
              <w:rPr>
                <w:b/>
              </w:rPr>
              <w:t xml:space="preserve">Adjusted </w:t>
            </w:r>
            <w:r w:rsidR="00633573">
              <w:rPr>
                <w:b/>
              </w:rPr>
              <w:t xml:space="preserve">Basic </w:t>
            </w:r>
            <w:r w:rsidRPr="00DC52F0">
              <w:rPr>
                <w:b/>
              </w:rPr>
              <w:t>Earnings Per Share</w:t>
            </w:r>
          </w:p>
        </w:tc>
        <w:tc>
          <w:tcPr>
            <w:tcW w:w="1134" w:type="dxa"/>
            <w:tcBorders>
              <w:top w:val="single" w:sz="4" w:space="0" w:color="000000"/>
              <w:bottom w:val="single" w:sz="8" w:space="0" w:color="auto"/>
            </w:tcBorders>
            <w:vAlign w:val="bottom"/>
          </w:tcPr>
          <w:p w14:paraId="2D2DB48F" w14:textId="77777777" w:rsidR="005B36AA" w:rsidRPr="00697FEE" w:rsidRDefault="0052744C" w:rsidP="005B36AA">
            <w:pPr>
              <w:pStyle w:val="Subtitle"/>
            </w:pPr>
            <w:r>
              <w:t>3.7</w:t>
            </w:r>
          </w:p>
        </w:tc>
        <w:tc>
          <w:tcPr>
            <w:tcW w:w="1134" w:type="dxa"/>
            <w:tcBorders>
              <w:top w:val="single" w:sz="4" w:space="0" w:color="000000"/>
              <w:bottom w:val="single" w:sz="8" w:space="0" w:color="auto"/>
            </w:tcBorders>
            <w:vAlign w:val="bottom"/>
          </w:tcPr>
          <w:p w14:paraId="4D74A62B" w14:textId="77777777" w:rsidR="005B36AA" w:rsidRPr="00697FEE" w:rsidRDefault="00AF77AE" w:rsidP="005B36AA">
            <w:pPr>
              <w:pStyle w:val="Subtitle"/>
              <w:rPr>
                <w:b w:val="0"/>
              </w:rPr>
            </w:pPr>
            <w:r>
              <w:rPr>
                <w:b w:val="0"/>
              </w:rPr>
              <w:t>2.9</w:t>
            </w:r>
          </w:p>
        </w:tc>
      </w:tr>
    </w:tbl>
    <w:p w14:paraId="17CCE757" w14:textId="77777777" w:rsidR="005B36AA" w:rsidRDefault="005B36AA" w:rsidP="005B36AA">
      <w:pPr>
        <w:pStyle w:val="BodyText"/>
      </w:pPr>
    </w:p>
    <w:p w14:paraId="2AD3BBF0" w14:textId="77777777" w:rsidR="005B36AA" w:rsidRDefault="005B36AA" w:rsidP="005B36AA">
      <w:pPr>
        <w:pStyle w:val="Heading2"/>
        <w:numPr>
          <w:ilvl w:val="0"/>
          <w:numId w:val="0"/>
        </w:numPr>
      </w:pPr>
      <w:r>
        <w:t>CAPITAL EXPENDITURE</w:t>
      </w:r>
    </w:p>
    <w:p w14:paraId="17DDBD08" w14:textId="77777777" w:rsidR="005B36AA" w:rsidRDefault="005B36AA" w:rsidP="005B36AA">
      <w:pPr>
        <w:pStyle w:val="Heading2"/>
        <w:numPr>
          <w:ilvl w:val="0"/>
          <w:numId w:val="0"/>
        </w:numPr>
      </w:pPr>
    </w:p>
    <w:p w14:paraId="30A9A364" w14:textId="77777777" w:rsidR="005B36AA" w:rsidRPr="00502ED3" w:rsidRDefault="005B36AA" w:rsidP="005B36AA">
      <w:pPr>
        <w:pStyle w:val="Heading2"/>
        <w:numPr>
          <w:ilvl w:val="0"/>
          <w:numId w:val="0"/>
        </w:numPr>
      </w:pPr>
      <w:r>
        <w:t>Maintenance Capital Expenditure</w:t>
      </w:r>
    </w:p>
    <w:p w14:paraId="76EDF1BE" w14:textId="77777777" w:rsidR="005B36AA" w:rsidRPr="002A7FD2" w:rsidRDefault="005B36AA" w:rsidP="005B36AA">
      <w:pPr>
        <w:widowControl/>
        <w:adjustRightInd w:val="0"/>
        <w:jc w:val="both"/>
        <w:rPr>
          <w:rFonts w:asciiTheme="minorHAnsi" w:hAnsiTheme="minorHAnsi" w:cstheme="minorHAnsi"/>
          <w:sz w:val="18"/>
          <w:szCs w:val="18"/>
        </w:rPr>
      </w:pPr>
      <w:r w:rsidRPr="002A7FD2">
        <w:rPr>
          <w:rFonts w:asciiTheme="minorHAnsi" w:hAnsiTheme="minorHAnsi" w:cstheme="minorHAnsi"/>
          <w:sz w:val="18"/>
          <w:szCs w:val="18"/>
        </w:rPr>
        <w:t xml:space="preserve">The Group defines Maintenance Capital Expenditure as the expenditure required for the purpose of sustaining the operating capacity and asset base of the Group, and </w:t>
      </w:r>
      <w:r>
        <w:rPr>
          <w:rFonts w:asciiTheme="minorHAnsi" w:hAnsiTheme="minorHAnsi" w:cstheme="minorHAnsi"/>
          <w:sz w:val="18"/>
          <w:szCs w:val="18"/>
        </w:rPr>
        <w:t>to</w:t>
      </w:r>
      <w:r w:rsidRPr="002A7FD2">
        <w:rPr>
          <w:rFonts w:asciiTheme="minorHAnsi" w:hAnsiTheme="minorHAnsi" w:cstheme="minorHAnsi"/>
          <w:sz w:val="18"/>
          <w:szCs w:val="18"/>
        </w:rPr>
        <w:t xml:space="preserve"> comply with applicable laws and regulations. It includes continuous improvement projects of less than £1m that will generate additional returns for the Group.</w:t>
      </w:r>
    </w:p>
    <w:p w14:paraId="215FEBA1" w14:textId="77777777" w:rsidR="005B36AA" w:rsidRDefault="005B36AA" w:rsidP="005B36AA">
      <w:pPr>
        <w:widowControl/>
        <w:adjustRightInd w:val="0"/>
        <w:jc w:val="both"/>
        <w:rPr>
          <w:rFonts w:asciiTheme="minorHAnsi" w:hAnsiTheme="minorHAnsi" w:cstheme="minorHAnsi"/>
          <w:sz w:val="18"/>
          <w:szCs w:val="18"/>
        </w:rPr>
      </w:pPr>
    </w:p>
    <w:p w14:paraId="77DF3EA6" w14:textId="77777777" w:rsidR="005B36AA" w:rsidRPr="00502ED3" w:rsidRDefault="005B36AA" w:rsidP="005B36AA">
      <w:pPr>
        <w:pStyle w:val="Heading2"/>
        <w:numPr>
          <w:ilvl w:val="0"/>
          <w:numId w:val="0"/>
        </w:numPr>
      </w:pPr>
      <w:r w:rsidRPr="00502ED3">
        <w:t>Strategic Capital Expenditure</w:t>
      </w:r>
    </w:p>
    <w:p w14:paraId="4A736B3A" w14:textId="77777777" w:rsidR="005B36AA" w:rsidRDefault="005B36AA" w:rsidP="005B36AA">
      <w:pPr>
        <w:widowControl/>
        <w:adjustRightInd w:val="0"/>
        <w:jc w:val="both"/>
        <w:rPr>
          <w:rFonts w:asciiTheme="minorHAnsi" w:hAnsiTheme="minorHAnsi" w:cstheme="minorHAnsi"/>
          <w:sz w:val="18"/>
          <w:szCs w:val="18"/>
        </w:rPr>
      </w:pPr>
      <w:r w:rsidRPr="00502ED3">
        <w:rPr>
          <w:rFonts w:asciiTheme="minorHAnsi" w:hAnsiTheme="minorHAnsi" w:cstheme="minorHAnsi"/>
          <w:sz w:val="18"/>
          <w:szCs w:val="18"/>
        </w:rPr>
        <w:t>The Group defines Strategic Capital Expenditure as the expenditure required for the purpose of facilitating growth and developing and enhancing relationships with existing and new customers. It includes continuous improvement projects of greater than £1m that will generate additional returns for the Group. Strategic Capital Expenditure is generally expansionary expenditure creating additional capacity beyond what is necessary to maintain the Group’s current competitive position and enables the Group to service new customers and/or contracts or to enter into new categories and/or new manufacturing competencies.</w:t>
      </w:r>
      <w:r w:rsidRPr="002A7FD2">
        <w:rPr>
          <w:rFonts w:asciiTheme="minorHAnsi" w:hAnsiTheme="minorHAnsi" w:cstheme="minorHAnsi"/>
          <w:sz w:val="18"/>
          <w:szCs w:val="18"/>
        </w:rPr>
        <w:t xml:space="preserve"> </w:t>
      </w:r>
    </w:p>
    <w:p w14:paraId="48E572E7" w14:textId="77777777" w:rsidR="005B36AA" w:rsidRDefault="005B36AA" w:rsidP="005B36AA">
      <w:pPr>
        <w:pStyle w:val="BodyText"/>
      </w:pPr>
    </w:p>
    <w:p w14:paraId="2575D1CD" w14:textId="77777777" w:rsidR="005B36AA" w:rsidRPr="002A7FD2" w:rsidRDefault="005B36AA" w:rsidP="005B36AA">
      <w:pPr>
        <w:widowControl/>
        <w:adjustRightInd w:val="0"/>
        <w:jc w:val="both"/>
        <w:rPr>
          <w:rFonts w:asciiTheme="minorHAnsi" w:hAnsiTheme="minorHAnsi" w:cstheme="minorHAnsi"/>
          <w:sz w:val="18"/>
          <w:szCs w:val="18"/>
        </w:rPr>
      </w:pPr>
      <w:r w:rsidRPr="002A7FD2">
        <w:rPr>
          <w:rFonts w:asciiTheme="minorHAnsi" w:hAnsiTheme="minorHAnsi" w:cstheme="minorHAnsi"/>
          <w:sz w:val="18"/>
          <w:szCs w:val="18"/>
        </w:rPr>
        <w:t>The following table sets forth the breakdown of the Group</w:t>
      </w:r>
      <w:r>
        <w:rPr>
          <w:rFonts w:asciiTheme="minorHAnsi" w:hAnsiTheme="minorHAnsi" w:cstheme="minorHAnsi"/>
          <w:sz w:val="18"/>
          <w:szCs w:val="18"/>
        </w:rPr>
        <w:t>’</w:t>
      </w:r>
      <w:r w:rsidRPr="002A7FD2">
        <w:rPr>
          <w:rFonts w:asciiTheme="minorHAnsi" w:hAnsiTheme="minorHAnsi" w:cstheme="minorHAnsi"/>
          <w:sz w:val="18"/>
          <w:szCs w:val="18"/>
        </w:rPr>
        <w:t>s purchase of property, plant and equipment and purchase of intangible assets between Strategic Capital Expenditure and Maintenance Capital Expenditure:</w:t>
      </w:r>
    </w:p>
    <w:p w14:paraId="33FE5CB2" w14:textId="77777777" w:rsidR="005B36AA" w:rsidRDefault="005B36AA" w:rsidP="005B36AA">
      <w:pPr>
        <w:pStyle w:val="BodyText"/>
      </w:pPr>
    </w:p>
    <w:tbl>
      <w:tblPr>
        <w:tblW w:w="10206" w:type="dxa"/>
        <w:tblLayout w:type="fixed"/>
        <w:tblLook w:val="01E0" w:firstRow="1" w:lastRow="1" w:firstColumn="1" w:lastColumn="1" w:noHBand="0" w:noVBand="0"/>
      </w:tblPr>
      <w:tblGrid>
        <w:gridCol w:w="3855"/>
        <w:gridCol w:w="1247"/>
        <w:gridCol w:w="1247"/>
        <w:gridCol w:w="739"/>
        <w:gridCol w:w="850"/>
        <w:gridCol w:w="1134"/>
        <w:gridCol w:w="1134"/>
      </w:tblGrid>
      <w:tr w:rsidR="005B36AA" w:rsidRPr="0075294B" w14:paraId="57AD9F24" w14:textId="77777777" w:rsidTr="00AF77AE">
        <w:trPr>
          <w:trHeight w:val="227"/>
        </w:trPr>
        <w:tc>
          <w:tcPr>
            <w:tcW w:w="3855" w:type="dxa"/>
            <w:tcBorders>
              <w:bottom w:val="single" w:sz="4" w:space="0" w:color="000000"/>
            </w:tcBorders>
          </w:tcPr>
          <w:p w14:paraId="4036ED7C" w14:textId="77777777" w:rsidR="005B36AA" w:rsidRPr="0075294B" w:rsidRDefault="005B36AA" w:rsidP="005771B0">
            <w:pPr>
              <w:rPr>
                <w:rFonts w:asciiTheme="minorHAnsi" w:eastAsiaTheme="minorHAnsi" w:hAnsiTheme="minorHAnsi" w:cstheme="minorBidi"/>
                <w:sz w:val="18"/>
                <w:szCs w:val="18"/>
                <w:lang w:eastAsia="en-US" w:bidi="ar-SA"/>
              </w:rPr>
            </w:pPr>
          </w:p>
        </w:tc>
        <w:tc>
          <w:tcPr>
            <w:tcW w:w="1247" w:type="dxa"/>
            <w:tcBorders>
              <w:bottom w:val="single" w:sz="4" w:space="0" w:color="000000"/>
            </w:tcBorders>
            <w:vAlign w:val="bottom"/>
          </w:tcPr>
          <w:p w14:paraId="16417934" w14:textId="77777777" w:rsidR="005B36AA" w:rsidRPr="00B47239" w:rsidRDefault="005B36AA" w:rsidP="005771B0">
            <w:pPr>
              <w:jc w:val="right"/>
              <w:rPr>
                <w:rFonts w:asciiTheme="minorHAnsi" w:eastAsiaTheme="minorHAnsi" w:hAnsiTheme="minorHAnsi" w:cstheme="minorBidi"/>
                <w:b/>
                <w:bCs/>
                <w:sz w:val="18"/>
                <w:szCs w:val="18"/>
                <w:lang w:eastAsia="en-US" w:bidi="ar-SA"/>
              </w:rPr>
            </w:pPr>
          </w:p>
        </w:tc>
        <w:tc>
          <w:tcPr>
            <w:tcW w:w="1247" w:type="dxa"/>
            <w:tcBorders>
              <w:bottom w:val="single" w:sz="4" w:space="0" w:color="000000"/>
            </w:tcBorders>
            <w:vAlign w:val="bottom"/>
          </w:tcPr>
          <w:p w14:paraId="68D37A7B" w14:textId="77777777" w:rsidR="005B36AA" w:rsidRPr="00660EC8" w:rsidRDefault="005B36AA" w:rsidP="005771B0">
            <w:pPr>
              <w:jc w:val="right"/>
              <w:rPr>
                <w:rFonts w:asciiTheme="minorHAnsi" w:eastAsiaTheme="minorHAnsi" w:hAnsiTheme="minorHAnsi" w:cstheme="minorBidi"/>
                <w:b/>
                <w:bCs/>
                <w:sz w:val="18"/>
                <w:szCs w:val="18"/>
                <w:lang w:eastAsia="en-US" w:bidi="ar-SA"/>
              </w:rPr>
            </w:pPr>
          </w:p>
        </w:tc>
        <w:tc>
          <w:tcPr>
            <w:tcW w:w="739" w:type="dxa"/>
            <w:tcBorders>
              <w:bottom w:val="single" w:sz="4" w:space="0" w:color="000000"/>
            </w:tcBorders>
            <w:vAlign w:val="bottom"/>
          </w:tcPr>
          <w:p w14:paraId="140EC28A" w14:textId="77777777" w:rsidR="005B36AA" w:rsidRPr="001249D0" w:rsidRDefault="005B36AA" w:rsidP="005771B0">
            <w:pPr>
              <w:jc w:val="right"/>
              <w:rPr>
                <w:rFonts w:asciiTheme="minorHAnsi" w:eastAsiaTheme="minorHAnsi" w:hAnsiTheme="minorHAnsi" w:cstheme="minorBidi"/>
                <w:b/>
                <w:bCs/>
                <w:sz w:val="18"/>
                <w:szCs w:val="18"/>
                <w:lang w:eastAsia="en-US" w:bidi="ar-SA"/>
              </w:rPr>
            </w:pPr>
          </w:p>
        </w:tc>
        <w:tc>
          <w:tcPr>
            <w:tcW w:w="850" w:type="dxa"/>
            <w:tcBorders>
              <w:bottom w:val="single" w:sz="4" w:space="0" w:color="000000"/>
            </w:tcBorders>
            <w:vAlign w:val="bottom"/>
          </w:tcPr>
          <w:p w14:paraId="1549D34B" w14:textId="77777777" w:rsidR="005B36AA" w:rsidRPr="0075294B" w:rsidRDefault="005B36AA" w:rsidP="005771B0">
            <w:pPr>
              <w:jc w:val="right"/>
              <w:rPr>
                <w:rFonts w:asciiTheme="minorHAnsi" w:eastAsiaTheme="minorHAnsi" w:hAnsiTheme="minorHAnsi" w:cstheme="minorBidi"/>
                <w:sz w:val="18"/>
                <w:szCs w:val="18"/>
                <w:lang w:eastAsia="en-US" w:bidi="ar-SA"/>
              </w:rPr>
            </w:pPr>
          </w:p>
        </w:tc>
        <w:tc>
          <w:tcPr>
            <w:tcW w:w="1134" w:type="dxa"/>
            <w:tcBorders>
              <w:bottom w:val="single" w:sz="4" w:space="0" w:color="000000"/>
            </w:tcBorders>
            <w:vAlign w:val="bottom"/>
          </w:tcPr>
          <w:p w14:paraId="4C3BAFB3" w14:textId="77777777" w:rsidR="005B36AA" w:rsidRPr="00AF77AE" w:rsidRDefault="00AF77AE" w:rsidP="005771B0">
            <w:pPr>
              <w:jc w:val="right"/>
              <w:rPr>
                <w:rFonts w:asciiTheme="minorHAnsi" w:eastAsiaTheme="minorHAnsi" w:hAnsiTheme="minorHAnsi" w:cstheme="minorBidi"/>
                <w:b/>
                <w:sz w:val="18"/>
                <w:szCs w:val="18"/>
                <w:lang w:eastAsia="en-US" w:bidi="ar-SA"/>
              </w:rPr>
            </w:pPr>
            <w:r w:rsidRPr="00AF77AE">
              <w:rPr>
                <w:rFonts w:asciiTheme="minorHAnsi" w:eastAsiaTheme="minorHAnsi" w:hAnsiTheme="minorHAnsi" w:cstheme="minorBidi"/>
                <w:b/>
                <w:sz w:val="18"/>
                <w:szCs w:val="18"/>
                <w:lang w:eastAsia="en-US" w:bidi="ar-SA"/>
              </w:rPr>
              <w:t>2021</w:t>
            </w:r>
            <w:r w:rsidR="005B36AA" w:rsidRPr="00AF77AE">
              <w:rPr>
                <w:rFonts w:asciiTheme="minorHAnsi" w:eastAsiaTheme="minorHAnsi" w:hAnsiTheme="minorHAnsi" w:cstheme="minorBidi"/>
                <w:b/>
                <w:sz w:val="18"/>
                <w:szCs w:val="18"/>
                <w:lang w:eastAsia="en-US" w:bidi="ar-SA"/>
              </w:rPr>
              <w:br/>
              <w:t>£m</w:t>
            </w:r>
          </w:p>
        </w:tc>
        <w:tc>
          <w:tcPr>
            <w:tcW w:w="1134" w:type="dxa"/>
            <w:tcBorders>
              <w:bottom w:val="single" w:sz="4" w:space="0" w:color="000000"/>
            </w:tcBorders>
            <w:vAlign w:val="bottom"/>
          </w:tcPr>
          <w:p w14:paraId="28D03C7F" w14:textId="77777777" w:rsidR="005B36AA" w:rsidRPr="0075294B" w:rsidRDefault="00AF77AE" w:rsidP="005771B0">
            <w:pPr>
              <w:jc w:val="right"/>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t>2020</w:t>
            </w:r>
            <w:r w:rsidR="005B36AA" w:rsidRPr="0075294B">
              <w:rPr>
                <w:rFonts w:asciiTheme="minorHAnsi" w:eastAsiaTheme="minorHAnsi" w:hAnsiTheme="minorHAnsi" w:cstheme="minorBidi"/>
                <w:sz w:val="18"/>
                <w:szCs w:val="18"/>
                <w:lang w:eastAsia="en-US" w:bidi="ar-SA"/>
              </w:rPr>
              <w:br/>
              <w:t>£m</w:t>
            </w:r>
          </w:p>
        </w:tc>
      </w:tr>
      <w:tr w:rsidR="00AF77AE" w:rsidRPr="0075294B" w14:paraId="072062AF" w14:textId="77777777" w:rsidTr="00AF77AE">
        <w:trPr>
          <w:trHeight w:val="227"/>
        </w:trPr>
        <w:tc>
          <w:tcPr>
            <w:tcW w:w="3855" w:type="dxa"/>
            <w:tcBorders>
              <w:top w:val="single" w:sz="4" w:space="0" w:color="000000"/>
            </w:tcBorders>
          </w:tcPr>
          <w:p w14:paraId="3ABEFB19" w14:textId="77777777" w:rsidR="00AF77AE" w:rsidRPr="0075294B" w:rsidRDefault="00AF77AE" w:rsidP="00AF77AE">
            <w:pPr>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Purchase of property, plant, and equipment</w:t>
            </w:r>
          </w:p>
        </w:tc>
        <w:tc>
          <w:tcPr>
            <w:tcW w:w="1247" w:type="dxa"/>
            <w:tcBorders>
              <w:top w:val="single" w:sz="4" w:space="0" w:color="000000"/>
            </w:tcBorders>
            <w:vAlign w:val="bottom"/>
          </w:tcPr>
          <w:p w14:paraId="4BB3D1D0" w14:textId="77777777" w:rsidR="00AF77AE" w:rsidRPr="002C2661" w:rsidRDefault="00AF77AE" w:rsidP="00AF77AE">
            <w:pPr>
              <w:jc w:val="right"/>
              <w:rPr>
                <w:rFonts w:asciiTheme="minorHAnsi" w:eastAsiaTheme="minorHAnsi" w:hAnsiTheme="minorHAnsi" w:cstheme="minorBidi"/>
                <w:b/>
                <w:bCs/>
                <w:sz w:val="18"/>
                <w:szCs w:val="18"/>
                <w:lang w:eastAsia="en-US" w:bidi="ar-SA"/>
              </w:rPr>
            </w:pPr>
          </w:p>
        </w:tc>
        <w:tc>
          <w:tcPr>
            <w:tcW w:w="1247" w:type="dxa"/>
            <w:tcBorders>
              <w:top w:val="single" w:sz="4" w:space="0" w:color="000000"/>
            </w:tcBorders>
            <w:vAlign w:val="bottom"/>
          </w:tcPr>
          <w:p w14:paraId="4C84E956" w14:textId="77777777" w:rsidR="00AF77AE" w:rsidRPr="0035290A" w:rsidRDefault="00AF77AE" w:rsidP="00AF77AE">
            <w:pPr>
              <w:jc w:val="right"/>
              <w:rPr>
                <w:rFonts w:asciiTheme="minorHAnsi" w:eastAsiaTheme="minorHAnsi" w:hAnsiTheme="minorHAnsi" w:cstheme="minorBidi"/>
                <w:b/>
                <w:bCs/>
                <w:sz w:val="18"/>
                <w:szCs w:val="18"/>
                <w:lang w:eastAsia="en-US" w:bidi="ar-SA"/>
              </w:rPr>
            </w:pPr>
          </w:p>
        </w:tc>
        <w:tc>
          <w:tcPr>
            <w:tcW w:w="739" w:type="dxa"/>
            <w:tcBorders>
              <w:top w:val="single" w:sz="4" w:space="0" w:color="000000"/>
            </w:tcBorders>
            <w:vAlign w:val="bottom"/>
          </w:tcPr>
          <w:p w14:paraId="21F85ABE" w14:textId="77777777" w:rsidR="00AF77AE" w:rsidRPr="00A46B58" w:rsidRDefault="00AF77AE" w:rsidP="00AF77AE">
            <w:pPr>
              <w:jc w:val="right"/>
              <w:rPr>
                <w:rFonts w:asciiTheme="minorHAnsi" w:eastAsiaTheme="minorHAnsi" w:hAnsiTheme="minorHAnsi" w:cstheme="minorBidi"/>
                <w:b/>
                <w:bCs/>
                <w:sz w:val="18"/>
                <w:szCs w:val="18"/>
                <w:lang w:eastAsia="en-US" w:bidi="ar-SA"/>
              </w:rPr>
            </w:pPr>
          </w:p>
        </w:tc>
        <w:tc>
          <w:tcPr>
            <w:tcW w:w="850" w:type="dxa"/>
            <w:tcBorders>
              <w:top w:val="single" w:sz="4" w:space="0" w:color="000000"/>
            </w:tcBorders>
            <w:vAlign w:val="bottom"/>
          </w:tcPr>
          <w:p w14:paraId="4FBDDDF9" w14:textId="77777777" w:rsidR="00AF77AE" w:rsidRPr="005C6F46" w:rsidRDefault="00AF77AE" w:rsidP="00AF77AE">
            <w:pPr>
              <w:jc w:val="right"/>
              <w:rPr>
                <w:rFonts w:asciiTheme="minorHAnsi" w:eastAsiaTheme="minorHAnsi" w:hAnsiTheme="minorHAnsi" w:cstheme="minorBidi"/>
                <w:sz w:val="18"/>
                <w:szCs w:val="18"/>
                <w:lang w:eastAsia="en-US" w:bidi="ar-SA"/>
              </w:rPr>
            </w:pPr>
          </w:p>
        </w:tc>
        <w:tc>
          <w:tcPr>
            <w:tcW w:w="1134" w:type="dxa"/>
            <w:tcBorders>
              <w:top w:val="single" w:sz="4" w:space="0" w:color="000000"/>
            </w:tcBorders>
            <w:vAlign w:val="bottom"/>
          </w:tcPr>
          <w:p w14:paraId="41F98714" w14:textId="77777777" w:rsidR="00AF77AE" w:rsidRPr="00AF77AE" w:rsidRDefault="0052744C" w:rsidP="008E46B3">
            <w:pPr>
              <w:jc w:val="right"/>
              <w:rPr>
                <w:rFonts w:asciiTheme="minorHAnsi" w:eastAsiaTheme="minorHAnsi" w:hAnsiTheme="minorHAnsi" w:cstheme="minorBidi"/>
                <w:b/>
                <w:sz w:val="18"/>
                <w:szCs w:val="18"/>
                <w:lang w:eastAsia="en-US" w:bidi="ar-SA"/>
              </w:rPr>
            </w:pPr>
            <w:r>
              <w:rPr>
                <w:rFonts w:asciiTheme="minorHAnsi" w:eastAsiaTheme="minorHAnsi" w:hAnsiTheme="minorHAnsi" w:cstheme="minorBidi"/>
                <w:b/>
                <w:sz w:val="18"/>
                <w:szCs w:val="18"/>
                <w:lang w:eastAsia="en-US" w:bidi="ar-SA"/>
              </w:rPr>
              <w:t>37.</w:t>
            </w:r>
            <w:r w:rsidR="00086243">
              <w:rPr>
                <w:rFonts w:asciiTheme="minorHAnsi" w:eastAsiaTheme="minorHAnsi" w:hAnsiTheme="minorHAnsi" w:cstheme="minorBidi"/>
                <w:b/>
                <w:sz w:val="18"/>
                <w:szCs w:val="18"/>
                <w:lang w:eastAsia="en-US" w:bidi="ar-SA"/>
              </w:rPr>
              <w:t>1</w:t>
            </w:r>
          </w:p>
        </w:tc>
        <w:tc>
          <w:tcPr>
            <w:tcW w:w="1134" w:type="dxa"/>
            <w:tcBorders>
              <w:top w:val="single" w:sz="4" w:space="0" w:color="000000"/>
            </w:tcBorders>
            <w:vAlign w:val="bottom"/>
          </w:tcPr>
          <w:p w14:paraId="1CBFDA24" w14:textId="77777777" w:rsidR="00AF77AE" w:rsidRPr="00AF77AE" w:rsidRDefault="00AF77AE" w:rsidP="00AF77AE">
            <w:pPr>
              <w:jc w:val="right"/>
              <w:rPr>
                <w:rFonts w:asciiTheme="minorHAnsi" w:eastAsiaTheme="minorHAnsi" w:hAnsiTheme="minorHAnsi" w:cstheme="minorBidi"/>
                <w:sz w:val="18"/>
                <w:szCs w:val="18"/>
                <w:lang w:eastAsia="en-US" w:bidi="ar-SA"/>
              </w:rPr>
            </w:pPr>
            <w:r w:rsidRPr="00AF77AE">
              <w:rPr>
                <w:rFonts w:asciiTheme="minorHAnsi" w:eastAsiaTheme="minorHAnsi" w:hAnsiTheme="minorHAnsi" w:cstheme="minorBidi"/>
                <w:bCs/>
                <w:sz w:val="18"/>
                <w:szCs w:val="18"/>
                <w:lang w:eastAsia="en-US" w:bidi="ar-SA"/>
              </w:rPr>
              <w:t>29.8</w:t>
            </w:r>
          </w:p>
        </w:tc>
      </w:tr>
      <w:tr w:rsidR="00AF77AE" w:rsidRPr="0075294B" w14:paraId="67379A3B" w14:textId="77777777" w:rsidTr="00AF77AE">
        <w:trPr>
          <w:trHeight w:val="227"/>
        </w:trPr>
        <w:tc>
          <w:tcPr>
            <w:tcW w:w="3855" w:type="dxa"/>
            <w:tcBorders>
              <w:bottom w:val="single" w:sz="4" w:space="0" w:color="000000"/>
            </w:tcBorders>
          </w:tcPr>
          <w:p w14:paraId="0076919E" w14:textId="77777777" w:rsidR="00AF77AE" w:rsidRPr="005771B0" w:rsidRDefault="00AF77AE" w:rsidP="00AF77AE">
            <w:pPr>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Purchase of intangible assets</w:t>
            </w:r>
          </w:p>
        </w:tc>
        <w:tc>
          <w:tcPr>
            <w:tcW w:w="1247" w:type="dxa"/>
            <w:tcBorders>
              <w:bottom w:val="single" w:sz="4" w:space="0" w:color="000000"/>
            </w:tcBorders>
            <w:vAlign w:val="bottom"/>
          </w:tcPr>
          <w:p w14:paraId="5FBD1D28" w14:textId="77777777" w:rsidR="00AF77AE" w:rsidRPr="002C2661" w:rsidRDefault="00AF77AE" w:rsidP="00AF77AE">
            <w:pPr>
              <w:jc w:val="right"/>
              <w:rPr>
                <w:rFonts w:asciiTheme="minorHAnsi" w:eastAsiaTheme="minorHAnsi" w:hAnsiTheme="minorHAnsi" w:cstheme="minorBidi"/>
                <w:b/>
                <w:bCs/>
                <w:sz w:val="18"/>
                <w:szCs w:val="18"/>
                <w:lang w:eastAsia="en-US" w:bidi="ar-SA"/>
              </w:rPr>
            </w:pPr>
          </w:p>
        </w:tc>
        <w:tc>
          <w:tcPr>
            <w:tcW w:w="1247" w:type="dxa"/>
            <w:tcBorders>
              <w:bottom w:val="single" w:sz="4" w:space="0" w:color="000000"/>
            </w:tcBorders>
            <w:vAlign w:val="bottom"/>
          </w:tcPr>
          <w:p w14:paraId="751481AA" w14:textId="77777777" w:rsidR="00AF77AE" w:rsidRPr="0035290A" w:rsidRDefault="00AF77AE" w:rsidP="00AF77AE">
            <w:pPr>
              <w:jc w:val="right"/>
              <w:rPr>
                <w:rFonts w:asciiTheme="minorHAnsi" w:eastAsiaTheme="minorHAnsi" w:hAnsiTheme="minorHAnsi" w:cstheme="minorBidi"/>
                <w:b/>
                <w:bCs/>
                <w:sz w:val="18"/>
                <w:szCs w:val="18"/>
                <w:lang w:eastAsia="en-US" w:bidi="ar-SA"/>
              </w:rPr>
            </w:pPr>
          </w:p>
        </w:tc>
        <w:tc>
          <w:tcPr>
            <w:tcW w:w="739" w:type="dxa"/>
            <w:tcBorders>
              <w:bottom w:val="single" w:sz="4" w:space="0" w:color="000000"/>
            </w:tcBorders>
            <w:vAlign w:val="bottom"/>
          </w:tcPr>
          <w:p w14:paraId="2EBF3EE9" w14:textId="77777777" w:rsidR="00AF77AE" w:rsidRPr="00A46B58" w:rsidRDefault="00AF77AE" w:rsidP="00AF77AE">
            <w:pPr>
              <w:jc w:val="right"/>
              <w:rPr>
                <w:rFonts w:asciiTheme="minorHAnsi" w:eastAsiaTheme="minorHAnsi" w:hAnsiTheme="minorHAnsi" w:cstheme="minorBidi"/>
                <w:b/>
                <w:bCs/>
                <w:sz w:val="18"/>
                <w:szCs w:val="18"/>
                <w:lang w:eastAsia="en-US" w:bidi="ar-SA"/>
              </w:rPr>
            </w:pPr>
          </w:p>
        </w:tc>
        <w:tc>
          <w:tcPr>
            <w:tcW w:w="850" w:type="dxa"/>
            <w:tcBorders>
              <w:bottom w:val="single" w:sz="4" w:space="0" w:color="000000"/>
            </w:tcBorders>
            <w:vAlign w:val="bottom"/>
          </w:tcPr>
          <w:p w14:paraId="79DD36B3" w14:textId="77777777" w:rsidR="00AF77AE" w:rsidRPr="005C6F46" w:rsidRDefault="00AF77AE" w:rsidP="00AF77AE">
            <w:pPr>
              <w:jc w:val="right"/>
              <w:rPr>
                <w:rFonts w:asciiTheme="minorHAnsi" w:eastAsiaTheme="minorHAnsi" w:hAnsiTheme="minorHAnsi" w:cstheme="minorBidi"/>
                <w:sz w:val="18"/>
                <w:szCs w:val="18"/>
                <w:lang w:eastAsia="en-US" w:bidi="ar-SA"/>
              </w:rPr>
            </w:pPr>
          </w:p>
        </w:tc>
        <w:tc>
          <w:tcPr>
            <w:tcW w:w="1134" w:type="dxa"/>
            <w:tcBorders>
              <w:bottom w:val="single" w:sz="4" w:space="0" w:color="000000"/>
            </w:tcBorders>
            <w:vAlign w:val="bottom"/>
          </w:tcPr>
          <w:p w14:paraId="36886ADD" w14:textId="77777777" w:rsidR="00AF77AE" w:rsidRPr="00AF77AE" w:rsidRDefault="00086243" w:rsidP="00AF77AE">
            <w:pPr>
              <w:jc w:val="right"/>
              <w:rPr>
                <w:rFonts w:asciiTheme="minorHAnsi" w:eastAsiaTheme="minorHAnsi" w:hAnsiTheme="minorHAnsi" w:cstheme="minorBidi"/>
                <w:b/>
                <w:sz w:val="18"/>
                <w:szCs w:val="18"/>
                <w:lang w:eastAsia="en-US" w:bidi="ar-SA"/>
              </w:rPr>
            </w:pPr>
            <w:r>
              <w:rPr>
                <w:rFonts w:asciiTheme="minorHAnsi" w:eastAsiaTheme="minorHAnsi" w:hAnsiTheme="minorHAnsi" w:cstheme="minorBidi"/>
                <w:b/>
                <w:sz w:val="18"/>
                <w:szCs w:val="18"/>
                <w:lang w:eastAsia="en-US" w:bidi="ar-SA"/>
              </w:rPr>
              <w:t>3.1</w:t>
            </w:r>
          </w:p>
        </w:tc>
        <w:tc>
          <w:tcPr>
            <w:tcW w:w="1134" w:type="dxa"/>
            <w:tcBorders>
              <w:bottom w:val="single" w:sz="4" w:space="0" w:color="000000"/>
            </w:tcBorders>
            <w:vAlign w:val="bottom"/>
          </w:tcPr>
          <w:p w14:paraId="2A786140" w14:textId="77777777" w:rsidR="00AF77AE" w:rsidRPr="00AF77AE" w:rsidRDefault="00AF77AE" w:rsidP="00AF77AE">
            <w:pPr>
              <w:jc w:val="right"/>
              <w:rPr>
                <w:rFonts w:asciiTheme="minorHAnsi" w:eastAsiaTheme="minorHAnsi" w:hAnsiTheme="minorHAnsi" w:cstheme="minorBidi"/>
                <w:sz w:val="18"/>
                <w:szCs w:val="18"/>
                <w:lang w:eastAsia="en-US" w:bidi="ar-SA"/>
              </w:rPr>
            </w:pPr>
            <w:r w:rsidRPr="00AF77AE">
              <w:rPr>
                <w:rFonts w:asciiTheme="minorHAnsi" w:eastAsiaTheme="minorHAnsi" w:hAnsiTheme="minorHAnsi" w:cstheme="minorBidi"/>
                <w:bCs/>
                <w:sz w:val="18"/>
                <w:szCs w:val="18"/>
                <w:lang w:eastAsia="en-US" w:bidi="ar-SA"/>
              </w:rPr>
              <w:t>2.1</w:t>
            </w:r>
          </w:p>
        </w:tc>
      </w:tr>
      <w:tr w:rsidR="00AF77AE" w:rsidRPr="0075294B" w14:paraId="51DD11BC" w14:textId="77777777" w:rsidTr="0052744C">
        <w:trPr>
          <w:trHeight w:val="227"/>
        </w:trPr>
        <w:tc>
          <w:tcPr>
            <w:tcW w:w="3855" w:type="dxa"/>
            <w:tcBorders>
              <w:top w:val="single" w:sz="4" w:space="0" w:color="000000"/>
              <w:bottom w:val="single" w:sz="8" w:space="0" w:color="auto"/>
            </w:tcBorders>
          </w:tcPr>
          <w:p w14:paraId="5B24BC4C" w14:textId="77777777" w:rsidR="00AF77AE" w:rsidRPr="0035290A" w:rsidRDefault="00AF77AE" w:rsidP="00AF77AE">
            <w:pPr>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Net cash outflow from capital expenditure</w:t>
            </w:r>
          </w:p>
        </w:tc>
        <w:tc>
          <w:tcPr>
            <w:tcW w:w="1247" w:type="dxa"/>
            <w:tcBorders>
              <w:top w:val="single" w:sz="4" w:space="0" w:color="000000"/>
              <w:bottom w:val="single" w:sz="8" w:space="0" w:color="auto"/>
            </w:tcBorders>
            <w:vAlign w:val="bottom"/>
          </w:tcPr>
          <w:p w14:paraId="2B589AE9" w14:textId="77777777" w:rsidR="00AF77AE" w:rsidRPr="00A46B58" w:rsidRDefault="00AF77AE" w:rsidP="00AF77AE">
            <w:pPr>
              <w:jc w:val="right"/>
              <w:rPr>
                <w:rFonts w:asciiTheme="minorHAnsi" w:eastAsiaTheme="minorHAnsi" w:hAnsiTheme="minorHAnsi" w:cstheme="minorBidi"/>
                <w:b/>
                <w:bCs/>
                <w:sz w:val="18"/>
                <w:szCs w:val="18"/>
                <w:lang w:eastAsia="en-US" w:bidi="ar-SA"/>
              </w:rPr>
            </w:pPr>
          </w:p>
        </w:tc>
        <w:tc>
          <w:tcPr>
            <w:tcW w:w="1247" w:type="dxa"/>
            <w:tcBorders>
              <w:top w:val="single" w:sz="4" w:space="0" w:color="000000"/>
              <w:bottom w:val="single" w:sz="8" w:space="0" w:color="auto"/>
            </w:tcBorders>
            <w:vAlign w:val="bottom"/>
          </w:tcPr>
          <w:p w14:paraId="013B9452" w14:textId="77777777" w:rsidR="00AF77AE" w:rsidRPr="0035290A" w:rsidRDefault="00AF77AE" w:rsidP="00AF77AE">
            <w:pPr>
              <w:jc w:val="right"/>
              <w:rPr>
                <w:rFonts w:asciiTheme="minorHAnsi" w:eastAsiaTheme="minorHAnsi" w:hAnsiTheme="minorHAnsi" w:cstheme="minorBidi"/>
                <w:b/>
                <w:bCs/>
                <w:sz w:val="18"/>
                <w:szCs w:val="18"/>
                <w:lang w:eastAsia="en-US" w:bidi="ar-SA"/>
              </w:rPr>
            </w:pPr>
          </w:p>
        </w:tc>
        <w:tc>
          <w:tcPr>
            <w:tcW w:w="739" w:type="dxa"/>
            <w:tcBorders>
              <w:top w:val="single" w:sz="4" w:space="0" w:color="000000"/>
              <w:bottom w:val="single" w:sz="8" w:space="0" w:color="auto"/>
            </w:tcBorders>
            <w:vAlign w:val="bottom"/>
          </w:tcPr>
          <w:p w14:paraId="65B5BFB0" w14:textId="77777777" w:rsidR="00AF77AE" w:rsidRPr="00A46B58" w:rsidRDefault="00AF77AE" w:rsidP="00AF77AE">
            <w:pPr>
              <w:jc w:val="right"/>
              <w:rPr>
                <w:rFonts w:asciiTheme="minorHAnsi" w:eastAsiaTheme="minorHAnsi" w:hAnsiTheme="minorHAnsi" w:cstheme="minorBidi"/>
                <w:b/>
                <w:bCs/>
                <w:sz w:val="18"/>
                <w:szCs w:val="18"/>
                <w:lang w:eastAsia="en-US" w:bidi="ar-SA"/>
              </w:rPr>
            </w:pPr>
          </w:p>
        </w:tc>
        <w:tc>
          <w:tcPr>
            <w:tcW w:w="850" w:type="dxa"/>
            <w:tcBorders>
              <w:top w:val="single" w:sz="4" w:space="0" w:color="000000"/>
              <w:bottom w:val="single" w:sz="8" w:space="0" w:color="auto"/>
            </w:tcBorders>
            <w:vAlign w:val="bottom"/>
          </w:tcPr>
          <w:p w14:paraId="0887C218" w14:textId="77777777" w:rsidR="00AF77AE" w:rsidRPr="005C6F46" w:rsidRDefault="00AF77AE" w:rsidP="00AF77AE">
            <w:pPr>
              <w:jc w:val="right"/>
              <w:rPr>
                <w:rFonts w:asciiTheme="minorHAnsi" w:eastAsiaTheme="minorHAnsi" w:hAnsiTheme="minorHAnsi" w:cstheme="minorBidi"/>
                <w:sz w:val="18"/>
                <w:szCs w:val="18"/>
                <w:lang w:eastAsia="en-US" w:bidi="ar-SA"/>
              </w:rPr>
            </w:pPr>
          </w:p>
        </w:tc>
        <w:tc>
          <w:tcPr>
            <w:tcW w:w="1134" w:type="dxa"/>
            <w:tcBorders>
              <w:top w:val="single" w:sz="4" w:space="0" w:color="000000"/>
              <w:bottom w:val="single" w:sz="8" w:space="0" w:color="auto"/>
            </w:tcBorders>
            <w:vAlign w:val="bottom"/>
          </w:tcPr>
          <w:p w14:paraId="5B2DDB06" w14:textId="77777777" w:rsidR="00AF77AE" w:rsidRPr="00AF77AE" w:rsidRDefault="0052744C" w:rsidP="00AF77AE">
            <w:pPr>
              <w:jc w:val="right"/>
              <w:rPr>
                <w:rFonts w:asciiTheme="minorHAnsi" w:eastAsiaTheme="minorHAnsi" w:hAnsiTheme="minorHAnsi" w:cstheme="minorBidi"/>
                <w:b/>
                <w:sz w:val="18"/>
                <w:szCs w:val="18"/>
                <w:lang w:eastAsia="en-US" w:bidi="ar-SA"/>
              </w:rPr>
            </w:pPr>
            <w:r>
              <w:rPr>
                <w:rFonts w:asciiTheme="minorHAnsi" w:eastAsiaTheme="minorHAnsi" w:hAnsiTheme="minorHAnsi" w:cstheme="minorBidi"/>
                <w:b/>
                <w:sz w:val="18"/>
                <w:szCs w:val="18"/>
                <w:lang w:eastAsia="en-US" w:bidi="ar-SA"/>
              </w:rPr>
              <w:t>40.2</w:t>
            </w:r>
          </w:p>
        </w:tc>
        <w:tc>
          <w:tcPr>
            <w:tcW w:w="1134" w:type="dxa"/>
            <w:tcBorders>
              <w:top w:val="single" w:sz="4" w:space="0" w:color="000000"/>
              <w:bottom w:val="single" w:sz="8" w:space="0" w:color="auto"/>
            </w:tcBorders>
            <w:vAlign w:val="bottom"/>
          </w:tcPr>
          <w:p w14:paraId="093859E3" w14:textId="77777777" w:rsidR="00AF77AE" w:rsidRPr="00AF77AE" w:rsidRDefault="00AF77AE" w:rsidP="00AF77AE">
            <w:pPr>
              <w:jc w:val="right"/>
              <w:rPr>
                <w:rFonts w:asciiTheme="minorHAnsi" w:eastAsiaTheme="minorHAnsi" w:hAnsiTheme="minorHAnsi" w:cstheme="minorBidi"/>
                <w:sz w:val="18"/>
                <w:szCs w:val="18"/>
                <w:lang w:eastAsia="en-US" w:bidi="ar-SA"/>
              </w:rPr>
            </w:pPr>
            <w:r w:rsidRPr="00AF77AE">
              <w:rPr>
                <w:rFonts w:asciiTheme="minorHAnsi" w:eastAsiaTheme="minorHAnsi" w:hAnsiTheme="minorHAnsi" w:cstheme="minorBidi"/>
                <w:bCs/>
                <w:sz w:val="18"/>
                <w:szCs w:val="18"/>
                <w:lang w:eastAsia="en-US" w:bidi="ar-SA"/>
              </w:rPr>
              <w:t>31.9</w:t>
            </w:r>
          </w:p>
        </w:tc>
      </w:tr>
      <w:tr w:rsidR="00AF77AE" w:rsidRPr="0075294B" w14:paraId="364A0341" w14:textId="77777777" w:rsidTr="0052744C">
        <w:trPr>
          <w:trHeight w:val="227"/>
        </w:trPr>
        <w:tc>
          <w:tcPr>
            <w:tcW w:w="3855" w:type="dxa"/>
            <w:tcBorders>
              <w:top w:val="single" w:sz="8" w:space="0" w:color="auto"/>
            </w:tcBorders>
          </w:tcPr>
          <w:p w14:paraId="28FE42F3" w14:textId="77777777" w:rsidR="00AF77AE" w:rsidRPr="005771B0" w:rsidRDefault="00AF77AE" w:rsidP="00AF77AE">
            <w:pPr>
              <w:rPr>
                <w:rFonts w:asciiTheme="minorHAnsi" w:eastAsiaTheme="minorHAnsi" w:hAnsiTheme="minorHAnsi" w:cstheme="minorBidi"/>
                <w:sz w:val="18"/>
                <w:szCs w:val="18"/>
                <w:lang w:eastAsia="en-US" w:bidi="ar-SA"/>
              </w:rPr>
            </w:pPr>
          </w:p>
        </w:tc>
        <w:tc>
          <w:tcPr>
            <w:tcW w:w="1247" w:type="dxa"/>
            <w:tcBorders>
              <w:top w:val="single" w:sz="8" w:space="0" w:color="auto"/>
            </w:tcBorders>
            <w:vAlign w:val="bottom"/>
          </w:tcPr>
          <w:p w14:paraId="3D5B1C19" w14:textId="77777777" w:rsidR="00AF77AE" w:rsidRPr="0035290A" w:rsidRDefault="00AF77AE" w:rsidP="00AF77AE">
            <w:pPr>
              <w:jc w:val="right"/>
              <w:rPr>
                <w:rFonts w:asciiTheme="minorHAnsi" w:eastAsiaTheme="minorHAnsi" w:hAnsiTheme="minorHAnsi" w:cstheme="minorBidi"/>
                <w:b/>
                <w:bCs/>
                <w:sz w:val="18"/>
                <w:szCs w:val="18"/>
                <w:lang w:eastAsia="en-US" w:bidi="ar-SA"/>
              </w:rPr>
            </w:pPr>
          </w:p>
        </w:tc>
        <w:tc>
          <w:tcPr>
            <w:tcW w:w="1247" w:type="dxa"/>
            <w:tcBorders>
              <w:top w:val="single" w:sz="8" w:space="0" w:color="auto"/>
            </w:tcBorders>
            <w:vAlign w:val="bottom"/>
          </w:tcPr>
          <w:p w14:paraId="6B51D148" w14:textId="77777777" w:rsidR="00AF77AE" w:rsidRPr="002C2661" w:rsidRDefault="00AF77AE" w:rsidP="00AF77AE">
            <w:pPr>
              <w:jc w:val="right"/>
              <w:rPr>
                <w:rFonts w:asciiTheme="minorHAnsi" w:eastAsiaTheme="minorHAnsi" w:hAnsiTheme="minorHAnsi" w:cstheme="minorBidi"/>
                <w:b/>
                <w:bCs/>
                <w:sz w:val="18"/>
                <w:szCs w:val="18"/>
                <w:lang w:eastAsia="en-US" w:bidi="ar-SA"/>
              </w:rPr>
            </w:pPr>
          </w:p>
        </w:tc>
        <w:tc>
          <w:tcPr>
            <w:tcW w:w="739" w:type="dxa"/>
            <w:tcBorders>
              <w:top w:val="single" w:sz="8" w:space="0" w:color="auto"/>
            </w:tcBorders>
            <w:vAlign w:val="bottom"/>
          </w:tcPr>
          <w:p w14:paraId="3CD6AE11" w14:textId="77777777" w:rsidR="00AF77AE" w:rsidRPr="00A46B58" w:rsidRDefault="00AF77AE" w:rsidP="00AF77AE">
            <w:pPr>
              <w:jc w:val="right"/>
              <w:rPr>
                <w:rFonts w:asciiTheme="minorHAnsi" w:eastAsiaTheme="minorHAnsi" w:hAnsiTheme="minorHAnsi" w:cstheme="minorBidi"/>
                <w:b/>
                <w:bCs/>
                <w:sz w:val="18"/>
                <w:szCs w:val="18"/>
                <w:lang w:eastAsia="en-US" w:bidi="ar-SA"/>
              </w:rPr>
            </w:pPr>
          </w:p>
        </w:tc>
        <w:tc>
          <w:tcPr>
            <w:tcW w:w="850" w:type="dxa"/>
            <w:tcBorders>
              <w:top w:val="single" w:sz="8" w:space="0" w:color="auto"/>
            </w:tcBorders>
            <w:vAlign w:val="bottom"/>
          </w:tcPr>
          <w:p w14:paraId="12E0A635" w14:textId="77777777" w:rsidR="00AF77AE" w:rsidRPr="005C6F46" w:rsidRDefault="00AF77AE" w:rsidP="00AF77AE">
            <w:pPr>
              <w:jc w:val="right"/>
              <w:rPr>
                <w:rFonts w:asciiTheme="minorHAnsi" w:eastAsiaTheme="minorHAnsi" w:hAnsiTheme="minorHAnsi" w:cstheme="minorBidi"/>
                <w:sz w:val="18"/>
                <w:szCs w:val="18"/>
                <w:lang w:eastAsia="en-US" w:bidi="ar-SA"/>
              </w:rPr>
            </w:pPr>
          </w:p>
        </w:tc>
        <w:tc>
          <w:tcPr>
            <w:tcW w:w="1134" w:type="dxa"/>
            <w:tcBorders>
              <w:top w:val="single" w:sz="8" w:space="0" w:color="auto"/>
            </w:tcBorders>
            <w:vAlign w:val="bottom"/>
          </w:tcPr>
          <w:p w14:paraId="4F550589" w14:textId="77777777" w:rsidR="00AF77AE" w:rsidRPr="00AF77AE" w:rsidRDefault="00AF77AE" w:rsidP="00AF77AE">
            <w:pPr>
              <w:jc w:val="right"/>
              <w:rPr>
                <w:rFonts w:asciiTheme="minorHAnsi" w:eastAsiaTheme="minorHAnsi" w:hAnsiTheme="minorHAnsi" w:cstheme="minorBidi"/>
                <w:b/>
                <w:sz w:val="18"/>
                <w:szCs w:val="18"/>
                <w:lang w:eastAsia="en-US" w:bidi="ar-SA"/>
              </w:rPr>
            </w:pPr>
          </w:p>
        </w:tc>
        <w:tc>
          <w:tcPr>
            <w:tcW w:w="1134" w:type="dxa"/>
            <w:tcBorders>
              <w:top w:val="single" w:sz="8" w:space="0" w:color="auto"/>
            </w:tcBorders>
            <w:vAlign w:val="bottom"/>
          </w:tcPr>
          <w:p w14:paraId="0BC24126" w14:textId="77777777" w:rsidR="00AF77AE" w:rsidRPr="00AF77AE" w:rsidRDefault="00AF77AE" w:rsidP="00AF77AE">
            <w:pPr>
              <w:jc w:val="right"/>
              <w:rPr>
                <w:rFonts w:asciiTheme="minorHAnsi" w:eastAsiaTheme="minorHAnsi" w:hAnsiTheme="minorHAnsi" w:cstheme="minorBidi"/>
                <w:sz w:val="18"/>
                <w:szCs w:val="18"/>
                <w:lang w:eastAsia="en-US" w:bidi="ar-SA"/>
              </w:rPr>
            </w:pPr>
          </w:p>
        </w:tc>
      </w:tr>
      <w:tr w:rsidR="00AF77AE" w:rsidRPr="0075294B" w14:paraId="44485ED2" w14:textId="77777777" w:rsidTr="0052744C">
        <w:trPr>
          <w:trHeight w:val="227"/>
        </w:trPr>
        <w:tc>
          <w:tcPr>
            <w:tcW w:w="3855" w:type="dxa"/>
          </w:tcPr>
          <w:p w14:paraId="506BB425" w14:textId="77777777" w:rsidR="00AF77AE" w:rsidRPr="005771B0" w:rsidRDefault="00AF77AE" w:rsidP="00AF77AE">
            <w:pPr>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Strategic Capital Expenditure</w:t>
            </w:r>
          </w:p>
        </w:tc>
        <w:tc>
          <w:tcPr>
            <w:tcW w:w="1247" w:type="dxa"/>
            <w:vAlign w:val="bottom"/>
          </w:tcPr>
          <w:p w14:paraId="4EEADFFC" w14:textId="77777777" w:rsidR="00AF77AE" w:rsidRPr="002C2661" w:rsidRDefault="00AF77AE" w:rsidP="00AF77AE">
            <w:pPr>
              <w:jc w:val="right"/>
              <w:rPr>
                <w:rFonts w:asciiTheme="minorHAnsi" w:eastAsiaTheme="minorHAnsi" w:hAnsiTheme="minorHAnsi" w:cstheme="minorBidi"/>
                <w:b/>
                <w:bCs/>
                <w:sz w:val="18"/>
                <w:szCs w:val="18"/>
                <w:lang w:eastAsia="en-US" w:bidi="ar-SA"/>
              </w:rPr>
            </w:pPr>
          </w:p>
        </w:tc>
        <w:tc>
          <w:tcPr>
            <w:tcW w:w="1247" w:type="dxa"/>
            <w:vAlign w:val="bottom"/>
          </w:tcPr>
          <w:p w14:paraId="239F99A5" w14:textId="77777777" w:rsidR="00AF77AE" w:rsidRPr="0035290A" w:rsidRDefault="00AF77AE" w:rsidP="00AF77AE">
            <w:pPr>
              <w:jc w:val="right"/>
              <w:rPr>
                <w:rFonts w:asciiTheme="minorHAnsi" w:eastAsiaTheme="minorHAnsi" w:hAnsiTheme="minorHAnsi" w:cstheme="minorBidi"/>
                <w:b/>
                <w:bCs/>
                <w:sz w:val="18"/>
                <w:szCs w:val="18"/>
                <w:lang w:eastAsia="en-US" w:bidi="ar-SA"/>
              </w:rPr>
            </w:pPr>
          </w:p>
        </w:tc>
        <w:tc>
          <w:tcPr>
            <w:tcW w:w="739" w:type="dxa"/>
            <w:vAlign w:val="bottom"/>
          </w:tcPr>
          <w:p w14:paraId="3CD61347" w14:textId="77777777" w:rsidR="00AF77AE" w:rsidRPr="00A46B58" w:rsidRDefault="00AF77AE" w:rsidP="00AF77AE">
            <w:pPr>
              <w:jc w:val="right"/>
              <w:rPr>
                <w:rFonts w:asciiTheme="minorHAnsi" w:eastAsiaTheme="minorHAnsi" w:hAnsiTheme="minorHAnsi" w:cstheme="minorBidi"/>
                <w:b/>
                <w:bCs/>
                <w:sz w:val="18"/>
                <w:szCs w:val="18"/>
                <w:lang w:eastAsia="en-US" w:bidi="ar-SA"/>
              </w:rPr>
            </w:pPr>
          </w:p>
        </w:tc>
        <w:tc>
          <w:tcPr>
            <w:tcW w:w="850" w:type="dxa"/>
            <w:vAlign w:val="bottom"/>
          </w:tcPr>
          <w:p w14:paraId="7BAE5771" w14:textId="77777777" w:rsidR="00AF77AE" w:rsidRPr="005C6F46" w:rsidRDefault="00AF77AE" w:rsidP="00AF77AE">
            <w:pPr>
              <w:jc w:val="right"/>
              <w:rPr>
                <w:rFonts w:asciiTheme="minorHAnsi" w:eastAsiaTheme="minorHAnsi" w:hAnsiTheme="minorHAnsi" w:cstheme="minorBidi"/>
                <w:sz w:val="18"/>
                <w:szCs w:val="18"/>
                <w:lang w:eastAsia="en-US" w:bidi="ar-SA"/>
              </w:rPr>
            </w:pPr>
          </w:p>
        </w:tc>
        <w:tc>
          <w:tcPr>
            <w:tcW w:w="1134" w:type="dxa"/>
            <w:vAlign w:val="bottom"/>
          </w:tcPr>
          <w:p w14:paraId="6A5D8348" w14:textId="77777777" w:rsidR="00AF77AE" w:rsidRPr="00AF77AE" w:rsidRDefault="0052744C" w:rsidP="00AF77AE">
            <w:pPr>
              <w:jc w:val="right"/>
              <w:rPr>
                <w:rFonts w:asciiTheme="minorHAnsi" w:eastAsiaTheme="minorHAnsi" w:hAnsiTheme="minorHAnsi" w:cstheme="minorBidi"/>
                <w:b/>
                <w:sz w:val="18"/>
                <w:szCs w:val="18"/>
                <w:lang w:eastAsia="en-US" w:bidi="ar-SA"/>
              </w:rPr>
            </w:pPr>
            <w:r>
              <w:rPr>
                <w:rFonts w:asciiTheme="minorHAnsi" w:eastAsiaTheme="minorHAnsi" w:hAnsiTheme="minorHAnsi" w:cstheme="minorBidi"/>
                <w:b/>
                <w:sz w:val="18"/>
                <w:szCs w:val="18"/>
                <w:lang w:eastAsia="en-US" w:bidi="ar-SA"/>
              </w:rPr>
              <w:t>24.0</w:t>
            </w:r>
          </w:p>
        </w:tc>
        <w:tc>
          <w:tcPr>
            <w:tcW w:w="1134" w:type="dxa"/>
            <w:vAlign w:val="bottom"/>
          </w:tcPr>
          <w:p w14:paraId="20825D77" w14:textId="77777777" w:rsidR="00AF77AE" w:rsidRPr="00AF77AE" w:rsidRDefault="00AF77AE" w:rsidP="00AF77AE">
            <w:pPr>
              <w:jc w:val="right"/>
              <w:rPr>
                <w:rFonts w:asciiTheme="minorHAnsi" w:eastAsiaTheme="minorHAnsi" w:hAnsiTheme="minorHAnsi" w:cstheme="minorBidi"/>
                <w:sz w:val="18"/>
                <w:szCs w:val="18"/>
                <w:lang w:eastAsia="en-US" w:bidi="ar-SA"/>
              </w:rPr>
            </w:pPr>
            <w:r w:rsidRPr="00AF77AE">
              <w:rPr>
                <w:rFonts w:asciiTheme="minorHAnsi" w:eastAsiaTheme="minorHAnsi" w:hAnsiTheme="minorHAnsi" w:cstheme="minorBidi"/>
                <w:bCs/>
                <w:sz w:val="18"/>
                <w:szCs w:val="18"/>
                <w:lang w:eastAsia="en-US" w:bidi="ar-SA"/>
              </w:rPr>
              <w:t>13.0</w:t>
            </w:r>
          </w:p>
        </w:tc>
      </w:tr>
      <w:tr w:rsidR="00AF77AE" w:rsidRPr="0075294B" w14:paraId="5EE4F5F3" w14:textId="77777777" w:rsidTr="00AF77AE">
        <w:trPr>
          <w:trHeight w:val="227"/>
        </w:trPr>
        <w:tc>
          <w:tcPr>
            <w:tcW w:w="3855" w:type="dxa"/>
            <w:tcBorders>
              <w:bottom w:val="single" w:sz="4" w:space="0" w:color="000000"/>
            </w:tcBorders>
          </w:tcPr>
          <w:p w14:paraId="276A67CC" w14:textId="77777777" w:rsidR="00AF77AE" w:rsidRPr="0075294B" w:rsidRDefault="00AF77AE" w:rsidP="00AF77AE">
            <w:pPr>
              <w:rPr>
                <w:rFonts w:asciiTheme="minorHAnsi" w:eastAsiaTheme="minorHAnsi" w:hAnsiTheme="minorHAnsi" w:cstheme="minorBidi"/>
                <w:sz w:val="18"/>
                <w:szCs w:val="18"/>
                <w:lang w:eastAsia="en-US" w:bidi="ar-SA"/>
              </w:rPr>
            </w:pPr>
            <w:r w:rsidRPr="005771B0">
              <w:rPr>
                <w:rFonts w:asciiTheme="minorHAnsi" w:eastAsiaTheme="minorHAnsi" w:hAnsiTheme="minorHAnsi" w:cstheme="minorBidi"/>
                <w:sz w:val="18"/>
                <w:szCs w:val="18"/>
                <w:lang w:eastAsia="en-US" w:bidi="ar-SA"/>
              </w:rPr>
              <w:t>Maintenance Capital Expenditure</w:t>
            </w:r>
          </w:p>
        </w:tc>
        <w:tc>
          <w:tcPr>
            <w:tcW w:w="1247" w:type="dxa"/>
            <w:tcBorders>
              <w:bottom w:val="single" w:sz="4" w:space="0" w:color="000000"/>
            </w:tcBorders>
            <w:vAlign w:val="bottom"/>
          </w:tcPr>
          <w:p w14:paraId="381CB7DB" w14:textId="77777777" w:rsidR="00AF77AE" w:rsidRPr="002C2661" w:rsidRDefault="00AF77AE" w:rsidP="00AF77AE">
            <w:pPr>
              <w:jc w:val="right"/>
              <w:rPr>
                <w:rFonts w:asciiTheme="minorHAnsi" w:eastAsiaTheme="minorHAnsi" w:hAnsiTheme="minorHAnsi" w:cstheme="minorBidi"/>
                <w:b/>
                <w:bCs/>
                <w:sz w:val="18"/>
                <w:szCs w:val="18"/>
                <w:lang w:eastAsia="en-US" w:bidi="ar-SA"/>
              </w:rPr>
            </w:pPr>
          </w:p>
        </w:tc>
        <w:tc>
          <w:tcPr>
            <w:tcW w:w="1247" w:type="dxa"/>
            <w:tcBorders>
              <w:bottom w:val="single" w:sz="4" w:space="0" w:color="000000"/>
            </w:tcBorders>
            <w:vAlign w:val="bottom"/>
          </w:tcPr>
          <w:p w14:paraId="40C60F9F" w14:textId="77777777" w:rsidR="00AF77AE" w:rsidRPr="0035290A" w:rsidRDefault="00AF77AE" w:rsidP="00AF77AE">
            <w:pPr>
              <w:jc w:val="right"/>
              <w:rPr>
                <w:rFonts w:asciiTheme="minorHAnsi" w:eastAsiaTheme="minorHAnsi" w:hAnsiTheme="minorHAnsi" w:cstheme="minorBidi"/>
                <w:b/>
                <w:bCs/>
                <w:sz w:val="18"/>
                <w:szCs w:val="18"/>
                <w:lang w:eastAsia="en-US" w:bidi="ar-SA"/>
              </w:rPr>
            </w:pPr>
          </w:p>
        </w:tc>
        <w:tc>
          <w:tcPr>
            <w:tcW w:w="739" w:type="dxa"/>
            <w:tcBorders>
              <w:bottom w:val="single" w:sz="4" w:space="0" w:color="000000"/>
            </w:tcBorders>
            <w:vAlign w:val="bottom"/>
          </w:tcPr>
          <w:p w14:paraId="0952100C" w14:textId="77777777" w:rsidR="00AF77AE" w:rsidRPr="00A46B58" w:rsidRDefault="00AF77AE" w:rsidP="00AF77AE">
            <w:pPr>
              <w:jc w:val="right"/>
              <w:rPr>
                <w:rFonts w:asciiTheme="minorHAnsi" w:eastAsiaTheme="minorHAnsi" w:hAnsiTheme="minorHAnsi" w:cstheme="minorBidi"/>
                <w:b/>
                <w:bCs/>
                <w:sz w:val="18"/>
                <w:szCs w:val="18"/>
                <w:lang w:eastAsia="en-US" w:bidi="ar-SA"/>
              </w:rPr>
            </w:pPr>
          </w:p>
        </w:tc>
        <w:tc>
          <w:tcPr>
            <w:tcW w:w="850" w:type="dxa"/>
            <w:tcBorders>
              <w:bottom w:val="single" w:sz="4" w:space="0" w:color="000000"/>
            </w:tcBorders>
            <w:vAlign w:val="bottom"/>
          </w:tcPr>
          <w:p w14:paraId="2C3E4233" w14:textId="77777777" w:rsidR="00AF77AE" w:rsidRPr="005C6F46" w:rsidRDefault="00AF77AE" w:rsidP="00AF77AE">
            <w:pPr>
              <w:jc w:val="right"/>
              <w:rPr>
                <w:rFonts w:asciiTheme="minorHAnsi" w:eastAsiaTheme="minorHAnsi" w:hAnsiTheme="minorHAnsi" w:cstheme="minorBidi"/>
                <w:sz w:val="18"/>
                <w:szCs w:val="18"/>
                <w:lang w:eastAsia="en-US" w:bidi="ar-SA"/>
              </w:rPr>
            </w:pPr>
          </w:p>
        </w:tc>
        <w:tc>
          <w:tcPr>
            <w:tcW w:w="1134" w:type="dxa"/>
            <w:tcBorders>
              <w:bottom w:val="single" w:sz="4" w:space="0" w:color="000000"/>
            </w:tcBorders>
            <w:vAlign w:val="bottom"/>
          </w:tcPr>
          <w:p w14:paraId="6B7E6DF3" w14:textId="77777777" w:rsidR="00AF77AE" w:rsidRPr="00AF77AE" w:rsidRDefault="0052744C" w:rsidP="00AF77AE">
            <w:pPr>
              <w:jc w:val="right"/>
              <w:rPr>
                <w:rFonts w:asciiTheme="minorHAnsi" w:eastAsiaTheme="minorHAnsi" w:hAnsiTheme="minorHAnsi" w:cstheme="minorBidi"/>
                <w:b/>
                <w:sz w:val="18"/>
                <w:szCs w:val="18"/>
                <w:lang w:eastAsia="en-US" w:bidi="ar-SA"/>
              </w:rPr>
            </w:pPr>
            <w:r>
              <w:rPr>
                <w:rFonts w:asciiTheme="minorHAnsi" w:eastAsiaTheme="minorHAnsi" w:hAnsiTheme="minorHAnsi" w:cstheme="minorBidi"/>
                <w:b/>
                <w:sz w:val="18"/>
                <w:szCs w:val="18"/>
                <w:lang w:eastAsia="en-US" w:bidi="ar-SA"/>
              </w:rPr>
              <w:t>16.2</w:t>
            </w:r>
          </w:p>
        </w:tc>
        <w:tc>
          <w:tcPr>
            <w:tcW w:w="1134" w:type="dxa"/>
            <w:tcBorders>
              <w:bottom w:val="single" w:sz="4" w:space="0" w:color="000000"/>
            </w:tcBorders>
            <w:vAlign w:val="bottom"/>
          </w:tcPr>
          <w:p w14:paraId="6C4CF1CB" w14:textId="77777777" w:rsidR="00AF77AE" w:rsidRPr="00AF77AE" w:rsidRDefault="00AF77AE" w:rsidP="00AF77AE">
            <w:pPr>
              <w:jc w:val="right"/>
              <w:rPr>
                <w:rFonts w:asciiTheme="minorHAnsi" w:eastAsiaTheme="minorHAnsi" w:hAnsiTheme="minorHAnsi" w:cstheme="minorBidi"/>
                <w:sz w:val="18"/>
                <w:szCs w:val="18"/>
                <w:lang w:eastAsia="en-US" w:bidi="ar-SA"/>
              </w:rPr>
            </w:pPr>
            <w:r w:rsidRPr="00AF77AE">
              <w:rPr>
                <w:rFonts w:asciiTheme="minorHAnsi" w:eastAsiaTheme="minorHAnsi" w:hAnsiTheme="minorHAnsi" w:cstheme="minorBidi"/>
                <w:bCs/>
                <w:sz w:val="18"/>
                <w:szCs w:val="18"/>
                <w:lang w:eastAsia="en-US" w:bidi="ar-SA"/>
              </w:rPr>
              <w:t>18.9</w:t>
            </w:r>
          </w:p>
        </w:tc>
      </w:tr>
      <w:tr w:rsidR="00AF77AE" w:rsidRPr="0075294B" w14:paraId="4424E201" w14:textId="77777777" w:rsidTr="00AF77AE">
        <w:trPr>
          <w:trHeight w:val="227"/>
        </w:trPr>
        <w:tc>
          <w:tcPr>
            <w:tcW w:w="3855" w:type="dxa"/>
            <w:tcBorders>
              <w:top w:val="single" w:sz="4" w:space="0" w:color="000000"/>
              <w:bottom w:val="single" w:sz="4" w:space="0" w:color="000000"/>
            </w:tcBorders>
          </w:tcPr>
          <w:p w14:paraId="10BC5933" w14:textId="77777777" w:rsidR="00AF77AE" w:rsidRPr="005771B0" w:rsidRDefault="00AF77AE" w:rsidP="00AF77AE">
            <w:pPr>
              <w:rPr>
                <w:rFonts w:asciiTheme="minorHAnsi" w:eastAsiaTheme="minorHAnsi" w:hAnsiTheme="minorHAnsi" w:cstheme="minorBidi"/>
                <w:b/>
                <w:bCs/>
                <w:sz w:val="18"/>
                <w:szCs w:val="18"/>
                <w:lang w:eastAsia="en-US" w:bidi="ar-SA"/>
              </w:rPr>
            </w:pPr>
            <w:r w:rsidRPr="005771B0">
              <w:rPr>
                <w:rFonts w:asciiTheme="minorHAnsi" w:eastAsiaTheme="minorHAnsi" w:hAnsiTheme="minorHAnsi" w:cstheme="minorBidi"/>
                <w:b/>
                <w:bCs/>
                <w:sz w:val="18"/>
                <w:szCs w:val="18"/>
                <w:lang w:eastAsia="en-US" w:bidi="ar-SA"/>
              </w:rPr>
              <w:t>Net cash outflow from capital expenditure</w:t>
            </w:r>
          </w:p>
        </w:tc>
        <w:tc>
          <w:tcPr>
            <w:tcW w:w="1247" w:type="dxa"/>
            <w:tcBorders>
              <w:top w:val="single" w:sz="4" w:space="0" w:color="000000"/>
              <w:bottom w:val="single" w:sz="4" w:space="0" w:color="000000"/>
            </w:tcBorders>
            <w:vAlign w:val="bottom"/>
          </w:tcPr>
          <w:p w14:paraId="24B6BEEA" w14:textId="77777777" w:rsidR="00AF77AE" w:rsidRPr="005771B0" w:rsidRDefault="00AF77AE" w:rsidP="00AF77AE">
            <w:pPr>
              <w:jc w:val="right"/>
              <w:rPr>
                <w:rFonts w:asciiTheme="minorHAnsi" w:eastAsiaTheme="minorHAnsi" w:hAnsiTheme="minorHAnsi" w:cstheme="minorBidi"/>
                <w:b/>
                <w:bCs/>
                <w:sz w:val="18"/>
                <w:szCs w:val="18"/>
                <w:lang w:eastAsia="en-US" w:bidi="ar-SA"/>
              </w:rPr>
            </w:pPr>
          </w:p>
        </w:tc>
        <w:tc>
          <w:tcPr>
            <w:tcW w:w="1247" w:type="dxa"/>
            <w:tcBorders>
              <w:top w:val="single" w:sz="4" w:space="0" w:color="000000"/>
              <w:bottom w:val="single" w:sz="4" w:space="0" w:color="000000"/>
            </w:tcBorders>
            <w:vAlign w:val="bottom"/>
          </w:tcPr>
          <w:p w14:paraId="11C6D221" w14:textId="77777777" w:rsidR="00AF77AE" w:rsidRPr="005771B0" w:rsidRDefault="00AF77AE" w:rsidP="00AF77AE">
            <w:pPr>
              <w:jc w:val="right"/>
              <w:rPr>
                <w:rFonts w:asciiTheme="minorHAnsi" w:eastAsiaTheme="minorHAnsi" w:hAnsiTheme="minorHAnsi" w:cstheme="minorBidi"/>
                <w:b/>
                <w:bCs/>
                <w:sz w:val="18"/>
                <w:szCs w:val="18"/>
                <w:lang w:eastAsia="en-US" w:bidi="ar-SA"/>
              </w:rPr>
            </w:pPr>
          </w:p>
        </w:tc>
        <w:tc>
          <w:tcPr>
            <w:tcW w:w="739" w:type="dxa"/>
            <w:tcBorders>
              <w:top w:val="single" w:sz="4" w:space="0" w:color="000000"/>
              <w:bottom w:val="single" w:sz="4" w:space="0" w:color="000000"/>
            </w:tcBorders>
            <w:vAlign w:val="bottom"/>
          </w:tcPr>
          <w:p w14:paraId="1377FB88" w14:textId="77777777" w:rsidR="00AF77AE" w:rsidRPr="005771B0" w:rsidRDefault="00AF77AE" w:rsidP="00AF77AE">
            <w:pPr>
              <w:jc w:val="right"/>
              <w:rPr>
                <w:rFonts w:asciiTheme="minorHAnsi" w:eastAsiaTheme="minorHAnsi" w:hAnsiTheme="minorHAnsi" w:cstheme="minorBidi"/>
                <w:b/>
                <w:bCs/>
                <w:sz w:val="18"/>
                <w:szCs w:val="18"/>
                <w:lang w:eastAsia="en-US" w:bidi="ar-SA"/>
              </w:rPr>
            </w:pPr>
          </w:p>
        </w:tc>
        <w:tc>
          <w:tcPr>
            <w:tcW w:w="850" w:type="dxa"/>
            <w:tcBorders>
              <w:top w:val="single" w:sz="4" w:space="0" w:color="000000"/>
              <w:bottom w:val="single" w:sz="4" w:space="0" w:color="000000"/>
            </w:tcBorders>
            <w:vAlign w:val="bottom"/>
          </w:tcPr>
          <w:p w14:paraId="7CF94514" w14:textId="77777777" w:rsidR="00AF77AE" w:rsidRPr="005771B0" w:rsidRDefault="00AF77AE" w:rsidP="00AF77AE">
            <w:pPr>
              <w:jc w:val="right"/>
              <w:rPr>
                <w:rFonts w:asciiTheme="minorHAnsi" w:eastAsiaTheme="minorHAnsi" w:hAnsiTheme="minorHAnsi" w:cstheme="minorBidi"/>
                <w:sz w:val="18"/>
                <w:szCs w:val="18"/>
                <w:lang w:eastAsia="en-US" w:bidi="ar-SA"/>
              </w:rPr>
            </w:pPr>
          </w:p>
        </w:tc>
        <w:tc>
          <w:tcPr>
            <w:tcW w:w="1134" w:type="dxa"/>
            <w:tcBorders>
              <w:top w:val="single" w:sz="4" w:space="0" w:color="000000"/>
              <w:bottom w:val="single" w:sz="4" w:space="0" w:color="000000"/>
            </w:tcBorders>
            <w:vAlign w:val="bottom"/>
          </w:tcPr>
          <w:p w14:paraId="01DC04B5" w14:textId="77777777" w:rsidR="00AF77AE" w:rsidRPr="00AF77AE" w:rsidRDefault="0052744C" w:rsidP="00AF77AE">
            <w:pPr>
              <w:jc w:val="right"/>
              <w:rPr>
                <w:rFonts w:asciiTheme="minorHAnsi" w:eastAsiaTheme="minorHAnsi" w:hAnsiTheme="minorHAnsi" w:cstheme="minorBidi"/>
                <w:b/>
                <w:sz w:val="18"/>
                <w:szCs w:val="18"/>
                <w:lang w:eastAsia="en-US" w:bidi="ar-SA"/>
              </w:rPr>
            </w:pPr>
            <w:r>
              <w:rPr>
                <w:rFonts w:asciiTheme="minorHAnsi" w:eastAsiaTheme="minorHAnsi" w:hAnsiTheme="minorHAnsi" w:cstheme="minorBidi"/>
                <w:b/>
                <w:sz w:val="18"/>
                <w:szCs w:val="18"/>
                <w:lang w:eastAsia="en-US" w:bidi="ar-SA"/>
              </w:rPr>
              <w:t>40.2</w:t>
            </w:r>
          </w:p>
        </w:tc>
        <w:tc>
          <w:tcPr>
            <w:tcW w:w="1134" w:type="dxa"/>
            <w:tcBorders>
              <w:top w:val="single" w:sz="4" w:space="0" w:color="000000"/>
              <w:bottom w:val="single" w:sz="4" w:space="0" w:color="000000"/>
            </w:tcBorders>
            <w:vAlign w:val="bottom"/>
          </w:tcPr>
          <w:p w14:paraId="70AD51B8" w14:textId="77777777" w:rsidR="00AF77AE" w:rsidRPr="00AF77AE" w:rsidRDefault="00AF77AE" w:rsidP="00AF77AE">
            <w:pPr>
              <w:jc w:val="right"/>
              <w:rPr>
                <w:rFonts w:asciiTheme="minorHAnsi" w:eastAsiaTheme="minorHAnsi" w:hAnsiTheme="minorHAnsi" w:cstheme="minorBidi"/>
                <w:sz w:val="18"/>
                <w:szCs w:val="18"/>
                <w:lang w:eastAsia="en-US" w:bidi="ar-SA"/>
              </w:rPr>
            </w:pPr>
            <w:r w:rsidRPr="00AF77AE">
              <w:rPr>
                <w:rFonts w:asciiTheme="minorHAnsi" w:eastAsiaTheme="minorHAnsi" w:hAnsiTheme="minorHAnsi" w:cstheme="minorBidi"/>
                <w:bCs/>
                <w:sz w:val="18"/>
                <w:szCs w:val="18"/>
                <w:lang w:eastAsia="en-US" w:bidi="ar-SA"/>
              </w:rPr>
              <w:t>31.9</w:t>
            </w:r>
          </w:p>
        </w:tc>
      </w:tr>
    </w:tbl>
    <w:p w14:paraId="55FF08F8" w14:textId="77777777" w:rsidR="005B36AA" w:rsidRDefault="005B36AA" w:rsidP="005B36AA">
      <w:pPr>
        <w:pStyle w:val="BodyText"/>
      </w:pPr>
    </w:p>
    <w:p w14:paraId="4AE26EC0" w14:textId="77777777" w:rsidR="005B36AA" w:rsidRPr="006F03C7" w:rsidRDefault="005B36AA" w:rsidP="005B36AA">
      <w:pPr>
        <w:pStyle w:val="Heading2"/>
        <w:numPr>
          <w:ilvl w:val="0"/>
          <w:numId w:val="0"/>
        </w:numPr>
      </w:pPr>
      <w:r>
        <w:t>FREE CASH FLOW AND FREE CASH FLOW CONVERSION</w:t>
      </w:r>
    </w:p>
    <w:p w14:paraId="6BBFA9E4" w14:textId="77777777" w:rsidR="005B36AA" w:rsidRPr="003C79C5" w:rsidRDefault="005B36AA" w:rsidP="005B36AA">
      <w:pPr>
        <w:pStyle w:val="BodyText"/>
      </w:pPr>
    </w:p>
    <w:p w14:paraId="32E5907B" w14:textId="77777777" w:rsidR="005B36AA" w:rsidRPr="002A7FD2" w:rsidRDefault="005B36AA" w:rsidP="005B36AA">
      <w:pPr>
        <w:widowControl/>
        <w:adjustRightInd w:val="0"/>
        <w:jc w:val="both"/>
        <w:rPr>
          <w:rFonts w:asciiTheme="minorHAnsi" w:hAnsiTheme="minorHAnsi" w:cstheme="minorHAnsi"/>
          <w:sz w:val="18"/>
          <w:szCs w:val="18"/>
        </w:rPr>
      </w:pPr>
      <w:r w:rsidRPr="002A7FD2">
        <w:rPr>
          <w:rFonts w:asciiTheme="minorHAnsi" w:hAnsiTheme="minorHAnsi" w:cstheme="minorHAnsi"/>
          <w:sz w:val="18"/>
          <w:szCs w:val="18"/>
        </w:rPr>
        <w:t xml:space="preserve">The Group uses Free Cash Flow to measure the amount of </w:t>
      </w:r>
      <w:r>
        <w:rPr>
          <w:rFonts w:asciiTheme="minorHAnsi" w:hAnsiTheme="minorHAnsi" w:cstheme="minorHAnsi"/>
          <w:sz w:val="18"/>
          <w:szCs w:val="18"/>
        </w:rPr>
        <w:t xml:space="preserve">underlying cash generation and the </w:t>
      </w:r>
      <w:r w:rsidRPr="002A7FD2">
        <w:rPr>
          <w:rFonts w:asciiTheme="minorHAnsi" w:hAnsiTheme="minorHAnsi" w:cstheme="minorHAnsi"/>
          <w:sz w:val="18"/>
          <w:szCs w:val="18"/>
        </w:rPr>
        <w:t>cash available for distribution and allocation.</w:t>
      </w:r>
    </w:p>
    <w:p w14:paraId="2BE493E1" w14:textId="77777777" w:rsidR="005B36AA" w:rsidRPr="002A7FD2" w:rsidRDefault="005B36AA" w:rsidP="005B36AA">
      <w:pPr>
        <w:widowControl/>
        <w:adjustRightInd w:val="0"/>
        <w:jc w:val="both"/>
        <w:rPr>
          <w:rFonts w:asciiTheme="minorHAnsi" w:hAnsiTheme="minorHAnsi" w:cstheme="minorHAnsi"/>
          <w:sz w:val="18"/>
          <w:szCs w:val="18"/>
        </w:rPr>
      </w:pPr>
    </w:p>
    <w:p w14:paraId="7B09E65E" w14:textId="77777777" w:rsidR="005B36AA" w:rsidRDefault="005B36AA" w:rsidP="005B36AA">
      <w:pPr>
        <w:widowControl/>
        <w:adjustRightInd w:val="0"/>
        <w:jc w:val="both"/>
        <w:rPr>
          <w:rFonts w:asciiTheme="minorHAnsi" w:hAnsiTheme="minorHAnsi" w:cstheme="minorHAnsi"/>
          <w:sz w:val="18"/>
          <w:szCs w:val="18"/>
        </w:rPr>
      </w:pPr>
      <w:r w:rsidRPr="002A7FD2">
        <w:rPr>
          <w:rFonts w:asciiTheme="minorHAnsi" w:hAnsiTheme="minorHAnsi" w:cstheme="minorHAnsi"/>
          <w:sz w:val="18"/>
          <w:szCs w:val="18"/>
        </w:rPr>
        <w:t>The Group calculates the Free Cash Flow as the net cash inflow/outflow from operating and investing activities before Strategic Capital Expenditure,</w:t>
      </w:r>
      <w:r w:rsidR="00C94771">
        <w:rPr>
          <w:rFonts w:asciiTheme="minorHAnsi" w:hAnsiTheme="minorHAnsi" w:cstheme="minorHAnsi"/>
          <w:sz w:val="18"/>
          <w:szCs w:val="18"/>
        </w:rPr>
        <w:t xml:space="preserve"> repayment of lease liabilities,</w:t>
      </w:r>
      <w:r w:rsidRPr="002A7FD2">
        <w:rPr>
          <w:rFonts w:asciiTheme="minorHAnsi" w:hAnsiTheme="minorHAnsi" w:cstheme="minorHAnsi"/>
          <w:sz w:val="18"/>
          <w:szCs w:val="18"/>
        </w:rPr>
        <w:t xml:space="preserve"> acquisition and disposal of undertakings</w:t>
      </w:r>
      <w:r>
        <w:rPr>
          <w:rFonts w:asciiTheme="minorHAnsi" w:hAnsiTheme="minorHAnsi" w:cstheme="minorHAnsi"/>
          <w:sz w:val="18"/>
          <w:szCs w:val="18"/>
        </w:rPr>
        <w:t xml:space="preserve">, disposal of investment property </w:t>
      </w:r>
      <w:r w:rsidRPr="002A7FD2">
        <w:rPr>
          <w:rFonts w:asciiTheme="minorHAnsi" w:hAnsiTheme="minorHAnsi" w:cstheme="minorHAnsi"/>
          <w:sz w:val="18"/>
          <w:szCs w:val="18"/>
        </w:rPr>
        <w:t>and adjusting for dividends paid to non-controlling interests.</w:t>
      </w:r>
    </w:p>
    <w:p w14:paraId="45D796DD" w14:textId="77777777" w:rsidR="005B36AA" w:rsidRDefault="005B36AA" w:rsidP="005B36AA">
      <w:pPr>
        <w:widowControl/>
        <w:adjustRightInd w:val="0"/>
        <w:jc w:val="both"/>
        <w:rPr>
          <w:rFonts w:asciiTheme="minorHAnsi" w:hAnsiTheme="minorHAnsi" w:cstheme="minorHAnsi"/>
          <w:sz w:val="18"/>
          <w:szCs w:val="18"/>
        </w:rPr>
      </w:pPr>
    </w:p>
    <w:p w14:paraId="7AC379B8" w14:textId="77777777" w:rsidR="005B36AA" w:rsidRPr="002A7FD2" w:rsidRDefault="005B36AA" w:rsidP="005B36AA">
      <w:pPr>
        <w:widowControl/>
        <w:adjustRightInd w:val="0"/>
        <w:jc w:val="both"/>
        <w:rPr>
          <w:rFonts w:asciiTheme="minorHAnsi" w:hAnsiTheme="minorHAnsi" w:cstheme="minorHAnsi"/>
          <w:sz w:val="18"/>
          <w:szCs w:val="18"/>
        </w:rPr>
      </w:pPr>
      <w:r>
        <w:rPr>
          <w:rFonts w:asciiTheme="minorHAnsi" w:hAnsiTheme="minorHAnsi" w:cstheme="minorHAnsi"/>
          <w:sz w:val="18"/>
          <w:szCs w:val="18"/>
        </w:rPr>
        <w:t>The Group calculates Free Cash Flow Conversion as Free Cash Flow divided by Adjusted EBITDA.</w:t>
      </w:r>
    </w:p>
    <w:p w14:paraId="38217517" w14:textId="77777777" w:rsidR="005B36AA" w:rsidRPr="002A7FD2" w:rsidRDefault="005B36AA" w:rsidP="005B36AA">
      <w:pPr>
        <w:widowControl/>
        <w:adjustRightInd w:val="0"/>
        <w:jc w:val="both"/>
        <w:rPr>
          <w:rFonts w:asciiTheme="minorHAnsi" w:hAnsiTheme="minorHAnsi" w:cstheme="minorHAnsi"/>
          <w:sz w:val="18"/>
          <w:szCs w:val="18"/>
        </w:rPr>
      </w:pPr>
    </w:p>
    <w:p w14:paraId="7695C6E6" w14:textId="77777777" w:rsidR="005B36AA" w:rsidRPr="002A7FD2" w:rsidRDefault="005B36AA" w:rsidP="005B36AA">
      <w:pPr>
        <w:widowControl/>
        <w:adjustRightInd w:val="0"/>
        <w:jc w:val="both"/>
        <w:rPr>
          <w:rFonts w:asciiTheme="minorHAnsi" w:hAnsiTheme="minorHAnsi" w:cstheme="minorHAnsi"/>
          <w:sz w:val="18"/>
          <w:szCs w:val="18"/>
        </w:rPr>
      </w:pPr>
      <w:r w:rsidRPr="002A7FD2">
        <w:rPr>
          <w:rFonts w:asciiTheme="minorHAnsi" w:hAnsiTheme="minorHAnsi" w:cstheme="minorHAnsi"/>
          <w:sz w:val="18"/>
          <w:szCs w:val="18"/>
        </w:rPr>
        <w:t>The following table sets forth a reconciliation from the Group’s net cash inflow from operating activities and net cash outflow from investing activities to Free Cash Flow:</w:t>
      </w:r>
    </w:p>
    <w:p w14:paraId="6AFC53B2" w14:textId="77777777" w:rsidR="005B36AA" w:rsidRDefault="005B36AA" w:rsidP="005B36AA">
      <w:pPr>
        <w:pStyle w:val="BodyText"/>
      </w:pPr>
    </w:p>
    <w:tbl>
      <w:tblPr>
        <w:tblW w:w="10065" w:type="dxa"/>
        <w:tblLayout w:type="fixed"/>
        <w:tblLook w:val="01E0" w:firstRow="1" w:lastRow="1" w:firstColumn="1" w:lastColumn="1" w:noHBand="0" w:noVBand="0"/>
      </w:tblPr>
      <w:tblGrid>
        <w:gridCol w:w="5529"/>
        <w:gridCol w:w="567"/>
        <w:gridCol w:w="567"/>
        <w:gridCol w:w="567"/>
        <w:gridCol w:w="567"/>
        <w:gridCol w:w="1134"/>
        <w:gridCol w:w="1134"/>
      </w:tblGrid>
      <w:tr w:rsidR="005B36AA" w14:paraId="753A7B0F" w14:textId="77777777" w:rsidTr="00AF77AE">
        <w:trPr>
          <w:trHeight w:val="228"/>
        </w:trPr>
        <w:tc>
          <w:tcPr>
            <w:tcW w:w="5529" w:type="dxa"/>
            <w:tcBorders>
              <w:bottom w:val="single" w:sz="4" w:space="0" w:color="000000"/>
            </w:tcBorders>
            <w:vAlign w:val="bottom"/>
          </w:tcPr>
          <w:p w14:paraId="6D23D477" w14:textId="77777777" w:rsidR="005B36AA" w:rsidRPr="00E630A4" w:rsidRDefault="005B36AA" w:rsidP="005771B0"/>
        </w:tc>
        <w:tc>
          <w:tcPr>
            <w:tcW w:w="567" w:type="dxa"/>
            <w:tcBorders>
              <w:bottom w:val="single" w:sz="4" w:space="0" w:color="000000"/>
            </w:tcBorders>
            <w:vAlign w:val="bottom"/>
          </w:tcPr>
          <w:p w14:paraId="129ABC5D" w14:textId="77777777" w:rsidR="005B36AA" w:rsidRPr="00B47239" w:rsidRDefault="005B36AA" w:rsidP="005771B0">
            <w:pPr>
              <w:jc w:val="right"/>
              <w:rPr>
                <w:rFonts w:asciiTheme="minorHAnsi" w:eastAsiaTheme="minorHAnsi" w:hAnsiTheme="minorHAnsi" w:cstheme="minorBidi"/>
                <w:b/>
                <w:bCs/>
                <w:sz w:val="18"/>
                <w:szCs w:val="18"/>
                <w:lang w:eastAsia="en-US" w:bidi="ar-SA"/>
              </w:rPr>
            </w:pPr>
          </w:p>
        </w:tc>
        <w:tc>
          <w:tcPr>
            <w:tcW w:w="567" w:type="dxa"/>
            <w:tcBorders>
              <w:bottom w:val="single" w:sz="4" w:space="0" w:color="000000"/>
            </w:tcBorders>
            <w:vAlign w:val="bottom"/>
          </w:tcPr>
          <w:p w14:paraId="5538FB40" w14:textId="77777777" w:rsidR="005B36AA" w:rsidRPr="00BC3F98" w:rsidRDefault="005B36AA" w:rsidP="005771B0">
            <w:pPr>
              <w:jc w:val="right"/>
              <w:rPr>
                <w:rFonts w:asciiTheme="minorHAnsi" w:eastAsiaTheme="minorHAnsi" w:hAnsiTheme="minorHAnsi" w:cstheme="minorBidi"/>
                <w:b/>
                <w:bCs/>
                <w:sz w:val="18"/>
                <w:szCs w:val="18"/>
                <w:lang w:eastAsia="en-US" w:bidi="ar-SA"/>
              </w:rPr>
            </w:pPr>
          </w:p>
        </w:tc>
        <w:tc>
          <w:tcPr>
            <w:tcW w:w="567" w:type="dxa"/>
            <w:tcBorders>
              <w:bottom w:val="single" w:sz="4" w:space="0" w:color="000000"/>
            </w:tcBorders>
            <w:vAlign w:val="bottom"/>
          </w:tcPr>
          <w:p w14:paraId="060B9A53" w14:textId="77777777" w:rsidR="005B36AA" w:rsidRPr="00D85282" w:rsidRDefault="005B36AA" w:rsidP="005771B0">
            <w:pPr>
              <w:jc w:val="right"/>
              <w:rPr>
                <w:rFonts w:asciiTheme="minorHAnsi" w:eastAsiaTheme="minorHAnsi" w:hAnsiTheme="minorHAnsi" w:cstheme="minorBidi"/>
                <w:b/>
                <w:bCs/>
                <w:sz w:val="18"/>
                <w:szCs w:val="18"/>
                <w:lang w:eastAsia="en-US" w:bidi="ar-SA"/>
              </w:rPr>
            </w:pPr>
          </w:p>
        </w:tc>
        <w:tc>
          <w:tcPr>
            <w:tcW w:w="567" w:type="dxa"/>
            <w:tcBorders>
              <w:bottom w:val="single" w:sz="4" w:space="0" w:color="000000"/>
            </w:tcBorders>
            <w:vAlign w:val="bottom"/>
          </w:tcPr>
          <w:p w14:paraId="062C0DFD" w14:textId="77777777" w:rsidR="005B36AA" w:rsidRPr="0075294B" w:rsidRDefault="005B36AA" w:rsidP="005771B0">
            <w:pPr>
              <w:jc w:val="right"/>
              <w:rPr>
                <w:rFonts w:asciiTheme="minorHAnsi" w:eastAsiaTheme="minorHAnsi" w:hAnsiTheme="minorHAnsi" w:cstheme="minorBidi"/>
                <w:sz w:val="18"/>
                <w:szCs w:val="18"/>
                <w:lang w:eastAsia="en-US" w:bidi="ar-SA"/>
              </w:rPr>
            </w:pPr>
          </w:p>
        </w:tc>
        <w:tc>
          <w:tcPr>
            <w:tcW w:w="1134" w:type="dxa"/>
            <w:tcBorders>
              <w:bottom w:val="single" w:sz="4" w:space="0" w:color="000000"/>
            </w:tcBorders>
            <w:vAlign w:val="bottom"/>
          </w:tcPr>
          <w:p w14:paraId="63216059" w14:textId="77777777" w:rsidR="005B36AA" w:rsidRPr="00AF77AE" w:rsidRDefault="00AF77AE" w:rsidP="005771B0">
            <w:pPr>
              <w:jc w:val="right"/>
              <w:rPr>
                <w:rFonts w:asciiTheme="minorHAnsi" w:eastAsiaTheme="minorHAnsi" w:hAnsiTheme="minorHAnsi" w:cstheme="minorBidi"/>
                <w:b/>
                <w:sz w:val="18"/>
                <w:szCs w:val="18"/>
                <w:lang w:eastAsia="en-US" w:bidi="ar-SA"/>
              </w:rPr>
            </w:pPr>
            <w:r w:rsidRPr="00AF77AE">
              <w:rPr>
                <w:rFonts w:asciiTheme="minorHAnsi" w:eastAsiaTheme="minorHAnsi" w:hAnsiTheme="minorHAnsi" w:cstheme="minorBidi"/>
                <w:b/>
                <w:sz w:val="18"/>
                <w:szCs w:val="18"/>
                <w:lang w:eastAsia="en-US" w:bidi="ar-SA"/>
              </w:rPr>
              <w:t>2021</w:t>
            </w:r>
            <w:r w:rsidR="005B36AA" w:rsidRPr="00AF77AE">
              <w:rPr>
                <w:rFonts w:asciiTheme="minorHAnsi" w:eastAsiaTheme="minorHAnsi" w:hAnsiTheme="minorHAnsi" w:cstheme="minorBidi"/>
                <w:b/>
                <w:sz w:val="18"/>
                <w:szCs w:val="18"/>
                <w:lang w:eastAsia="en-US" w:bidi="ar-SA"/>
              </w:rPr>
              <w:br/>
              <w:t>£m</w:t>
            </w:r>
          </w:p>
        </w:tc>
        <w:tc>
          <w:tcPr>
            <w:tcW w:w="1134" w:type="dxa"/>
            <w:tcBorders>
              <w:bottom w:val="single" w:sz="4" w:space="0" w:color="000000"/>
            </w:tcBorders>
            <w:vAlign w:val="bottom"/>
          </w:tcPr>
          <w:p w14:paraId="127A3470" w14:textId="77777777" w:rsidR="005B36AA" w:rsidRPr="0075294B" w:rsidRDefault="00AF77AE" w:rsidP="005771B0">
            <w:pPr>
              <w:jc w:val="right"/>
              <w:rPr>
                <w:rFonts w:asciiTheme="minorHAnsi" w:eastAsiaTheme="minorHAnsi" w:hAnsiTheme="minorHAnsi" w:cstheme="minorBidi"/>
                <w:sz w:val="18"/>
                <w:szCs w:val="18"/>
                <w:lang w:eastAsia="en-US" w:bidi="ar-SA"/>
              </w:rPr>
            </w:pPr>
            <w:r>
              <w:rPr>
                <w:rFonts w:asciiTheme="minorHAnsi" w:eastAsiaTheme="minorHAnsi" w:hAnsiTheme="minorHAnsi" w:cstheme="minorBidi"/>
                <w:sz w:val="18"/>
                <w:szCs w:val="18"/>
                <w:lang w:eastAsia="en-US" w:bidi="ar-SA"/>
              </w:rPr>
              <w:t>2020</w:t>
            </w:r>
            <w:r w:rsidR="005B36AA" w:rsidRPr="0075294B">
              <w:rPr>
                <w:rFonts w:asciiTheme="minorHAnsi" w:eastAsiaTheme="minorHAnsi" w:hAnsiTheme="minorHAnsi" w:cstheme="minorBidi"/>
                <w:sz w:val="18"/>
                <w:szCs w:val="18"/>
                <w:lang w:eastAsia="en-US" w:bidi="ar-SA"/>
              </w:rPr>
              <w:br/>
              <w:t>£m</w:t>
            </w:r>
          </w:p>
        </w:tc>
      </w:tr>
      <w:tr w:rsidR="00AF77AE" w14:paraId="12D9B06B" w14:textId="77777777" w:rsidTr="00AF77AE">
        <w:trPr>
          <w:trHeight w:val="228"/>
        </w:trPr>
        <w:tc>
          <w:tcPr>
            <w:tcW w:w="5529" w:type="dxa"/>
            <w:vAlign w:val="bottom"/>
          </w:tcPr>
          <w:p w14:paraId="5F8FEE80" w14:textId="77777777" w:rsidR="00AF77AE" w:rsidRPr="00E630A4" w:rsidRDefault="00AF77AE" w:rsidP="0052744C">
            <w:r w:rsidRPr="00E630A4">
              <w:rPr>
                <w:rFonts w:asciiTheme="minorHAnsi" w:eastAsiaTheme="minorHAnsi" w:hAnsiTheme="minorHAnsi" w:cstheme="minorBidi"/>
                <w:sz w:val="18"/>
                <w:szCs w:val="18"/>
                <w:lang w:eastAsia="en-US" w:bidi="ar-SA"/>
              </w:rPr>
              <w:t>Net cash inflow from operating activities</w:t>
            </w:r>
          </w:p>
        </w:tc>
        <w:tc>
          <w:tcPr>
            <w:tcW w:w="567" w:type="dxa"/>
            <w:vAlign w:val="bottom"/>
          </w:tcPr>
          <w:p w14:paraId="2FBD8EAD" w14:textId="77777777" w:rsidR="00AF77AE" w:rsidRPr="0035290A" w:rsidRDefault="00AF77AE" w:rsidP="00AF77AE">
            <w:pPr>
              <w:jc w:val="right"/>
              <w:rPr>
                <w:bCs/>
              </w:rPr>
            </w:pPr>
          </w:p>
        </w:tc>
        <w:tc>
          <w:tcPr>
            <w:tcW w:w="567" w:type="dxa"/>
            <w:vAlign w:val="bottom"/>
          </w:tcPr>
          <w:p w14:paraId="16174516" w14:textId="77777777" w:rsidR="00AF77AE" w:rsidRPr="0035290A" w:rsidRDefault="00AF77AE" w:rsidP="00AF77AE">
            <w:pPr>
              <w:jc w:val="right"/>
              <w:rPr>
                <w:bCs/>
              </w:rPr>
            </w:pPr>
          </w:p>
        </w:tc>
        <w:tc>
          <w:tcPr>
            <w:tcW w:w="567" w:type="dxa"/>
            <w:vAlign w:val="bottom"/>
          </w:tcPr>
          <w:p w14:paraId="15C2265A" w14:textId="77777777" w:rsidR="00AF77AE" w:rsidRPr="0035290A" w:rsidRDefault="00AF77AE" w:rsidP="00AF77AE">
            <w:pPr>
              <w:jc w:val="right"/>
              <w:rPr>
                <w:bCs/>
              </w:rPr>
            </w:pPr>
          </w:p>
        </w:tc>
        <w:tc>
          <w:tcPr>
            <w:tcW w:w="567" w:type="dxa"/>
            <w:vAlign w:val="bottom"/>
          </w:tcPr>
          <w:p w14:paraId="5445F780" w14:textId="77777777" w:rsidR="00AF77AE" w:rsidRPr="00E630A4" w:rsidRDefault="00AF77AE" w:rsidP="00AF77AE">
            <w:pPr>
              <w:jc w:val="right"/>
            </w:pPr>
          </w:p>
        </w:tc>
        <w:tc>
          <w:tcPr>
            <w:tcW w:w="1134" w:type="dxa"/>
            <w:vAlign w:val="bottom"/>
          </w:tcPr>
          <w:p w14:paraId="1B34DB2B" w14:textId="77777777" w:rsidR="00AF77AE" w:rsidRPr="0052744C" w:rsidRDefault="0052744C" w:rsidP="00AF77AE">
            <w:pPr>
              <w:jc w:val="right"/>
              <w:rPr>
                <w:b/>
                <w:sz w:val="18"/>
                <w:szCs w:val="18"/>
              </w:rPr>
            </w:pPr>
            <w:r w:rsidRPr="0052744C">
              <w:rPr>
                <w:b/>
                <w:sz w:val="18"/>
                <w:szCs w:val="18"/>
              </w:rPr>
              <w:t>102.7</w:t>
            </w:r>
          </w:p>
        </w:tc>
        <w:tc>
          <w:tcPr>
            <w:tcW w:w="1134" w:type="dxa"/>
            <w:vAlign w:val="bottom"/>
          </w:tcPr>
          <w:p w14:paraId="55C8C927" w14:textId="77777777" w:rsidR="00AF77AE" w:rsidRPr="00AF77AE" w:rsidRDefault="00AF77AE" w:rsidP="00AF77AE">
            <w:pPr>
              <w:jc w:val="right"/>
            </w:pPr>
            <w:r w:rsidRPr="00AF77AE">
              <w:rPr>
                <w:rFonts w:asciiTheme="minorHAnsi" w:eastAsiaTheme="minorHAnsi" w:hAnsiTheme="minorHAnsi" w:cstheme="minorBidi"/>
                <w:bCs/>
                <w:sz w:val="18"/>
                <w:szCs w:val="18"/>
                <w:lang w:eastAsia="en-US" w:bidi="ar-SA"/>
              </w:rPr>
              <w:t>2.5</w:t>
            </w:r>
          </w:p>
        </w:tc>
      </w:tr>
      <w:tr w:rsidR="00AF77AE" w14:paraId="79238E78" w14:textId="77777777" w:rsidTr="00AF77AE">
        <w:trPr>
          <w:trHeight w:val="228"/>
        </w:trPr>
        <w:tc>
          <w:tcPr>
            <w:tcW w:w="5529" w:type="dxa"/>
            <w:tcBorders>
              <w:bottom w:val="single" w:sz="4" w:space="0" w:color="auto"/>
            </w:tcBorders>
            <w:vAlign w:val="bottom"/>
          </w:tcPr>
          <w:p w14:paraId="4451A4C7" w14:textId="77777777" w:rsidR="00AF77AE" w:rsidRPr="00E630A4" w:rsidRDefault="0052744C" w:rsidP="0052744C">
            <w:r>
              <w:rPr>
                <w:rFonts w:asciiTheme="minorHAnsi" w:eastAsiaTheme="minorHAnsi" w:hAnsiTheme="minorHAnsi" w:cstheme="minorBidi"/>
                <w:sz w:val="18"/>
                <w:szCs w:val="18"/>
                <w:lang w:eastAsia="en-US" w:bidi="ar-SA"/>
              </w:rPr>
              <w:t>Net cash outflow</w:t>
            </w:r>
            <w:r w:rsidR="00AF77AE" w:rsidRPr="00E630A4">
              <w:rPr>
                <w:rFonts w:asciiTheme="minorHAnsi" w:eastAsiaTheme="minorHAnsi" w:hAnsiTheme="minorHAnsi" w:cstheme="minorBidi"/>
                <w:sz w:val="18"/>
                <w:szCs w:val="18"/>
                <w:lang w:eastAsia="en-US" w:bidi="ar-SA"/>
              </w:rPr>
              <w:t xml:space="preserve"> from investing activities</w:t>
            </w:r>
          </w:p>
        </w:tc>
        <w:tc>
          <w:tcPr>
            <w:tcW w:w="567" w:type="dxa"/>
            <w:tcBorders>
              <w:bottom w:val="single" w:sz="4" w:space="0" w:color="auto"/>
            </w:tcBorders>
            <w:vAlign w:val="bottom"/>
          </w:tcPr>
          <w:p w14:paraId="0B2B5112" w14:textId="77777777" w:rsidR="00AF77AE" w:rsidRPr="0035290A" w:rsidRDefault="00AF77AE" w:rsidP="00AF77AE">
            <w:pPr>
              <w:jc w:val="right"/>
              <w:rPr>
                <w:bCs/>
              </w:rPr>
            </w:pPr>
          </w:p>
        </w:tc>
        <w:tc>
          <w:tcPr>
            <w:tcW w:w="567" w:type="dxa"/>
            <w:tcBorders>
              <w:bottom w:val="single" w:sz="4" w:space="0" w:color="auto"/>
            </w:tcBorders>
            <w:vAlign w:val="bottom"/>
          </w:tcPr>
          <w:p w14:paraId="17D1CCCC" w14:textId="77777777" w:rsidR="00AF77AE" w:rsidRPr="0035290A" w:rsidRDefault="00AF77AE" w:rsidP="00AF77AE">
            <w:pPr>
              <w:jc w:val="right"/>
              <w:rPr>
                <w:bCs/>
              </w:rPr>
            </w:pPr>
          </w:p>
        </w:tc>
        <w:tc>
          <w:tcPr>
            <w:tcW w:w="567" w:type="dxa"/>
            <w:tcBorders>
              <w:bottom w:val="single" w:sz="4" w:space="0" w:color="auto"/>
            </w:tcBorders>
            <w:vAlign w:val="bottom"/>
          </w:tcPr>
          <w:p w14:paraId="66AA7CDB" w14:textId="77777777" w:rsidR="00AF77AE" w:rsidRPr="0035290A" w:rsidRDefault="00AF77AE" w:rsidP="00AF77AE">
            <w:pPr>
              <w:jc w:val="right"/>
              <w:rPr>
                <w:bCs/>
              </w:rPr>
            </w:pPr>
          </w:p>
        </w:tc>
        <w:tc>
          <w:tcPr>
            <w:tcW w:w="567" w:type="dxa"/>
            <w:tcBorders>
              <w:bottom w:val="single" w:sz="4" w:space="0" w:color="auto"/>
            </w:tcBorders>
            <w:vAlign w:val="bottom"/>
          </w:tcPr>
          <w:p w14:paraId="3584DA17" w14:textId="77777777" w:rsidR="00AF77AE" w:rsidRPr="00E630A4" w:rsidRDefault="00AF77AE" w:rsidP="00AF77AE">
            <w:pPr>
              <w:jc w:val="right"/>
            </w:pPr>
          </w:p>
        </w:tc>
        <w:tc>
          <w:tcPr>
            <w:tcW w:w="1134" w:type="dxa"/>
            <w:tcBorders>
              <w:bottom w:val="single" w:sz="4" w:space="0" w:color="auto"/>
            </w:tcBorders>
            <w:vAlign w:val="bottom"/>
          </w:tcPr>
          <w:p w14:paraId="44AF79D9" w14:textId="77777777" w:rsidR="00AF77AE" w:rsidRPr="0052744C" w:rsidRDefault="0052744C" w:rsidP="00AF77AE">
            <w:pPr>
              <w:jc w:val="right"/>
              <w:rPr>
                <w:b/>
                <w:sz w:val="18"/>
                <w:szCs w:val="18"/>
              </w:rPr>
            </w:pPr>
            <w:r>
              <w:rPr>
                <w:b/>
                <w:sz w:val="18"/>
                <w:szCs w:val="18"/>
              </w:rPr>
              <w:t>(17.6)</w:t>
            </w:r>
          </w:p>
        </w:tc>
        <w:tc>
          <w:tcPr>
            <w:tcW w:w="1134" w:type="dxa"/>
            <w:tcBorders>
              <w:bottom w:val="single" w:sz="4" w:space="0" w:color="auto"/>
            </w:tcBorders>
            <w:vAlign w:val="bottom"/>
          </w:tcPr>
          <w:p w14:paraId="1AE25D57" w14:textId="77777777" w:rsidR="00AF77AE" w:rsidRPr="00AF77AE" w:rsidRDefault="00AF77AE" w:rsidP="00AF77AE">
            <w:pPr>
              <w:jc w:val="right"/>
            </w:pPr>
            <w:r w:rsidRPr="00AF77AE">
              <w:rPr>
                <w:rFonts w:asciiTheme="minorHAnsi" w:eastAsiaTheme="minorHAnsi" w:hAnsiTheme="minorHAnsi" w:cstheme="minorBidi"/>
                <w:bCs/>
                <w:sz w:val="18"/>
                <w:szCs w:val="18"/>
                <w:lang w:eastAsia="en-US" w:bidi="ar-SA"/>
              </w:rPr>
              <w:t>(31.6)</w:t>
            </w:r>
          </w:p>
        </w:tc>
      </w:tr>
      <w:tr w:rsidR="00AF77AE" w14:paraId="5D9ED94C" w14:textId="77777777" w:rsidTr="00AF77AE">
        <w:trPr>
          <w:trHeight w:val="228"/>
        </w:trPr>
        <w:tc>
          <w:tcPr>
            <w:tcW w:w="5529" w:type="dxa"/>
            <w:tcBorders>
              <w:top w:val="single" w:sz="4" w:space="0" w:color="auto"/>
            </w:tcBorders>
            <w:vAlign w:val="bottom"/>
          </w:tcPr>
          <w:p w14:paraId="641D96D0" w14:textId="77777777" w:rsidR="00AF77AE" w:rsidRPr="0035290A" w:rsidRDefault="00AF77AE" w:rsidP="0052744C">
            <w:pPr>
              <w:rPr>
                <w:b/>
                <w:bCs/>
              </w:rPr>
            </w:pPr>
            <w:r w:rsidRPr="005771B0">
              <w:rPr>
                <w:rFonts w:asciiTheme="minorHAnsi" w:eastAsiaTheme="minorHAnsi" w:hAnsiTheme="minorHAnsi" w:cstheme="minorBidi"/>
                <w:b/>
                <w:bCs/>
                <w:sz w:val="18"/>
                <w:szCs w:val="18"/>
                <w:lang w:eastAsia="en-US" w:bidi="ar-SA"/>
              </w:rPr>
              <w:lastRenderedPageBreak/>
              <w:t>Net cash inflow</w:t>
            </w:r>
            <w:r w:rsidR="0052744C">
              <w:rPr>
                <w:rFonts w:asciiTheme="minorHAnsi" w:eastAsiaTheme="minorHAnsi" w:hAnsiTheme="minorHAnsi" w:cstheme="minorBidi"/>
                <w:b/>
                <w:bCs/>
                <w:sz w:val="18"/>
                <w:szCs w:val="18"/>
                <w:lang w:eastAsia="en-US" w:bidi="ar-SA"/>
              </w:rPr>
              <w:t>/(outflow)</w:t>
            </w:r>
            <w:r w:rsidRPr="005771B0">
              <w:rPr>
                <w:rFonts w:asciiTheme="minorHAnsi" w:eastAsiaTheme="minorHAnsi" w:hAnsiTheme="minorHAnsi" w:cstheme="minorBidi"/>
                <w:b/>
                <w:bCs/>
                <w:sz w:val="18"/>
                <w:szCs w:val="18"/>
                <w:lang w:eastAsia="en-US" w:bidi="ar-SA"/>
              </w:rPr>
              <w:t xml:space="preserve"> from operating and investing activities</w:t>
            </w:r>
          </w:p>
        </w:tc>
        <w:tc>
          <w:tcPr>
            <w:tcW w:w="567" w:type="dxa"/>
            <w:tcBorders>
              <w:top w:val="single" w:sz="4" w:space="0" w:color="auto"/>
            </w:tcBorders>
            <w:vAlign w:val="bottom"/>
          </w:tcPr>
          <w:p w14:paraId="5E2FA844" w14:textId="77777777" w:rsidR="00AF77AE" w:rsidRPr="0035290A" w:rsidRDefault="00AF77AE" w:rsidP="00AF77AE">
            <w:pPr>
              <w:jc w:val="right"/>
              <w:rPr>
                <w:bCs/>
              </w:rPr>
            </w:pPr>
          </w:p>
        </w:tc>
        <w:tc>
          <w:tcPr>
            <w:tcW w:w="567" w:type="dxa"/>
            <w:tcBorders>
              <w:top w:val="single" w:sz="4" w:space="0" w:color="auto"/>
            </w:tcBorders>
            <w:vAlign w:val="bottom"/>
          </w:tcPr>
          <w:p w14:paraId="65571876" w14:textId="77777777" w:rsidR="00AF77AE" w:rsidRPr="0035290A" w:rsidRDefault="00AF77AE" w:rsidP="00AF77AE">
            <w:pPr>
              <w:jc w:val="right"/>
              <w:rPr>
                <w:bCs/>
              </w:rPr>
            </w:pPr>
          </w:p>
        </w:tc>
        <w:tc>
          <w:tcPr>
            <w:tcW w:w="567" w:type="dxa"/>
            <w:tcBorders>
              <w:top w:val="single" w:sz="4" w:space="0" w:color="auto"/>
            </w:tcBorders>
            <w:vAlign w:val="bottom"/>
          </w:tcPr>
          <w:p w14:paraId="595245F3" w14:textId="77777777" w:rsidR="00AF77AE" w:rsidRPr="0035290A" w:rsidRDefault="00AF77AE" w:rsidP="00AF77AE">
            <w:pPr>
              <w:jc w:val="right"/>
              <w:rPr>
                <w:bCs/>
              </w:rPr>
            </w:pPr>
          </w:p>
        </w:tc>
        <w:tc>
          <w:tcPr>
            <w:tcW w:w="567" w:type="dxa"/>
            <w:tcBorders>
              <w:top w:val="single" w:sz="4" w:space="0" w:color="auto"/>
            </w:tcBorders>
            <w:vAlign w:val="bottom"/>
          </w:tcPr>
          <w:p w14:paraId="4452685F" w14:textId="77777777" w:rsidR="00AF77AE" w:rsidRPr="00E630A4" w:rsidRDefault="00AF77AE" w:rsidP="00AF77AE">
            <w:pPr>
              <w:jc w:val="right"/>
            </w:pPr>
          </w:p>
        </w:tc>
        <w:tc>
          <w:tcPr>
            <w:tcW w:w="1134" w:type="dxa"/>
            <w:tcBorders>
              <w:top w:val="single" w:sz="4" w:space="0" w:color="auto"/>
            </w:tcBorders>
            <w:vAlign w:val="bottom"/>
          </w:tcPr>
          <w:p w14:paraId="287AF056" w14:textId="77777777" w:rsidR="00AF77AE" w:rsidRPr="0052744C" w:rsidRDefault="0052744C" w:rsidP="00AF77AE">
            <w:pPr>
              <w:jc w:val="right"/>
              <w:rPr>
                <w:b/>
                <w:sz w:val="18"/>
                <w:szCs w:val="18"/>
              </w:rPr>
            </w:pPr>
            <w:r>
              <w:rPr>
                <w:b/>
                <w:sz w:val="18"/>
                <w:szCs w:val="18"/>
              </w:rPr>
              <w:t>85.1</w:t>
            </w:r>
          </w:p>
        </w:tc>
        <w:tc>
          <w:tcPr>
            <w:tcW w:w="1134" w:type="dxa"/>
            <w:tcBorders>
              <w:top w:val="single" w:sz="4" w:space="0" w:color="auto"/>
            </w:tcBorders>
            <w:vAlign w:val="bottom"/>
          </w:tcPr>
          <w:p w14:paraId="0F62D555" w14:textId="77777777" w:rsidR="00AF77AE" w:rsidRPr="00AF77AE" w:rsidRDefault="00AF77AE" w:rsidP="00AF77AE">
            <w:pPr>
              <w:jc w:val="right"/>
            </w:pPr>
            <w:r w:rsidRPr="00AF77AE">
              <w:rPr>
                <w:rFonts w:asciiTheme="minorHAnsi" w:eastAsiaTheme="minorHAnsi" w:hAnsiTheme="minorHAnsi" w:cstheme="minorBidi"/>
                <w:bCs/>
                <w:sz w:val="18"/>
                <w:szCs w:val="18"/>
                <w:lang w:eastAsia="en-US" w:bidi="ar-SA"/>
              </w:rPr>
              <w:t>(29.1)</w:t>
            </w:r>
          </w:p>
        </w:tc>
      </w:tr>
      <w:tr w:rsidR="00AF77AE" w14:paraId="36F7AD6E" w14:textId="77777777" w:rsidTr="00AF77AE">
        <w:trPr>
          <w:trHeight w:val="228"/>
        </w:trPr>
        <w:tc>
          <w:tcPr>
            <w:tcW w:w="5529" w:type="dxa"/>
            <w:vAlign w:val="bottom"/>
          </w:tcPr>
          <w:p w14:paraId="32031406" w14:textId="77777777" w:rsidR="00AF77AE" w:rsidRPr="00E630A4" w:rsidRDefault="00AF77AE" w:rsidP="00AF77AE">
            <w:r w:rsidRPr="00E630A4">
              <w:rPr>
                <w:rFonts w:asciiTheme="minorHAnsi" w:eastAsiaTheme="minorHAnsi" w:hAnsiTheme="minorHAnsi" w:cstheme="minorBidi"/>
                <w:sz w:val="18"/>
                <w:szCs w:val="18"/>
                <w:lang w:eastAsia="en-US" w:bidi="ar-SA"/>
              </w:rPr>
              <w:t>Strategic Capital Expenditure</w:t>
            </w:r>
          </w:p>
        </w:tc>
        <w:tc>
          <w:tcPr>
            <w:tcW w:w="567" w:type="dxa"/>
            <w:vAlign w:val="bottom"/>
          </w:tcPr>
          <w:p w14:paraId="3B23F4BC" w14:textId="77777777" w:rsidR="00AF77AE" w:rsidRPr="002C2661" w:rsidRDefault="00AF77AE" w:rsidP="00AF77AE">
            <w:pPr>
              <w:jc w:val="right"/>
              <w:rPr>
                <w:rFonts w:asciiTheme="minorHAnsi" w:eastAsiaTheme="minorHAnsi" w:hAnsiTheme="minorHAnsi" w:cstheme="minorBidi"/>
                <w:b/>
                <w:bCs/>
                <w:sz w:val="18"/>
                <w:szCs w:val="18"/>
                <w:lang w:eastAsia="en-US" w:bidi="ar-SA"/>
              </w:rPr>
            </w:pPr>
          </w:p>
        </w:tc>
        <w:tc>
          <w:tcPr>
            <w:tcW w:w="567" w:type="dxa"/>
            <w:vAlign w:val="bottom"/>
          </w:tcPr>
          <w:p w14:paraId="6D709FDE" w14:textId="77777777" w:rsidR="00AF77AE" w:rsidRPr="0035290A" w:rsidRDefault="00AF77AE" w:rsidP="00AF77AE">
            <w:pPr>
              <w:jc w:val="right"/>
              <w:rPr>
                <w:bCs/>
              </w:rPr>
            </w:pPr>
          </w:p>
        </w:tc>
        <w:tc>
          <w:tcPr>
            <w:tcW w:w="567" w:type="dxa"/>
            <w:vAlign w:val="bottom"/>
          </w:tcPr>
          <w:p w14:paraId="14B2041B" w14:textId="77777777" w:rsidR="00AF77AE" w:rsidRPr="0035290A" w:rsidRDefault="00AF77AE" w:rsidP="00AF77AE">
            <w:pPr>
              <w:jc w:val="right"/>
              <w:rPr>
                <w:bCs/>
              </w:rPr>
            </w:pPr>
          </w:p>
        </w:tc>
        <w:tc>
          <w:tcPr>
            <w:tcW w:w="567" w:type="dxa"/>
            <w:vAlign w:val="bottom"/>
          </w:tcPr>
          <w:p w14:paraId="0C544E69" w14:textId="77777777" w:rsidR="00AF77AE" w:rsidRPr="005C6F46" w:rsidRDefault="00AF77AE" w:rsidP="00AF77AE">
            <w:pPr>
              <w:jc w:val="right"/>
              <w:rPr>
                <w:rFonts w:asciiTheme="minorHAnsi" w:eastAsiaTheme="minorHAnsi" w:hAnsiTheme="minorHAnsi" w:cstheme="minorBidi"/>
                <w:sz w:val="18"/>
                <w:szCs w:val="18"/>
                <w:lang w:eastAsia="en-US" w:bidi="ar-SA"/>
              </w:rPr>
            </w:pPr>
          </w:p>
        </w:tc>
        <w:tc>
          <w:tcPr>
            <w:tcW w:w="1134" w:type="dxa"/>
            <w:vAlign w:val="bottom"/>
          </w:tcPr>
          <w:p w14:paraId="1950DA61" w14:textId="77777777" w:rsidR="00AF77AE" w:rsidRPr="0052744C" w:rsidRDefault="0052744C" w:rsidP="00AF77AE">
            <w:pPr>
              <w:jc w:val="right"/>
              <w:rPr>
                <w:b/>
                <w:sz w:val="18"/>
                <w:szCs w:val="18"/>
              </w:rPr>
            </w:pPr>
            <w:r>
              <w:rPr>
                <w:b/>
                <w:sz w:val="18"/>
                <w:szCs w:val="18"/>
              </w:rPr>
              <w:t>24.0</w:t>
            </w:r>
          </w:p>
        </w:tc>
        <w:tc>
          <w:tcPr>
            <w:tcW w:w="1134" w:type="dxa"/>
            <w:vAlign w:val="bottom"/>
          </w:tcPr>
          <w:p w14:paraId="4DD6729C" w14:textId="77777777" w:rsidR="00AF77AE" w:rsidRPr="00AF77AE" w:rsidRDefault="00AF77AE" w:rsidP="00AF77AE">
            <w:pPr>
              <w:jc w:val="right"/>
            </w:pPr>
            <w:r w:rsidRPr="00AF77AE">
              <w:rPr>
                <w:rFonts w:asciiTheme="minorHAnsi" w:eastAsiaTheme="minorHAnsi" w:hAnsiTheme="minorHAnsi" w:cstheme="minorBidi"/>
                <w:bCs/>
                <w:sz w:val="18"/>
                <w:szCs w:val="18"/>
                <w:lang w:eastAsia="en-US" w:bidi="ar-SA"/>
              </w:rPr>
              <w:t>13.0</w:t>
            </w:r>
          </w:p>
        </w:tc>
      </w:tr>
      <w:tr w:rsidR="00AF77AE" w14:paraId="545194C0" w14:textId="77777777" w:rsidTr="00AF77AE">
        <w:trPr>
          <w:trHeight w:val="228"/>
        </w:trPr>
        <w:tc>
          <w:tcPr>
            <w:tcW w:w="5529" w:type="dxa"/>
            <w:vAlign w:val="bottom"/>
          </w:tcPr>
          <w:p w14:paraId="56C517DF" w14:textId="77777777" w:rsidR="00AF77AE" w:rsidRPr="00E630A4" w:rsidRDefault="00AF77AE" w:rsidP="00AF77AE">
            <w:r w:rsidRPr="00E630A4">
              <w:rPr>
                <w:rFonts w:asciiTheme="minorHAnsi" w:eastAsiaTheme="minorHAnsi" w:hAnsiTheme="minorHAnsi" w:cstheme="minorBidi"/>
                <w:sz w:val="18"/>
                <w:szCs w:val="18"/>
                <w:lang w:eastAsia="en-US" w:bidi="ar-SA"/>
              </w:rPr>
              <w:t>Repayment of lease liabilities</w:t>
            </w:r>
          </w:p>
        </w:tc>
        <w:tc>
          <w:tcPr>
            <w:tcW w:w="567" w:type="dxa"/>
            <w:vAlign w:val="bottom"/>
          </w:tcPr>
          <w:p w14:paraId="6231A7B7" w14:textId="77777777" w:rsidR="00AF77AE" w:rsidRPr="002C2661" w:rsidRDefault="00AF77AE" w:rsidP="00AF77AE">
            <w:pPr>
              <w:jc w:val="right"/>
              <w:rPr>
                <w:rFonts w:asciiTheme="minorHAnsi" w:eastAsiaTheme="minorHAnsi" w:hAnsiTheme="minorHAnsi" w:cstheme="minorBidi"/>
                <w:b/>
                <w:bCs/>
                <w:sz w:val="18"/>
                <w:szCs w:val="18"/>
                <w:lang w:eastAsia="en-US" w:bidi="ar-SA"/>
              </w:rPr>
            </w:pPr>
          </w:p>
        </w:tc>
        <w:tc>
          <w:tcPr>
            <w:tcW w:w="567" w:type="dxa"/>
            <w:vAlign w:val="bottom"/>
          </w:tcPr>
          <w:p w14:paraId="25FC124A" w14:textId="77777777" w:rsidR="00AF77AE" w:rsidRPr="0035290A" w:rsidRDefault="00AF77AE" w:rsidP="00AF77AE">
            <w:pPr>
              <w:jc w:val="right"/>
              <w:rPr>
                <w:bCs/>
              </w:rPr>
            </w:pPr>
          </w:p>
        </w:tc>
        <w:tc>
          <w:tcPr>
            <w:tcW w:w="567" w:type="dxa"/>
            <w:vAlign w:val="bottom"/>
          </w:tcPr>
          <w:p w14:paraId="52566F8F" w14:textId="77777777" w:rsidR="00AF77AE" w:rsidRPr="0035290A" w:rsidRDefault="00AF77AE" w:rsidP="00AF77AE">
            <w:pPr>
              <w:jc w:val="right"/>
              <w:rPr>
                <w:bCs/>
              </w:rPr>
            </w:pPr>
          </w:p>
        </w:tc>
        <w:tc>
          <w:tcPr>
            <w:tcW w:w="567" w:type="dxa"/>
            <w:vAlign w:val="bottom"/>
          </w:tcPr>
          <w:p w14:paraId="59029026" w14:textId="77777777" w:rsidR="00AF77AE" w:rsidRPr="00883953" w:rsidRDefault="00AF77AE" w:rsidP="00AF77AE">
            <w:pPr>
              <w:jc w:val="right"/>
              <w:rPr>
                <w:rFonts w:asciiTheme="minorHAnsi" w:eastAsiaTheme="minorHAnsi" w:hAnsiTheme="minorHAnsi" w:cstheme="minorBidi"/>
                <w:sz w:val="18"/>
                <w:szCs w:val="18"/>
                <w:lang w:eastAsia="en-US" w:bidi="ar-SA"/>
              </w:rPr>
            </w:pPr>
          </w:p>
        </w:tc>
        <w:tc>
          <w:tcPr>
            <w:tcW w:w="1134" w:type="dxa"/>
            <w:vAlign w:val="bottom"/>
          </w:tcPr>
          <w:p w14:paraId="5260DB6B" w14:textId="77777777" w:rsidR="00AF77AE" w:rsidRPr="0052744C" w:rsidRDefault="0052744C" w:rsidP="00AF77AE">
            <w:pPr>
              <w:jc w:val="right"/>
              <w:rPr>
                <w:b/>
                <w:sz w:val="18"/>
                <w:szCs w:val="18"/>
              </w:rPr>
            </w:pPr>
            <w:r>
              <w:rPr>
                <w:b/>
                <w:sz w:val="18"/>
                <w:szCs w:val="18"/>
              </w:rPr>
              <w:t>(14.3)</w:t>
            </w:r>
          </w:p>
        </w:tc>
        <w:tc>
          <w:tcPr>
            <w:tcW w:w="1134" w:type="dxa"/>
            <w:vAlign w:val="bottom"/>
          </w:tcPr>
          <w:p w14:paraId="68CE7B00" w14:textId="77777777" w:rsidR="00AF77AE" w:rsidRPr="00AF77AE" w:rsidRDefault="00AF77AE" w:rsidP="00AF77AE">
            <w:pPr>
              <w:jc w:val="right"/>
            </w:pPr>
            <w:r w:rsidRPr="00AF77AE">
              <w:rPr>
                <w:rFonts w:asciiTheme="minorHAnsi" w:eastAsiaTheme="minorHAnsi" w:hAnsiTheme="minorHAnsi" w:cstheme="minorBidi"/>
                <w:bCs/>
                <w:sz w:val="18"/>
                <w:szCs w:val="18"/>
                <w:lang w:eastAsia="en-US" w:bidi="ar-SA"/>
              </w:rPr>
              <w:t>(11.2)</w:t>
            </w:r>
          </w:p>
        </w:tc>
      </w:tr>
      <w:tr w:rsidR="00AF77AE" w14:paraId="7E38F57E" w14:textId="77777777" w:rsidTr="00AF77AE">
        <w:trPr>
          <w:trHeight w:val="228"/>
        </w:trPr>
        <w:tc>
          <w:tcPr>
            <w:tcW w:w="5529" w:type="dxa"/>
            <w:vAlign w:val="bottom"/>
          </w:tcPr>
          <w:p w14:paraId="58C47D37" w14:textId="77777777" w:rsidR="00AF77AE" w:rsidRPr="00E630A4" w:rsidRDefault="00AF77AE" w:rsidP="00AF77AE">
            <w:r w:rsidRPr="00E630A4">
              <w:rPr>
                <w:rFonts w:asciiTheme="minorHAnsi" w:eastAsiaTheme="minorHAnsi" w:hAnsiTheme="minorHAnsi" w:cstheme="minorBidi"/>
                <w:sz w:val="18"/>
                <w:szCs w:val="18"/>
                <w:lang w:eastAsia="en-US" w:bidi="ar-SA"/>
              </w:rPr>
              <w:t>Disposal of undertakings</w:t>
            </w:r>
          </w:p>
        </w:tc>
        <w:tc>
          <w:tcPr>
            <w:tcW w:w="567" w:type="dxa"/>
            <w:vAlign w:val="bottom"/>
          </w:tcPr>
          <w:p w14:paraId="05047D4D" w14:textId="77777777" w:rsidR="00AF77AE" w:rsidRPr="0035290A" w:rsidRDefault="00AF77AE" w:rsidP="00AF77AE">
            <w:pPr>
              <w:jc w:val="right"/>
              <w:rPr>
                <w:rFonts w:asciiTheme="minorHAnsi" w:eastAsiaTheme="minorHAnsi" w:hAnsiTheme="minorHAnsi" w:cstheme="minorBidi"/>
                <w:b/>
                <w:bCs/>
                <w:sz w:val="18"/>
                <w:szCs w:val="18"/>
                <w:lang w:eastAsia="en-US" w:bidi="ar-SA"/>
              </w:rPr>
            </w:pPr>
          </w:p>
        </w:tc>
        <w:tc>
          <w:tcPr>
            <w:tcW w:w="567" w:type="dxa"/>
            <w:vAlign w:val="bottom"/>
          </w:tcPr>
          <w:p w14:paraId="1847B00B" w14:textId="77777777" w:rsidR="00AF77AE" w:rsidRPr="0035290A" w:rsidRDefault="00AF77AE" w:rsidP="00AF77AE">
            <w:pPr>
              <w:jc w:val="right"/>
              <w:rPr>
                <w:bCs/>
              </w:rPr>
            </w:pPr>
          </w:p>
        </w:tc>
        <w:tc>
          <w:tcPr>
            <w:tcW w:w="567" w:type="dxa"/>
            <w:vAlign w:val="bottom"/>
          </w:tcPr>
          <w:p w14:paraId="11394AE6" w14:textId="77777777" w:rsidR="00AF77AE" w:rsidRPr="0035290A" w:rsidRDefault="00AF77AE" w:rsidP="00AF77AE">
            <w:pPr>
              <w:jc w:val="right"/>
              <w:rPr>
                <w:bCs/>
              </w:rPr>
            </w:pPr>
          </w:p>
        </w:tc>
        <w:tc>
          <w:tcPr>
            <w:tcW w:w="567" w:type="dxa"/>
            <w:vAlign w:val="bottom"/>
          </w:tcPr>
          <w:p w14:paraId="5DFB162C" w14:textId="77777777" w:rsidR="00AF77AE" w:rsidRPr="005C6F46" w:rsidRDefault="00AF77AE" w:rsidP="00AF77AE">
            <w:pPr>
              <w:jc w:val="right"/>
              <w:rPr>
                <w:rFonts w:asciiTheme="minorHAnsi" w:eastAsiaTheme="minorHAnsi" w:hAnsiTheme="minorHAnsi" w:cstheme="minorBidi"/>
                <w:sz w:val="18"/>
                <w:szCs w:val="18"/>
                <w:lang w:eastAsia="en-US" w:bidi="ar-SA"/>
              </w:rPr>
            </w:pPr>
          </w:p>
        </w:tc>
        <w:tc>
          <w:tcPr>
            <w:tcW w:w="1134" w:type="dxa"/>
            <w:vAlign w:val="bottom"/>
          </w:tcPr>
          <w:p w14:paraId="048E6DCE" w14:textId="77777777" w:rsidR="00AF77AE" w:rsidRPr="0052744C" w:rsidRDefault="0052744C" w:rsidP="00AF77AE">
            <w:pPr>
              <w:jc w:val="right"/>
              <w:rPr>
                <w:b/>
                <w:sz w:val="18"/>
                <w:szCs w:val="18"/>
              </w:rPr>
            </w:pPr>
            <w:r>
              <w:rPr>
                <w:b/>
                <w:sz w:val="18"/>
                <w:szCs w:val="18"/>
              </w:rPr>
              <w:t>(16.3)</w:t>
            </w:r>
          </w:p>
        </w:tc>
        <w:tc>
          <w:tcPr>
            <w:tcW w:w="1134" w:type="dxa"/>
            <w:vAlign w:val="bottom"/>
          </w:tcPr>
          <w:p w14:paraId="671726D0" w14:textId="77777777" w:rsidR="00AF77AE" w:rsidRPr="00AF77AE" w:rsidRDefault="00AF77AE" w:rsidP="00AF77AE">
            <w:pPr>
              <w:jc w:val="right"/>
            </w:pPr>
            <w:r w:rsidRPr="00AF77AE">
              <w:rPr>
                <w:rFonts w:asciiTheme="minorHAnsi" w:eastAsiaTheme="minorHAnsi" w:hAnsiTheme="minorHAnsi" w:cstheme="minorBidi"/>
                <w:bCs/>
                <w:sz w:val="18"/>
                <w:szCs w:val="18"/>
                <w:lang w:eastAsia="en-US" w:bidi="ar-SA"/>
              </w:rPr>
              <w:t>–</w:t>
            </w:r>
          </w:p>
        </w:tc>
      </w:tr>
      <w:tr w:rsidR="00AF77AE" w14:paraId="0229AE3E" w14:textId="77777777" w:rsidTr="00AF77AE">
        <w:trPr>
          <w:trHeight w:val="228"/>
        </w:trPr>
        <w:tc>
          <w:tcPr>
            <w:tcW w:w="5529" w:type="dxa"/>
            <w:vAlign w:val="bottom"/>
          </w:tcPr>
          <w:p w14:paraId="6A2ECD3F" w14:textId="77777777" w:rsidR="00AF77AE" w:rsidRPr="00E630A4" w:rsidRDefault="00AF77AE" w:rsidP="00AF77AE">
            <w:r w:rsidRPr="00E630A4">
              <w:rPr>
                <w:rFonts w:asciiTheme="minorHAnsi" w:eastAsiaTheme="minorHAnsi" w:hAnsiTheme="minorHAnsi" w:cstheme="minorBidi"/>
                <w:sz w:val="18"/>
                <w:szCs w:val="18"/>
                <w:lang w:eastAsia="en-US" w:bidi="ar-SA"/>
              </w:rPr>
              <w:t>Disposal of investment property</w:t>
            </w:r>
          </w:p>
        </w:tc>
        <w:tc>
          <w:tcPr>
            <w:tcW w:w="567" w:type="dxa"/>
            <w:vAlign w:val="bottom"/>
          </w:tcPr>
          <w:p w14:paraId="2084C813" w14:textId="77777777" w:rsidR="00AF77AE" w:rsidRPr="005771B0" w:rsidRDefault="00AF77AE" w:rsidP="00AF77AE">
            <w:pPr>
              <w:jc w:val="right"/>
              <w:rPr>
                <w:rFonts w:asciiTheme="minorHAnsi" w:eastAsiaTheme="minorHAnsi" w:hAnsiTheme="minorHAnsi" w:cstheme="minorBidi"/>
                <w:b/>
                <w:bCs/>
                <w:sz w:val="18"/>
                <w:szCs w:val="18"/>
                <w:lang w:eastAsia="en-US" w:bidi="ar-SA"/>
              </w:rPr>
            </w:pPr>
          </w:p>
        </w:tc>
        <w:tc>
          <w:tcPr>
            <w:tcW w:w="567" w:type="dxa"/>
            <w:vAlign w:val="bottom"/>
          </w:tcPr>
          <w:p w14:paraId="20FC40BE" w14:textId="77777777" w:rsidR="00AF77AE" w:rsidRPr="0035290A" w:rsidRDefault="00AF77AE" w:rsidP="00AF77AE">
            <w:pPr>
              <w:jc w:val="right"/>
              <w:rPr>
                <w:bCs/>
              </w:rPr>
            </w:pPr>
          </w:p>
        </w:tc>
        <w:tc>
          <w:tcPr>
            <w:tcW w:w="567" w:type="dxa"/>
            <w:vAlign w:val="bottom"/>
          </w:tcPr>
          <w:p w14:paraId="084C8993" w14:textId="77777777" w:rsidR="00AF77AE" w:rsidRPr="0035290A" w:rsidRDefault="00AF77AE" w:rsidP="00AF77AE">
            <w:pPr>
              <w:jc w:val="right"/>
              <w:rPr>
                <w:bCs/>
              </w:rPr>
            </w:pPr>
          </w:p>
        </w:tc>
        <w:tc>
          <w:tcPr>
            <w:tcW w:w="567" w:type="dxa"/>
            <w:vAlign w:val="bottom"/>
          </w:tcPr>
          <w:p w14:paraId="7B4689FD" w14:textId="77777777" w:rsidR="00AF77AE" w:rsidRPr="005C6F46" w:rsidRDefault="00AF77AE" w:rsidP="00AF77AE">
            <w:pPr>
              <w:jc w:val="right"/>
              <w:rPr>
                <w:rFonts w:asciiTheme="minorHAnsi" w:eastAsiaTheme="minorHAnsi" w:hAnsiTheme="minorHAnsi" w:cstheme="minorBidi"/>
                <w:sz w:val="18"/>
                <w:szCs w:val="18"/>
                <w:lang w:eastAsia="en-US" w:bidi="ar-SA"/>
              </w:rPr>
            </w:pPr>
          </w:p>
        </w:tc>
        <w:tc>
          <w:tcPr>
            <w:tcW w:w="1134" w:type="dxa"/>
            <w:vAlign w:val="bottom"/>
          </w:tcPr>
          <w:p w14:paraId="5C28BAF3" w14:textId="77777777" w:rsidR="00AF77AE" w:rsidRPr="0052744C" w:rsidRDefault="0052744C" w:rsidP="00AF77AE">
            <w:pPr>
              <w:jc w:val="right"/>
              <w:rPr>
                <w:b/>
                <w:sz w:val="18"/>
                <w:szCs w:val="18"/>
              </w:rPr>
            </w:pPr>
            <w:r>
              <w:rPr>
                <w:b/>
                <w:sz w:val="18"/>
                <w:szCs w:val="18"/>
              </w:rPr>
              <w:t>(6.3)</w:t>
            </w:r>
          </w:p>
        </w:tc>
        <w:tc>
          <w:tcPr>
            <w:tcW w:w="1134" w:type="dxa"/>
            <w:vAlign w:val="bottom"/>
          </w:tcPr>
          <w:p w14:paraId="2198E8DA" w14:textId="77777777" w:rsidR="00AF77AE" w:rsidRPr="00AF77AE" w:rsidRDefault="00AF77AE" w:rsidP="00AF77AE">
            <w:pPr>
              <w:jc w:val="right"/>
            </w:pPr>
            <w:r w:rsidRPr="00AF77AE">
              <w:rPr>
                <w:rFonts w:asciiTheme="minorHAnsi" w:eastAsiaTheme="minorHAnsi" w:hAnsiTheme="minorHAnsi" w:cstheme="minorBidi"/>
                <w:bCs/>
                <w:sz w:val="18"/>
                <w:szCs w:val="18"/>
                <w:lang w:eastAsia="en-US" w:bidi="ar-SA"/>
              </w:rPr>
              <w:t>–</w:t>
            </w:r>
          </w:p>
        </w:tc>
      </w:tr>
      <w:tr w:rsidR="00AF77AE" w14:paraId="5E362383" w14:textId="77777777" w:rsidTr="00AF77AE">
        <w:trPr>
          <w:trHeight w:val="228"/>
        </w:trPr>
        <w:tc>
          <w:tcPr>
            <w:tcW w:w="5529" w:type="dxa"/>
            <w:tcBorders>
              <w:bottom w:val="single" w:sz="4" w:space="0" w:color="000000"/>
            </w:tcBorders>
            <w:vAlign w:val="bottom"/>
          </w:tcPr>
          <w:p w14:paraId="140E3919" w14:textId="77777777" w:rsidR="00AF77AE" w:rsidRPr="00E630A4" w:rsidRDefault="00AF77AE" w:rsidP="00AF77AE">
            <w:r w:rsidRPr="00E630A4">
              <w:rPr>
                <w:rFonts w:asciiTheme="minorHAnsi" w:eastAsiaTheme="minorHAnsi" w:hAnsiTheme="minorHAnsi" w:cstheme="minorBidi"/>
                <w:sz w:val="18"/>
                <w:szCs w:val="18"/>
                <w:lang w:eastAsia="en-US" w:bidi="ar-SA"/>
              </w:rPr>
              <w:t>Dividends paid to non-controlling interest</w:t>
            </w:r>
          </w:p>
        </w:tc>
        <w:tc>
          <w:tcPr>
            <w:tcW w:w="567" w:type="dxa"/>
            <w:tcBorders>
              <w:bottom w:val="single" w:sz="4" w:space="0" w:color="000000"/>
            </w:tcBorders>
            <w:vAlign w:val="bottom"/>
          </w:tcPr>
          <w:p w14:paraId="00B12CE2" w14:textId="77777777" w:rsidR="00AF77AE" w:rsidRPr="002C2661" w:rsidRDefault="00AF77AE" w:rsidP="00AF77AE">
            <w:pPr>
              <w:jc w:val="right"/>
              <w:rPr>
                <w:rFonts w:asciiTheme="minorHAnsi" w:eastAsiaTheme="minorHAnsi" w:hAnsiTheme="minorHAnsi" w:cstheme="minorBidi"/>
                <w:b/>
                <w:bCs/>
                <w:sz w:val="18"/>
                <w:szCs w:val="18"/>
                <w:lang w:eastAsia="en-US" w:bidi="ar-SA"/>
              </w:rPr>
            </w:pPr>
          </w:p>
        </w:tc>
        <w:tc>
          <w:tcPr>
            <w:tcW w:w="567" w:type="dxa"/>
            <w:tcBorders>
              <w:bottom w:val="single" w:sz="4" w:space="0" w:color="000000"/>
            </w:tcBorders>
            <w:vAlign w:val="bottom"/>
          </w:tcPr>
          <w:p w14:paraId="28139872" w14:textId="77777777" w:rsidR="00AF77AE" w:rsidRPr="0035290A" w:rsidRDefault="00AF77AE" w:rsidP="00AF77AE">
            <w:pPr>
              <w:jc w:val="right"/>
              <w:rPr>
                <w:bCs/>
              </w:rPr>
            </w:pPr>
          </w:p>
        </w:tc>
        <w:tc>
          <w:tcPr>
            <w:tcW w:w="567" w:type="dxa"/>
            <w:tcBorders>
              <w:bottom w:val="single" w:sz="4" w:space="0" w:color="000000"/>
            </w:tcBorders>
            <w:vAlign w:val="bottom"/>
          </w:tcPr>
          <w:p w14:paraId="12CC05B1" w14:textId="77777777" w:rsidR="00AF77AE" w:rsidRPr="0035290A" w:rsidRDefault="00AF77AE" w:rsidP="00AF77AE">
            <w:pPr>
              <w:jc w:val="right"/>
              <w:rPr>
                <w:bCs/>
              </w:rPr>
            </w:pPr>
          </w:p>
        </w:tc>
        <w:tc>
          <w:tcPr>
            <w:tcW w:w="567" w:type="dxa"/>
            <w:tcBorders>
              <w:bottom w:val="single" w:sz="4" w:space="0" w:color="000000"/>
            </w:tcBorders>
            <w:vAlign w:val="bottom"/>
          </w:tcPr>
          <w:p w14:paraId="3802FFBA" w14:textId="77777777" w:rsidR="00AF77AE" w:rsidRPr="005C6F46" w:rsidRDefault="00AF77AE" w:rsidP="00AF77AE">
            <w:pPr>
              <w:jc w:val="right"/>
              <w:rPr>
                <w:rFonts w:asciiTheme="minorHAnsi" w:eastAsiaTheme="minorHAnsi" w:hAnsiTheme="minorHAnsi" w:cstheme="minorBidi"/>
                <w:sz w:val="18"/>
                <w:szCs w:val="18"/>
                <w:lang w:eastAsia="en-US" w:bidi="ar-SA"/>
              </w:rPr>
            </w:pPr>
          </w:p>
        </w:tc>
        <w:tc>
          <w:tcPr>
            <w:tcW w:w="1134" w:type="dxa"/>
            <w:tcBorders>
              <w:bottom w:val="single" w:sz="4" w:space="0" w:color="000000"/>
            </w:tcBorders>
            <w:vAlign w:val="bottom"/>
          </w:tcPr>
          <w:p w14:paraId="6619490A" w14:textId="77777777" w:rsidR="00AF77AE" w:rsidRPr="0052744C" w:rsidRDefault="0052744C" w:rsidP="00AF77AE">
            <w:pPr>
              <w:jc w:val="right"/>
              <w:rPr>
                <w:b/>
                <w:sz w:val="18"/>
                <w:szCs w:val="18"/>
              </w:rPr>
            </w:pPr>
            <w:r w:rsidRPr="00D60E6D">
              <w:rPr>
                <w:b/>
                <w:bCs/>
                <w:sz w:val="18"/>
                <w:szCs w:val="18"/>
              </w:rPr>
              <w:t>–</w:t>
            </w:r>
          </w:p>
        </w:tc>
        <w:tc>
          <w:tcPr>
            <w:tcW w:w="1134" w:type="dxa"/>
            <w:tcBorders>
              <w:bottom w:val="single" w:sz="4" w:space="0" w:color="000000"/>
            </w:tcBorders>
            <w:vAlign w:val="bottom"/>
          </w:tcPr>
          <w:p w14:paraId="7313EB48" w14:textId="77777777" w:rsidR="00AF77AE" w:rsidRPr="00AF77AE" w:rsidRDefault="00AF77AE" w:rsidP="00AF77AE">
            <w:pPr>
              <w:jc w:val="right"/>
            </w:pPr>
            <w:r w:rsidRPr="00AF77AE">
              <w:rPr>
                <w:rFonts w:asciiTheme="minorHAnsi" w:eastAsiaTheme="minorHAnsi" w:hAnsiTheme="minorHAnsi" w:cstheme="minorBidi"/>
                <w:bCs/>
                <w:sz w:val="18"/>
                <w:szCs w:val="18"/>
                <w:lang w:eastAsia="en-US" w:bidi="ar-SA"/>
              </w:rPr>
              <w:t>(2.4)</w:t>
            </w:r>
          </w:p>
        </w:tc>
      </w:tr>
      <w:tr w:rsidR="00AF77AE" w14:paraId="44BE100D" w14:textId="77777777" w:rsidTr="00AF77AE">
        <w:trPr>
          <w:trHeight w:val="228"/>
        </w:trPr>
        <w:tc>
          <w:tcPr>
            <w:tcW w:w="5529" w:type="dxa"/>
            <w:tcBorders>
              <w:top w:val="single" w:sz="4" w:space="0" w:color="000000"/>
              <w:bottom w:val="single" w:sz="4" w:space="0" w:color="000000"/>
            </w:tcBorders>
            <w:vAlign w:val="bottom"/>
          </w:tcPr>
          <w:p w14:paraId="5DFD4A41" w14:textId="77777777" w:rsidR="00AF77AE" w:rsidRPr="0035290A" w:rsidRDefault="00AF77AE" w:rsidP="00AF77AE">
            <w:pPr>
              <w:rPr>
                <w:b/>
                <w:bCs/>
              </w:rPr>
            </w:pPr>
            <w:r w:rsidRPr="005771B0">
              <w:rPr>
                <w:rFonts w:asciiTheme="minorHAnsi" w:eastAsiaTheme="minorHAnsi" w:hAnsiTheme="minorHAnsi" w:cstheme="minorBidi"/>
                <w:b/>
                <w:bCs/>
                <w:sz w:val="18"/>
                <w:szCs w:val="18"/>
                <w:lang w:eastAsia="en-US" w:bidi="ar-SA"/>
              </w:rPr>
              <w:t>Free Cash Flow</w:t>
            </w:r>
          </w:p>
        </w:tc>
        <w:tc>
          <w:tcPr>
            <w:tcW w:w="567" w:type="dxa"/>
            <w:tcBorders>
              <w:top w:val="single" w:sz="4" w:space="0" w:color="000000"/>
              <w:bottom w:val="single" w:sz="4" w:space="0" w:color="000000"/>
            </w:tcBorders>
            <w:vAlign w:val="bottom"/>
          </w:tcPr>
          <w:p w14:paraId="59168E82" w14:textId="77777777" w:rsidR="00AF77AE" w:rsidRPr="0035290A" w:rsidRDefault="00AF77AE" w:rsidP="00AF77AE">
            <w:pPr>
              <w:jc w:val="right"/>
              <w:rPr>
                <w:bCs/>
              </w:rPr>
            </w:pPr>
          </w:p>
        </w:tc>
        <w:tc>
          <w:tcPr>
            <w:tcW w:w="567" w:type="dxa"/>
            <w:tcBorders>
              <w:top w:val="single" w:sz="4" w:space="0" w:color="000000"/>
              <w:bottom w:val="single" w:sz="4" w:space="0" w:color="000000"/>
            </w:tcBorders>
            <w:vAlign w:val="bottom"/>
          </w:tcPr>
          <w:p w14:paraId="5165E479" w14:textId="77777777" w:rsidR="00AF77AE" w:rsidRPr="0035290A" w:rsidRDefault="00AF77AE" w:rsidP="00AF77AE">
            <w:pPr>
              <w:jc w:val="right"/>
              <w:rPr>
                <w:bCs/>
              </w:rPr>
            </w:pPr>
          </w:p>
        </w:tc>
        <w:tc>
          <w:tcPr>
            <w:tcW w:w="567" w:type="dxa"/>
            <w:tcBorders>
              <w:top w:val="single" w:sz="4" w:space="0" w:color="000000"/>
              <w:bottom w:val="single" w:sz="4" w:space="0" w:color="000000"/>
            </w:tcBorders>
          </w:tcPr>
          <w:p w14:paraId="4CFAC83A" w14:textId="77777777" w:rsidR="00AF77AE" w:rsidRPr="0035290A" w:rsidRDefault="00AF77AE" w:rsidP="00AF77AE">
            <w:pPr>
              <w:jc w:val="right"/>
              <w:rPr>
                <w:bCs/>
              </w:rPr>
            </w:pPr>
          </w:p>
        </w:tc>
        <w:tc>
          <w:tcPr>
            <w:tcW w:w="567" w:type="dxa"/>
            <w:tcBorders>
              <w:top w:val="single" w:sz="4" w:space="0" w:color="000000"/>
              <w:bottom w:val="single" w:sz="4" w:space="0" w:color="000000"/>
            </w:tcBorders>
            <w:vAlign w:val="bottom"/>
          </w:tcPr>
          <w:p w14:paraId="4BE043D8" w14:textId="77777777" w:rsidR="00AF77AE" w:rsidRPr="00E630A4" w:rsidRDefault="00AF77AE" w:rsidP="00AF77AE">
            <w:pPr>
              <w:jc w:val="right"/>
            </w:pPr>
          </w:p>
        </w:tc>
        <w:tc>
          <w:tcPr>
            <w:tcW w:w="1134" w:type="dxa"/>
            <w:tcBorders>
              <w:top w:val="single" w:sz="4" w:space="0" w:color="000000"/>
              <w:bottom w:val="single" w:sz="4" w:space="0" w:color="000000"/>
            </w:tcBorders>
            <w:vAlign w:val="bottom"/>
          </w:tcPr>
          <w:p w14:paraId="75978916" w14:textId="77777777" w:rsidR="00AF77AE" w:rsidRPr="0052744C" w:rsidRDefault="0052744C" w:rsidP="00AF77AE">
            <w:pPr>
              <w:jc w:val="right"/>
              <w:rPr>
                <w:b/>
                <w:sz w:val="18"/>
                <w:szCs w:val="18"/>
              </w:rPr>
            </w:pPr>
            <w:r>
              <w:rPr>
                <w:b/>
                <w:sz w:val="18"/>
                <w:szCs w:val="18"/>
              </w:rPr>
              <w:t>72.2</w:t>
            </w:r>
          </w:p>
        </w:tc>
        <w:tc>
          <w:tcPr>
            <w:tcW w:w="1134" w:type="dxa"/>
            <w:tcBorders>
              <w:top w:val="single" w:sz="4" w:space="0" w:color="000000"/>
              <w:bottom w:val="single" w:sz="4" w:space="0" w:color="000000"/>
            </w:tcBorders>
          </w:tcPr>
          <w:p w14:paraId="5173061B" w14:textId="77777777" w:rsidR="00AF77AE" w:rsidRPr="00AF77AE" w:rsidRDefault="00AF77AE" w:rsidP="00AF77AE">
            <w:pPr>
              <w:jc w:val="right"/>
            </w:pPr>
            <w:r w:rsidRPr="00AF77AE">
              <w:rPr>
                <w:rFonts w:asciiTheme="minorHAnsi" w:eastAsiaTheme="minorHAnsi" w:hAnsiTheme="minorHAnsi" w:cstheme="minorBidi"/>
                <w:bCs/>
                <w:sz w:val="18"/>
                <w:szCs w:val="18"/>
                <w:lang w:eastAsia="en-US" w:bidi="ar-SA"/>
              </w:rPr>
              <w:t>(29.7)</w:t>
            </w:r>
          </w:p>
        </w:tc>
      </w:tr>
      <w:tr w:rsidR="00AF77AE" w14:paraId="67741986" w14:textId="77777777" w:rsidTr="00AF77AE">
        <w:trPr>
          <w:trHeight w:val="228"/>
        </w:trPr>
        <w:tc>
          <w:tcPr>
            <w:tcW w:w="5529" w:type="dxa"/>
            <w:tcBorders>
              <w:top w:val="single" w:sz="4" w:space="0" w:color="000000"/>
              <w:bottom w:val="single" w:sz="4" w:space="0" w:color="000000"/>
            </w:tcBorders>
            <w:vAlign w:val="bottom"/>
          </w:tcPr>
          <w:p w14:paraId="4A7A9F2F" w14:textId="77777777" w:rsidR="00AF77AE" w:rsidRPr="0035290A" w:rsidRDefault="00AF77AE" w:rsidP="00AF77AE">
            <w:pPr>
              <w:rPr>
                <w:b/>
                <w:bCs/>
              </w:rPr>
            </w:pPr>
            <w:r w:rsidRPr="005771B0">
              <w:rPr>
                <w:rFonts w:asciiTheme="minorHAnsi" w:eastAsiaTheme="minorHAnsi" w:hAnsiTheme="minorHAnsi" w:cstheme="minorBidi"/>
                <w:b/>
                <w:bCs/>
                <w:sz w:val="18"/>
                <w:szCs w:val="18"/>
                <w:lang w:eastAsia="en-US" w:bidi="ar-SA"/>
              </w:rPr>
              <w:t>Adjusted EBITDA</w:t>
            </w:r>
          </w:p>
        </w:tc>
        <w:tc>
          <w:tcPr>
            <w:tcW w:w="567" w:type="dxa"/>
            <w:tcBorders>
              <w:top w:val="single" w:sz="4" w:space="0" w:color="000000"/>
              <w:bottom w:val="single" w:sz="4" w:space="0" w:color="000000"/>
            </w:tcBorders>
            <w:vAlign w:val="bottom"/>
          </w:tcPr>
          <w:p w14:paraId="5D39AD75" w14:textId="77777777" w:rsidR="00AF77AE" w:rsidRPr="0035290A" w:rsidRDefault="00AF77AE" w:rsidP="00AF77AE">
            <w:pPr>
              <w:jc w:val="right"/>
              <w:rPr>
                <w:bCs/>
              </w:rPr>
            </w:pPr>
          </w:p>
        </w:tc>
        <w:tc>
          <w:tcPr>
            <w:tcW w:w="567" w:type="dxa"/>
            <w:tcBorders>
              <w:top w:val="single" w:sz="4" w:space="0" w:color="000000"/>
              <w:bottom w:val="single" w:sz="4" w:space="0" w:color="000000"/>
            </w:tcBorders>
            <w:vAlign w:val="bottom"/>
          </w:tcPr>
          <w:p w14:paraId="08C0441D" w14:textId="77777777" w:rsidR="00AF77AE" w:rsidRPr="0035290A" w:rsidRDefault="00AF77AE" w:rsidP="00AF77AE">
            <w:pPr>
              <w:jc w:val="right"/>
              <w:rPr>
                <w:bCs/>
              </w:rPr>
            </w:pPr>
          </w:p>
        </w:tc>
        <w:tc>
          <w:tcPr>
            <w:tcW w:w="567" w:type="dxa"/>
            <w:tcBorders>
              <w:top w:val="single" w:sz="4" w:space="0" w:color="000000"/>
              <w:bottom w:val="single" w:sz="4" w:space="0" w:color="000000"/>
            </w:tcBorders>
          </w:tcPr>
          <w:p w14:paraId="5301C182" w14:textId="77777777" w:rsidR="00AF77AE" w:rsidRPr="0035290A" w:rsidRDefault="00AF77AE" w:rsidP="00AF77AE">
            <w:pPr>
              <w:jc w:val="right"/>
              <w:rPr>
                <w:bCs/>
              </w:rPr>
            </w:pPr>
          </w:p>
        </w:tc>
        <w:tc>
          <w:tcPr>
            <w:tcW w:w="567" w:type="dxa"/>
            <w:tcBorders>
              <w:top w:val="single" w:sz="4" w:space="0" w:color="000000"/>
              <w:bottom w:val="single" w:sz="4" w:space="0" w:color="000000"/>
            </w:tcBorders>
            <w:vAlign w:val="bottom"/>
          </w:tcPr>
          <w:p w14:paraId="0569822E" w14:textId="77777777" w:rsidR="00AF77AE" w:rsidRPr="00E630A4" w:rsidRDefault="00AF77AE" w:rsidP="00AF77AE">
            <w:pPr>
              <w:jc w:val="right"/>
            </w:pPr>
          </w:p>
        </w:tc>
        <w:tc>
          <w:tcPr>
            <w:tcW w:w="1134" w:type="dxa"/>
            <w:tcBorders>
              <w:top w:val="single" w:sz="4" w:space="0" w:color="000000"/>
              <w:bottom w:val="single" w:sz="4" w:space="0" w:color="000000"/>
            </w:tcBorders>
            <w:vAlign w:val="bottom"/>
          </w:tcPr>
          <w:p w14:paraId="3BB3CC0B" w14:textId="77777777" w:rsidR="00AF77AE" w:rsidRPr="0052744C" w:rsidRDefault="00D25E56" w:rsidP="00AF77AE">
            <w:pPr>
              <w:jc w:val="right"/>
              <w:rPr>
                <w:b/>
                <w:sz w:val="18"/>
                <w:szCs w:val="18"/>
              </w:rPr>
            </w:pPr>
            <w:r>
              <w:rPr>
                <w:b/>
                <w:sz w:val="18"/>
                <w:szCs w:val="18"/>
              </w:rPr>
              <w:t>92.3</w:t>
            </w:r>
          </w:p>
        </w:tc>
        <w:tc>
          <w:tcPr>
            <w:tcW w:w="1134" w:type="dxa"/>
            <w:tcBorders>
              <w:top w:val="single" w:sz="4" w:space="0" w:color="000000"/>
              <w:bottom w:val="single" w:sz="4" w:space="0" w:color="000000"/>
            </w:tcBorders>
          </w:tcPr>
          <w:p w14:paraId="7BA797B6" w14:textId="77777777" w:rsidR="00AF77AE" w:rsidRPr="00AF77AE" w:rsidRDefault="00AF77AE" w:rsidP="00AF77AE">
            <w:pPr>
              <w:jc w:val="right"/>
            </w:pPr>
            <w:r w:rsidRPr="00AF77AE">
              <w:rPr>
                <w:rFonts w:asciiTheme="minorHAnsi" w:eastAsiaTheme="minorHAnsi" w:hAnsiTheme="minorHAnsi" w:cstheme="minorBidi"/>
                <w:bCs/>
                <w:sz w:val="18"/>
                <w:szCs w:val="18"/>
                <w:lang w:eastAsia="en-US" w:bidi="ar-SA"/>
              </w:rPr>
              <w:t>85.0</w:t>
            </w:r>
          </w:p>
        </w:tc>
      </w:tr>
      <w:tr w:rsidR="00AF77AE" w14:paraId="7DBEE853" w14:textId="77777777" w:rsidTr="00AF77AE">
        <w:trPr>
          <w:trHeight w:val="228"/>
        </w:trPr>
        <w:tc>
          <w:tcPr>
            <w:tcW w:w="5529" w:type="dxa"/>
            <w:tcBorders>
              <w:top w:val="single" w:sz="4" w:space="0" w:color="000000"/>
              <w:bottom w:val="single" w:sz="8" w:space="0" w:color="auto"/>
            </w:tcBorders>
            <w:vAlign w:val="bottom"/>
          </w:tcPr>
          <w:p w14:paraId="6C0425FC" w14:textId="77777777" w:rsidR="00AF77AE" w:rsidRPr="0035290A" w:rsidRDefault="00AF77AE" w:rsidP="00AF77AE">
            <w:pPr>
              <w:rPr>
                <w:b/>
                <w:bCs/>
              </w:rPr>
            </w:pPr>
            <w:r w:rsidRPr="005771B0">
              <w:rPr>
                <w:rFonts w:asciiTheme="minorHAnsi" w:eastAsiaTheme="minorHAnsi" w:hAnsiTheme="minorHAnsi" w:cstheme="minorBidi"/>
                <w:b/>
                <w:bCs/>
                <w:sz w:val="18"/>
                <w:szCs w:val="18"/>
                <w:lang w:eastAsia="en-US" w:bidi="ar-SA"/>
              </w:rPr>
              <w:t>Free Cash Flow Conversion (%)</w:t>
            </w:r>
          </w:p>
        </w:tc>
        <w:tc>
          <w:tcPr>
            <w:tcW w:w="567" w:type="dxa"/>
            <w:tcBorders>
              <w:top w:val="single" w:sz="4" w:space="0" w:color="000000"/>
              <w:bottom w:val="single" w:sz="8" w:space="0" w:color="auto"/>
            </w:tcBorders>
            <w:vAlign w:val="bottom"/>
          </w:tcPr>
          <w:p w14:paraId="76321B7F" w14:textId="77777777" w:rsidR="00AF77AE" w:rsidRPr="0035290A" w:rsidRDefault="00AF77AE" w:rsidP="00AF77AE">
            <w:pPr>
              <w:jc w:val="right"/>
              <w:rPr>
                <w:bCs/>
              </w:rPr>
            </w:pPr>
          </w:p>
        </w:tc>
        <w:tc>
          <w:tcPr>
            <w:tcW w:w="567" w:type="dxa"/>
            <w:tcBorders>
              <w:top w:val="single" w:sz="4" w:space="0" w:color="000000"/>
              <w:bottom w:val="single" w:sz="8" w:space="0" w:color="auto"/>
            </w:tcBorders>
            <w:vAlign w:val="bottom"/>
          </w:tcPr>
          <w:p w14:paraId="7B55C727" w14:textId="77777777" w:rsidR="00AF77AE" w:rsidRPr="0035290A" w:rsidRDefault="00AF77AE" w:rsidP="00AF77AE">
            <w:pPr>
              <w:jc w:val="right"/>
              <w:rPr>
                <w:bCs/>
              </w:rPr>
            </w:pPr>
          </w:p>
        </w:tc>
        <w:tc>
          <w:tcPr>
            <w:tcW w:w="567" w:type="dxa"/>
            <w:tcBorders>
              <w:top w:val="single" w:sz="4" w:space="0" w:color="000000"/>
              <w:bottom w:val="single" w:sz="8" w:space="0" w:color="auto"/>
            </w:tcBorders>
          </w:tcPr>
          <w:p w14:paraId="24C6124A" w14:textId="77777777" w:rsidR="00AF77AE" w:rsidRPr="0035290A" w:rsidRDefault="00AF77AE" w:rsidP="00AF77AE">
            <w:pPr>
              <w:jc w:val="right"/>
              <w:rPr>
                <w:bCs/>
              </w:rPr>
            </w:pPr>
          </w:p>
        </w:tc>
        <w:tc>
          <w:tcPr>
            <w:tcW w:w="567" w:type="dxa"/>
            <w:tcBorders>
              <w:top w:val="single" w:sz="4" w:space="0" w:color="000000"/>
              <w:bottom w:val="single" w:sz="8" w:space="0" w:color="auto"/>
            </w:tcBorders>
            <w:vAlign w:val="bottom"/>
          </w:tcPr>
          <w:p w14:paraId="5DB862BE" w14:textId="77777777" w:rsidR="00AF77AE" w:rsidRPr="00E630A4" w:rsidRDefault="00AF77AE" w:rsidP="00AF77AE">
            <w:pPr>
              <w:jc w:val="right"/>
            </w:pPr>
          </w:p>
        </w:tc>
        <w:tc>
          <w:tcPr>
            <w:tcW w:w="1134" w:type="dxa"/>
            <w:tcBorders>
              <w:top w:val="single" w:sz="4" w:space="0" w:color="000000"/>
              <w:bottom w:val="single" w:sz="8" w:space="0" w:color="auto"/>
            </w:tcBorders>
            <w:vAlign w:val="bottom"/>
          </w:tcPr>
          <w:p w14:paraId="05B10644" w14:textId="1FC28316" w:rsidR="00AF77AE" w:rsidRPr="0052744C" w:rsidRDefault="0052744C" w:rsidP="00AF77AE">
            <w:pPr>
              <w:jc w:val="right"/>
              <w:rPr>
                <w:b/>
                <w:sz w:val="18"/>
                <w:szCs w:val="18"/>
              </w:rPr>
            </w:pPr>
            <w:r>
              <w:rPr>
                <w:b/>
                <w:sz w:val="18"/>
                <w:szCs w:val="18"/>
              </w:rPr>
              <w:t>78.</w:t>
            </w:r>
            <w:r w:rsidR="00196EB6">
              <w:rPr>
                <w:b/>
                <w:sz w:val="18"/>
                <w:szCs w:val="18"/>
              </w:rPr>
              <w:t>2</w:t>
            </w:r>
            <w:r>
              <w:rPr>
                <w:b/>
                <w:sz w:val="18"/>
                <w:szCs w:val="18"/>
              </w:rPr>
              <w:t>%</w:t>
            </w:r>
          </w:p>
        </w:tc>
        <w:tc>
          <w:tcPr>
            <w:tcW w:w="1134" w:type="dxa"/>
            <w:tcBorders>
              <w:top w:val="single" w:sz="4" w:space="0" w:color="000000"/>
              <w:bottom w:val="single" w:sz="8" w:space="0" w:color="auto"/>
            </w:tcBorders>
          </w:tcPr>
          <w:p w14:paraId="734A201D" w14:textId="77777777" w:rsidR="00AF77AE" w:rsidRPr="00AF77AE" w:rsidRDefault="00AF77AE" w:rsidP="00AF77AE">
            <w:pPr>
              <w:jc w:val="right"/>
            </w:pPr>
            <w:r w:rsidRPr="00AF77AE">
              <w:rPr>
                <w:rFonts w:asciiTheme="minorHAnsi" w:eastAsiaTheme="minorHAnsi" w:hAnsiTheme="minorHAnsi" w:cstheme="minorBidi"/>
                <w:bCs/>
                <w:sz w:val="18"/>
                <w:szCs w:val="18"/>
                <w:lang w:eastAsia="en-US" w:bidi="ar-SA"/>
              </w:rPr>
              <w:t>(34.9%)</w:t>
            </w:r>
          </w:p>
        </w:tc>
      </w:tr>
    </w:tbl>
    <w:p w14:paraId="1FE3B8A8" w14:textId="77777777" w:rsidR="005B36AA" w:rsidRDefault="005B36AA" w:rsidP="005B36AA">
      <w:pPr>
        <w:pStyle w:val="BodyText"/>
      </w:pPr>
    </w:p>
    <w:p w14:paraId="0ABD02C3" w14:textId="77777777" w:rsidR="005B36AA" w:rsidRDefault="005B36AA" w:rsidP="005B36AA">
      <w:pPr>
        <w:pStyle w:val="Heading2"/>
        <w:numPr>
          <w:ilvl w:val="0"/>
          <w:numId w:val="0"/>
        </w:numPr>
      </w:pPr>
      <w:r>
        <w:t>NET DEBT AND NET DEBT EXCLUDING LEASE LIABILITIES</w:t>
      </w:r>
    </w:p>
    <w:p w14:paraId="101F983B" w14:textId="77777777" w:rsidR="005B36AA" w:rsidRDefault="005B36AA" w:rsidP="005B36AA">
      <w:pPr>
        <w:pStyle w:val="BodyText"/>
      </w:pPr>
    </w:p>
    <w:p w14:paraId="271FDB6A" w14:textId="77777777" w:rsidR="005B36AA" w:rsidRDefault="005B36AA" w:rsidP="005B36AA">
      <w:pPr>
        <w:widowControl/>
        <w:adjustRightInd w:val="0"/>
        <w:jc w:val="both"/>
        <w:rPr>
          <w:rFonts w:asciiTheme="minorHAnsi" w:hAnsiTheme="minorHAnsi" w:cstheme="minorHAnsi"/>
          <w:sz w:val="18"/>
          <w:szCs w:val="18"/>
        </w:rPr>
      </w:pPr>
      <w:r w:rsidRPr="002A7FD2">
        <w:rPr>
          <w:rFonts w:asciiTheme="minorHAnsi" w:hAnsiTheme="minorHAnsi" w:cstheme="minorHAnsi"/>
          <w:sz w:val="18"/>
          <w:szCs w:val="18"/>
        </w:rPr>
        <w:t>Net Debt is used by the Group to measure overall cash generation of the Group and to identify cash available to reduce borrowings. Net Debt comprises current and non-current borrowings less net cash and cash equivalents.</w:t>
      </w:r>
    </w:p>
    <w:p w14:paraId="0C312C08" w14:textId="77777777" w:rsidR="005B36AA" w:rsidRDefault="005B36AA" w:rsidP="005B36AA">
      <w:pPr>
        <w:pStyle w:val="Paragraph"/>
        <w:jc w:val="both"/>
      </w:pPr>
      <w:r>
        <w:t>Net Debt excluding</w:t>
      </w:r>
      <w:r w:rsidRPr="004A2ED9">
        <w:t xml:space="preserve"> Lease</w:t>
      </w:r>
      <w:r>
        <w:t xml:space="preserve"> Liabilities</w:t>
      </w:r>
      <w:r w:rsidRPr="004A2ED9">
        <w:t xml:space="preserve"> is a measure used by the Group to measure Net De</w:t>
      </w:r>
      <w:r>
        <w:t xml:space="preserve">bt excluding the impact of IFRS 16 </w:t>
      </w:r>
      <w:r w:rsidRPr="00D63F20">
        <w:rPr>
          <w:i/>
          <w:iCs/>
        </w:rPr>
        <w:t>Leases</w:t>
      </w:r>
      <w:r>
        <w:t xml:space="preserve">. Net Debt excluding </w:t>
      </w:r>
      <w:r w:rsidR="006F671F">
        <w:t>l</w:t>
      </w:r>
      <w:r>
        <w:t xml:space="preserve">ease </w:t>
      </w:r>
      <w:r w:rsidR="006F671F">
        <w:t>l</w:t>
      </w:r>
      <w:r>
        <w:t>iabilities is used for the purpose of calculating leverage under the Group</w:t>
      </w:r>
      <w:r w:rsidR="008D03D1">
        <w:t>’</w:t>
      </w:r>
      <w:r>
        <w:t>s financing agreements.</w:t>
      </w:r>
    </w:p>
    <w:p w14:paraId="5572DD10" w14:textId="77777777" w:rsidR="005B36AA" w:rsidRPr="00A63385" w:rsidRDefault="005B36AA" w:rsidP="005B36AA">
      <w:pPr>
        <w:pStyle w:val="BodyText"/>
      </w:pPr>
    </w:p>
    <w:p w14:paraId="32978475" w14:textId="77777777" w:rsidR="005B36AA" w:rsidRDefault="008D03D1" w:rsidP="005B36AA">
      <w:pPr>
        <w:pStyle w:val="BodyText"/>
      </w:pPr>
      <w:r>
        <w:t xml:space="preserve">The reconciliation of opening to closing net debt for the year ended </w:t>
      </w:r>
      <w:r w:rsidR="0062263B">
        <w:t>24 September 2021</w:t>
      </w:r>
      <w:r>
        <w:t xml:space="preserve"> is as follows:</w:t>
      </w:r>
    </w:p>
    <w:p w14:paraId="79C14794" w14:textId="77777777" w:rsidR="005B36AA" w:rsidRDefault="005B36AA" w:rsidP="005B36AA">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1346"/>
        <w:gridCol w:w="213"/>
        <w:gridCol w:w="1134"/>
        <w:gridCol w:w="1346"/>
        <w:gridCol w:w="72"/>
        <w:gridCol w:w="1275"/>
      </w:tblGrid>
      <w:tr w:rsidR="0052744C" w14:paraId="24041F09" w14:textId="77777777" w:rsidTr="0052744C">
        <w:tc>
          <w:tcPr>
            <w:tcW w:w="4820" w:type="dxa"/>
          </w:tcPr>
          <w:p w14:paraId="06E3F91F" w14:textId="77777777" w:rsidR="0052744C" w:rsidRPr="00883953" w:rsidRDefault="0052744C" w:rsidP="005B36AA">
            <w:pPr>
              <w:pStyle w:val="BodyText"/>
              <w:rPr>
                <w:b/>
              </w:rPr>
            </w:pPr>
          </w:p>
        </w:tc>
        <w:tc>
          <w:tcPr>
            <w:tcW w:w="1346" w:type="dxa"/>
            <w:vAlign w:val="bottom"/>
          </w:tcPr>
          <w:p w14:paraId="72D8D394" w14:textId="77777777" w:rsidR="0052744C" w:rsidRPr="00883953" w:rsidRDefault="0052744C">
            <w:pPr>
              <w:pStyle w:val="BodyText"/>
              <w:jc w:val="right"/>
              <w:rPr>
                <w:b/>
              </w:rPr>
            </w:pPr>
            <w:r w:rsidRPr="00883953">
              <w:rPr>
                <w:b/>
              </w:rPr>
              <w:t xml:space="preserve">At </w:t>
            </w:r>
          </w:p>
          <w:p w14:paraId="0339D340" w14:textId="77777777" w:rsidR="0052744C" w:rsidRPr="00883953" w:rsidRDefault="0052744C" w:rsidP="0052744C">
            <w:pPr>
              <w:pStyle w:val="BodyText"/>
              <w:jc w:val="right"/>
              <w:rPr>
                <w:b/>
              </w:rPr>
            </w:pPr>
            <w:r w:rsidRPr="00883953">
              <w:rPr>
                <w:b/>
              </w:rPr>
              <w:t>2</w:t>
            </w:r>
            <w:r>
              <w:rPr>
                <w:b/>
              </w:rPr>
              <w:t>5</w:t>
            </w:r>
            <w:r w:rsidRPr="00883953">
              <w:rPr>
                <w:b/>
              </w:rPr>
              <w:t xml:space="preserve"> September 20</w:t>
            </w:r>
            <w:r>
              <w:rPr>
                <w:b/>
              </w:rPr>
              <w:t>20</w:t>
            </w:r>
          </w:p>
        </w:tc>
        <w:tc>
          <w:tcPr>
            <w:tcW w:w="1347" w:type="dxa"/>
            <w:gridSpan w:val="2"/>
            <w:vAlign w:val="bottom"/>
          </w:tcPr>
          <w:p w14:paraId="5C69E2BD" w14:textId="77777777" w:rsidR="0052744C" w:rsidRPr="00883953" w:rsidRDefault="0052744C">
            <w:pPr>
              <w:pStyle w:val="BodyText"/>
              <w:jc w:val="right"/>
              <w:rPr>
                <w:b/>
              </w:rPr>
            </w:pPr>
            <w:r w:rsidRPr="00883953">
              <w:rPr>
                <w:b/>
              </w:rPr>
              <w:t xml:space="preserve">Cash </w:t>
            </w:r>
          </w:p>
          <w:p w14:paraId="652C581C" w14:textId="77777777" w:rsidR="0052744C" w:rsidRPr="00883953" w:rsidRDefault="0052744C">
            <w:pPr>
              <w:pStyle w:val="BodyText"/>
              <w:jc w:val="right"/>
              <w:rPr>
                <w:b/>
              </w:rPr>
            </w:pPr>
            <w:r w:rsidRPr="00883953">
              <w:rPr>
                <w:b/>
              </w:rPr>
              <w:t>flow</w:t>
            </w:r>
          </w:p>
        </w:tc>
        <w:tc>
          <w:tcPr>
            <w:tcW w:w="1346" w:type="dxa"/>
            <w:vAlign w:val="bottom"/>
          </w:tcPr>
          <w:p w14:paraId="713D06C8" w14:textId="77777777" w:rsidR="0052744C" w:rsidRPr="00883953" w:rsidRDefault="0052744C">
            <w:pPr>
              <w:pStyle w:val="BodyText"/>
              <w:jc w:val="right"/>
              <w:rPr>
                <w:b/>
              </w:rPr>
            </w:pPr>
            <w:r w:rsidRPr="00883953">
              <w:rPr>
                <w:b/>
              </w:rPr>
              <w:t>Translation and non-cash adjustments</w:t>
            </w:r>
          </w:p>
        </w:tc>
        <w:tc>
          <w:tcPr>
            <w:tcW w:w="1347" w:type="dxa"/>
            <w:gridSpan w:val="2"/>
            <w:vAlign w:val="bottom"/>
          </w:tcPr>
          <w:p w14:paraId="4D3A13FA" w14:textId="77777777" w:rsidR="0052744C" w:rsidRPr="00883953" w:rsidRDefault="0052744C">
            <w:pPr>
              <w:pStyle w:val="BodyText"/>
              <w:jc w:val="right"/>
              <w:rPr>
                <w:b/>
              </w:rPr>
            </w:pPr>
            <w:r w:rsidRPr="00883953">
              <w:rPr>
                <w:b/>
              </w:rPr>
              <w:t xml:space="preserve">At </w:t>
            </w:r>
          </w:p>
          <w:p w14:paraId="481D3842" w14:textId="77777777" w:rsidR="0052744C" w:rsidRPr="00883953" w:rsidRDefault="0052744C" w:rsidP="0052744C">
            <w:pPr>
              <w:pStyle w:val="BodyText"/>
              <w:jc w:val="right"/>
              <w:rPr>
                <w:b/>
              </w:rPr>
            </w:pPr>
            <w:r w:rsidRPr="00883953">
              <w:rPr>
                <w:b/>
              </w:rPr>
              <w:t>2</w:t>
            </w:r>
            <w:r>
              <w:rPr>
                <w:b/>
              </w:rPr>
              <w:t>4</w:t>
            </w:r>
            <w:r w:rsidRPr="00883953">
              <w:rPr>
                <w:b/>
              </w:rPr>
              <w:t xml:space="preserve"> September 202</w:t>
            </w:r>
            <w:r>
              <w:rPr>
                <w:b/>
              </w:rPr>
              <w:t>1</w:t>
            </w:r>
          </w:p>
        </w:tc>
      </w:tr>
      <w:tr w:rsidR="0052744C" w14:paraId="74C6B68B" w14:textId="77777777" w:rsidTr="0052744C">
        <w:tc>
          <w:tcPr>
            <w:tcW w:w="4820" w:type="dxa"/>
            <w:tcBorders>
              <w:bottom w:val="single" w:sz="4" w:space="0" w:color="auto"/>
            </w:tcBorders>
          </w:tcPr>
          <w:p w14:paraId="4D2754B1" w14:textId="77777777" w:rsidR="0052744C" w:rsidRPr="00883953" w:rsidRDefault="0052744C" w:rsidP="005B36AA">
            <w:pPr>
              <w:pStyle w:val="BodyText"/>
              <w:rPr>
                <w:b/>
              </w:rPr>
            </w:pPr>
          </w:p>
        </w:tc>
        <w:tc>
          <w:tcPr>
            <w:tcW w:w="1346" w:type="dxa"/>
            <w:tcBorders>
              <w:bottom w:val="single" w:sz="4" w:space="0" w:color="auto"/>
            </w:tcBorders>
          </w:tcPr>
          <w:p w14:paraId="78E8DB85" w14:textId="77777777" w:rsidR="0052744C" w:rsidRPr="00883953" w:rsidRDefault="0052744C" w:rsidP="005B36AA">
            <w:pPr>
              <w:pStyle w:val="BodyText"/>
              <w:jc w:val="right"/>
              <w:rPr>
                <w:b/>
              </w:rPr>
            </w:pPr>
            <w:r w:rsidRPr="00883953">
              <w:rPr>
                <w:b/>
              </w:rPr>
              <w:t>£m</w:t>
            </w:r>
          </w:p>
        </w:tc>
        <w:tc>
          <w:tcPr>
            <w:tcW w:w="1347" w:type="dxa"/>
            <w:gridSpan w:val="2"/>
            <w:tcBorders>
              <w:bottom w:val="single" w:sz="4" w:space="0" w:color="auto"/>
            </w:tcBorders>
          </w:tcPr>
          <w:p w14:paraId="183A79A0" w14:textId="77777777" w:rsidR="0052744C" w:rsidRPr="00883953" w:rsidRDefault="0052744C" w:rsidP="005B36AA">
            <w:pPr>
              <w:pStyle w:val="BodyText"/>
              <w:jc w:val="right"/>
              <w:rPr>
                <w:b/>
              </w:rPr>
            </w:pPr>
            <w:r w:rsidRPr="00883953">
              <w:rPr>
                <w:b/>
              </w:rPr>
              <w:t>£m</w:t>
            </w:r>
          </w:p>
        </w:tc>
        <w:tc>
          <w:tcPr>
            <w:tcW w:w="1346" w:type="dxa"/>
            <w:tcBorders>
              <w:bottom w:val="single" w:sz="4" w:space="0" w:color="auto"/>
            </w:tcBorders>
          </w:tcPr>
          <w:p w14:paraId="1658AFCA" w14:textId="77777777" w:rsidR="0052744C" w:rsidRPr="00883953" w:rsidRDefault="0052744C" w:rsidP="005B36AA">
            <w:pPr>
              <w:pStyle w:val="BodyText"/>
              <w:jc w:val="right"/>
              <w:rPr>
                <w:b/>
              </w:rPr>
            </w:pPr>
            <w:r w:rsidRPr="00883953">
              <w:rPr>
                <w:b/>
              </w:rPr>
              <w:t>£m</w:t>
            </w:r>
          </w:p>
        </w:tc>
        <w:tc>
          <w:tcPr>
            <w:tcW w:w="1347" w:type="dxa"/>
            <w:gridSpan w:val="2"/>
            <w:tcBorders>
              <w:bottom w:val="single" w:sz="4" w:space="0" w:color="auto"/>
            </w:tcBorders>
          </w:tcPr>
          <w:p w14:paraId="635CA8DB" w14:textId="77777777" w:rsidR="0052744C" w:rsidRPr="00883953" w:rsidRDefault="0052744C" w:rsidP="005B36AA">
            <w:pPr>
              <w:pStyle w:val="BodyText"/>
              <w:jc w:val="right"/>
              <w:rPr>
                <w:b/>
              </w:rPr>
            </w:pPr>
            <w:r w:rsidRPr="00883953">
              <w:rPr>
                <w:b/>
              </w:rPr>
              <w:t>£m</w:t>
            </w:r>
          </w:p>
        </w:tc>
      </w:tr>
      <w:tr w:rsidR="0052744C" w14:paraId="3262F3B2" w14:textId="77777777" w:rsidTr="0052744C">
        <w:tc>
          <w:tcPr>
            <w:tcW w:w="4820" w:type="dxa"/>
            <w:tcBorders>
              <w:top w:val="single" w:sz="4" w:space="0" w:color="auto"/>
            </w:tcBorders>
          </w:tcPr>
          <w:p w14:paraId="0655DC4C" w14:textId="77777777" w:rsidR="0052744C" w:rsidRDefault="0052744C" w:rsidP="005B36AA">
            <w:pPr>
              <w:pStyle w:val="BodyText"/>
            </w:pPr>
            <w:r>
              <w:t>Cash and cash equivalents and bank overdrafts</w:t>
            </w:r>
          </w:p>
        </w:tc>
        <w:tc>
          <w:tcPr>
            <w:tcW w:w="1346" w:type="dxa"/>
            <w:tcBorders>
              <w:top w:val="single" w:sz="4" w:space="0" w:color="auto"/>
            </w:tcBorders>
            <w:vAlign w:val="bottom"/>
          </w:tcPr>
          <w:p w14:paraId="26F1155F" w14:textId="77777777" w:rsidR="0052744C" w:rsidRPr="004B097D" w:rsidRDefault="0052744C">
            <w:pPr>
              <w:pStyle w:val="BodyText"/>
              <w:jc w:val="right"/>
              <w:rPr>
                <w:b/>
              </w:rPr>
            </w:pPr>
            <w:r>
              <w:rPr>
                <w:b/>
              </w:rPr>
              <w:t>47.0</w:t>
            </w:r>
          </w:p>
        </w:tc>
        <w:tc>
          <w:tcPr>
            <w:tcW w:w="1347" w:type="dxa"/>
            <w:gridSpan w:val="2"/>
            <w:tcBorders>
              <w:top w:val="single" w:sz="4" w:space="0" w:color="auto"/>
            </w:tcBorders>
            <w:vAlign w:val="bottom"/>
          </w:tcPr>
          <w:p w14:paraId="09CD951D" w14:textId="77777777" w:rsidR="0052744C" w:rsidRPr="004B097D" w:rsidRDefault="0052744C">
            <w:pPr>
              <w:pStyle w:val="BodyText"/>
              <w:jc w:val="right"/>
              <w:rPr>
                <w:b/>
              </w:rPr>
            </w:pPr>
            <w:r>
              <w:rPr>
                <w:b/>
              </w:rPr>
              <w:t>27.0</w:t>
            </w:r>
          </w:p>
        </w:tc>
        <w:tc>
          <w:tcPr>
            <w:tcW w:w="1346" w:type="dxa"/>
            <w:tcBorders>
              <w:top w:val="single" w:sz="4" w:space="0" w:color="auto"/>
            </w:tcBorders>
            <w:vAlign w:val="bottom"/>
          </w:tcPr>
          <w:p w14:paraId="2EDE2478" w14:textId="77777777" w:rsidR="0052744C" w:rsidRPr="004B097D" w:rsidRDefault="0052744C" w:rsidP="0052744C">
            <w:pPr>
              <w:pStyle w:val="BodyText"/>
              <w:jc w:val="right"/>
              <w:rPr>
                <w:b/>
              </w:rPr>
            </w:pPr>
            <w:r w:rsidRPr="004B097D">
              <w:rPr>
                <w:b/>
              </w:rPr>
              <w:t>(0.</w:t>
            </w:r>
            <w:r>
              <w:rPr>
                <w:b/>
              </w:rPr>
              <w:t>4</w:t>
            </w:r>
            <w:r w:rsidRPr="004B097D">
              <w:rPr>
                <w:b/>
              </w:rPr>
              <w:t>)</w:t>
            </w:r>
          </w:p>
        </w:tc>
        <w:tc>
          <w:tcPr>
            <w:tcW w:w="1347" w:type="dxa"/>
            <w:gridSpan w:val="2"/>
            <w:tcBorders>
              <w:top w:val="single" w:sz="4" w:space="0" w:color="auto"/>
            </w:tcBorders>
            <w:vAlign w:val="bottom"/>
          </w:tcPr>
          <w:p w14:paraId="1B29EC82" w14:textId="77777777" w:rsidR="0052744C" w:rsidRPr="004B097D" w:rsidRDefault="0052744C">
            <w:pPr>
              <w:pStyle w:val="BodyText"/>
              <w:jc w:val="right"/>
              <w:rPr>
                <w:b/>
              </w:rPr>
            </w:pPr>
            <w:r>
              <w:rPr>
                <w:b/>
              </w:rPr>
              <w:t>73.6</w:t>
            </w:r>
          </w:p>
        </w:tc>
      </w:tr>
      <w:tr w:rsidR="0052744C" w14:paraId="076C465D" w14:textId="77777777" w:rsidTr="0052744C">
        <w:tc>
          <w:tcPr>
            <w:tcW w:w="4820" w:type="dxa"/>
          </w:tcPr>
          <w:p w14:paraId="192BBD8C" w14:textId="77777777" w:rsidR="0052744C" w:rsidRDefault="0052744C" w:rsidP="005B36AA">
            <w:pPr>
              <w:pStyle w:val="BodyText"/>
            </w:pPr>
            <w:r>
              <w:t>Bank borrowings</w:t>
            </w:r>
          </w:p>
        </w:tc>
        <w:tc>
          <w:tcPr>
            <w:tcW w:w="1346" w:type="dxa"/>
          </w:tcPr>
          <w:p w14:paraId="3E135B15" w14:textId="77777777" w:rsidR="0052744C" w:rsidRPr="004B097D" w:rsidRDefault="0052744C" w:rsidP="0052744C">
            <w:pPr>
              <w:pStyle w:val="BodyText"/>
              <w:jc w:val="right"/>
              <w:rPr>
                <w:b/>
              </w:rPr>
            </w:pPr>
            <w:r w:rsidRPr="004B097D">
              <w:rPr>
                <w:b/>
              </w:rPr>
              <w:t>(2</w:t>
            </w:r>
            <w:r>
              <w:rPr>
                <w:b/>
              </w:rPr>
              <w:t>83.5</w:t>
            </w:r>
            <w:r w:rsidRPr="004B097D">
              <w:rPr>
                <w:b/>
              </w:rPr>
              <w:t>)</w:t>
            </w:r>
          </w:p>
        </w:tc>
        <w:tc>
          <w:tcPr>
            <w:tcW w:w="1347" w:type="dxa"/>
            <w:gridSpan w:val="2"/>
          </w:tcPr>
          <w:p w14:paraId="079A0974" w14:textId="77777777" w:rsidR="0052744C" w:rsidRPr="004B097D" w:rsidRDefault="0052744C" w:rsidP="005B36AA">
            <w:pPr>
              <w:pStyle w:val="BodyText"/>
              <w:jc w:val="right"/>
              <w:rPr>
                <w:b/>
              </w:rPr>
            </w:pPr>
            <w:r>
              <w:rPr>
                <w:b/>
              </w:rPr>
              <w:t>130.9</w:t>
            </w:r>
          </w:p>
        </w:tc>
        <w:tc>
          <w:tcPr>
            <w:tcW w:w="1346" w:type="dxa"/>
          </w:tcPr>
          <w:p w14:paraId="3B694BEE" w14:textId="77777777" w:rsidR="0052744C" w:rsidRPr="004B097D" w:rsidRDefault="0052744C" w:rsidP="00172308">
            <w:pPr>
              <w:pStyle w:val="BodyText"/>
              <w:jc w:val="right"/>
              <w:rPr>
                <w:b/>
              </w:rPr>
            </w:pPr>
            <w:r>
              <w:rPr>
                <w:b/>
              </w:rPr>
              <w:t>2.</w:t>
            </w:r>
            <w:r w:rsidR="00172308">
              <w:rPr>
                <w:b/>
              </w:rPr>
              <w:t>5</w:t>
            </w:r>
          </w:p>
        </w:tc>
        <w:tc>
          <w:tcPr>
            <w:tcW w:w="1347" w:type="dxa"/>
            <w:gridSpan w:val="2"/>
          </w:tcPr>
          <w:p w14:paraId="5192CA6B" w14:textId="77777777" w:rsidR="0052744C" w:rsidRPr="004B097D" w:rsidRDefault="0052744C" w:rsidP="00172308">
            <w:pPr>
              <w:pStyle w:val="BodyText"/>
              <w:jc w:val="right"/>
              <w:rPr>
                <w:b/>
              </w:rPr>
            </w:pPr>
            <w:r w:rsidRPr="004B097D">
              <w:rPr>
                <w:b/>
              </w:rPr>
              <w:t>(</w:t>
            </w:r>
            <w:r>
              <w:rPr>
                <w:b/>
              </w:rPr>
              <w:t>1</w:t>
            </w:r>
            <w:r w:rsidR="00172308">
              <w:rPr>
                <w:b/>
              </w:rPr>
              <w:t>50</w:t>
            </w:r>
            <w:r>
              <w:rPr>
                <w:b/>
              </w:rPr>
              <w:t>.</w:t>
            </w:r>
            <w:r w:rsidR="00172308">
              <w:rPr>
                <w:b/>
              </w:rPr>
              <w:t>1</w:t>
            </w:r>
            <w:r w:rsidRPr="004B097D">
              <w:rPr>
                <w:b/>
              </w:rPr>
              <w:t>)</w:t>
            </w:r>
          </w:p>
        </w:tc>
      </w:tr>
      <w:tr w:rsidR="0052744C" w14:paraId="2B90216B" w14:textId="77777777" w:rsidTr="0052744C">
        <w:tc>
          <w:tcPr>
            <w:tcW w:w="4820" w:type="dxa"/>
          </w:tcPr>
          <w:p w14:paraId="5FD408F1" w14:textId="77777777" w:rsidR="0052744C" w:rsidRDefault="0052744C" w:rsidP="005B36AA">
            <w:pPr>
              <w:pStyle w:val="BodyText"/>
            </w:pPr>
            <w:r>
              <w:t>Private Placement Notes</w:t>
            </w:r>
          </w:p>
        </w:tc>
        <w:tc>
          <w:tcPr>
            <w:tcW w:w="1346" w:type="dxa"/>
          </w:tcPr>
          <w:p w14:paraId="6467F75D" w14:textId="77777777" w:rsidR="0052744C" w:rsidRPr="004B097D" w:rsidRDefault="0052744C" w:rsidP="0052744C">
            <w:pPr>
              <w:pStyle w:val="BodyText"/>
              <w:jc w:val="right"/>
              <w:rPr>
                <w:b/>
              </w:rPr>
            </w:pPr>
            <w:r w:rsidRPr="004B097D">
              <w:rPr>
                <w:b/>
              </w:rPr>
              <w:t>(1</w:t>
            </w:r>
            <w:r>
              <w:rPr>
                <w:b/>
              </w:rPr>
              <w:t>14.0</w:t>
            </w:r>
            <w:r w:rsidRPr="004B097D">
              <w:rPr>
                <w:b/>
              </w:rPr>
              <w:t>)</w:t>
            </w:r>
          </w:p>
        </w:tc>
        <w:tc>
          <w:tcPr>
            <w:tcW w:w="1347" w:type="dxa"/>
            <w:gridSpan w:val="2"/>
          </w:tcPr>
          <w:p w14:paraId="0389A79F" w14:textId="77777777" w:rsidR="0052744C" w:rsidRPr="004B097D" w:rsidRDefault="0052744C" w:rsidP="005B36AA">
            <w:pPr>
              <w:pStyle w:val="BodyText"/>
              <w:jc w:val="right"/>
              <w:rPr>
                <w:b/>
              </w:rPr>
            </w:pPr>
            <w:r w:rsidRPr="004B097D">
              <w:rPr>
                <w:b/>
                <w:bCs/>
              </w:rPr>
              <w:t>–</w:t>
            </w:r>
          </w:p>
        </w:tc>
        <w:tc>
          <w:tcPr>
            <w:tcW w:w="1346" w:type="dxa"/>
          </w:tcPr>
          <w:p w14:paraId="52F02367" w14:textId="77777777" w:rsidR="0052744C" w:rsidRPr="004B097D" w:rsidRDefault="00172308" w:rsidP="005B36AA">
            <w:pPr>
              <w:pStyle w:val="BodyText"/>
              <w:jc w:val="right"/>
              <w:rPr>
                <w:b/>
              </w:rPr>
            </w:pPr>
            <w:r>
              <w:rPr>
                <w:b/>
              </w:rPr>
              <w:t>7.4</w:t>
            </w:r>
          </w:p>
        </w:tc>
        <w:tc>
          <w:tcPr>
            <w:tcW w:w="1347" w:type="dxa"/>
            <w:gridSpan w:val="2"/>
          </w:tcPr>
          <w:p w14:paraId="618AF970" w14:textId="77777777" w:rsidR="0052744C" w:rsidRPr="004B097D" w:rsidRDefault="0052744C" w:rsidP="00172308">
            <w:pPr>
              <w:pStyle w:val="BodyText"/>
              <w:jc w:val="right"/>
              <w:rPr>
                <w:b/>
              </w:rPr>
            </w:pPr>
            <w:r w:rsidRPr="004B097D">
              <w:rPr>
                <w:b/>
              </w:rPr>
              <w:t>(</w:t>
            </w:r>
            <w:r>
              <w:rPr>
                <w:b/>
              </w:rPr>
              <w:t>10</w:t>
            </w:r>
            <w:r w:rsidR="00172308">
              <w:rPr>
                <w:b/>
              </w:rPr>
              <w:t>6.6</w:t>
            </w:r>
            <w:r w:rsidRPr="004B097D">
              <w:rPr>
                <w:b/>
              </w:rPr>
              <w:t>)</w:t>
            </w:r>
          </w:p>
        </w:tc>
      </w:tr>
      <w:tr w:rsidR="0052744C" w14:paraId="43D918F8" w14:textId="77777777" w:rsidTr="0052744C">
        <w:tc>
          <w:tcPr>
            <w:tcW w:w="4820" w:type="dxa"/>
            <w:tcBorders>
              <w:top w:val="single" w:sz="4" w:space="0" w:color="auto"/>
              <w:bottom w:val="single" w:sz="4" w:space="0" w:color="auto"/>
            </w:tcBorders>
          </w:tcPr>
          <w:p w14:paraId="535ED6A5" w14:textId="77777777" w:rsidR="0052744C" w:rsidRPr="005771B0" w:rsidRDefault="0052744C" w:rsidP="0017223C">
            <w:pPr>
              <w:pStyle w:val="BodyText"/>
              <w:rPr>
                <w:b/>
              </w:rPr>
            </w:pPr>
            <w:r w:rsidRPr="005771B0">
              <w:rPr>
                <w:b/>
              </w:rPr>
              <w:t>Net debt excluding lease liabilities</w:t>
            </w:r>
          </w:p>
        </w:tc>
        <w:tc>
          <w:tcPr>
            <w:tcW w:w="1346" w:type="dxa"/>
            <w:tcBorders>
              <w:top w:val="single" w:sz="4" w:space="0" w:color="auto"/>
              <w:bottom w:val="single" w:sz="4" w:space="0" w:color="auto"/>
            </w:tcBorders>
          </w:tcPr>
          <w:p w14:paraId="785D4A6F" w14:textId="77777777" w:rsidR="0052744C" w:rsidRPr="004B097D" w:rsidRDefault="0052744C" w:rsidP="00B127CE">
            <w:pPr>
              <w:pStyle w:val="BodyText"/>
              <w:jc w:val="right"/>
              <w:rPr>
                <w:b/>
                <w:bCs/>
              </w:rPr>
            </w:pPr>
            <w:r>
              <w:rPr>
                <w:b/>
                <w:bCs/>
              </w:rPr>
              <w:t>(</w:t>
            </w:r>
            <w:r w:rsidR="00B127CE">
              <w:rPr>
                <w:b/>
                <w:bCs/>
              </w:rPr>
              <w:t>350.5</w:t>
            </w:r>
            <w:r>
              <w:rPr>
                <w:b/>
                <w:bCs/>
              </w:rPr>
              <w:t>)</w:t>
            </w:r>
          </w:p>
        </w:tc>
        <w:tc>
          <w:tcPr>
            <w:tcW w:w="1347" w:type="dxa"/>
            <w:gridSpan w:val="2"/>
            <w:tcBorders>
              <w:top w:val="single" w:sz="4" w:space="0" w:color="auto"/>
              <w:bottom w:val="single" w:sz="4" w:space="0" w:color="auto"/>
            </w:tcBorders>
          </w:tcPr>
          <w:p w14:paraId="2DFD8401" w14:textId="77777777" w:rsidR="0052744C" w:rsidRPr="004B097D" w:rsidRDefault="0052744C" w:rsidP="0017223C">
            <w:pPr>
              <w:pStyle w:val="BodyText"/>
              <w:jc w:val="right"/>
              <w:rPr>
                <w:b/>
              </w:rPr>
            </w:pPr>
            <w:r>
              <w:rPr>
                <w:b/>
              </w:rPr>
              <w:t>157.9</w:t>
            </w:r>
          </w:p>
        </w:tc>
        <w:tc>
          <w:tcPr>
            <w:tcW w:w="1346" w:type="dxa"/>
            <w:tcBorders>
              <w:top w:val="single" w:sz="4" w:space="0" w:color="auto"/>
              <w:bottom w:val="single" w:sz="4" w:space="0" w:color="auto"/>
            </w:tcBorders>
          </w:tcPr>
          <w:p w14:paraId="71BDE19E" w14:textId="77777777" w:rsidR="0052744C" w:rsidRPr="004B097D" w:rsidRDefault="0052744C" w:rsidP="0017223C">
            <w:pPr>
              <w:pStyle w:val="BodyText"/>
              <w:jc w:val="right"/>
              <w:rPr>
                <w:b/>
              </w:rPr>
            </w:pPr>
            <w:r>
              <w:rPr>
                <w:b/>
              </w:rPr>
              <w:t>9.5</w:t>
            </w:r>
          </w:p>
        </w:tc>
        <w:tc>
          <w:tcPr>
            <w:tcW w:w="1347" w:type="dxa"/>
            <w:gridSpan w:val="2"/>
            <w:tcBorders>
              <w:top w:val="single" w:sz="4" w:space="0" w:color="auto"/>
              <w:bottom w:val="single" w:sz="4" w:space="0" w:color="auto"/>
            </w:tcBorders>
          </w:tcPr>
          <w:p w14:paraId="1C8560A3" w14:textId="77777777" w:rsidR="0052744C" w:rsidRPr="004B097D" w:rsidRDefault="0052744C" w:rsidP="0052744C">
            <w:pPr>
              <w:pStyle w:val="BodyText"/>
              <w:jc w:val="right"/>
              <w:rPr>
                <w:b/>
              </w:rPr>
            </w:pPr>
            <w:r>
              <w:rPr>
                <w:b/>
              </w:rPr>
              <w:t>(183.1)</w:t>
            </w:r>
          </w:p>
        </w:tc>
      </w:tr>
      <w:tr w:rsidR="0052744C" w14:paraId="4E186BC7" w14:textId="77777777" w:rsidTr="0052744C">
        <w:tc>
          <w:tcPr>
            <w:tcW w:w="4820" w:type="dxa"/>
            <w:tcBorders>
              <w:bottom w:val="single" w:sz="4" w:space="0" w:color="auto"/>
            </w:tcBorders>
          </w:tcPr>
          <w:p w14:paraId="7A9FAE11" w14:textId="77777777" w:rsidR="0052744C" w:rsidRDefault="0052744C" w:rsidP="0017223C">
            <w:pPr>
              <w:pStyle w:val="BodyText"/>
            </w:pPr>
            <w:r>
              <w:t>Lease liabilities</w:t>
            </w:r>
          </w:p>
        </w:tc>
        <w:tc>
          <w:tcPr>
            <w:tcW w:w="1346" w:type="dxa"/>
            <w:tcBorders>
              <w:bottom w:val="single" w:sz="4" w:space="0" w:color="auto"/>
            </w:tcBorders>
          </w:tcPr>
          <w:p w14:paraId="5AE5C96C" w14:textId="77777777" w:rsidR="0052744C" w:rsidRPr="004B097D" w:rsidRDefault="0052744C" w:rsidP="0017223C">
            <w:pPr>
              <w:pStyle w:val="BodyText"/>
              <w:jc w:val="right"/>
              <w:rPr>
                <w:b/>
              </w:rPr>
            </w:pPr>
            <w:r>
              <w:rPr>
                <w:b/>
                <w:bCs/>
              </w:rPr>
              <w:t>(60.7)</w:t>
            </w:r>
          </w:p>
        </w:tc>
        <w:tc>
          <w:tcPr>
            <w:tcW w:w="1347" w:type="dxa"/>
            <w:gridSpan w:val="2"/>
            <w:tcBorders>
              <w:bottom w:val="single" w:sz="4" w:space="0" w:color="auto"/>
            </w:tcBorders>
          </w:tcPr>
          <w:p w14:paraId="3C6D08D4" w14:textId="77777777" w:rsidR="0052744C" w:rsidRPr="004B097D" w:rsidRDefault="0052744C" w:rsidP="0017223C">
            <w:pPr>
              <w:pStyle w:val="BodyText"/>
              <w:jc w:val="right"/>
              <w:rPr>
                <w:b/>
              </w:rPr>
            </w:pPr>
            <w:r>
              <w:rPr>
                <w:b/>
              </w:rPr>
              <w:t>15.6</w:t>
            </w:r>
          </w:p>
        </w:tc>
        <w:tc>
          <w:tcPr>
            <w:tcW w:w="1346" w:type="dxa"/>
            <w:tcBorders>
              <w:bottom w:val="single" w:sz="4" w:space="0" w:color="auto"/>
            </w:tcBorders>
          </w:tcPr>
          <w:p w14:paraId="3DF889A1" w14:textId="77777777" w:rsidR="0052744C" w:rsidRPr="004B097D" w:rsidRDefault="0052744C" w:rsidP="0052744C">
            <w:pPr>
              <w:pStyle w:val="BodyText"/>
              <w:jc w:val="right"/>
              <w:rPr>
                <w:b/>
              </w:rPr>
            </w:pPr>
            <w:r w:rsidRPr="004B097D">
              <w:rPr>
                <w:b/>
              </w:rPr>
              <w:t>(</w:t>
            </w:r>
            <w:r>
              <w:rPr>
                <w:b/>
              </w:rPr>
              <w:t>14.5</w:t>
            </w:r>
            <w:r w:rsidRPr="004B097D">
              <w:rPr>
                <w:b/>
              </w:rPr>
              <w:t>)</w:t>
            </w:r>
          </w:p>
        </w:tc>
        <w:tc>
          <w:tcPr>
            <w:tcW w:w="1347" w:type="dxa"/>
            <w:gridSpan w:val="2"/>
            <w:tcBorders>
              <w:bottom w:val="single" w:sz="4" w:space="0" w:color="auto"/>
            </w:tcBorders>
          </w:tcPr>
          <w:p w14:paraId="02C4AC73" w14:textId="77777777" w:rsidR="0052744C" w:rsidRPr="004B097D" w:rsidRDefault="0052744C" w:rsidP="00B127CE">
            <w:pPr>
              <w:pStyle w:val="BodyText"/>
              <w:jc w:val="right"/>
              <w:rPr>
                <w:b/>
              </w:rPr>
            </w:pPr>
            <w:r w:rsidRPr="004B097D">
              <w:rPr>
                <w:b/>
              </w:rPr>
              <w:t>(</w:t>
            </w:r>
            <w:r w:rsidR="00B127CE">
              <w:rPr>
                <w:b/>
              </w:rPr>
              <w:t>59.6</w:t>
            </w:r>
            <w:r w:rsidRPr="004B097D">
              <w:rPr>
                <w:b/>
              </w:rPr>
              <w:t>)</w:t>
            </w:r>
          </w:p>
        </w:tc>
      </w:tr>
      <w:tr w:rsidR="0052744C" w14:paraId="55228C9B" w14:textId="77777777" w:rsidTr="0052744C">
        <w:tc>
          <w:tcPr>
            <w:tcW w:w="4820" w:type="dxa"/>
            <w:tcBorders>
              <w:top w:val="single" w:sz="4" w:space="0" w:color="auto"/>
              <w:bottom w:val="single" w:sz="4" w:space="0" w:color="auto"/>
            </w:tcBorders>
          </w:tcPr>
          <w:p w14:paraId="19EB8D63" w14:textId="77777777" w:rsidR="0052744C" w:rsidRPr="00883953" w:rsidRDefault="0052744C" w:rsidP="0017223C">
            <w:pPr>
              <w:pStyle w:val="BodyText"/>
              <w:rPr>
                <w:b/>
              </w:rPr>
            </w:pPr>
            <w:r w:rsidRPr="00883953">
              <w:rPr>
                <w:b/>
              </w:rPr>
              <w:t>Net Debt</w:t>
            </w:r>
          </w:p>
        </w:tc>
        <w:tc>
          <w:tcPr>
            <w:tcW w:w="1346" w:type="dxa"/>
            <w:tcBorders>
              <w:top w:val="single" w:sz="4" w:space="0" w:color="auto"/>
              <w:bottom w:val="single" w:sz="4" w:space="0" w:color="auto"/>
            </w:tcBorders>
          </w:tcPr>
          <w:p w14:paraId="7C9BBC25" w14:textId="77777777" w:rsidR="0052744C" w:rsidRPr="004B097D" w:rsidRDefault="0052744C" w:rsidP="0052744C">
            <w:pPr>
              <w:pStyle w:val="BodyText"/>
              <w:jc w:val="right"/>
              <w:rPr>
                <w:b/>
              </w:rPr>
            </w:pPr>
            <w:r w:rsidRPr="004B097D">
              <w:rPr>
                <w:b/>
              </w:rPr>
              <w:t>(</w:t>
            </w:r>
            <w:r>
              <w:rPr>
                <w:b/>
              </w:rPr>
              <w:t>411.2</w:t>
            </w:r>
            <w:r w:rsidRPr="004B097D">
              <w:rPr>
                <w:b/>
              </w:rPr>
              <w:t>)</w:t>
            </w:r>
          </w:p>
        </w:tc>
        <w:tc>
          <w:tcPr>
            <w:tcW w:w="1347" w:type="dxa"/>
            <w:gridSpan w:val="2"/>
            <w:tcBorders>
              <w:top w:val="single" w:sz="4" w:space="0" w:color="auto"/>
              <w:bottom w:val="single" w:sz="4" w:space="0" w:color="auto"/>
            </w:tcBorders>
          </w:tcPr>
          <w:p w14:paraId="7D8DC595" w14:textId="77777777" w:rsidR="0052744C" w:rsidRPr="004B097D" w:rsidRDefault="0052744C" w:rsidP="0052744C">
            <w:pPr>
              <w:pStyle w:val="BodyText"/>
              <w:jc w:val="right"/>
              <w:rPr>
                <w:b/>
              </w:rPr>
            </w:pPr>
            <w:r>
              <w:rPr>
                <w:b/>
              </w:rPr>
              <w:t>173.5</w:t>
            </w:r>
          </w:p>
        </w:tc>
        <w:tc>
          <w:tcPr>
            <w:tcW w:w="1346" w:type="dxa"/>
            <w:tcBorders>
              <w:top w:val="single" w:sz="4" w:space="0" w:color="auto"/>
              <w:bottom w:val="single" w:sz="4" w:space="0" w:color="auto"/>
            </w:tcBorders>
          </w:tcPr>
          <w:p w14:paraId="42E1E5EE" w14:textId="77777777" w:rsidR="0052744C" w:rsidRPr="004B097D" w:rsidRDefault="0052744C" w:rsidP="0052744C">
            <w:pPr>
              <w:pStyle w:val="BodyText"/>
              <w:jc w:val="right"/>
              <w:rPr>
                <w:b/>
              </w:rPr>
            </w:pPr>
            <w:r w:rsidRPr="004B097D">
              <w:rPr>
                <w:b/>
              </w:rPr>
              <w:t>(</w:t>
            </w:r>
            <w:r>
              <w:rPr>
                <w:b/>
              </w:rPr>
              <w:t>5.0</w:t>
            </w:r>
            <w:r w:rsidRPr="004B097D">
              <w:rPr>
                <w:b/>
              </w:rPr>
              <w:t>)</w:t>
            </w:r>
          </w:p>
        </w:tc>
        <w:tc>
          <w:tcPr>
            <w:tcW w:w="1347" w:type="dxa"/>
            <w:gridSpan w:val="2"/>
            <w:tcBorders>
              <w:top w:val="single" w:sz="4" w:space="0" w:color="auto"/>
              <w:bottom w:val="single" w:sz="4" w:space="0" w:color="auto"/>
            </w:tcBorders>
          </w:tcPr>
          <w:p w14:paraId="6F3EBE97" w14:textId="77777777" w:rsidR="0052744C" w:rsidRPr="004B097D" w:rsidRDefault="0052744C" w:rsidP="0052744C">
            <w:pPr>
              <w:pStyle w:val="BodyText"/>
              <w:jc w:val="right"/>
              <w:rPr>
                <w:b/>
              </w:rPr>
            </w:pPr>
            <w:r w:rsidRPr="004B097D">
              <w:rPr>
                <w:b/>
              </w:rPr>
              <w:t>(</w:t>
            </w:r>
            <w:r>
              <w:rPr>
                <w:b/>
              </w:rPr>
              <w:t>242.7</w:t>
            </w:r>
            <w:r w:rsidRPr="004B097D">
              <w:rPr>
                <w:b/>
              </w:rPr>
              <w:t>)</w:t>
            </w:r>
          </w:p>
        </w:tc>
      </w:tr>
      <w:tr w:rsidR="0052744C" w14:paraId="3BEC1800" w14:textId="77777777" w:rsidTr="0052744C">
        <w:tc>
          <w:tcPr>
            <w:tcW w:w="4820" w:type="dxa"/>
            <w:tcBorders>
              <w:top w:val="single" w:sz="4" w:space="0" w:color="auto"/>
            </w:tcBorders>
          </w:tcPr>
          <w:p w14:paraId="297909ED" w14:textId="77777777" w:rsidR="0052744C" w:rsidRDefault="0052744C" w:rsidP="0017223C">
            <w:pPr>
              <w:pStyle w:val="BodyText"/>
            </w:pPr>
          </w:p>
        </w:tc>
        <w:tc>
          <w:tcPr>
            <w:tcW w:w="1559" w:type="dxa"/>
            <w:gridSpan w:val="2"/>
            <w:tcBorders>
              <w:top w:val="single" w:sz="4" w:space="0" w:color="auto"/>
            </w:tcBorders>
          </w:tcPr>
          <w:p w14:paraId="237E86FE" w14:textId="77777777" w:rsidR="0052744C" w:rsidRDefault="0052744C" w:rsidP="0017223C">
            <w:pPr>
              <w:pStyle w:val="BodyText"/>
              <w:jc w:val="right"/>
            </w:pPr>
          </w:p>
        </w:tc>
        <w:tc>
          <w:tcPr>
            <w:tcW w:w="1134" w:type="dxa"/>
            <w:tcBorders>
              <w:top w:val="single" w:sz="4" w:space="0" w:color="auto"/>
            </w:tcBorders>
          </w:tcPr>
          <w:p w14:paraId="480D7319" w14:textId="77777777" w:rsidR="0052744C" w:rsidRDefault="0052744C" w:rsidP="0017223C">
            <w:pPr>
              <w:pStyle w:val="BodyText"/>
              <w:jc w:val="right"/>
            </w:pPr>
          </w:p>
        </w:tc>
        <w:tc>
          <w:tcPr>
            <w:tcW w:w="1418" w:type="dxa"/>
            <w:gridSpan w:val="2"/>
            <w:tcBorders>
              <w:top w:val="single" w:sz="4" w:space="0" w:color="auto"/>
            </w:tcBorders>
          </w:tcPr>
          <w:p w14:paraId="47056218" w14:textId="77777777" w:rsidR="0052744C" w:rsidRDefault="0052744C" w:rsidP="0017223C">
            <w:pPr>
              <w:pStyle w:val="BodyText"/>
              <w:jc w:val="right"/>
            </w:pPr>
          </w:p>
        </w:tc>
        <w:tc>
          <w:tcPr>
            <w:tcW w:w="1275" w:type="dxa"/>
            <w:tcBorders>
              <w:top w:val="single" w:sz="4" w:space="0" w:color="auto"/>
            </w:tcBorders>
          </w:tcPr>
          <w:p w14:paraId="34910EA8" w14:textId="77777777" w:rsidR="0052744C" w:rsidRDefault="0052744C" w:rsidP="0017223C">
            <w:pPr>
              <w:pStyle w:val="BodyText"/>
              <w:jc w:val="right"/>
            </w:pPr>
          </w:p>
        </w:tc>
      </w:tr>
    </w:tbl>
    <w:p w14:paraId="1292EAAA" w14:textId="77777777" w:rsidR="00AF77AE" w:rsidRDefault="00AF77AE" w:rsidP="005B36AA">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275"/>
        <w:gridCol w:w="1134"/>
        <w:gridCol w:w="851"/>
        <w:gridCol w:w="1276"/>
        <w:gridCol w:w="1090"/>
        <w:gridCol w:w="1298"/>
      </w:tblGrid>
      <w:tr w:rsidR="0052744C" w14:paraId="0CF09ABB" w14:textId="77777777" w:rsidTr="00B01662">
        <w:tc>
          <w:tcPr>
            <w:tcW w:w="3261" w:type="dxa"/>
          </w:tcPr>
          <w:p w14:paraId="1A20BF41" w14:textId="77777777" w:rsidR="0052744C" w:rsidRPr="0052744C" w:rsidRDefault="0052744C" w:rsidP="00B01662">
            <w:pPr>
              <w:pStyle w:val="BodyText"/>
            </w:pPr>
          </w:p>
        </w:tc>
        <w:tc>
          <w:tcPr>
            <w:tcW w:w="1275" w:type="dxa"/>
            <w:vAlign w:val="bottom"/>
          </w:tcPr>
          <w:p w14:paraId="7555E9D1" w14:textId="77777777" w:rsidR="0052744C" w:rsidRPr="0052744C" w:rsidRDefault="0052744C" w:rsidP="00B01662">
            <w:pPr>
              <w:pStyle w:val="BodyText"/>
              <w:jc w:val="right"/>
            </w:pPr>
            <w:r w:rsidRPr="0052744C">
              <w:t xml:space="preserve">At </w:t>
            </w:r>
          </w:p>
          <w:p w14:paraId="7BF7E285" w14:textId="77777777" w:rsidR="0052744C" w:rsidRPr="0052744C" w:rsidRDefault="0052744C" w:rsidP="00B01662">
            <w:pPr>
              <w:pStyle w:val="BodyText"/>
              <w:jc w:val="right"/>
            </w:pPr>
            <w:r w:rsidRPr="0052744C">
              <w:t>27 September 2019</w:t>
            </w:r>
          </w:p>
        </w:tc>
        <w:tc>
          <w:tcPr>
            <w:tcW w:w="1134" w:type="dxa"/>
            <w:vAlign w:val="bottom"/>
          </w:tcPr>
          <w:p w14:paraId="6FBA0239" w14:textId="77777777" w:rsidR="0052744C" w:rsidRPr="0052744C" w:rsidRDefault="0052744C" w:rsidP="00B01662">
            <w:pPr>
              <w:pStyle w:val="BodyText"/>
              <w:jc w:val="right"/>
            </w:pPr>
            <w:r w:rsidRPr="0052744C">
              <w:t>IFRS 16 transition adjustment</w:t>
            </w:r>
          </w:p>
        </w:tc>
        <w:tc>
          <w:tcPr>
            <w:tcW w:w="851" w:type="dxa"/>
            <w:vAlign w:val="bottom"/>
          </w:tcPr>
          <w:p w14:paraId="4DF432ED" w14:textId="77777777" w:rsidR="0052744C" w:rsidRPr="0052744C" w:rsidRDefault="0052744C" w:rsidP="00B01662">
            <w:pPr>
              <w:pStyle w:val="BodyText"/>
              <w:jc w:val="right"/>
            </w:pPr>
            <w:r w:rsidRPr="0052744C">
              <w:t xml:space="preserve">Cash </w:t>
            </w:r>
          </w:p>
          <w:p w14:paraId="2C528F6E" w14:textId="77777777" w:rsidR="0052744C" w:rsidRPr="0052744C" w:rsidRDefault="0052744C" w:rsidP="00B01662">
            <w:pPr>
              <w:pStyle w:val="BodyText"/>
              <w:jc w:val="right"/>
            </w:pPr>
            <w:r w:rsidRPr="0052744C">
              <w:t>flow</w:t>
            </w:r>
          </w:p>
        </w:tc>
        <w:tc>
          <w:tcPr>
            <w:tcW w:w="1276" w:type="dxa"/>
            <w:vAlign w:val="bottom"/>
          </w:tcPr>
          <w:p w14:paraId="765546EC" w14:textId="77777777" w:rsidR="0052744C" w:rsidRPr="0052744C" w:rsidRDefault="0052744C" w:rsidP="00B01662">
            <w:pPr>
              <w:pStyle w:val="BodyText"/>
              <w:jc w:val="right"/>
            </w:pPr>
            <w:r w:rsidRPr="0052744C">
              <w:t>Translation and non-cash adjustments</w:t>
            </w:r>
          </w:p>
        </w:tc>
        <w:tc>
          <w:tcPr>
            <w:tcW w:w="1090" w:type="dxa"/>
            <w:vAlign w:val="bottom"/>
          </w:tcPr>
          <w:p w14:paraId="408ED561" w14:textId="77777777" w:rsidR="0052744C" w:rsidRPr="0052744C" w:rsidRDefault="0052744C" w:rsidP="00B01662">
            <w:pPr>
              <w:pStyle w:val="BodyText"/>
              <w:jc w:val="right"/>
            </w:pPr>
            <w:r w:rsidRPr="0052744C">
              <w:t>Transferred to held for sale</w:t>
            </w:r>
          </w:p>
        </w:tc>
        <w:tc>
          <w:tcPr>
            <w:tcW w:w="1298" w:type="dxa"/>
            <w:vAlign w:val="bottom"/>
          </w:tcPr>
          <w:p w14:paraId="429CB7A4" w14:textId="77777777" w:rsidR="0052744C" w:rsidRPr="0052744C" w:rsidRDefault="0052744C" w:rsidP="00B01662">
            <w:pPr>
              <w:pStyle w:val="BodyText"/>
              <w:jc w:val="right"/>
            </w:pPr>
            <w:r w:rsidRPr="0052744C">
              <w:t xml:space="preserve">At </w:t>
            </w:r>
          </w:p>
          <w:p w14:paraId="113DDA69" w14:textId="77777777" w:rsidR="0052744C" w:rsidRPr="0052744C" w:rsidRDefault="0052744C" w:rsidP="00B01662">
            <w:pPr>
              <w:pStyle w:val="BodyText"/>
              <w:jc w:val="right"/>
            </w:pPr>
            <w:r w:rsidRPr="0052744C">
              <w:t>25 September 2020</w:t>
            </w:r>
          </w:p>
        </w:tc>
      </w:tr>
      <w:tr w:rsidR="0052744C" w14:paraId="49A2FC05" w14:textId="77777777" w:rsidTr="00B01662">
        <w:tc>
          <w:tcPr>
            <w:tcW w:w="3261" w:type="dxa"/>
            <w:tcBorders>
              <w:bottom w:val="single" w:sz="4" w:space="0" w:color="auto"/>
            </w:tcBorders>
          </w:tcPr>
          <w:p w14:paraId="056CAE56" w14:textId="77777777" w:rsidR="0052744C" w:rsidRPr="0052744C" w:rsidRDefault="0052744C" w:rsidP="00B01662">
            <w:pPr>
              <w:pStyle w:val="BodyText"/>
            </w:pPr>
          </w:p>
        </w:tc>
        <w:tc>
          <w:tcPr>
            <w:tcW w:w="1275" w:type="dxa"/>
            <w:tcBorders>
              <w:bottom w:val="single" w:sz="4" w:space="0" w:color="auto"/>
            </w:tcBorders>
          </w:tcPr>
          <w:p w14:paraId="3568C7C6" w14:textId="77777777" w:rsidR="0052744C" w:rsidRPr="0052744C" w:rsidRDefault="0052744C" w:rsidP="00B01662">
            <w:pPr>
              <w:pStyle w:val="BodyText"/>
              <w:jc w:val="right"/>
            </w:pPr>
            <w:r w:rsidRPr="0052744C">
              <w:t>£m</w:t>
            </w:r>
          </w:p>
        </w:tc>
        <w:tc>
          <w:tcPr>
            <w:tcW w:w="1134" w:type="dxa"/>
            <w:tcBorders>
              <w:bottom w:val="single" w:sz="4" w:space="0" w:color="auto"/>
            </w:tcBorders>
          </w:tcPr>
          <w:p w14:paraId="0FC4C90E" w14:textId="77777777" w:rsidR="0052744C" w:rsidRPr="0052744C" w:rsidRDefault="0052744C" w:rsidP="00B01662">
            <w:pPr>
              <w:pStyle w:val="BodyText"/>
              <w:jc w:val="right"/>
            </w:pPr>
            <w:r w:rsidRPr="0052744C">
              <w:t>£m</w:t>
            </w:r>
          </w:p>
        </w:tc>
        <w:tc>
          <w:tcPr>
            <w:tcW w:w="851" w:type="dxa"/>
            <w:tcBorders>
              <w:bottom w:val="single" w:sz="4" w:space="0" w:color="auto"/>
            </w:tcBorders>
          </w:tcPr>
          <w:p w14:paraId="0B61D490" w14:textId="77777777" w:rsidR="0052744C" w:rsidRPr="0052744C" w:rsidRDefault="0052744C" w:rsidP="00B01662">
            <w:pPr>
              <w:pStyle w:val="BodyText"/>
              <w:jc w:val="right"/>
            </w:pPr>
            <w:r w:rsidRPr="0052744C">
              <w:t>£m</w:t>
            </w:r>
          </w:p>
        </w:tc>
        <w:tc>
          <w:tcPr>
            <w:tcW w:w="1276" w:type="dxa"/>
            <w:tcBorders>
              <w:bottom w:val="single" w:sz="4" w:space="0" w:color="auto"/>
            </w:tcBorders>
          </w:tcPr>
          <w:p w14:paraId="43244DD0" w14:textId="77777777" w:rsidR="0052744C" w:rsidRPr="0052744C" w:rsidRDefault="0052744C" w:rsidP="00B01662">
            <w:pPr>
              <w:pStyle w:val="BodyText"/>
              <w:jc w:val="right"/>
            </w:pPr>
            <w:r w:rsidRPr="0052744C">
              <w:t>£m</w:t>
            </w:r>
          </w:p>
        </w:tc>
        <w:tc>
          <w:tcPr>
            <w:tcW w:w="1090" w:type="dxa"/>
            <w:tcBorders>
              <w:bottom w:val="single" w:sz="4" w:space="0" w:color="auto"/>
            </w:tcBorders>
          </w:tcPr>
          <w:p w14:paraId="62C9F290" w14:textId="77777777" w:rsidR="0052744C" w:rsidRPr="0052744C" w:rsidRDefault="0052744C" w:rsidP="00B01662">
            <w:pPr>
              <w:pStyle w:val="BodyText"/>
              <w:jc w:val="right"/>
            </w:pPr>
            <w:r w:rsidRPr="0052744C">
              <w:t>£m</w:t>
            </w:r>
          </w:p>
        </w:tc>
        <w:tc>
          <w:tcPr>
            <w:tcW w:w="1298" w:type="dxa"/>
            <w:tcBorders>
              <w:bottom w:val="single" w:sz="4" w:space="0" w:color="auto"/>
            </w:tcBorders>
          </w:tcPr>
          <w:p w14:paraId="786B5B85" w14:textId="77777777" w:rsidR="0052744C" w:rsidRPr="0052744C" w:rsidRDefault="0052744C" w:rsidP="00B01662">
            <w:pPr>
              <w:pStyle w:val="BodyText"/>
              <w:jc w:val="right"/>
            </w:pPr>
            <w:r w:rsidRPr="0052744C">
              <w:t>£m</w:t>
            </w:r>
          </w:p>
        </w:tc>
      </w:tr>
      <w:tr w:rsidR="0052744C" w14:paraId="657F2609" w14:textId="77777777" w:rsidTr="00B01662">
        <w:tc>
          <w:tcPr>
            <w:tcW w:w="3261" w:type="dxa"/>
            <w:tcBorders>
              <w:top w:val="single" w:sz="4" w:space="0" w:color="auto"/>
            </w:tcBorders>
          </w:tcPr>
          <w:p w14:paraId="0CAB2BA7" w14:textId="77777777" w:rsidR="0052744C" w:rsidRPr="0052744C" w:rsidRDefault="0052744C" w:rsidP="00B01662">
            <w:pPr>
              <w:pStyle w:val="BodyText"/>
            </w:pPr>
            <w:r w:rsidRPr="0052744C">
              <w:t>Cash and cash equivalents and bank overdrafts</w:t>
            </w:r>
          </w:p>
        </w:tc>
        <w:tc>
          <w:tcPr>
            <w:tcW w:w="1275" w:type="dxa"/>
            <w:tcBorders>
              <w:top w:val="single" w:sz="4" w:space="0" w:color="auto"/>
            </w:tcBorders>
            <w:vAlign w:val="bottom"/>
          </w:tcPr>
          <w:p w14:paraId="1DB6655C" w14:textId="77777777" w:rsidR="0052744C" w:rsidRPr="0052744C" w:rsidRDefault="0052744C" w:rsidP="00B01662">
            <w:pPr>
              <w:pStyle w:val="BodyText"/>
              <w:jc w:val="right"/>
            </w:pPr>
            <w:r w:rsidRPr="0052744C">
              <w:t>41.6</w:t>
            </w:r>
          </w:p>
        </w:tc>
        <w:tc>
          <w:tcPr>
            <w:tcW w:w="1134" w:type="dxa"/>
            <w:tcBorders>
              <w:top w:val="single" w:sz="4" w:space="0" w:color="auto"/>
            </w:tcBorders>
            <w:vAlign w:val="bottom"/>
          </w:tcPr>
          <w:p w14:paraId="795B3D08" w14:textId="77777777" w:rsidR="0052744C" w:rsidRPr="0052744C" w:rsidRDefault="0052744C" w:rsidP="00B01662">
            <w:pPr>
              <w:pStyle w:val="BodyText"/>
              <w:jc w:val="right"/>
            </w:pPr>
            <w:r w:rsidRPr="0052744C">
              <w:rPr>
                <w:bCs/>
              </w:rPr>
              <w:t>–</w:t>
            </w:r>
          </w:p>
        </w:tc>
        <w:tc>
          <w:tcPr>
            <w:tcW w:w="851" w:type="dxa"/>
            <w:tcBorders>
              <w:top w:val="single" w:sz="4" w:space="0" w:color="auto"/>
            </w:tcBorders>
            <w:vAlign w:val="bottom"/>
          </w:tcPr>
          <w:p w14:paraId="3C41481A" w14:textId="77777777" w:rsidR="0052744C" w:rsidRPr="0052744C" w:rsidRDefault="0052744C" w:rsidP="00B01662">
            <w:pPr>
              <w:pStyle w:val="BodyText"/>
              <w:jc w:val="right"/>
            </w:pPr>
            <w:r w:rsidRPr="0052744C">
              <w:t>5.5</w:t>
            </w:r>
          </w:p>
        </w:tc>
        <w:tc>
          <w:tcPr>
            <w:tcW w:w="1276" w:type="dxa"/>
            <w:tcBorders>
              <w:top w:val="single" w:sz="4" w:space="0" w:color="auto"/>
            </w:tcBorders>
            <w:vAlign w:val="bottom"/>
          </w:tcPr>
          <w:p w14:paraId="2F77F260" w14:textId="77777777" w:rsidR="0052744C" w:rsidRPr="0052744C" w:rsidRDefault="0052744C" w:rsidP="00B01662">
            <w:pPr>
              <w:pStyle w:val="BodyText"/>
              <w:jc w:val="right"/>
            </w:pPr>
            <w:r w:rsidRPr="0052744C">
              <w:t>(0.1)</w:t>
            </w:r>
          </w:p>
        </w:tc>
        <w:tc>
          <w:tcPr>
            <w:tcW w:w="1090" w:type="dxa"/>
            <w:tcBorders>
              <w:top w:val="single" w:sz="4" w:space="0" w:color="auto"/>
            </w:tcBorders>
            <w:vAlign w:val="bottom"/>
          </w:tcPr>
          <w:p w14:paraId="279A1A0E" w14:textId="77777777" w:rsidR="0052744C" w:rsidRPr="0052744C" w:rsidRDefault="0052744C" w:rsidP="00B01662">
            <w:pPr>
              <w:pStyle w:val="BodyText"/>
              <w:jc w:val="right"/>
            </w:pPr>
            <w:r w:rsidRPr="0052744C">
              <w:rPr>
                <w:bCs/>
              </w:rPr>
              <w:t>–</w:t>
            </w:r>
          </w:p>
        </w:tc>
        <w:tc>
          <w:tcPr>
            <w:tcW w:w="1298" w:type="dxa"/>
            <w:tcBorders>
              <w:top w:val="single" w:sz="4" w:space="0" w:color="auto"/>
            </w:tcBorders>
            <w:vAlign w:val="bottom"/>
          </w:tcPr>
          <w:p w14:paraId="5DE64202" w14:textId="77777777" w:rsidR="0052744C" w:rsidRPr="0052744C" w:rsidRDefault="0052744C" w:rsidP="00B01662">
            <w:pPr>
              <w:pStyle w:val="BodyText"/>
              <w:jc w:val="right"/>
            </w:pPr>
            <w:r w:rsidRPr="0052744C">
              <w:t>47.0</w:t>
            </w:r>
          </w:p>
        </w:tc>
      </w:tr>
      <w:tr w:rsidR="0052744C" w14:paraId="60FFF639" w14:textId="77777777" w:rsidTr="00B01662">
        <w:tc>
          <w:tcPr>
            <w:tcW w:w="3261" w:type="dxa"/>
          </w:tcPr>
          <w:p w14:paraId="59E302E8" w14:textId="77777777" w:rsidR="0052744C" w:rsidRPr="0052744C" w:rsidRDefault="0052744C" w:rsidP="00B01662">
            <w:pPr>
              <w:pStyle w:val="BodyText"/>
            </w:pPr>
            <w:r w:rsidRPr="0052744C">
              <w:t>Bank borrowings</w:t>
            </w:r>
          </w:p>
        </w:tc>
        <w:tc>
          <w:tcPr>
            <w:tcW w:w="1275" w:type="dxa"/>
          </w:tcPr>
          <w:p w14:paraId="74F35DBD" w14:textId="77777777" w:rsidR="0052744C" w:rsidRPr="0052744C" w:rsidRDefault="0052744C" w:rsidP="00B01662">
            <w:pPr>
              <w:pStyle w:val="BodyText"/>
              <w:jc w:val="right"/>
            </w:pPr>
            <w:r w:rsidRPr="0052744C">
              <w:t>(213.9)</w:t>
            </w:r>
          </w:p>
        </w:tc>
        <w:tc>
          <w:tcPr>
            <w:tcW w:w="1134" w:type="dxa"/>
          </w:tcPr>
          <w:p w14:paraId="3760053C" w14:textId="77777777" w:rsidR="0052744C" w:rsidRPr="0052744C" w:rsidRDefault="0052744C" w:rsidP="00B01662">
            <w:pPr>
              <w:pStyle w:val="BodyText"/>
              <w:jc w:val="right"/>
            </w:pPr>
            <w:r w:rsidRPr="0052744C">
              <w:rPr>
                <w:bCs/>
              </w:rPr>
              <w:t>–</w:t>
            </w:r>
          </w:p>
        </w:tc>
        <w:tc>
          <w:tcPr>
            <w:tcW w:w="851" w:type="dxa"/>
          </w:tcPr>
          <w:p w14:paraId="79B5A616" w14:textId="77777777" w:rsidR="0052744C" w:rsidRPr="0052744C" w:rsidRDefault="0052744C" w:rsidP="00B01662">
            <w:pPr>
              <w:pStyle w:val="BodyText"/>
              <w:jc w:val="right"/>
            </w:pPr>
            <w:r w:rsidRPr="0052744C">
              <w:t>(64.6)</w:t>
            </w:r>
          </w:p>
        </w:tc>
        <w:tc>
          <w:tcPr>
            <w:tcW w:w="1276" w:type="dxa"/>
          </w:tcPr>
          <w:p w14:paraId="48B18B49" w14:textId="77777777" w:rsidR="0052744C" w:rsidRPr="0052744C" w:rsidRDefault="0052744C" w:rsidP="0052744C">
            <w:pPr>
              <w:pStyle w:val="BodyText"/>
              <w:jc w:val="right"/>
            </w:pPr>
            <w:r w:rsidRPr="0052744C">
              <w:t>(</w:t>
            </w:r>
            <w:r>
              <w:t>5.0</w:t>
            </w:r>
            <w:r w:rsidRPr="0052744C">
              <w:t>)</w:t>
            </w:r>
          </w:p>
        </w:tc>
        <w:tc>
          <w:tcPr>
            <w:tcW w:w="1090" w:type="dxa"/>
          </w:tcPr>
          <w:p w14:paraId="5E393B92" w14:textId="77777777" w:rsidR="0052744C" w:rsidRPr="0052744C" w:rsidRDefault="0052744C" w:rsidP="00B01662">
            <w:pPr>
              <w:pStyle w:val="BodyText"/>
              <w:jc w:val="right"/>
            </w:pPr>
            <w:r w:rsidRPr="0052744C">
              <w:rPr>
                <w:bCs/>
              </w:rPr>
              <w:t>–</w:t>
            </w:r>
          </w:p>
        </w:tc>
        <w:tc>
          <w:tcPr>
            <w:tcW w:w="1298" w:type="dxa"/>
          </w:tcPr>
          <w:p w14:paraId="54AF37E4" w14:textId="77777777" w:rsidR="0052744C" w:rsidRPr="0052744C" w:rsidRDefault="0052744C" w:rsidP="0052744C">
            <w:pPr>
              <w:pStyle w:val="BodyText"/>
              <w:jc w:val="right"/>
            </w:pPr>
            <w:r w:rsidRPr="0052744C">
              <w:t>(2</w:t>
            </w:r>
            <w:r>
              <w:t>83.5</w:t>
            </w:r>
            <w:r w:rsidRPr="0052744C">
              <w:t>)</w:t>
            </w:r>
          </w:p>
        </w:tc>
      </w:tr>
      <w:tr w:rsidR="0052744C" w14:paraId="087CBC72" w14:textId="77777777" w:rsidTr="00B01662">
        <w:tc>
          <w:tcPr>
            <w:tcW w:w="3261" w:type="dxa"/>
          </w:tcPr>
          <w:p w14:paraId="5695E516" w14:textId="77777777" w:rsidR="0052744C" w:rsidRPr="0052744C" w:rsidRDefault="0052744C" w:rsidP="00B01662">
            <w:pPr>
              <w:pStyle w:val="BodyText"/>
            </w:pPr>
            <w:r w:rsidRPr="0052744C">
              <w:t>Private Placement Notes</w:t>
            </w:r>
          </w:p>
        </w:tc>
        <w:tc>
          <w:tcPr>
            <w:tcW w:w="1275" w:type="dxa"/>
          </w:tcPr>
          <w:p w14:paraId="4F826AE9" w14:textId="77777777" w:rsidR="0052744C" w:rsidRPr="0052744C" w:rsidRDefault="0052744C" w:rsidP="00B01662">
            <w:pPr>
              <w:pStyle w:val="BodyText"/>
              <w:jc w:val="right"/>
            </w:pPr>
            <w:r w:rsidRPr="0052744C">
              <w:t>(116.2)</w:t>
            </w:r>
          </w:p>
        </w:tc>
        <w:tc>
          <w:tcPr>
            <w:tcW w:w="1134" w:type="dxa"/>
          </w:tcPr>
          <w:p w14:paraId="594C5864" w14:textId="77777777" w:rsidR="0052744C" w:rsidRPr="0052744C" w:rsidRDefault="0052744C" w:rsidP="00B01662">
            <w:pPr>
              <w:pStyle w:val="BodyText"/>
              <w:jc w:val="right"/>
            </w:pPr>
            <w:r w:rsidRPr="0052744C">
              <w:rPr>
                <w:bCs/>
              </w:rPr>
              <w:t>–</w:t>
            </w:r>
          </w:p>
        </w:tc>
        <w:tc>
          <w:tcPr>
            <w:tcW w:w="851" w:type="dxa"/>
          </w:tcPr>
          <w:p w14:paraId="60E7D5CF" w14:textId="77777777" w:rsidR="0052744C" w:rsidRPr="0052744C" w:rsidRDefault="0052744C" w:rsidP="00B01662">
            <w:pPr>
              <w:pStyle w:val="BodyText"/>
              <w:jc w:val="right"/>
            </w:pPr>
            <w:r w:rsidRPr="0052744C">
              <w:rPr>
                <w:bCs/>
              </w:rPr>
              <w:t>–</w:t>
            </w:r>
          </w:p>
        </w:tc>
        <w:tc>
          <w:tcPr>
            <w:tcW w:w="1276" w:type="dxa"/>
          </w:tcPr>
          <w:p w14:paraId="39024C1A" w14:textId="77777777" w:rsidR="0052744C" w:rsidRPr="0052744C" w:rsidRDefault="0052744C" w:rsidP="00B01662">
            <w:pPr>
              <w:pStyle w:val="BodyText"/>
              <w:jc w:val="right"/>
            </w:pPr>
            <w:r>
              <w:t>2.2</w:t>
            </w:r>
          </w:p>
        </w:tc>
        <w:tc>
          <w:tcPr>
            <w:tcW w:w="1090" w:type="dxa"/>
          </w:tcPr>
          <w:p w14:paraId="282E5C7C" w14:textId="77777777" w:rsidR="0052744C" w:rsidRPr="0052744C" w:rsidRDefault="0052744C" w:rsidP="00B01662">
            <w:pPr>
              <w:pStyle w:val="BodyText"/>
              <w:jc w:val="right"/>
            </w:pPr>
            <w:r w:rsidRPr="0052744C">
              <w:rPr>
                <w:bCs/>
              </w:rPr>
              <w:t>–</w:t>
            </w:r>
          </w:p>
        </w:tc>
        <w:tc>
          <w:tcPr>
            <w:tcW w:w="1298" w:type="dxa"/>
          </w:tcPr>
          <w:p w14:paraId="159ECF20" w14:textId="77777777" w:rsidR="0052744C" w:rsidRPr="0052744C" w:rsidRDefault="0052744C" w:rsidP="0052744C">
            <w:pPr>
              <w:pStyle w:val="BodyText"/>
              <w:jc w:val="right"/>
            </w:pPr>
            <w:r w:rsidRPr="0052744C">
              <w:t>(11</w:t>
            </w:r>
            <w:r>
              <w:t>4.0</w:t>
            </w:r>
            <w:r w:rsidRPr="0052744C">
              <w:t>)</w:t>
            </w:r>
          </w:p>
        </w:tc>
      </w:tr>
      <w:tr w:rsidR="0052744C" w14:paraId="2DDD76C0" w14:textId="77777777" w:rsidTr="00B01662">
        <w:tc>
          <w:tcPr>
            <w:tcW w:w="3261" w:type="dxa"/>
            <w:tcBorders>
              <w:top w:val="single" w:sz="4" w:space="0" w:color="auto"/>
              <w:bottom w:val="single" w:sz="4" w:space="0" w:color="auto"/>
            </w:tcBorders>
          </w:tcPr>
          <w:p w14:paraId="34560F45" w14:textId="77777777" w:rsidR="0052744C" w:rsidRPr="0052744C" w:rsidRDefault="0052744C" w:rsidP="00B01662">
            <w:pPr>
              <w:pStyle w:val="BodyText"/>
            </w:pPr>
            <w:r w:rsidRPr="0052744C">
              <w:t>Net debt excluding lease liabilities</w:t>
            </w:r>
          </w:p>
        </w:tc>
        <w:tc>
          <w:tcPr>
            <w:tcW w:w="1275" w:type="dxa"/>
            <w:tcBorders>
              <w:top w:val="single" w:sz="4" w:space="0" w:color="auto"/>
              <w:bottom w:val="single" w:sz="4" w:space="0" w:color="auto"/>
            </w:tcBorders>
          </w:tcPr>
          <w:p w14:paraId="6494AA33" w14:textId="77777777" w:rsidR="0052744C" w:rsidRPr="0052744C" w:rsidRDefault="0052744C" w:rsidP="00B01662">
            <w:pPr>
              <w:pStyle w:val="BodyText"/>
              <w:jc w:val="right"/>
              <w:rPr>
                <w:bCs/>
              </w:rPr>
            </w:pPr>
            <w:r w:rsidRPr="0052744C">
              <w:rPr>
                <w:bCs/>
              </w:rPr>
              <w:t>(288.5)</w:t>
            </w:r>
          </w:p>
        </w:tc>
        <w:tc>
          <w:tcPr>
            <w:tcW w:w="1134" w:type="dxa"/>
            <w:tcBorders>
              <w:top w:val="single" w:sz="4" w:space="0" w:color="auto"/>
              <w:bottom w:val="single" w:sz="4" w:space="0" w:color="auto"/>
            </w:tcBorders>
          </w:tcPr>
          <w:p w14:paraId="36524217" w14:textId="77777777" w:rsidR="0052744C" w:rsidRPr="0052744C" w:rsidRDefault="0052744C" w:rsidP="00B01662">
            <w:pPr>
              <w:pStyle w:val="BodyText"/>
              <w:jc w:val="right"/>
            </w:pPr>
            <w:r w:rsidRPr="0052744C">
              <w:rPr>
                <w:bCs/>
              </w:rPr>
              <w:t>–</w:t>
            </w:r>
          </w:p>
        </w:tc>
        <w:tc>
          <w:tcPr>
            <w:tcW w:w="851" w:type="dxa"/>
            <w:tcBorders>
              <w:top w:val="single" w:sz="4" w:space="0" w:color="auto"/>
              <w:bottom w:val="single" w:sz="4" w:space="0" w:color="auto"/>
            </w:tcBorders>
          </w:tcPr>
          <w:p w14:paraId="0CBE44D9" w14:textId="77777777" w:rsidR="0052744C" w:rsidRPr="0052744C" w:rsidRDefault="0052744C" w:rsidP="00B01662">
            <w:pPr>
              <w:pStyle w:val="BodyText"/>
              <w:jc w:val="right"/>
            </w:pPr>
            <w:r w:rsidRPr="0052744C">
              <w:t>(59.1)</w:t>
            </w:r>
          </w:p>
        </w:tc>
        <w:tc>
          <w:tcPr>
            <w:tcW w:w="1276" w:type="dxa"/>
            <w:tcBorders>
              <w:top w:val="single" w:sz="4" w:space="0" w:color="auto"/>
              <w:bottom w:val="single" w:sz="4" w:space="0" w:color="auto"/>
            </w:tcBorders>
          </w:tcPr>
          <w:p w14:paraId="7A640029" w14:textId="77777777" w:rsidR="0052744C" w:rsidRPr="0052744C" w:rsidRDefault="0052744C" w:rsidP="00B01662">
            <w:pPr>
              <w:pStyle w:val="BodyText"/>
              <w:jc w:val="right"/>
            </w:pPr>
            <w:r w:rsidRPr="0052744C">
              <w:t>(2.9)</w:t>
            </w:r>
          </w:p>
        </w:tc>
        <w:tc>
          <w:tcPr>
            <w:tcW w:w="1090" w:type="dxa"/>
            <w:tcBorders>
              <w:top w:val="single" w:sz="4" w:space="0" w:color="auto"/>
              <w:bottom w:val="single" w:sz="4" w:space="0" w:color="auto"/>
            </w:tcBorders>
          </w:tcPr>
          <w:p w14:paraId="69672219" w14:textId="77777777" w:rsidR="0052744C" w:rsidRPr="0052744C" w:rsidRDefault="0052744C" w:rsidP="00B01662">
            <w:pPr>
              <w:pStyle w:val="BodyText"/>
              <w:jc w:val="right"/>
            </w:pPr>
            <w:r w:rsidRPr="0052744C">
              <w:rPr>
                <w:bCs/>
              </w:rPr>
              <w:t>–</w:t>
            </w:r>
          </w:p>
        </w:tc>
        <w:tc>
          <w:tcPr>
            <w:tcW w:w="1298" w:type="dxa"/>
            <w:tcBorders>
              <w:top w:val="single" w:sz="4" w:space="0" w:color="auto"/>
              <w:bottom w:val="single" w:sz="4" w:space="0" w:color="auto"/>
            </w:tcBorders>
          </w:tcPr>
          <w:p w14:paraId="34940701" w14:textId="77777777" w:rsidR="0052744C" w:rsidRPr="0052744C" w:rsidRDefault="0052744C" w:rsidP="00B01662">
            <w:pPr>
              <w:pStyle w:val="BodyText"/>
              <w:jc w:val="right"/>
            </w:pPr>
            <w:r w:rsidRPr="0052744C">
              <w:t>(350.5)</w:t>
            </w:r>
          </w:p>
        </w:tc>
      </w:tr>
      <w:tr w:rsidR="0052744C" w14:paraId="706EC1B9" w14:textId="77777777" w:rsidTr="00B01662">
        <w:tc>
          <w:tcPr>
            <w:tcW w:w="3261" w:type="dxa"/>
            <w:tcBorders>
              <w:bottom w:val="single" w:sz="4" w:space="0" w:color="auto"/>
            </w:tcBorders>
          </w:tcPr>
          <w:p w14:paraId="24215EDF" w14:textId="77777777" w:rsidR="0052744C" w:rsidRPr="0052744C" w:rsidRDefault="0052744C" w:rsidP="00B01662">
            <w:pPr>
              <w:pStyle w:val="BodyText"/>
            </w:pPr>
            <w:r w:rsidRPr="0052744C">
              <w:t>Lease liabilities</w:t>
            </w:r>
          </w:p>
        </w:tc>
        <w:tc>
          <w:tcPr>
            <w:tcW w:w="1275" w:type="dxa"/>
            <w:tcBorders>
              <w:bottom w:val="single" w:sz="4" w:space="0" w:color="auto"/>
            </w:tcBorders>
          </w:tcPr>
          <w:p w14:paraId="2F41508D" w14:textId="77777777" w:rsidR="0052744C" w:rsidRPr="0052744C" w:rsidRDefault="0052744C" w:rsidP="00B01662">
            <w:pPr>
              <w:pStyle w:val="BodyText"/>
              <w:jc w:val="right"/>
            </w:pPr>
            <w:r w:rsidRPr="0052744C">
              <w:rPr>
                <w:bCs/>
              </w:rPr>
              <w:t>–</w:t>
            </w:r>
          </w:p>
        </w:tc>
        <w:tc>
          <w:tcPr>
            <w:tcW w:w="1134" w:type="dxa"/>
            <w:tcBorders>
              <w:bottom w:val="single" w:sz="4" w:space="0" w:color="auto"/>
            </w:tcBorders>
          </w:tcPr>
          <w:p w14:paraId="77BC0C42" w14:textId="77777777" w:rsidR="0052744C" w:rsidRPr="0052744C" w:rsidRDefault="0052744C" w:rsidP="00B01662">
            <w:pPr>
              <w:pStyle w:val="BodyText"/>
              <w:jc w:val="right"/>
            </w:pPr>
            <w:r w:rsidRPr="0052744C">
              <w:t>(54.1)</w:t>
            </w:r>
          </w:p>
        </w:tc>
        <w:tc>
          <w:tcPr>
            <w:tcW w:w="851" w:type="dxa"/>
            <w:tcBorders>
              <w:bottom w:val="single" w:sz="4" w:space="0" w:color="auto"/>
            </w:tcBorders>
          </w:tcPr>
          <w:p w14:paraId="042F346B" w14:textId="77777777" w:rsidR="0052744C" w:rsidRPr="0052744C" w:rsidRDefault="0052744C" w:rsidP="00B01662">
            <w:pPr>
              <w:pStyle w:val="BodyText"/>
              <w:jc w:val="right"/>
            </w:pPr>
            <w:r w:rsidRPr="0052744C">
              <w:t>12.4</w:t>
            </w:r>
          </w:p>
        </w:tc>
        <w:tc>
          <w:tcPr>
            <w:tcW w:w="1276" w:type="dxa"/>
            <w:tcBorders>
              <w:bottom w:val="single" w:sz="4" w:space="0" w:color="auto"/>
            </w:tcBorders>
          </w:tcPr>
          <w:p w14:paraId="21FAAAD7" w14:textId="77777777" w:rsidR="0052744C" w:rsidRPr="0052744C" w:rsidRDefault="0052744C" w:rsidP="00B01662">
            <w:pPr>
              <w:pStyle w:val="BodyText"/>
              <w:jc w:val="right"/>
            </w:pPr>
            <w:r w:rsidRPr="0052744C">
              <w:t>(19.7)</w:t>
            </w:r>
          </w:p>
        </w:tc>
        <w:tc>
          <w:tcPr>
            <w:tcW w:w="1090" w:type="dxa"/>
            <w:tcBorders>
              <w:bottom w:val="single" w:sz="4" w:space="0" w:color="auto"/>
            </w:tcBorders>
          </w:tcPr>
          <w:p w14:paraId="2878B5E6" w14:textId="77777777" w:rsidR="0052744C" w:rsidRPr="0052744C" w:rsidRDefault="0052744C" w:rsidP="00B01662">
            <w:pPr>
              <w:pStyle w:val="BodyText"/>
              <w:jc w:val="right"/>
            </w:pPr>
            <w:r w:rsidRPr="0052744C">
              <w:t>0.7</w:t>
            </w:r>
          </w:p>
        </w:tc>
        <w:tc>
          <w:tcPr>
            <w:tcW w:w="1298" w:type="dxa"/>
            <w:tcBorders>
              <w:bottom w:val="single" w:sz="4" w:space="0" w:color="auto"/>
            </w:tcBorders>
          </w:tcPr>
          <w:p w14:paraId="39E71072" w14:textId="77777777" w:rsidR="0052744C" w:rsidRPr="0052744C" w:rsidRDefault="0052744C" w:rsidP="00B01662">
            <w:pPr>
              <w:pStyle w:val="BodyText"/>
              <w:jc w:val="right"/>
            </w:pPr>
            <w:r w:rsidRPr="0052744C">
              <w:t>(60.7)</w:t>
            </w:r>
          </w:p>
        </w:tc>
      </w:tr>
      <w:tr w:rsidR="0052744C" w14:paraId="10B743CA" w14:textId="77777777" w:rsidTr="00B01662">
        <w:tc>
          <w:tcPr>
            <w:tcW w:w="3261" w:type="dxa"/>
            <w:tcBorders>
              <w:top w:val="single" w:sz="4" w:space="0" w:color="auto"/>
              <w:bottom w:val="single" w:sz="4" w:space="0" w:color="auto"/>
            </w:tcBorders>
          </w:tcPr>
          <w:p w14:paraId="640ACE04" w14:textId="77777777" w:rsidR="0052744C" w:rsidRPr="0052744C" w:rsidRDefault="0052744C" w:rsidP="00B01662">
            <w:pPr>
              <w:pStyle w:val="BodyText"/>
            </w:pPr>
            <w:r w:rsidRPr="0052744C">
              <w:t>Net Debt</w:t>
            </w:r>
          </w:p>
        </w:tc>
        <w:tc>
          <w:tcPr>
            <w:tcW w:w="1275" w:type="dxa"/>
            <w:tcBorders>
              <w:top w:val="single" w:sz="4" w:space="0" w:color="auto"/>
              <w:bottom w:val="single" w:sz="4" w:space="0" w:color="auto"/>
            </w:tcBorders>
          </w:tcPr>
          <w:p w14:paraId="0D8E5A61" w14:textId="77777777" w:rsidR="0052744C" w:rsidRPr="0052744C" w:rsidRDefault="0052744C" w:rsidP="00B01662">
            <w:pPr>
              <w:pStyle w:val="BodyText"/>
              <w:jc w:val="right"/>
            </w:pPr>
            <w:r w:rsidRPr="0052744C">
              <w:t>(288.5)</w:t>
            </w:r>
          </w:p>
        </w:tc>
        <w:tc>
          <w:tcPr>
            <w:tcW w:w="1134" w:type="dxa"/>
            <w:tcBorders>
              <w:top w:val="single" w:sz="4" w:space="0" w:color="auto"/>
              <w:bottom w:val="single" w:sz="4" w:space="0" w:color="auto"/>
            </w:tcBorders>
          </w:tcPr>
          <w:p w14:paraId="292DF66F" w14:textId="77777777" w:rsidR="0052744C" w:rsidRPr="0052744C" w:rsidRDefault="0052744C" w:rsidP="00B01662">
            <w:pPr>
              <w:pStyle w:val="BodyText"/>
              <w:jc w:val="right"/>
            </w:pPr>
            <w:r w:rsidRPr="0052744C">
              <w:t>(54.1)</w:t>
            </w:r>
          </w:p>
        </w:tc>
        <w:tc>
          <w:tcPr>
            <w:tcW w:w="851" w:type="dxa"/>
            <w:tcBorders>
              <w:top w:val="single" w:sz="4" w:space="0" w:color="auto"/>
              <w:bottom w:val="single" w:sz="4" w:space="0" w:color="auto"/>
            </w:tcBorders>
          </w:tcPr>
          <w:p w14:paraId="6353C6D4" w14:textId="77777777" w:rsidR="0052744C" w:rsidRPr="0052744C" w:rsidRDefault="0052744C" w:rsidP="00B01662">
            <w:pPr>
              <w:pStyle w:val="BodyText"/>
              <w:jc w:val="right"/>
            </w:pPr>
            <w:r w:rsidRPr="0052744C">
              <w:t>(46.7)</w:t>
            </w:r>
          </w:p>
        </w:tc>
        <w:tc>
          <w:tcPr>
            <w:tcW w:w="1276" w:type="dxa"/>
            <w:tcBorders>
              <w:top w:val="single" w:sz="4" w:space="0" w:color="auto"/>
              <w:bottom w:val="single" w:sz="4" w:space="0" w:color="auto"/>
            </w:tcBorders>
          </w:tcPr>
          <w:p w14:paraId="1FFFB04C" w14:textId="77777777" w:rsidR="0052744C" w:rsidRPr="0052744C" w:rsidRDefault="0052744C" w:rsidP="00B01662">
            <w:pPr>
              <w:pStyle w:val="BodyText"/>
              <w:jc w:val="right"/>
            </w:pPr>
            <w:r w:rsidRPr="0052744C">
              <w:t>(22.6)</w:t>
            </w:r>
          </w:p>
        </w:tc>
        <w:tc>
          <w:tcPr>
            <w:tcW w:w="1090" w:type="dxa"/>
            <w:tcBorders>
              <w:top w:val="single" w:sz="4" w:space="0" w:color="auto"/>
              <w:bottom w:val="single" w:sz="4" w:space="0" w:color="auto"/>
            </w:tcBorders>
          </w:tcPr>
          <w:p w14:paraId="2F1B2210" w14:textId="77777777" w:rsidR="0052744C" w:rsidRPr="0052744C" w:rsidRDefault="0052744C" w:rsidP="00B01662">
            <w:pPr>
              <w:pStyle w:val="BodyText"/>
              <w:jc w:val="right"/>
            </w:pPr>
            <w:r w:rsidRPr="0052744C">
              <w:t>0.7</w:t>
            </w:r>
          </w:p>
        </w:tc>
        <w:tc>
          <w:tcPr>
            <w:tcW w:w="1298" w:type="dxa"/>
            <w:tcBorders>
              <w:top w:val="single" w:sz="4" w:space="0" w:color="auto"/>
              <w:bottom w:val="single" w:sz="4" w:space="0" w:color="auto"/>
            </w:tcBorders>
          </w:tcPr>
          <w:p w14:paraId="3EF67A1B" w14:textId="77777777" w:rsidR="0052744C" w:rsidRPr="0052744C" w:rsidRDefault="0052744C" w:rsidP="00B01662">
            <w:pPr>
              <w:pStyle w:val="BodyText"/>
              <w:jc w:val="right"/>
            </w:pPr>
            <w:r w:rsidRPr="0052744C">
              <w:t>(411.2)</w:t>
            </w:r>
          </w:p>
        </w:tc>
      </w:tr>
      <w:tr w:rsidR="0052744C" w14:paraId="65B83F12" w14:textId="77777777" w:rsidTr="00B01662">
        <w:tc>
          <w:tcPr>
            <w:tcW w:w="3261" w:type="dxa"/>
            <w:tcBorders>
              <w:top w:val="single" w:sz="4" w:space="0" w:color="auto"/>
            </w:tcBorders>
          </w:tcPr>
          <w:p w14:paraId="61B05806" w14:textId="77777777" w:rsidR="0052744C" w:rsidRDefault="0052744C" w:rsidP="00B01662">
            <w:pPr>
              <w:pStyle w:val="BodyText"/>
            </w:pPr>
          </w:p>
        </w:tc>
        <w:tc>
          <w:tcPr>
            <w:tcW w:w="1275" w:type="dxa"/>
            <w:tcBorders>
              <w:top w:val="single" w:sz="4" w:space="0" w:color="auto"/>
            </w:tcBorders>
          </w:tcPr>
          <w:p w14:paraId="452DCE7F" w14:textId="77777777" w:rsidR="0052744C" w:rsidRDefault="0052744C" w:rsidP="00B01662">
            <w:pPr>
              <w:pStyle w:val="BodyText"/>
              <w:jc w:val="right"/>
            </w:pPr>
          </w:p>
        </w:tc>
        <w:tc>
          <w:tcPr>
            <w:tcW w:w="1134" w:type="dxa"/>
            <w:tcBorders>
              <w:top w:val="single" w:sz="4" w:space="0" w:color="auto"/>
            </w:tcBorders>
          </w:tcPr>
          <w:p w14:paraId="0957C2B2" w14:textId="77777777" w:rsidR="0052744C" w:rsidRDefault="0052744C" w:rsidP="00B01662">
            <w:pPr>
              <w:pStyle w:val="BodyText"/>
              <w:jc w:val="right"/>
            </w:pPr>
          </w:p>
        </w:tc>
        <w:tc>
          <w:tcPr>
            <w:tcW w:w="851" w:type="dxa"/>
            <w:tcBorders>
              <w:top w:val="single" w:sz="4" w:space="0" w:color="auto"/>
            </w:tcBorders>
          </w:tcPr>
          <w:p w14:paraId="06D4D101" w14:textId="77777777" w:rsidR="0052744C" w:rsidRDefault="0052744C" w:rsidP="00B01662">
            <w:pPr>
              <w:pStyle w:val="BodyText"/>
              <w:jc w:val="right"/>
            </w:pPr>
          </w:p>
        </w:tc>
        <w:tc>
          <w:tcPr>
            <w:tcW w:w="1276" w:type="dxa"/>
            <w:tcBorders>
              <w:top w:val="single" w:sz="4" w:space="0" w:color="auto"/>
            </w:tcBorders>
          </w:tcPr>
          <w:p w14:paraId="2D62B887" w14:textId="77777777" w:rsidR="0052744C" w:rsidRDefault="0052744C" w:rsidP="00B01662">
            <w:pPr>
              <w:pStyle w:val="BodyText"/>
              <w:jc w:val="right"/>
            </w:pPr>
          </w:p>
        </w:tc>
        <w:tc>
          <w:tcPr>
            <w:tcW w:w="1090" w:type="dxa"/>
            <w:tcBorders>
              <w:top w:val="single" w:sz="4" w:space="0" w:color="auto"/>
            </w:tcBorders>
          </w:tcPr>
          <w:p w14:paraId="3F4DF07B" w14:textId="77777777" w:rsidR="0052744C" w:rsidRDefault="0052744C" w:rsidP="00B01662">
            <w:pPr>
              <w:pStyle w:val="BodyText"/>
              <w:jc w:val="right"/>
            </w:pPr>
          </w:p>
        </w:tc>
        <w:tc>
          <w:tcPr>
            <w:tcW w:w="1298" w:type="dxa"/>
            <w:tcBorders>
              <w:top w:val="single" w:sz="4" w:space="0" w:color="auto"/>
            </w:tcBorders>
          </w:tcPr>
          <w:p w14:paraId="2C0F6591" w14:textId="77777777" w:rsidR="0052744C" w:rsidRDefault="0052744C" w:rsidP="00B01662">
            <w:pPr>
              <w:pStyle w:val="BodyText"/>
              <w:jc w:val="right"/>
            </w:pPr>
          </w:p>
        </w:tc>
      </w:tr>
    </w:tbl>
    <w:p w14:paraId="685875BF" w14:textId="77777777" w:rsidR="0052744C" w:rsidRDefault="0052744C" w:rsidP="00AF77AE">
      <w:pPr>
        <w:pStyle w:val="Heading2"/>
        <w:numPr>
          <w:ilvl w:val="0"/>
          <w:numId w:val="0"/>
        </w:numPr>
      </w:pPr>
    </w:p>
    <w:p w14:paraId="293EC5BE" w14:textId="77777777" w:rsidR="005B36AA" w:rsidRDefault="005B36AA" w:rsidP="005B36AA">
      <w:pPr>
        <w:pStyle w:val="Heading2"/>
        <w:numPr>
          <w:ilvl w:val="0"/>
          <w:numId w:val="0"/>
        </w:numPr>
      </w:pPr>
      <w:r>
        <w:t>RETURN ON INVESTED CAPITAL (‘ROIC’)</w:t>
      </w:r>
    </w:p>
    <w:p w14:paraId="6834D1BA" w14:textId="77777777" w:rsidR="005B36AA" w:rsidRPr="004E7E2D" w:rsidRDefault="005B36AA" w:rsidP="005B36AA">
      <w:pPr>
        <w:pStyle w:val="BodyText"/>
      </w:pPr>
    </w:p>
    <w:p w14:paraId="4D5EC641" w14:textId="1868FD8F" w:rsidR="008D03D1" w:rsidRDefault="008D03D1" w:rsidP="005B36AA">
      <w:pPr>
        <w:widowControl/>
        <w:adjustRightInd w:val="0"/>
        <w:jc w:val="both"/>
        <w:rPr>
          <w:sz w:val="18"/>
          <w:szCs w:val="18"/>
        </w:rPr>
      </w:pPr>
      <w:r>
        <w:rPr>
          <w:sz w:val="18"/>
          <w:szCs w:val="18"/>
        </w:rPr>
        <w:t>The Group uses ROIC as a key measure to determine returns from each business unit</w:t>
      </w:r>
      <w:r w:rsidR="00196EB6">
        <w:rPr>
          <w:sz w:val="18"/>
          <w:szCs w:val="18"/>
        </w:rPr>
        <w:t xml:space="preserve"> and for the Group as a whole</w:t>
      </w:r>
      <w:r>
        <w:rPr>
          <w:sz w:val="18"/>
          <w:szCs w:val="18"/>
        </w:rPr>
        <w:t xml:space="preserve"> </w:t>
      </w:r>
      <w:r w:rsidR="00196EB6">
        <w:rPr>
          <w:sz w:val="18"/>
          <w:szCs w:val="18"/>
        </w:rPr>
        <w:t xml:space="preserve">as well as measuring the financial quality </w:t>
      </w:r>
      <w:r>
        <w:rPr>
          <w:sz w:val="18"/>
          <w:szCs w:val="18"/>
        </w:rPr>
        <w:t xml:space="preserve">of potential new investments. </w:t>
      </w:r>
    </w:p>
    <w:p w14:paraId="47E884DA" w14:textId="77777777" w:rsidR="005B36AA" w:rsidRPr="002A7FD2" w:rsidRDefault="005B36AA" w:rsidP="005B36AA">
      <w:pPr>
        <w:widowControl/>
        <w:adjustRightInd w:val="0"/>
        <w:jc w:val="both"/>
        <w:rPr>
          <w:rFonts w:asciiTheme="minorHAnsi" w:hAnsiTheme="minorHAnsi" w:cstheme="minorHAnsi"/>
          <w:sz w:val="18"/>
          <w:szCs w:val="18"/>
        </w:rPr>
      </w:pPr>
    </w:p>
    <w:p w14:paraId="3E3D85D9" w14:textId="77777777" w:rsidR="005B36AA" w:rsidRPr="002A7FD2" w:rsidRDefault="005B36AA" w:rsidP="005B36AA">
      <w:pPr>
        <w:widowControl/>
        <w:adjustRightInd w:val="0"/>
        <w:jc w:val="both"/>
        <w:rPr>
          <w:rFonts w:asciiTheme="minorHAnsi" w:hAnsiTheme="minorHAnsi" w:cstheme="minorHAnsi"/>
          <w:sz w:val="18"/>
          <w:szCs w:val="18"/>
        </w:rPr>
      </w:pPr>
      <w:r w:rsidRPr="002A7FD2">
        <w:rPr>
          <w:rFonts w:asciiTheme="minorHAnsi" w:hAnsiTheme="minorHAnsi" w:cstheme="minorHAnsi"/>
          <w:sz w:val="18"/>
          <w:szCs w:val="18"/>
        </w:rPr>
        <w:t>The Group uses invested capital as a basis for this calculation as it reflects the tangible and intangible assets</w:t>
      </w:r>
      <w:r w:rsidR="008D03D1">
        <w:rPr>
          <w:rFonts w:asciiTheme="minorHAnsi" w:hAnsiTheme="minorHAnsi" w:cstheme="minorHAnsi"/>
          <w:sz w:val="18"/>
          <w:szCs w:val="18"/>
        </w:rPr>
        <w:t xml:space="preserve"> </w:t>
      </w:r>
      <w:r w:rsidRPr="002A7FD2">
        <w:rPr>
          <w:rFonts w:asciiTheme="minorHAnsi" w:hAnsiTheme="minorHAnsi" w:cstheme="minorHAnsi"/>
          <w:sz w:val="18"/>
          <w:szCs w:val="18"/>
        </w:rPr>
        <w:t>the Group has added through its capital investment programme, the intangible assets the Group has added through acquisition, as well as the working capital requirements of the business. Invested Capital is calculated as net assets (total assets less total liabilities) excluding Net Debt</w:t>
      </w:r>
      <w:r>
        <w:rPr>
          <w:rFonts w:asciiTheme="minorHAnsi" w:hAnsiTheme="minorHAnsi" w:cstheme="minorHAnsi"/>
          <w:sz w:val="18"/>
          <w:szCs w:val="18"/>
        </w:rPr>
        <w:t xml:space="preserve">, </w:t>
      </w:r>
      <w:r w:rsidRPr="002A7FD2">
        <w:rPr>
          <w:rFonts w:asciiTheme="minorHAnsi" w:hAnsiTheme="minorHAnsi" w:cstheme="minorHAnsi"/>
          <w:sz w:val="18"/>
          <w:szCs w:val="18"/>
        </w:rPr>
        <w:t>the carrying value of derivatives not designated as fair value hedges</w:t>
      </w:r>
      <w:r>
        <w:rPr>
          <w:rFonts w:asciiTheme="minorHAnsi" w:hAnsiTheme="minorHAnsi" w:cstheme="minorHAnsi"/>
          <w:sz w:val="18"/>
          <w:szCs w:val="18"/>
        </w:rPr>
        <w:t xml:space="preserve"> and</w:t>
      </w:r>
      <w:r w:rsidRPr="002A7FD2">
        <w:rPr>
          <w:rFonts w:asciiTheme="minorHAnsi" w:hAnsiTheme="minorHAnsi" w:cstheme="minorHAnsi"/>
          <w:sz w:val="18"/>
          <w:szCs w:val="18"/>
        </w:rPr>
        <w:t xml:space="preserve"> retirement benefit obligations (net of deferred tax assets). Average Invested Capital is calculated by adding together the invested capital from the opening and closing </w:t>
      </w:r>
      <w:r w:rsidR="008D03D1">
        <w:rPr>
          <w:rFonts w:asciiTheme="minorHAnsi" w:hAnsiTheme="minorHAnsi" w:cstheme="minorHAnsi"/>
          <w:sz w:val="18"/>
          <w:szCs w:val="18"/>
        </w:rPr>
        <w:t>Statement of Financial Position</w:t>
      </w:r>
      <w:r w:rsidRPr="002A7FD2">
        <w:rPr>
          <w:rFonts w:asciiTheme="minorHAnsi" w:hAnsiTheme="minorHAnsi" w:cstheme="minorHAnsi"/>
          <w:sz w:val="18"/>
          <w:szCs w:val="18"/>
        </w:rPr>
        <w:t xml:space="preserve"> and dividing by two.</w:t>
      </w:r>
    </w:p>
    <w:p w14:paraId="5944A9D3" w14:textId="77777777" w:rsidR="005B36AA" w:rsidRPr="002A7FD2" w:rsidRDefault="005B36AA" w:rsidP="005B36AA">
      <w:pPr>
        <w:widowControl/>
        <w:adjustRightInd w:val="0"/>
        <w:jc w:val="both"/>
        <w:rPr>
          <w:rFonts w:asciiTheme="minorHAnsi" w:hAnsiTheme="minorHAnsi" w:cstheme="minorHAnsi"/>
          <w:sz w:val="18"/>
          <w:szCs w:val="18"/>
        </w:rPr>
      </w:pPr>
    </w:p>
    <w:p w14:paraId="3A33F53F" w14:textId="0ED42182" w:rsidR="005B36AA" w:rsidRPr="002A7FD2" w:rsidRDefault="005B36AA" w:rsidP="005B36AA">
      <w:pPr>
        <w:widowControl/>
        <w:adjustRightInd w:val="0"/>
        <w:jc w:val="both"/>
        <w:rPr>
          <w:rFonts w:asciiTheme="minorHAnsi" w:hAnsiTheme="minorHAnsi" w:cstheme="minorHAnsi"/>
          <w:sz w:val="18"/>
          <w:szCs w:val="18"/>
        </w:rPr>
      </w:pPr>
      <w:r w:rsidRPr="002A7FD2">
        <w:rPr>
          <w:rFonts w:asciiTheme="minorHAnsi" w:hAnsiTheme="minorHAnsi" w:cstheme="minorHAnsi"/>
          <w:sz w:val="18"/>
          <w:szCs w:val="18"/>
        </w:rPr>
        <w:t xml:space="preserve">The Group calculates ROIC as Net Adjusted Operating Profit After Tax (‘NOPAT’) divided by average </w:t>
      </w:r>
      <w:r>
        <w:rPr>
          <w:rFonts w:asciiTheme="minorHAnsi" w:hAnsiTheme="minorHAnsi" w:cstheme="minorHAnsi"/>
          <w:sz w:val="18"/>
          <w:szCs w:val="18"/>
        </w:rPr>
        <w:t>I</w:t>
      </w:r>
      <w:r w:rsidRPr="002A7FD2">
        <w:rPr>
          <w:rFonts w:asciiTheme="minorHAnsi" w:hAnsiTheme="minorHAnsi" w:cstheme="minorHAnsi"/>
          <w:sz w:val="18"/>
          <w:szCs w:val="18"/>
        </w:rPr>
        <w:t xml:space="preserve">nvested </w:t>
      </w:r>
      <w:r>
        <w:rPr>
          <w:rFonts w:asciiTheme="minorHAnsi" w:hAnsiTheme="minorHAnsi" w:cstheme="minorHAnsi"/>
          <w:sz w:val="18"/>
          <w:szCs w:val="18"/>
        </w:rPr>
        <w:t>C</w:t>
      </w:r>
      <w:r w:rsidRPr="002A7FD2">
        <w:rPr>
          <w:rFonts w:asciiTheme="minorHAnsi" w:hAnsiTheme="minorHAnsi" w:cstheme="minorHAnsi"/>
          <w:sz w:val="18"/>
          <w:szCs w:val="18"/>
        </w:rPr>
        <w:t>apital. NOPAT is calculated as Adjusted Operating Profit plus share of profit of associates before tax, less tax at the effective rate in the Income Statement.</w:t>
      </w:r>
    </w:p>
    <w:p w14:paraId="76543372" w14:textId="77777777" w:rsidR="009F0755" w:rsidRDefault="009F0755" w:rsidP="005B36AA">
      <w:pPr>
        <w:widowControl/>
        <w:adjustRightInd w:val="0"/>
        <w:jc w:val="both"/>
        <w:rPr>
          <w:rFonts w:asciiTheme="minorHAnsi" w:hAnsiTheme="minorHAnsi" w:cstheme="minorHAnsi"/>
          <w:sz w:val="18"/>
          <w:szCs w:val="18"/>
        </w:rPr>
      </w:pPr>
    </w:p>
    <w:p w14:paraId="17469A26" w14:textId="77777777" w:rsidR="005B36AA" w:rsidRDefault="005B36AA" w:rsidP="005B36AA">
      <w:pPr>
        <w:widowControl/>
        <w:adjustRightInd w:val="0"/>
        <w:jc w:val="both"/>
      </w:pPr>
      <w:r w:rsidRPr="002A7FD2">
        <w:rPr>
          <w:rFonts w:asciiTheme="minorHAnsi" w:hAnsiTheme="minorHAnsi" w:cstheme="minorHAnsi"/>
          <w:sz w:val="18"/>
          <w:szCs w:val="18"/>
        </w:rPr>
        <w:t>The following table sets forth the calculation of Net Operating Profit After Tax (‘NOPAT’) and invested capital used in the calculation of ROIC for the financial years.</w:t>
      </w:r>
    </w:p>
    <w:tbl>
      <w:tblPr>
        <w:tblW w:w="10205" w:type="dxa"/>
        <w:tblLayout w:type="fixed"/>
        <w:tblLook w:val="01E0" w:firstRow="1" w:lastRow="1" w:firstColumn="1" w:lastColumn="1" w:noHBand="0" w:noVBand="0"/>
      </w:tblPr>
      <w:tblGrid>
        <w:gridCol w:w="7937"/>
        <w:gridCol w:w="1134"/>
        <w:gridCol w:w="1134"/>
      </w:tblGrid>
      <w:tr w:rsidR="005B36AA" w14:paraId="0E38E9FA" w14:textId="77777777" w:rsidTr="005B36AA">
        <w:trPr>
          <w:trHeight w:val="227"/>
        </w:trPr>
        <w:tc>
          <w:tcPr>
            <w:tcW w:w="7937" w:type="dxa"/>
            <w:tcBorders>
              <w:bottom w:val="single" w:sz="4" w:space="0" w:color="000000"/>
            </w:tcBorders>
            <w:vAlign w:val="bottom"/>
          </w:tcPr>
          <w:p w14:paraId="0A944F7E" w14:textId="77777777" w:rsidR="005B36AA" w:rsidRPr="00792292" w:rsidRDefault="005B36AA" w:rsidP="005B36AA">
            <w:pPr>
              <w:pStyle w:val="TableRowHead"/>
            </w:pPr>
          </w:p>
        </w:tc>
        <w:tc>
          <w:tcPr>
            <w:tcW w:w="1134" w:type="dxa"/>
            <w:tcBorders>
              <w:bottom w:val="single" w:sz="4" w:space="0" w:color="000000"/>
            </w:tcBorders>
            <w:vAlign w:val="bottom"/>
          </w:tcPr>
          <w:p w14:paraId="76BA4446" w14:textId="77777777" w:rsidR="005B36AA" w:rsidRPr="00792292" w:rsidRDefault="005B36AA" w:rsidP="00AF77AE">
            <w:pPr>
              <w:pStyle w:val="Subtitle"/>
            </w:pPr>
            <w:r>
              <w:t>202</w:t>
            </w:r>
            <w:r w:rsidR="00AF77AE">
              <w:t>1</w:t>
            </w:r>
            <w:r w:rsidRPr="00792292">
              <w:br/>
              <w:t>£m</w:t>
            </w:r>
          </w:p>
        </w:tc>
        <w:tc>
          <w:tcPr>
            <w:tcW w:w="1134" w:type="dxa"/>
            <w:tcBorders>
              <w:bottom w:val="single" w:sz="4" w:space="0" w:color="000000"/>
            </w:tcBorders>
            <w:vAlign w:val="bottom"/>
          </w:tcPr>
          <w:p w14:paraId="62DA37C6" w14:textId="678643B9" w:rsidR="005B36AA" w:rsidRDefault="001A79D8" w:rsidP="001A79D8">
            <w:pPr>
              <w:pStyle w:val="Subtitle"/>
              <w:rPr>
                <w:b w:val="0"/>
              </w:rPr>
            </w:pPr>
            <w:r>
              <w:rPr>
                <w:b w:val="0"/>
              </w:rPr>
              <w:t>2020</w:t>
            </w:r>
          </w:p>
          <w:p w14:paraId="689A9AFE" w14:textId="77777777" w:rsidR="001A79D8" w:rsidRPr="001A79D8" w:rsidRDefault="001A79D8" w:rsidP="001A79D8">
            <w:pPr>
              <w:jc w:val="right"/>
              <w:rPr>
                <w:sz w:val="18"/>
                <w:szCs w:val="18"/>
                <w:lang w:eastAsia="en-US" w:bidi="ar-SA"/>
              </w:rPr>
            </w:pPr>
            <w:r w:rsidRPr="001A79D8">
              <w:rPr>
                <w:sz w:val="18"/>
                <w:szCs w:val="18"/>
                <w:lang w:eastAsia="en-US" w:bidi="ar-SA"/>
              </w:rPr>
              <w:t>£m</w:t>
            </w:r>
          </w:p>
        </w:tc>
      </w:tr>
      <w:tr w:rsidR="00AF77AE" w14:paraId="31AB50B7" w14:textId="77777777" w:rsidTr="005B36AA">
        <w:trPr>
          <w:trHeight w:val="227"/>
        </w:trPr>
        <w:tc>
          <w:tcPr>
            <w:tcW w:w="7937" w:type="dxa"/>
            <w:tcBorders>
              <w:top w:val="single" w:sz="4" w:space="0" w:color="000000"/>
            </w:tcBorders>
            <w:vAlign w:val="bottom"/>
          </w:tcPr>
          <w:p w14:paraId="3874DE48" w14:textId="77777777" w:rsidR="00AF77AE" w:rsidRPr="00F6562F" w:rsidRDefault="00AF77AE" w:rsidP="00AF77AE">
            <w:pPr>
              <w:pStyle w:val="TableRowHead"/>
              <w:rPr>
                <w:b/>
              </w:rPr>
            </w:pPr>
            <w:r w:rsidRPr="00F6562F">
              <w:rPr>
                <w:b/>
              </w:rPr>
              <w:t>Adjusted Operating Profit</w:t>
            </w:r>
          </w:p>
        </w:tc>
        <w:tc>
          <w:tcPr>
            <w:tcW w:w="1134" w:type="dxa"/>
            <w:tcBorders>
              <w:top w:val="single" w:sz="4" w:space="0" w:color="000000"/>
            </w:tcBorders>
            <w:vAlign w:val="bottom"/>
          </w:tcPr>
          <w:p w14:paraId="76804E6A" w14:textId="77777777" w:rsidR="00AF77AE" w:rsidRPr="00792292" w:rsidRDefault="0052744C" w:rsidP="00AF77AE">
            <w:pPr>
              <w:pStyle w:val="Subtitle"/>
            </w:pPr>
            <w:r>
              <w:t>39.0</w:t>
            </w:r>
          </w:p>
        </w:tc>
        <w:tc>
          <w:tcPr>
            <w:tcW w:w="1134" w:type="dxa"/>
            <w:tcBorders>
              <w:top w:val="single" w:sz="4" w:space="0" w:color="000000"/>
            </w:tcBorders>
            <w:vAlign w:val="bottom"/>
          </w:tcPr>
          <w:p w14:paraId="334D25AE" w14:textId="77777777" w:rsidR="00AF77AE" w:rsidRPr="00AF77AE" w:rsidRDefault="00AF77AE" w:rsidP="00AF77AE">
            <w:pPr>
              <w:pStyle w:val="Subtitle"/>
              <w:rPr>
                <w:b w:val="0"/>
              </w:rPr>
            </w:pPr>
            <w:r w:rsidRPr="00AF77AE">
              <w:rPr>
                <w:b w:val="0"/>
              </w:rPr>
              <w:t>32.5</w:t>
            </w:r>
          </w:p>
        </w:tc>
      </w:tr>
      <w:tr w:rsidR="00AF77AE" w14:paraId="045D92A2" w14:textId="77777777" w:rsidTr="005B36AA">
        <w:trPr>
          <w:trHeight w:val="227"/>
        </w:trPr>
        <w:tc>
          <w:tcPr>
            <w:tcW w:w="7937" w:type="dxa"/>
            <w:vAlign w:val="bottom"/>
          </w:tcPr>
          <w:p w14:paraId="1444416B" w14:textId="77777777" w:rsidR="00AF77AE" w:rsidRPr="00792292" w:rsidRDefault="00AF77AE" w:rsidP="00AF77AE">
            <w:pPr>
              <w:pStyle w:val="TableRowHead"/>
            </w:pPr>
            <w:r w:rsidRPr="00792292">
              <w:t>Share of profit of associates before tax</w:t>
            </w:r>
          </w:p>
        </w:tc>
        <w:tc>
          <w:tcPr>
            <w:tcW w:w="1134" w:type="dxa"/>
            <w:vAlign w:val="bottom"/>
          </w:tcPr>
          <w:p w14:paraId="198E5D8C" w14:textId="77777777" w:rsidR="00AF77AE" w:rsidRPr="0052744C" w:rsidRDefault="0052744C" w:rsidP="00AF77AE">
            <w:pPr>
              <w:pStyle w:val="Subtitle"/>
            </w:pPr>
            <w:r w:rsidRPr="0052744C">
              <w:rPr>
                <w:bCs/>
              </w:rPr>
              <w:t>–</w:t>
            </w:r>
          </w:p>
        </w:tc>
        <w:tc>
          <w:tcPr>
            <w:tcW w:w="1134" w:type="dxa"/>
            <w:vAlign w:val="bottom"/>
          </w:tcPr>
          <w:p w14:paraId="05A775C4" w14:textId="77777777" w:rsidR="00AF77AE" w:rsidRPr="00AF77AE" w:rsidRDefault="00AF77AE" w:rsidP="00AF77AE">
            <w:pPr>
              <w:pStyle w:val="Subtitle"/>
              <w:rPr>
                <w:b w:val="0"/>
              </w:rPr>
            </w:pPr>
            <w:r w:rsidRPr="00AF77AE">
              <w:rPr>
                <w:b w:val="0"/>
              </w:rPr>
              <w:t>0.8</w:t>
            </w:r>
          </w:p>
        </w:tc>
      </w:tr>
      <w:tr w:rsidR="00AF77AE" w14:paraId="17191A97" w14:textId="77777777" w:rsidTr="005B36AA">
        <w:trPr>
          <w:trHeight w:val="227"/>
        </w:trPr>
        <w:tc>
          <w:tcPr>
            <w:tcW w:w="7937" w:type="dxa"/>
            <w:tcBorders>
              <w:bottom w:val="single" w:sz="4" w:space="0" w:color="000000"/>
            </w:tcBorders>
            <w:vAlign w:val="bottom"/>
          </w:tcPr>
          <w:p w14:paraId="14CF0DB2" w14:textId="77777777" w:rsidR="00AF77AE" w:rsidRPr="00792292" w:rsidRDefault="00AF77AE" w:rsidP="00AF77AE">
            <w:pPr>
              <w:pStyle w:val="TableRowHead"/>
            </w:pPr>
            <w:r w:rsidRPr="00792292">
              <w:lastRenderedPageBreak/>
              <w:t>Taxat</w:t>
            </w:r>
            <w:r>
              <w:t xml:space="preserve">ion at the effective tax rate </w:t>
            </w:r>
            <w:r w:rsidRPr="004D0630">
              <w:rPr>
                <w:vertAlign w:val="superscript"/>
              </w:rPr>
              <w:t>(A)</w:t>
            </w:r>
          </w:p>
        </w:tc>
        <w:tc>
          <w:tcPr>
            <w:tcW w:w="1134" w:type="dxa"/>
            <w:tcBorders>
              <w:bottom w:val="single" w:sz="4" w:space="0" w:color="000000"/>
            </w:tcBorders>
            <w:vAlign w:val="bottom"/>
          </w:tcPr>
          <w:p w14:paraId="664D2C05" w14:textId="77777777" w:rsidR="00AF77AE" w:rsidRPr="00792292" w:rsidRDefault="0052744C" w:rsidP="008E46B3">
            <w:pPr>
              <w:pStyle w:val="Subtitle"/>
            </w:pPr>
            <w:r>
              <w:t>(5.</w:t>
            </w:r>
            <w:r w:rsidR="002601B9">
              <w:t>9</w:t>
            </w:r>
            <w:r>
              <w:t>)</w:t>
            </w:r>
          </w:p>
        </w:tc>
        <w:tc>
          <w:tcPr>
            <w:tcW w:w="1134" w:type="dxa"/>
            <w:tcBorders>
              <w:bottom w:val="single" w:sz="4" w:space="0" w:color="000000"/>
            </w:tcBorders>
            <w:vAlign w:val="bottom"/>
          </w:tcPr>
          <w:p w14:paraId="399EAB29" w14:textId="77777777" w:rsidR="00AF77AE" w:rsidRPr="00AF77AE" w:rsidRDefault="00AF77AE" w:rsidP="00AF77AE">
            <w:pPr>
              <w:pStyle w:val="Subtitle"/>
              <w:rPr>
                <w:b w:val="0"/>
              </w:rPr>
            </w:pPr>
            <w:r w:rsidRPr="00AF77AE">
              <w:rPr>
                <w:b w:val="0"/>
              </w:rPr>
              <w:t>(4.3)</w:t>
            </w:r>
          </w:p>
        </w:tc>
      </w:tr>
      <w:tr w:rsidR="00AF77AE" w14:paraId="35E8E3AF" w14:textId="77777777" w:rsidTr="005B36AA">
        <w:trPr>
          <w:trHeight w:val="227"/>
        </w:trPr>
        <w:tc>
          <w:tcPr>
            <w:tcW w:w="7937" w:type="dxa"/>
            <w:tcBorders>
              <w:top w:val="single" w:sz="4" w:space="0" w:color="000000"/>
              <w:bottom w:val="single" w:sz="8" w:space="0" w:color="auto"/>
            </w:tcBorders>
            <w:vAlign w:val="bottom"/>
          </w:tcPr>
          <w:p w14:paraId="391DCC67" w14:textId="77777777" w:rsidR="00AF77AE" w:rsidRPr="00F6562F" w:rsidRDefault="00AF77AE" w:rsidP="00AF77AE">
            <w:pPr>
              <w:pStyle w:val="TableRowHead"/>
              <w:rPr>
                <w:b/>
              </w:rPr>
            </w:pPr>
            <w:r>
              <w:rPr>
                <w:b/>
              </w:rPr>
              <w:t xml:space="preserve">Group </w:t>
            </w:r>
            <w:r w:rsidRPr="00F6562F">
              <w:rPr>
                <w:b/>
              </w:rPr>
              <w:t>NOPAT</w:t>
            </w:r>
          </w:p>
        </w:tc>
        <w:tc>
          <w:tcPr>
            <w:tcW w:w="1134" w:type="dxa"/>
            <w:tcBorders>
              <w:top w:val="single" w:sz="4" w:space="0" w:color="000000"/>
              <w:bottom w:val="single" w:sz="8" w:space="0" w:color="auto"/>
            </w:tcBorders>
            <w:vAlign w:val="bottom"/>
          </w:tcPr>
          <w:p w14:paraId="47375213" w14:textId="77777777" w:rsidR="00AF77AE" w:rsidRPr="00792292" w:rsidRDefault="0052744C" w:rsidP="008E46B3">
            <w:pPr>
              <w:pStyle w:val="Subtitle"/>
            </w:pPr>
            <w:r>
              <w:t>33.</w:t>
            </w:r>
            <w:r w:rsidR="002601B9">
              <w:t>1</w:t>
            </w:r>
          </w:p>
        </w:tc>
        <w:tc>
          <w:tcPr>
            <w:tcW w:w="1134" w:type="dxa"/>
            <w:tcBorders>
              <w:top w:val="single" w:sz="4" w:space="0" w:color="000000"/>
              <w:bottom w:val="single" w:sz="8" w:space="0" w:color="auto"/>
            </w:tcBorders>
            <w:vAlign w:val="bottom"/>
          </w:tcPr>
          <w:p w14:paraId="305487C2" w14:textId="77777777" w:rsidR="00AF77AE" w:rsidRPr="00AF77AE" w:rsidRDefault="00AF77AE" w:rsidP="00AF77AE">
            <w:pPr>
              <w:pStyle w:val="Subtitle"/>
              <w:rPr>
                <w:b w:val="0"/>
              </w:rPr>
            </w:pPr>
            <w:r w:rsidRPr="00AF77AE">
              <w:rPr>
                <w:b w:val="0"/>
              </w:rPr>
              <w:t>29.0</w:t>
            </w:r>
          </w:p>
        </w:tc>
      </w:tr>
    </w:tbl>
    <w:p w14:paraId="427391FB" w14:textId="77777777" w:rsidR="005B36AA" w:rsidRPr="00EE20AB" w:rsidRDefault="005B36AA" w:rsidP="005B36AA">
      <w:pPr>
        <w:pStyle w:val="BodyText"/>
      </w:pPr>
    </w:p>
    <w:tbl>
      <w:tblPr>
        <w:tblW w:w="10205" w:type="dxa"/>
        <w:tblLayout w:type="fixed"/>
        <w:tblLook w:val="01E0" w:firstRow="1" w:lastRow="1" w:firstColumn="1" w:lastColumn="1" w:noHBand="0" w:noVBand="0"/>
      </w:tblPr>
      <w:tblGrid>
        <w:gridCol w:w="7937"/>
        <w:gridCol w:w="1134"/>
        <w:gridCol w:w="1134"/>
      </w:tblGrid>
      <w:tr w:rsidR="005B36AA" w14:paraId="4A5D56B0" w14:textId="77777777" w:rsidTr="005B36AA">
        <w:trPr>
          <w:trHeight w:val="227"/>
        </w:trPr>
        <w:tc>
          <w:tcPr>
            <w:tcW w:w="7937" w:type="dxa"/>
            <w:tcBorders>
              <w:bottom w:val="single" w:sz="4" w:space="0" w:color="auto"/>
            </w:tcBorders>
            <w:vAlign w:val="bottom"/>
          </w:tcPr>
          <w:p w14:paraId="66B4291E" w14:textId="77777777" w:rsidR="005B36AA" w:rsidRPr="00E61ECB" w:rsidRDefault="005B36AA" w:rsidP="005B36AA">
            <w:pPr>
              <w:pStyle w:val="TableRowHead"/>
            </w:pPr>
          </w:p>
        </w:tc>
        <w:tc>
          <w:tcPr>
            <w:tcW w:w="1134" w:type="dxa"/>
            <w:tcBorders>
              <w:bottom w:val="single" w:sz="4" w:space="0" w:color="auto"/>
            </w:tcBorders>
            <w:vAlign w:val="bottom"/>
          </w:tcPr>
          <w:p w14:paraId="289A430F" w14:textId="77777777" w:rsidR="005B36AA" w:rsidRPr="00E61ECB" w:rsidRDefault="005B36AA" w:rsidP="00AF77AE">
            <w:pPr>
              <w:pStyle w:val="Subtitle"/>
            </w:pPr>
            <w:r>
              <w:t>202</w:t>
            </w:r>
            <w:r w:rsidR="00AF77AE">
              <w:t>1</w:t>
            </w:r>
            <w:r w:rsidRPr="00E61ECB">
              <w:br/>
              <w:t>£m</w:t>
            </w:r>
          </w:p>
        </w:tc>
        <w:tc>
          <w:tcPr>
            <w:tcW w:w="1134" w:type="dxa"/>
            <w:tcBorders>
              <w:bottom w:val="single" w:sz="4" w:space="0" w:color="auto"/>
            </w:tcBorders>
            <w:vAlign w:val="bottom"/>
          </w:tcPr>
          <w:p w14:paraId="410B6426" w14:textId="77777777" w:rsidR="005B36AA" w:rsidRPr="00E61ECB" w:rsidRDefault="005B36AA" w:rsidP="005B36AA">
            <w:pPr>
              <w:pStyle w:val="Subtitle"/>
              <w:rPr>
                <w:b w:val="0"/>
              </w:rPr>
            </w:pPr>
            <w:r>
              <w:rPr>
                <w:b w:val="0"/>
              </w:rPr>
              <w:t>20</w:t>
            </w:r>
            <w:r w:rsidR="00AF77AE">
              <w:rPr>
                <w:b w:val="0"/>
              </w:rPr>
              <w:t>20</w:t>
            </w:r>
            <w:r w:rsidRPr="00E61ECB">
              <w:rPr>
                <w:b w:val="0"/>
              </w:rPr>
              <w:t xml:space="preserve"> </w:t>
            </w:r>
          </w:p>
          <w:p w14:paraId="6D0DED81" w14:textId="77777777" w:rsidR="005B36AA" w:rsidRPr="00E61ECB" w:rsidRDefault="005B36AA" w:rsidP="005B36AA">
            <w:pPr>
              <w:pStyle w:val="Subtitle"/>
              <w:rPr>
                <w:b w:val="0"/>
              </w:rPr>
            </w:pPr>
            <w:r w:rsidRPr="00E61ECB">
              <w:rPr>
                <w:b w:val="0"/>
              </w:rPr>
              <w:t>£m</w:t>
            </w:r>
          </w:p>
        </w:tc>
      </w:tr>
      <w:tr w:rsidR="005B36AA" w14:paraId="3FCF9665" w14:textId="77777777" w:rsidTr="005B36AA">
        <w:trPr>
          <w:trHeight w:val="227"/>
        </w:trPr>
        <w:tc>
          <w:tcPr>
            <w:tcW w:w="7937" w:type="dxa"/>
            <w:tcBorders>
              <w:top w:val="single" w:sz="4" w:space="0" w:color="auto"/>
            </w:tcBorders>
            <w:vAlign w:val="bottom"/>
          </w:tcPr>
          <w:p w14:paraId="79D37C45" w14:textId="77777777" w:rsidR="005B36AA" w:rsidRPr="004D0630" w:rsidRDefault="005B36AA" w:rsidP="005B36AA">
            <w:pPr>
              <w:pStyle w:val="TableRowHead"/>
              <w:rPr>
                <w:b/>
              </w:rPr>
            </w:pPr>
            <w:r w:rsidRPr="004D0630">
              <w:rPr>
                <w:b/>
              </w:rPr>
              <w:t>Invested Capital</w:t>
            </w:r>
          </w:p>
        </w:tc>
        <w:tc>
          <w:tcPr>
            <w:tcW w:w="1134" w:type="dxa"/>
            <w:tcBorders>
              <w:top w:val="single" w:sz="4" w:space="0" w:color="auto"/>
            </w:tcBorders>
            <w:vAlign w:val="bottom"/>
          </w:tcPr>
          <w:p w14:paraId="41535735" w14:textId="77777777" w:rsidR="005B36AA" w:rsidRPr="00E61ECB" w:rsidRDefault="005B36AA" w:rsidP="005B36AA">
            <w:pPr>
              <w:pStyle w:val="Subtitle"/>
            </w:pPr>
          </w:p>
        </w:tc>
        <w:tc>
          <w:tcPr>
            <w:tcW w:w="1134" w:type="dxa"/>
            <w:tcBorders>
              <w:top w:val="single" w:sz="4" w:space="0" w:color="auto"/>
            </w:tcBorders>
            <w:vAlign w:val="bottom"/>
          </w:tcPr>
          <w:p w14:paraId="354554B6" w14:textId="77777777" w:rsidR="005B36AA" w:rsidRPr="00E61ECB" w:rsidRDefault="005B36AA" w:rsidP="005B36AA">
            <w:pPr>
              <w:pStyle w:val="Subtitle"/>
              <w:rPr>
                <w:b w:val="0"/>
              </w:rPr>
            </w:pPr>
          </w:p>
        </w:tc>
      </w:tr>
      <w:tr w:rsidR="00AF77AE" w14:paraId="053876EF" w14:textId="77777777" w:rsidTr="005B36AA">
        <w:trPr>
          <w:trHeight w:val="227"/>
        </w:trPr>
        <w:tc>
          <w:tcPr>
            <w:tcW w:w="7937" w:type="dxa"/>
            <w:vAlign w:val="bottom"/>
          </w:tcPr>
          <w:p w14:paraId="19C97716" w14:textId="77777777" w:rsidR="00AF77AE" w:rsidRPr="00E61ECB" w:rsidRDefault="00AF77AE" w:rsidP="00AF77AE">
            <w:pPr>
              <w:pStyle w:val="TableRowHead"/>
            </w:pPr>
            <w:r w:rsidRPr="00E61ECB">
              <w:t>Total assets</w:t>
            </w:r>
          </w:p>
        </w:tc>
        <w:tc>
          <w:tcPr>
            <w:tcW w:w="1134" w:type="dxa"/>
            <w:vAlign w:val="bottom"/>
          </w:tcPr>
          <w:p w14:paraId="60EA4B07" w14:textId="77777777" w:rsidR="00AF77AE" w:rsidRPr="00E61ECB" w:rsidRDefault="0052744C" w:rsidP="008E46B3">
            <w:pPr>
              <w:pStyle w:val="Subtitle"/>
            </w:pPr>
            <w:r>
              <w:t>1,2</w:t>
            </w:r>
            <w:r w:rsidR="002601B9">
              <w:t>91.5</w:t>
            </w:r>
          </w:p>
        </w:tc>
        <w:tc>
          <w:tcPr>
            <w:tcW w:w="1134" w:type="dxa"/>
            <w:vAlign w:val="bottom"/>
          </w:tcPr>
          <w:p w14:paraId="174D22B0" w14:textId="77777777" w:rsidR="00AF77AE" w:rsidRPr="00AF77AE" w:rsidRDefault="00AF77AE" w:rsidP="00AF77AE">
            <w:pPr>
              <w:pStyle w:val="Subtitle"/>
              <w:rPr>
                <w:b w:val="0"/>
              </w:rPr>
            </w:pPr>
            <w:r w:rsidRPr="00AF77AE">
              <w:rPr>
                <w:b w:val="0"/>
              </w:rPr>
              <w:t>1,427.1</w:t>
            </w:r>
          </w:p>
        </w:tc>
      </w:tr>
      <w:tr w:rsidR="00AF77AE" w14:paraId="3376201A" w14:textId="77777777" w:rsidTr="005B36AA">
        <w:trPr>
          <w:trHeight w:val="227"/>
        </w:trPr>
        <w:tc>
          <w:tcPr>
            <w:tcW w:w="7937" w:type="dxa"/>
            <w:vAlign w:val="bottom"/>
          </w:tcPr>
          <w:p w14:paraId="62375CC1" w14:textId="77777777" w:rsidR="00AF77AE" w:rsidRPr="00E61ECB" w:rsidRDefault="00AF77AE" w:rsidP="00AF77AE">
            <w:pPr>
              <w:pStyle w:val="TableRowHead"/>
            </w:pPr>
            <w:r w:rsidRPr="00E61ECB">
              <w:t>Total liabilities</w:t>
            </w:r>
          </w:p>
        </w:tc>
        <w:tc>
          <w:tcPr>
            <w:tcW w:w="1134" w:type="dxa"/>
            <w:vAlign w:val="bottom"/>
          </w:tcPr>
          <w:p w14:paraId="00EE3F38" w14:textId="77777777" w:rsidR="00AF77AE" w:rsidRPr="00E61ECB" w:rsidRDefault="0052744C" w:rsidP="008E46B3">
            <w:pPr>
              <w:pStyle w:val="Subtitle"/>
            </w:pPr>
            <w:r>
              <w:t>(8</w:t>
            </w:r>
            <w:r w:rsidR="002601B9">
              <w:t>68.3</w:t>
            </w:r>
            <w:r>
              <w:t>)</w:t>
            </w:r>
          </w:p>
        </w:tc>
        <w:tc>
          <w:tcPr>
            <w:tcW w:w="1134" w:type="dxa"/>
            <w:vAlign w:val="bottom"/>
          </w:tcPr>
          <w:p w14:paraId="4EFBF86C" w14:textId="77777777" w:rsidR="00AF77AE" w:rsidRPr="00AF77AE" w:rsidRDefault="00AF77AE" w:rsidP="00AF77AE">
            <w:pPr>
              <w:pStyle w:val="Subtitle"/>
              <w:rPr>
                <w:b w:val="0"/>
              </w:rPr>
            </w:pPr>
            <w:r w:rsidRPr="00AF77AE">
              <w:rPr>
                <w:b w:val="0"/>
              </w:rPr>
              <w:t>(1,144.9)</w:t>
            </w:r>
          </w:p>
        </w:tc>
      </w:tr>
      <w:tr w:rsidR="00AF77AE" w14:paraId="4164F370" w14:textId="77777777" w:rsidTr="005B36AA">
        <w:trPr>
          <w:trHeight w:val="227"/>
        </w:trPr>
        <w:tc>
          <w:tcPr>
            <w:tcW w:w="7937" w:type="dxa"/>
            <w:vAlign w:val="bottom"/>
          </w:tcPr>
          <w:p w14:paraId="55BA54B8" w14:textId="77777777" w:rsidR="00AF77AE" w:rsidRPr="00E61ECB" w:rsidRDefault="00AF77AE" w:rsidP="00AF77AE">
            <w:pPr>
              <w:pStyle w:val="TableRowHead"/>
            </w:pPr>
            <w:r w:rsidRPr="00E61ECB">
              <w:t>Net Debt</w:t>
            </w:r>
            <w:r>
              <w:t xml:space="preserve"> </w:t>
            </w:r>
          </w:p>
        </w:tc>
        <w:tc>
          <w:tcPr>
            <w:tcW w:w="1134" w:type="dxa"/>
            <w:vAlign w:val="bottom"/>
          </w:tcPr>
          <w:p w14:paraId="6850F76D" w14:textId="77777777" w:rsidR="00AF77AE" w:rsidRPr="00E61ECB" w:rsidRDefault="0052744C" w:rsidP="00693EA1">
            <w:pPr>
              <w:pStyle w:val="Subtitle"/>
            </w:pPr>
            <w:r>
              <w:t>24</w:t>
            </w:r>
            <w:r w:rsidR="00693EA1">
              <w:t>2.7</w:t>
            </w:r>
          </w:p>
        </w:tc>
        <w:tc>
          <w:tcPr>
            <w:tcW w:w="1134" w:type="dxa"/>
            <w:vAlign w:val="bottom"/>
          </w:tcPr>
          <w:p w14:paraId="0530EF9C" w14:textId="77777777" w:rsidR="00AF77AE" w:rsidRPr="00AF77AE" w:rsidRDefault="00AF77AE" w:rsidP="00AF77AE">
            <w:pPr>
              <w:pStyle w:val="Subtitle"/>
              <w:rPr>
                <w:b w:val="0"/>
              </w:rPr>
            </w:pPr>
            <w:r w:rsidRPr="00AF77AE">
              <w:rPr>
                <w:b w:val="0"/>
              </w:rPr>
              <w:t>411.2</w:t>
            </w:r>
          </w:p>
        </w:tc>
      </w:tr>
      <w:tr w:rsidR="00AF77AE" w14:paraId="637F473C" w14:textId="77777777" w:rsidTr="005B36AA">
        <w:trPr>
          <w:trHeight w:val="227"/>
        </w:trPr>
        <w:tc>
          <w:tcPr>
            <w:tcW w:w="7937" w:type="dxa"/>
            <w:vAlign w:val="bottom"/>
          </w:tcPr>
          <w:p w14:paraId="58DBD944" w14:textId="77777777" w:rsidR="00AF77AE" w:rsidRPr="00E61ECB" w:rsidRDefault="00AF77AE" w:rsidP="00AF77AE">
            <w:pPr>
              <w:pStyle w:val="TableRowHead"/>
            </w:pPr>
            <w:r>
              <w:t>Lease liability transferred to held for sale</w:t>
            </w:r>
          </w:p>
        </w:tc>
        <w:tc>
          <w:tcPr>
            <w:tcW w:w="1134" w:type="dxa"/>
            <w:vAlign w:val="bottom"/>
          </w:tcPr>
          <w:p w14:paraId="052AEDC8" w14:textId="77777777" w:rsidR="00AF77AE" w:rsidRDefault="0052744C" w:rsidP="00AF77AE">
            <w:pPr>
              <w:pStyle w:val="Subtitle"/>
            </w:pPr>
            <w:r w:rsidRPr="0052744C">
              <w:rPr>
                <w:bCs/>
              </w:rPr>
              <w:t>–</w:t>
            </w:r>
          </w:p>
        </w:tc>
        <w:tc>
          <w:tcPr>
            <w:tcW w:w="1134" w:type="dxa"/>
            <w:vAlign w:val="bottom"/>
          </w:tcPr>
          <w:p w14:paraId="5AF0D098" w14:textId="77777777" w:rsidR="00AF77AE" w:rsidRPr="00AF77AE" w:rsidRDefault="00AF77AE" w:rsidP="00AF77AE">
            <w:pPr>
              <w:pStyle w:val="Subtitle"/>
              <w:rPr>
                <w:b w:val="0"/>
              </w:rPr>
            </w:pPr>
            <w:r w:rsidRPr="00AF77AE">
              <w:rPr>
                <w:b w:val="0"/>
              </w:rPr>
              <w:t>0.7</w:t>
            </w:r>
          </w:p>
        </w:tc>
      </w:tr>
      <w:tr w:rsidR="00AF77AE" w14:paraId="43416A2B" w14:textId="77777777" w:rsidTr="005B36AA">
        <w:trPr>
          <w:trHeight w:val="227"/>
        </w:trPr>
        <w:tc>
          <w:tcPr>
            <w:tcW w:w="7937" w:type="dxa"/>
            <w:vAlign w:val="bottom"/>
          </w:tcPr>
          <w:p w14:paraId="24DCB7D8" w14:textId="77777777" w:rsidR="00AF77AE" w:rsidRPr="00E61ECB" w:rsidRDefault="00AF77AE" w:rsidP="00AF77AE">
            <w:pPr>
              <w:pStyle w:val="TableRowHead"/>
            </w:pPr>
            <w:r w:rsidRPr="00E61ECB">
              <w:t>Derivatives not designated as fair value hedges</w:t>
            </w:r>
          </w:p>
        </w:tc>
        <w:tc>
          <w:tcPr>
            <w:tcW w:w="1134" w:type="dxa"/>
            <w:vAlign w:val="bottom"/>
          </w:tcPr>
          <w:p w14:paraId="4285944A" w14:textId="77777777" w:rsidR="00AF77AE" w:rsidRPr="00E61ECB" w:rsidRDefault="004914A1" w:rsidP="00AF77AE">
            <w:pPr>
              <w:pStyle w:val="Subtitle"/>
            </w:pPr>
            <w:r>
              <w:t>5.6</w:t>
            </w:r>
          </w:p>
        </w:tc>
        <w:tc>
          <w:tcPr>
            <w:tcW w:w="1134" w:type="dxa"/>
            <w:vAlign w:val="bottom"/>
          </w:tcPr>
          <w:p w14:paraId="1996A4EA" w14:textId="77777777" w:rsidR="00AF77AE" w:rsidRPr="00AF77AE" w:rsidRDefault="00AF77AE" w:rsidP="00AF77AE">
            <w:pPr>
              <w:pStyle w:val="Subtitle"/>
              <w:rPr>
                <w:b w:val="0"/>
              </w:rPr>
            </w:pPr>
            <w:r w:rsidRPr="00AF77AE">
              <w:rPr>
                <w:b w:val="0"/>
              </w:rPr>
              <w:t>(1.1)</w:t>
            </w:r>
          </w:p>
        </w:tc>
      </w:tr>
      <w:tr w:rsidR="00AF77AE" w14:paraId="5D0DFB04" w14:textId="77777777" w:rsidTr="005B36AA">
        <w:trPr>
          <w:trHeight w:val="227"/>
        </w:trPr>
        <w:tc>
          <w:tcPr>
            <w:tcW w:w="7937" w:type="dxa"/>
            <w:vAlign w:val="bottom"/>
          </w:tcPr>
          <w:p w14:paraId="3F92C033" w14:textId="77777777" w:rsidR="00AF77AE" w:rsidRPr="00E61ECB" w:rsidRDefault="00AF77AE" w:rsidP="00AF77AE">
            <w:pPr>
              <w:pStyle w:val="TableRowHead"/>
            </w:pPr>
            <w:r w:rsidRPr="00E61ECB">
              <w:t>Retirement benefit obligation (net of deferred tax asset)</w:t>
            </w:r>
          </w:p>
        </w:tc>
        <w:tc>
          <w:tcPr>
            <w:tcW w:w="1134" w:type="dxa"/>
            <w:vAlign w:val="bottom"/>
          </w:tcPr>
          <w:p w14:paraId="7BE4306D" w14:textId="77777777" w:rsidR="00AF77AE" w:rsidRPr="00E61ECB" w:rsidRDefault="00693EA1" w:rsidP="00AF77AE">
            <w:pPr>
              <w:pStyle w:val="Subtitle"/>
            </w:pPr>
            <w:r>
              <w:t>29.3</w:t>
            </w:r>
          </w:p>
        </w:tc>
        <w:tc>
          <w:tcPr>
            <w:tcW w:w="1134" w:type="dxa"/>
            <w:vAlign w:val="bottom"/>
          </w:tcPr>
          <w:p w14:paraId="7C22C5DF" w14:textId="77777777" w:rsidR="00AF77AE" w:rsidRPr="00AF77AE" w:rsidRDefault="00AF77AE" w:rsidP="00AF77AE">
            <w:pPr>
              <w:pStyle w:val="Subtitle"/>
              <w:rPr>
                <w:b w:val="0"/>
              </w:rPr>
            </w:pPr>
            <w:r w:rsidRPr="00AF77AE">
              <w:rPr>
                <w:b w:val="0"/>
              </w:rPr>
              <w:t>63.8</w:t>
            </w:r>
          </w:p>
        </w:tc>
      </w:tr>
      <w:tr w:rsidR="00AF77AE" w14:paraId="1CDDF2A5" w14:textId="77777777" w:rsidTr="005B36AA">
        <w:trPr>
          <w:trHeight w:val="227"/>
        </w:trPr>
        <w:tc>
          <w:tcPr>
            <w:tcW w:w="7937" w:type="dxa"/>
            <w:tcBorders>
              <w:top w:val="single" w:sz="4" w:space="0" w:color="auto"/>
              <w:bottom w:val="single" w:sz="8" w:space="0" w:color="auto"/>
            </w:tcBorders>
            <w:vAlign w:val="bottom"/>
          </w:tcPr>
          <w:p w14:paraId="7C639DCB" w14:textId="77777777" w:rsidR="00AF77AE" w:rsidRPr="004D0630" w:rsidRDefault="00AF77AE" w:rsidP="00AF77AE">
            <w:pPr>
              <w:pStyle w:val="TableRowHead"/>
              <w:rPr>
                <w:b/>
                <w:sz w:val="12"/>
              </w:rPr>
            </w:pPr>
            <w:r w:rsidRPr="004D0630">
              <w:rPr>
                <w:b/>
              </w:rPr>
              <w:t>Invested Capital</w:t>
            </w:r>
            <w:r>
              <w:rPr>
                <w:b/>
              </w:rPr>
              <w:t xml:space="preserve"> for the Group</w:t>
            </w:r>
            <w:r w:rsidRPr="002F04E0">
              <w:rPr>
                <w:b/>
                <w:vertAlign w:val="superscript"/>
              </w:rPr>
              <w:t>(</w:t>
            </w:r>
            <w:r>
              <w:rPr>
                <w:b/>
                <w:vertAlign w:val="superscript"/>
              </w:rPr>
              <w:t>B</w:t>
            </w:r>
            <w:r w:rsidRPr="002F04E0">
              <w:rPr>
                <w:b/>
                <w:vertAlign w:val="superscript"/>
              </w:rPr>
              <w:t>)</w:t>
            </w:r>
          </w:p>
        </w:tc>
        <w:tc>
          <w:tcPr>
            <w:tcW w:w="1134" w:type="dxa"/>
            <w:tcBorders>
              <w:top w:val="single" w:sz="4" w:space="0" w:color="auto"/>
              <w:bottom w:val="single" w:sz="8" w:space="0" w:color="auto"/>
            </w:tcBorders>
            <w:vAlign w:val="bottom"/>
          </w:tcPr>
          <w:p w14:paraId="14A970AE" w14:textId="77777777" w:rsidR="00AF77AE" w:rsidRPr="00E61ECB" w:rsidRDefault="00693EA1" w:rsidP="00693EA1">
            <w:pPr>
              <w:pStyle w:val="Subtitle"/>
            </w:pPr>
            <w:r>
              <w:t>700.8</w:t>
            </w:r>
          </w:p>
        </w:tc>
        <w:tc>
          <w:tcPr>
            <w:tcW w:w="1134" w:type="dxa"/>
            <w:tcBorders>
              <w:top w:val="single" w:sz="4" w:space="0" w:color="auto"/>
              <w:bottom w:val="single" w:sz="8" w:space="0" w:color="auto"/>
            </w:tcBorders>
            <w:vAlign w:val="bottom"/>
          </w:tcPr>
          <w:p w14:paraId="43548779" w14:textId="77777777" w:rsidR="00AF77AE" w:rsidRPr="00AF77AE" w:rsidRDefault="00AF77AE" w:rsidP="00AF77AE">
            <w:pPr>
              <w:pStyle w:val="Subtitle"/>
              <w:rPr>
                <w:b w:val="0"/>
              </w:rPr>
            </w:pPr>
            <w:r w:rsidRPr="00AF77AE">
              <w:rPr>
                <w:b w:val="0"/>
              </w:rPr>
              <w:t>756.8</w:t>
            </w:r>
          </w:p>
        </w:tc>
      </w:tr>
      <w:tr w:rsidR="00AF77AE" w14:paraId="6ED1A0FB" w14:textId="77777777" w:rsidTr="005B36AA">
        <w:trPr>
          <w:trHeight w:val="227"/>
        </w:trPr>
        <w:tc>
          <w:tcPr>
            <w:tcW w:w="7937" w:type="dxa"/>
            <w:tcBorders>
              <w:top w:val="single" w:sz="8" w:space="0" w:color="auto"/>
              <w:bottom w:val="single" w:sz="8" w:space="0" w:color="auto"/>
            </w:tcBorders>
            <w:vAlign w:val="bottom"/>
          </w:tcPr>
          <w:p w14:paraId="09B25493" w14:textId="77777777" w:rsidR="00AF77AE" w:rsidRPr="004D0630" w:rsidRDefault="00AF77AE" w:rsidP="00AF77AE">
            <w:pPr>
              <w:pStyle w:val="TableRowHead"/>
              <w:rPr>
                <w:b/>
              </w:rPr>
            </w:pPr>
          </w:p>
        </w:tc>
        <w:tc>
          <w:tcPr>
            <w:tcW w:w="1134" w:type="dxa"/>
            <w:tcBorders>
              <w:top w:val="single" w:sz="8" w:space="0" w:color="auto"/>
              <w:bottom w:val="single" w:sz="8" w:space="0" w:color="auto"/>
            </w:tcBorders>
            <w:vAlign w:val="bottom"/>
          </w:tcPr>
          <w:p w14:paraId="19633A76" w14:textId="77777777" w:rsidR="00AF77AE" w:rsidRPr="00E61ECB" w:rsidRDefault="00AF77AE" w:rsidP="00AF77AE">
            <w:pPr>
              <w:pStyle w:val="Subtitle"/>
            </w:pPr>
          </w:p>
        </w:tc>
        <w:tc>
          <w:tcPr>
            <w:tcW w:w="1134" w:type="dxa"/>
            <w:tcBorders>
              <w:top w:val="single" w:sz="8" w:space="0" w:color="auto"/>
              <w:bottom w:val="single" w:sz="8" w:space="0" w:color="auto"/>
            </w:tcBorders>
            <w:vAlign w:val="bottom"/>
          </w:tcPr>
          <w:p w14:paraId="0EC6770B" w14:textId="77777777" w:rsidR="00AF77AE" w:rsidRPr="00AF77AE" w:rsidRDefault="00AF77AE" w:rsidP="00AF77AE">
            <w:pPr>
              <w:pStyle w:val="Subtitle"/>
              <w:rPr>
                <w:b w:val="0"/>
              </w:rPr>
            </w:pPr>
          </w:p>
        </w:tc>
      </w:tr>
      <w:tr w:rsidR="00AF77AE" w14:paraId="5100FCDE" w14:textId="77777777" w:rsidTr="005B36AA">
        <w:trPr>
          <w:trHeight w:val="227"/>
        </w:trPr>
        <w:tc>
          <w:tcPr>
            <w:tcW w:w="7937" w:type="dxa"/>
            <w:tcBorders>
              <w:top w:val="single" w:sz="8" w:space="0" w:color="auto"/>
              <w:bottom w:val="single" w:sz="8" w:space="0" w:color="auto"/>
            </w:tcBorders>
            <w:vAlign w:val="bottom"/>
          </w:tcPr>
          <w:p w14:paraId="7B19C207" w14:textId="77777777" w:rsidR="00AF77AE" w:rsidRPr="004D0630" w:rsidRDefault="00AF77AE" w:rsidP="00AF77AE">
            <w:pPr>
              <w:pStyle w:val="TableRowHead"/>
              <w:rPr>
                <w:b/>
              </w:rPr>
            </w:pPr>
            <w:r w:rsidRPr="004D0630">
              <w:rPr>
                <w:b/>
              </w:rPr>
              <w:t>Average Invested Capital for ROIC calculation</w:t>
            </w:r>
            <w:r>
              <w:rPr>
                <w:b/>
              </w:rPr>
              <w:t xml:space="preserve"> for the Group</w:t>
            </w:r>
          </w:p>
        </w:tc>
        <w:tc>
          <w:tcPr>
            <w:tcW w:w="1134" w:type="dxa"/>
            <w:tcBorders>
              <w:top w:val="single" w:sz="8" w:space="0" w:color="auto"/>
              <w:bottom w:val="single" w:sz="8" w:space="0" w:color="auto"/>
            </w:tcBorders>
            <w:vAlign w:val="bottom"/>
          </w:tcPr>
          <w:p w14:paraId="263588B2" w14:textId="77777777" w:rsidR="00AF77AE" w:rsidRPr="00E61ECB" w:rsidRDefault="004914A1" w:rsidP="00693EA1">
            <w:pPr>
              <w:pStyle w:val="Subtitle"/>
            </w:pPr>
            <w:r>
              <w:t>7</w:t>
            </w:r>
            <w:r w:rsidR="00693EA1">
              <w:t>28.8</w:t>
            </w:r>
          </w:p>
        </w:tc>
        <w:tc>
          <w:tcPr>
            <w:tcW w:w="1134" w:type="dxa"/>
            <w:tcBorders>
              <w:top w:val="single" w:sz="8" w:space="0" w:color="auto"/>
              <w:bottom w:val="single" w:sz="8" w:space="0" w:color="auto"/>
            </w:tcBorders>
            <w:vAlign w:val="bottom"/>
          </w:tcPr>
          <w:p w14:paraId="6EC9DBC5" w14:textId="77777777" w:rsidR="00AF77AE" w:rsidRPr="00AF77AE" w:rsidRDefault="00AF77AE" w:rsidP="00AF77AE">
            <w:pPr>
              <w:pStyle w:val="Subtitle"/>
              <w:rPr>
                <w:b w:val="0"/>
              </w:rPr>
            </w:pPr>
            <w:r w:rsidRPr="00AF77AE">
              <w:rPr>
                <w:b w:val="0"/>
              </w:rPr>
              <w:t>712.0</w:t>
            </w:r>
          </w:p>
        </w:tc>
      </w:tr>
      <w:tr w:rsidR="00AF77AE" w14:paraId="624527D2" w14:textId="77777777" w:rsidTr="005B36AA">
        <w:trPr>
          <w:trHeight w:val="227"/>
        </w:trPr>
        <w:tc>
          <w:tcPr>
            <w:tcW w:w="7937" w:type="dxa"/>
            <w:tcBorders>
              <w:top w:val="single" w:sz="8" w:space="0" w:color="auto"/>
              <w:bottom w:val="single" w:sz="8" w:space="0" w:color="auto"/>
            </w:tcBorders>
            <w:vAlign w:val="bottom"/>
          </w:tcPr>
          <w:p w14:paraId="2DF1A47F" w14:textId="77777777" w:rsidR="00AF77AE" w:rsidRPr="004D0630" w:rsidRDefault="00AF77AE" w:rsidP="00AF77AE">
            <w:pPr>
              <w:pStyle w:val="TableRowHead"/>
              <w:rPr>
                <w:b/>
              </w:rPr>
            </w:pPr>
          </w:p>
        </w:tc>
        <w:tc>
          <w:tcPr>
            <w:tcW w:w="1134" w:type="dxa"/>
            <w:tcBorders>
              <w:top w:val="single" w:sz="8" w:space="0" w:color="auto"/>
              <w:bottom w:val="single" w:sz="8" w:space="0" w:color="auto"/>
            </w:tcBorders>
            <w:vAlign w:val="bottom"/>
          </w:tcPr>
          <w:p w14:paraId="2A40596E" w14:textId="77777777" w:rsidR="00AF77AE" w:rsidRPr="00E61ECB" w:rsidRDefault="00AF77AE" w:rsidP="00AF77AE">
            <w:pPr>
              <w:pStyle w:val="Subtitle"/>
            </w:pPr>
          </w:p>
        </w:tc>
        <w:tc>
          <w:tcPr>
            <w:tcW w:w="1134" w:type="dxa"/>
            <w:tcBorders>
              <w:top w:val="single" w:sz="8" w:space="0" w:color="auto"/>
              <w:bottom w:val="single" w:sz="8" w:space="0" w:color="auto"/>
            </w:tcBorders>
            <w:vAlign w:val="bottom"/>
          </w:tcPr>
          <w:p w14:paraId="01B39AC5" w14:textId="77777777" w:rsidR="00AF77AE" w:rsidRPr="00AF77AE" w:rsidRDefault="00AF77AE" w:rsidP="00AF77AE">
            <w:pPr>
              <w:pStyle w:val="Subtitle"/>
              <w:rPr>
                <w:b w:val="0"/>
              </w:rPr>
            </w:pPr>
          </w:p>
        </w:tc>
      </w:tr>
      <w:tr w:rsidR="00AF77AE" w14:paraId="3F6AAF3F" w14:textId="77777777" w:rsidTr="005B36AA">
        <w:trPr>
          <w:trHeight w:val="227"/>
        </w:trPr>
        <w:tc>
          <w:tcPr>
            <w:tcW w:w="7937" w:type="dxa"/>
            <w:tcBorders>
              <w:top w:val="single" w:sz="8" w:space="0" w:color="auto"/>
              <w:bottom w:val="single" w:sz="8" w:space="0" w:color="auto"/>
            </w:tcBorders>
            <w:vAlign w:val="bottom"/>
          </w:tcPr>
          <w:p w14:paraId="12157C3C" w14:textId="77777777" w:rsidR="00AF77AE" w:rsidRPr="004D0630" w:rsidRDefault="00AF77AE" w:rsidP="00AF77AE">
            <w:pPr>
              <w:pStyle w:val="TableRowHead"/>
              <w:rPr>
                <w:b/>
              </w:rPr>
            </w:pPr>
            <w:r w:rsidRPr="004D0630">
              <w:rPr>
                <w:b/>
              </w:rPr>
              <w:t>ROIC</w:t>
            </w:r>
            <w:r>
              <w:rPr>
                <w:b/>
              </w:rPr>
              <w:t xml:space="preserve"> </w:t>
            </w:r>
            <w:r w:rsidRPr="004D0630">
              <w:rPr>
                <w:b/>
              </w:rPr>
              <w:t>(%)</w:t>
            </w:r>
            <w:r>
              <w:rPr>
                <w:b/>
              </w:rPr>
              <w:t xml:space="preserve"> for the Group</w:t>
            </w:r>
            <w:r w:rsidRPr="004D0630">
              <w:rPr>
                <w:b/>
              </w:rPr>
              <w:t xml:space="preserve"> </w:t>
            </w:r>
          </w:p>
        </w:tc>
        <w:tc>
          <w:tcPr>
            <w:tcW w:w="1134" w:type="dxa"/>
            <w:tcBorders>
              <w:top w:val="single" w:sz="8" w:space="0" w:color="auto"/>
              <w:bottom w:val="single" w:sz="8" w:space="0" w:color="auto"/>
            </w:tcBorders>
            <w:vAlign w:val="bottom"/>
          </w:tcPr>
          <w:p w14:paraId="5D4BC537" w14:textId="77777777" w:rsidR="00AF77AE" w:rsidRPr="00E61ECB" w:rsidRDefault="004914A1" w:rsidP="008E46B3">
            <w:pPr>
              <w:pStyle w:val="Subtitle"/>
            </w:pPr>
            <w:r>
              <w:t>4.</w:t>
            </w:r>
            <w:r w:rsidR="002601B9">
              <w:t>5</w:t>
            </w:r>
            <w:r>
              <w:t>%</w:t>
            </w:r>
          </w:p>
        </w:tc>
        <w:tc>
          <w:tcPr>
            <w:tcW w:w="1134" w:type="dxa"/>
            <w:tcBorders>
              <w:top w:val="single" w:sz="8" w:space="0" w:color="auto"/>
              <w:bottom w:val="single" w:sz="8" w:space="0" w:color="auto"/>
            </w:tcBorders>
            <w:vAlign w:val="bottom"/>
          </w:tcPr>
          <w:p w14:paraId="3ED9AA65" w14:textId="77777777" w:rsidR="00AF77AE" w:rsidRPr="00AF77AE" w:rsidRDefault="00AF77AE" w:rsidP="00AF77AE">
            <w:pPr>
              <w:pStyle w:val="Subtitle"/>
              <w:rPr>
                <w:b w:val="0"/>
              </w:rPr>
            </w:pPr>
            <w:r w:rsidRPr="00AF77AE">
              <w:rPr>
                <w:b w:val="0"/>
              </w:rPr>
              <w:t>4.1%</w:t>
            </w:r>
          </w:p>
        </w:tc>
      </w:tr>
    </w:tbl>
    <w:p w14:paraId="7AD1D375" w14:textId="77777777" w:rsidR="005B36AA" w:rsidRDefault="005B36AA" w:rsidP="005B36AA">
      <w:pPr>
        <w:pStyle w:val="ListParagraph"/>
        <w:numPr>
          <w:ilvl w:val="0"/>
          <w:numId w:val="8"/>
        </w:numPr>
        <w:rPr>
          <w:sz w:val="16"/>
          <w:szCs w:val="16"/>
        </w:rPr>
      </w:pPr>
      <w:r w:rsidRPr="00A8497B">
        <w:rPr>
          <w:sz w:val="16"/>
          <w:szCs w:val="16"/>
        </w:rPr>
        <w:t xml:space="preserve">The effective tax rates </w:t>
      </w:r>
      <w:r>
        <w:rPr>
          <w:sz w:val="16"/>
          <w:szCs w:val="16"/>
        </w:rPr>
        <w:t>for the Group for the financial year ended 2</w:t>
      </w:r>
      <w:r w:rsidR="00AF77AE">
        <w:rPr>
          <w:sz w:val="16"/>
          <w:szCs w:val="16"/>
        </w:rPr>
        <w:t>4</w:t>
      </w:r>
      <w:r>
        <w:rPr>
          <w:sz w:val="16"/>
          <w:szCs w:val="16"/>
        </w:rPr>
        <w:t xml:space="preserve"> September 202</w:t>
      </w:r>
      <w:r w:rsidR="00AF77AE">
        <w:rPr>
          <w:sz w:val="16"/>
          <w:szCs w:val="16"/>
        </w:rPr>
        <w:t>1</w:t>
      </w:r>
      <w:r>
        <w:rPr>
          <w:sz w:val="16"/>
          <w:szCs w:val="16"/>
        </w:rPr>
        <w:t xml:space="preserve"> and 2</w:t>
      </w:r>
      <w:r w:rsidR="00AF77AE">
        <w:rPr>
          <w:sz w:val="16"/>
          <w:szCs w:val="16"/>
        </w:rPr>
        <w:t>5</w:t>
      </w:r>
      <w:r>
        <w:rPr>
          <w:sz w:val="16"/>
          <w:szCs w:val="16"/>
        </w:rPr>
        <w:t xml:space="preserve"> September 20</w:t>
      </w:r>
      <w:r w:rsidR="00AF77AE">
        <w:rPr>
          <w:sz w:val="16"/>
          <w:szCs w:val="16"/>
        </w:rPr>
        <w:t>20</w:t>
      </w:r>
      <w:r>
        <w:rPr>
          <w:sz w:val="16"/>
          <w:szCs w:val="16"/>
        </w:rPr>
        <w:t xml:space="preserve"> were </w:t>
      </w:r>
      <w:r w:rsidR="004914A1">
        <w:rPr>
          <w:sz w:val="16"/>
          <w:szCs w:val="16"/>
        </w:rPr>
        <w:t>1</w:t>
      </w:r>
      <w:r w:rsidR="002601B9">
        <w:rPr>
          <w:sz w:val="16"/>
          <w:szCs w:val="16"/>
        </w:rPr>
        <w:t>5</w:t>
      </w:r>
      <w:r>
        <w:rPr>
          <w:sz w:val="16"/>
          <w:szCs w:val="16"/>
        </w:rPr>
        <w:t>% and 1</w:t>
      </w:r>
      <w:r w:rsidR="00AF77AE">
        <w:rPr>
          <w:sz w:val="16"/>
          <w:szCs w:val="16"/>
        </w:rPr>
        <w:t>3</w:t>
      </w:r>
      <w:r w:rsidRPr="00A8497B">
        <w:rPr>
          <w:sz w:val="16"/>
          <w:szCs w:val="16"/>
        </w:rPr>
        <w:t>%</w:t>
      </w:r>
      <w:r>
        <w:rPr>
          <w:sz w:val="16"/>
          <w:szCs w:val="16"/>
        </w:rPr>
        <w:t xml:space="preserve"> </w:t>
      </w:r>
      <w:r w:rsidRPr="00A8497B">
        <w:rPr>
          <w:sz w:val="16"/>
          <w:szCs w:val="16"/>
        </w:rPr>
        <w:t>respectively</w:t>
      </w:r>
      <w:r>
        <w:rPr>
          <w:sz w:val="16"/>
          <w:szCs w:val="16"/>
        </w:rPr>
        <w:t>.</w:t>
      </w:r>
    </w:p>
    <w:p w14:paraId="5EAA2BF5" w14:textId="77777777" w:rsidR="005B36AA" w:rsidRPr="004914A1" w:rsidRDefault="005B36AA" w:rsidP="005B36AA">
      <w:pPr>
        <w:pStyle w:val="ListParagraph"/>
        <w:widowControl/>
        <w:numPr>
          <w:ilvl w:val="0"/>
          <w:numId w:val="8"/>
        </w:numPr>
        <w:autoSpaceDE/>
        <w:autoSpaceDN/>
        <w:spacing w:before="160"/>
        <w:contextualSpacing/>
        <w:rPr>
          <w:sz w:val="16"/>
          <w:szCs w:val="16"/>
        </w:rPr>
      </w:pPr>
      <w:r w:rsidRPr="004914A1">
        <w:rPr>
          <w:sz w:val="16"/>
          <w:szCs w:val="16"/>
        </w:rPr>
        <w:t>The invested capital for the Group in 201</w:t>
      </w:r>
      <w:r w:rsidR="00AF77AE" w:rsidRPr="004914A1">
        <w:rPr>
          <w:sz w:val="16"/>
          <w:szCs w:val="16"/>
        </w:rPr>
        <w:t>9</w:t>
      </w:r>
      <w:r w:rsidRPr="004914A1">
        <w:rPr>
          <w:sz w:val="16"/>
          <w:szCs w:val="16"/>
        </w:rPr>
        <w:t xml:space="preserve"> was £</w:t>
      </w:r>
      <w:r w:rsidR="004914A1" w:rsidRPr="004914A1">
        <w:rPr>
          <w:sz w:val="16"/>
          <w:szCs w:val="16"/>
        </w:rPr>
        <w:t>667.2</w:t>
      </w:r>
      <w:r w:rsidRPr="004914A1">
        <w:rPr>
          <w:sz w:val="16"/>
          <w:szCs w:val="16"/>
        </w:rPr>
        <w:t>m</w:t>
      </w:r>
      <w:r w:rsidR="00452454" w:rsidRPr="004914A1">
        <w:rPr>
          <w:sz w:val="16"/>
          <w:szCs w:val="16"/>
        </w:rPr>
        <w:t>.</w:t>
      </w:r>
    </w:p>
    <w:p w14:paraId="41654AF8" w14:textId="77777777" w:rsidR="005B36AA" w:rsidRDefault="005B36AA" w:rsidP="006B1CD2">
      <w:pPr>
        <w:rPr>
          <w:sz w:val="16"/>
          <w:szCs w:val="16"/>
        </w:rPr>
      </w:pPr>
    </w:p>
    <w:sectPr w:rsidR="005B36AA" w:rsidSect="005B36AA">
      <w:pgSz w:w="11910" w:h="16840"/>
      <w:pgMar w:top="1400" w:right="700" w:bottom="280" w:left="880" w:header="766"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C7F22" w14:textId="77777777" w:rsidR="002D3D01" w:rsidRDefault="002D3D01">
      <w:r>
        <w:separator/>
      </w:r>
    </w:p>
  </w:endnote>
  <w:endnote w:type="continuationSeparator" w:id="0">
    <w:p w14:paraId="4ECA99CA" w14:textId="77777777" w:rsidR="002D3D01" w:rsidRDefault="002D3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67C1A" w14:textId="77777777" w:rsidR="002D3D01" w:rsidRDefault="002D3D01">
      <w:r>
        <w:separator/>
      </w:r>
    </w:p>
  </w:footnote>
  <w:footnote w:type="continuationSeparator" w:id="0">
    <w:p w14:paraId="192B485E" w14:textId="77777777" w:rsidR="002D3D01" w:rsidRDefault="002D3D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F8E81B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8004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F72443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26312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7CED42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48606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C2C6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BCBC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CA543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22803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5567A4"/>
    <w:multiLevelType w:val="hybridMultilevel"/>
    <w:tmpl w:val="B9D0ED90"/>
    <w:lvl w:ilvl="0" w:tplc="08090001">
      <w:start w:val="1"/>
      <w:numFmt w:val="bullet"/>
      <w:lvlText w:val=""/>
      <w:lvlJc w:val="left"/>
      <w:pPr>
        <w:ind w:left="1846" w:hanging="360"/>
      </w:pPr>
      <w:rPr>
        <w:rFonts w:ascii="Symbol" w:hAnsi="Symbol" w:hint="default"/>
      </w:rPr>
    </w:lvl>
    <w:lvl w:ilvl="1" w:tplc="08090003" w:tentative="1">
      <w:start w:val="1"/>
      <w:numFmt w:val="bullet"/>
      <w:lvlText w:val="o"/>
      <w:lvlJc w:val="left"/>
      <w:pPr>
        <w:ind w:left="2566" w:hanging="360"/>
      </w:pPr>
      <w:rPr>
        <w:rFonts w:ascii="Courier New" w:hAnsi="Courier New" w:cs="Courier New" w:hint="default"/>
      </w:rPr>
    </w:lvl>
    <w:lvl w:ilvl="2" w:tplc="08090005" w:tentative="1">
      <w:start w:val="1"/>
      <w:numFmt w:val="bullet"/>
      <w:lvlText w:val=""/>
      <w:lvlJc w:val="left"/>
      <w:pPr>
        <w:ind w:left="3286" w:hanging="360"/>
      </w:pPr>
      <w:rPr>
        <w:rFonts w:ascii="Wingdings" w:hAnsi="Wingdings" w:hint="default"/>
      </w:rPr>
    </w:lvl>
    <w:lvl w:ilvl="3" w:tplc="08090001" w:tentative="1">
      <w:start w:val="1"/>
      <w:numFmt w:val="bullet"/>
      <w:lvlText w:val=""/>
      <w:lvlJc w:val="left"/>
      <w:pPr>
        <w:ind w:left="4006" w:hanging="360"/>
      </w:pPr>
      <w:rPr>
        <w:rFonts w:ascii="Symbol" w:hAnsi="Symbol" w:hint="default"/>
      </w:rPr>
    </w:lvl>
    <w:lvl w:ilvl="4" w:tplc="08090003" w:tentative="1">
      <w:start w:val="1"/>
      <w:numFmt w:val="bullet"/>
      <w:lvlText w:val="o"/>
      <w:lvlJc w:val="left"/>
      <w:pPr>
        <w:ind w:left="4726" w:hanging="360"/>
      </w:pPr>
      <w:rPr>
        <w:rFonts w:ascii="Courier New" w:hAnsi="Courier New" w:cs="Courier New" w:hint="default"/>
      </w:rPr>
    </w:lvl>
    <w:lvl w:ilvl="5" w:tplc="08090005" w:tentative="1">
      <w:start w:val="1"/>
      <w:numFmt w:val="bullet"/>
      <w:lvlText w:val=""/>
      <w:lvlJc w:val="left"/>
      <w:pPr>
        <w:ind w:left="5446" w:hanging="360"/>
      </w:pPr>
      <w:rPr>
        <w:rFonts w:ascii="Wingdings" w:hAnsi="Wingdings" w:hint="default"/>
      </w:rPr>
    </w:lvl>
    <w:lvl w:ilvl="6" w:tplc="08090001" w:tentative="1">
      <w:start w:val="1"/>
      <w:numFmt w:val="bullet"/>
      <w:lvlText w:val=""/>
      <w:lvlJc w:val="left"/>
      <w:pPr>
        <w:ind w:left="6166" w:hanging="360"/>
      </w:pPr>
      <w:rPr>
        <w:rFonts w:ascii="Symbol" w:hAnsi="Symbol" w:hint="default"/>
      </w:rPr>
    </w:lvl>
    <w:lvl w:ilvl="7" w:tplc="08090003" w:tentative="1">
      <w:start w:val="1"/>
      <w:numFmt w:val="bullet"/>
      <w:lvlText w:val="o"/>
      <w:lvlJc w:val="left"/>
      <w:pPr>
        <w:ind w:left="6886" w:hanging="360"/>
      </w:pPr>
      <w:rPr>
        <w:rFonts w:ascii="Courier New" w:hAnsi="Courier New" w:cs="Courier New" w:hint="default"/>
      </w:rPr>
    </w:lvl>
    <w:lvl w:ilvl="8" w:tplc="08090005" w:tentative="1">
      <w:start w:val="1"/>
      <w:numFmt w:val="bullet"/>
      <w:lvlText w:val=""/>
      <w:lvlJc w:val="left"/>
      <w:pPr>
        <w:ind w:left="7606" w:hanging="360"/>
      </w:pPr>
      <w:rPr>
        <w:rFonts w:ascii="Wingdings" w:hAnsi="Wingdings" w:hint="default"/>
      </w:rPr>
    </w:lvl>
  </w:abstractNum>
  <w:abstractNum w:abstractNumId="11" w15:restartNumberingAfterBreak="0">
    <w:nsid w:val="00FB5CE4"/>
    <w:multiLevelType w:val="hybridMultilevel"/>
    <w:tmpl w:val="AE28A43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27B4754"/>
    <w:multiLevelType w:val="hybridMultilevel"/>
    <w:tmpl w:val="699A8F0A"/>
    <w:lvl w:ilvl="0" w:tplc="3E7A4B6C">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DDB4388"/>
    <w:multiLevelType w:val="hybridMultilevel"/>
    <w:tmpl w:val="4830AEA6"/>
    <w:lvl w:ilvl="0" w:tplc="BA1402C2">
      <w:start w:val="2"/>
      <w:numFmt w:val="decimal"/>
      <w:pStyle w:val="Heading2"/>
      <w:lvlText w:val="%1."/>
      <w:lvlJc w:val="left"/>
      <w:pPr>
        <w:ind w:left="720"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8CE6F16">
      <w:numFmt w:val="bullet"/>
      <w:lvlText w:val="•"/>
      <w:lvlJc w:val="left"/>
      <w:pPr>
        <w:ind w:left="-20" w:hanging="720"/>
      </w:pPr>
      <w:rPr>
        <w:rFonts w:hint="default"/>
        <w:lang w:val="en-GB" w:eastAsia="en-GB" w:bidi="en-GB"/>
      </w:rPr>
    </w:lvl>
    <w:lvl w:ilvl="2" w:tplc="1D64D89E">
      <w:numFmt w:val="bullet"/>
      <w:lvlText w:val="•"/>
      <w:lvlJc w:val="left"/>
      <w:pPr>
        <w:ind w:left="885" w:hanging="720"/>
      </w:pPr>
      <w:rPr>
        <w:rFonts w:hint="default"/>
        <w:lang w:val="en-GB" w:eastAsia="en-GB" w:bidi="en-GB"/>
      </w:rPr>
    </w:lvl>
    <w:lvl w:ilvl="3" w:tplc="A5F40DA0">
      <w:numFmt w:val="bullet"/>
      <w:lvlText w:val="•"/>
      <w:lvlJc w:val="left"/>
      <w:pPr>
        <w:ind w:left="1789" w:hanging="720"/>
      </w:pPr>
      <w:rPr>
        <w:rFonts w:hint="default"/>
        <w:lang w:val="en-GB" w:eastAsia="en-GB" w:bidi="en-GB"/>
      </w:rPr>
    </w:lvl>
    <w:lvl w:ilvl="4" w:tplc="EEACEF26">
      <w:numFmt w:val="bullet"/>
      <w:lvlText w:val="•"/>
      <w:lvlJc w:val="left"/>
      <w:pPr>
        <w:ind w:left="2694" w:hanging="720"/>
      </w:pPr>
      <w:rPr>
        <w:rFonts w:hint="default"/>
        <w:lang w:val="en-GB" w:eastAsia="en-GB" w:bidi="en-GB"/>
      </w:rPr>
    </w:lvl>
    <w:lvl w:ilvl="5" w:tplc="279CF384">
      <w:numFmt w:val="bullet"/>
      <w:lvlText w:val="•"/>
      <w:lvlJc w:val="left"/>
      <w:pPr>
        <w:ind w:left="3599" w:hanging="720"/>
      </w:pPr>
      <w:rPr>
        <w:rFonts w:hint="default"/>
        <w:lang w:val="en-GB" w:eastAsia="en-GB" w:bidi="en-GB"/>
      </w:rPr>
    </w:lvl>
    <w:lvl w:ilvl="6" w:tplc="A4968216">
      <w:numFmt w:val="bullet"/>
      <w:lvlText w:val="•"/>
      <w:lvlJc w:val="left"/>
      <w:pPr>
        <w:ind w:left="4503" w:hanging="720"/>
      </w:pPr>
      <w:rPr>
        <w:rFonts w:hint="default"/>
        <w:lang w:val="en-GB" w:eastAsia="en-GB" w:bidi="en-GB"/>
      </w:rPr>
    </w:lvl>
    <w:lvl w:ilvl="7" w:tplc="131210A0">
      <w:numFmt w:val="bullet"/>
      <w:lvlText w:val="•"/>
      <w:lvlJc w:val="left"/>
      <w:pPr>
        <w:ind w:left="5408" w:hanging="720"/>
      </w:pPr>
      <w:rPr>
        <w:rFonts w:hint="default"/>
        <w:lang w:val="en-GB" w:eastAsia="en-GB" w:bidi="en-GB"/>
      </w:rPr>
    </w:lvl>
    <w:lvl w:ilvl="8" w:tplc="3B4E8B80">
      <w:numFmt w:val="bullet"/>
      <w:lvlText w:val="•"/>
      <w:lvlJc w:val="left"/>
      <w:pPr>
        <w:ind w:left="6313" w:hanging="720"/>
      </w:pPr>
      <w:rPr>
        <w:rFonts w:hint="default"/>
        <w:lang w:val="en-GB" w:eastAsia="en-GB" w:bidi="en-GB"/>
      </w:rPr>
    </w:lvl>
  </w:abstractNum>
  <w:abstractNum w:abstractNumId="14" w15:restartNumberingAfterBreak="0">
    <w:nsid w:val="105077C4"/>
    <w:multiLevelType w:val="hybridMultilevel"/>
    <w:tmpl w:val="B7A49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097229B"/>
    <w:multiLevelType w:val="hybridMultilevel"/>
    <w:tmpl w:val="B0FE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1EB076B"/>
    <w:multiLevelType w:val="hybridMultilevel"/>
    <w:tmpl w:val="4CA6E29A"/>
    <w:lvl w:ilvl="0" w:tplc="DE6EBD4C">
      <w:start w:val="1"/>
      <w:numFmt w:val="upperLetter"/>
      <w:lvlText w:val="(%1)"/>
      <w:lvlJc w:val="left"/>
      <w:pPr>
        <w:ind w:left="360" w:hanging="360"/>
      </w:pPr>
      <w:rPr>
        <w:rFonts w:hint="default"/>
        <w:vertAlign w:val="superscript"/>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7" w15:restartNumberingAfterBreak="0">
    <w:nsid w:val="133E6335"/>
    <w:multiLevelType w:val="hybridMultilevel"/>
    <w:tmpl w:val="588EA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687988"/>
    <w:multiLevelType w:val="hybridMultilevel"/>
    <w:tmpl w:val="A8B24460"/>
    <w:lvl w:ilvl="0" w:tplc="74D812B0">
      <w:start w:val="1"/>
      <w:numFmt w:val="upperLetter"/>
      <w:lvlText w:val="(%1)"/>
      <w:lvlJc w:val="left"/>
      <w:pPr>
        <w:ind w:left="727" w:hanging="690"/>
      </w:pPr>
      <w:rPr>
        <w:rFonts w:hint="default"/>
        <w:vertAlign w:val="superscript"/>
      </w:rPr>
    </w:lvl>
    <w:lvl w:ilvl="1" w:tplc="08090019" w:tentative="1">
      <w:start w:val="1"/>
      <w:numFmt w:val="lowerLetter"/>
      <w:lvlText w:val="%2."/>
      <w:lvlJc w:val="left"/>
      <w:pPr>
        <w:ind w:left="1117" w:hanging="360"/>
      </w:pPr>
    </w:lvl>
    <w:lvl w:ilvl="2" w:tplc="0809001B" w:tentative="1">
      <w:start w:val="1"/>
      <w:numFmt w:val="lowerRoman"/>
      <w:lvlText w:val="%3."/>
      <w:lvlJc w:val="right"/>
      <w:pPr>
        <w:ind w:left="1837" w:hanging="180"/>
      </w:pPr>
    </w:lvl>
    <w:lvl w:ilvl="3" w:tplc="0809000F" w:tentative="1">
      <w:start w:val="1"/>
      <w:numFmt w:val="decimal"/>
      <w:lvlText w:val="%4."/>
      <w:lvlJc w:val="left"/>
      <w:pPr>
        <w:ind w:left="2557" w:hanging="360"/>
      </w:pPr>
    </w:lvl>
    <w:lvl w:ilvl="4" w:tplc="08090019" w:tentative="1">
      <w:start w:val="1"/>
      <w:numFmt w:val="lowerLetter"/>
      <w:lvlText w:val="%5."/>
      <w:lvlJc w:val="left"/>
      <w:pPr>
        <w:ind w:left="3277" w:hanging="360"/>
      </w:pPr>
    </w:lvl>
    <w:lvl w:ilvl="5" w:tplc="0809001B" w:tentative="1">
      <w:start w:val="1"/>
      <w:numFmt w:val="lowerRoman"/>
      <w:lvlText w:val="%6."/>
      <w:lvlJc w:val="right"/>
      <w:pPr>
        <w:ind w:left="3997" w:hanging="180"/>
      </w:pPr>
    </w:lvl>
    <w:lvl w:ilvl="6" w:tplc="0809000F" w:tentative="1">
      <w:start w:val="1"/>
      <w:numFmt w:val="decimal"/>
      <w:lvlText w:val="%7."/>
      <w:lvlJc w:val="left"/>
      <w:pPr>
        <w:ind w:left="4717" w:hanging="360"/>
      </w:pPr>
    </w:lvl>
    <w:lvl w:ilvl="7" w:tplc="08090019" w:tentative="1">
      <w:start w:val="1"/>
      <w:numFmt w:val="lowerLetter"/>
      <w:lvlText w:val="%8."/>
      <w:lvlJc w:val="left"/>
      <w:pPr>
        <w:ind w:left="5437" w:hanging="360"/>
      </w:pPr>
    </w:lvl>
    <w:lvl w:ilvl="8" w:tplc="0809001B" w:tentative="1">
      <w:start w:val="1"/>
      <w:numFmt w:val="lowerRoman"/>
      <w:lvlText w:val="%9."/>
      <w:lvlJc w:val="right"/>
      <w:pPr>
        <w:ind w:left="6157" w:hanging="180"/>
      </w:pPr>
    </w:lvl>
  </w:abstractNum>
  <w:abstractNum w:abstractNumId="19" w15:restartNumberingAfterBreak="0">
    <w:nsid w:val="16AF645F"/>
    <w:multiLevelType w:val="hybridMultilevel"/>
    <w:tmpl w:val="AB1039B6"/>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0" w15:restartNumberingAfterBreak="0">
    <w:nsid w:val="16F853B8"/>
    <w:multiLevelType w:val="hybridMultilevel"/>
    <w:tmpl w:val="2E70D966"/>
    <w:lvl w:ilvl="0" w:tplc="0012211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7B24CE1"/>
    <w:multiLevelType w:val="hybridMultilevel"/>
    <w:tmpl w:val="513CF6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19005776"/>
    <w:multiLevelType w:val="hybridMultilevel"/>
    <w:tmpl w:val="84FE7780"/>
    <w:lvl w:ilvl="0" w:tplc="9B267726">
      <w:start w:val="24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B1237F4"/>
    <w:multiLevelType w:val="hybridMultilevel"/>
    <w:tmpl w:val="A98850B4"/>
    <w:lvl w:ilvl="0" w:tplc="08090001">
      <w:start w:val="1"/>
      <w:numFmt w:val="bullet"/>
      <w:lvlText w:val=""/>
      <w:lvlJc w:val="left"/>
      <w:pPr>
        <w:ind w:left="720" w:hanging="360"/>
      </w:pPr>
      <w:rPr>
        <w:rFonts w:ascii="Symbol" w:hAnsi="Symbol" w:hint="default"/>
      </w:rPr>
    </w:lvl>
    <w:lvl w:ilvl="1" w:tplc="7440513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DA2290"/>
    <w:multiLevelType w:val="hybridMultilevel"/>
    <w:tmpl w:val="6CD8F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FB06B0E"/>
    <w:multiLevelType w:val="hybridMultilevel"/>
    <w:tmpl w:val="E90E4928"/>
    <w:lvl w:ilvl="0" w:tplc="B74087AA">
      <w:start w:val="1"/>
      <w:numFmt w:val="bullet"/>
      <w:lvlText w:val="-"/>
      <w:lvlJc w:val="left"/>
      <w:pPr>
        <w:ind w:left="720" w:hanging="360"/>
      </w:pPr>
      <w:rPr>
        <w:rFonts w:ascii="Tahoma" w:eastAsia="Calibri"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24D409CA"/>
    <w:multiLevelType w:val="hybridMultilevel"/>
    <w:tmpl w:val="F2EABCF6"/>
    <w:lvl w:ilvl="0" w:tplc="42F06D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91261D3"/>
    <w:multiLevelType w:val="hybridMultilevel"/>
    <w:tmpl w:val="268E7CD2"/>
    <w:lvl w:ilvl="0" w:tplc="176E2D04">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9641EEB"/>
    <w:multiLevelType w:val="hybridMultilevel"/>
    <w:tmpl w:val="761EF2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2F521A7D"/>
    <w:multiLevelType w:val="hybridMultilevel"/>
    <w:tmpl w:val="8F58B278"/>
    <w:lvl w:ilvl="0" w:tplc="2644779E">
      <w:start w:val="1"/>
      <w:numFmt w:val="upperLetter"/>
      <w:lvlText w:val="(%1)"/>
      <w:lvlJc w:val="left"/>
      <w:pPr>
        <w:ind w:left="720" w:hanging="360"/>
      </w:pPr>
      <w:rPr>
        <w:rFonts w:hint="default"/>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48E787A"/>
    <w:multiLevelType w:val="hybridMultilevel"/>
    <w:tmpl w:val="601811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7590ADE"/>
    <w:multiLevelType w:val="hybridMultilevel"/>
    <w:tmpl w:val="21E2251E"/>
    <w:lvl w:ilvl="0" w:tplc="6F58115C">
      <w:start w:val="1"/>
      <w:numFmt w:val="bullet"/>
      <w:lvlText w:val="•"/>
      <w:lvlJc w:val="left"/>
      <w:pPr>
        <w:tabs>
          <w:tab w:val="num" w:pos="720"/>
        </w:tabs>
        <w:ind w:left="720" w:hanging="360"/>
      </w:pPr>
      <w:rPr>
        <w:rFonts w:ascii="Arial" w:hAnsi="Arial" w:hint="default"/>
      </w:rPr>
    </w:lvl>
    <w:lvl w:ilvl="1" w:tplc="47F62CEA" w:tentative="1">
      <w:start w:val="1"/>
      <w:numFmt w:val="bullet"/>
      <w:lvlText w:val="•"/>
      <w:lvlJc w:val="left"/>
      <w:pPr>
        <w:tabs>
          <w:tab w:val="num" w:pos="1440"/>
        </w:tabs>
        <w:ind w:left="1440" w:hanging="360"/>
      </w:pPr>
      <w:rPr>
        <w:rFonts w:ascii="Arial" w:hAnsi="Arial" w:hint="default"/>
      </w:rPr>
    </w:lvl>
    <w:lvl w:ilvl="2" w:tplc="5868F6E0" w:tentative="1">
      <w:start w:val="1"/>
      <w:numFmt w:val="bullet"/>
      <w:lvlText w:val="•"/>
      <w:lvlJc w:val="left"/>
      <w:pPr>
        <w:tabs>
          <w:tab w:val="num" w:pos="2160"/>
        </w:tabs>
        <w:ind w:left="2160" w:hanging="360"/>
      </w:pPr>
      <w:rPr>
        <w:rFonts w:ascii="Arial" w:hAnsi="Arial" w:hint="default"/>
      </w:rPr>
    </w:lvl>
    <w:lvl w:ilvl="3" w:tplc="877AC99E" w:tentative="1">
      <w:start w:val="1"/>
      <w:numFmt w:val="bullet"/>
      <w:lvlText w:val="•"/>
      <w:lvlJc w:val="left"/>
      <w:pPr>
        <w:tabs>
          <w:tab w:val="num" w:pos="2880"/>
        </w:tabs>
        <w:ind w:left="2880" w:hanging="360"/>
      </w:pPr>
      <w:rPr>
        <w:rFonts w:ascii="Arial" w:hAnsi="Arial" w:hint="default"/>
      </w:rPr>
    </w:lvl>
    <w:lvl w:ilvl="4" w:tplc="2E3C39BA" w:tentative="1">
      <w:start w:val="1"/>
      <w:numFmt w:val="bullet"/>
      <w:lvlText w:val="•"/>
      <w:lvlJc w:val="left"/>
      <w:pPr>
        <w:tabs>
          <w:tab w:val="num" w:pos="3600"/>
        </w:tabs>
        <w:ind w:left="3600" w:hanging="360"/>
      </w:pPr>
      <w:rPr>
        <w:rFonts w:ascii="Arial" w:hAnsi="Arial" w:hint="default"/>
      </w:rPr>
    </w:lvl>
    <w:lvl w:ilvl="5" w:tplc="00FACD38" w:tentative="1">
      <w:start w:val="1"/>
      <w:numFmt w:val="bullet"/>
      <w:lvlText w:val="•"/>
      <w:lvlJc w:val="left"/>
      <w:pPr>
        <w:tabs>
          <w:tab w:val="num" w:pos="4320"/>
        </w:tabs>
        <w:ind w:left="4320" w:hanging="360"/>
      </w:pPr>
      <w:rPr>
        <w:rFonts w:ascii="Arial" w:hAnsi="Arial" w:hint="default"/>
      </w:rPr>
    </w:lvl>
    <w:lvl w:ilvl="6" w:tplc="7C60F0BE" w:tentative="1">
      <w:start w:val="1"/>
      <w:numFmt w:val="bullet"/>
      <w:lvlText w:val="•"/>
      <w:lvlJc w:val="left"/>
      <w:pPr>
        <w:tabs>
          <w:tab w:val="num" w:pos="5040"/>
        </w:tabs>
        <w:ind w:left="5040" w:hanging="360"/>
      </w:pPr>
      <w:rPr>
        <w:rFonts w:ascii="Arial" w:hAnsi="Arial" w:hint="default"/>
      </w:rPr>
    </w:lvl>
    <w:lvl w:ilvl="7" w:tplc="643CB164" w:tentative="1">
      <w:start w:val="1"/>
      <w:numFmt w:val="bullet"/>
      <w:lvlText w:val="•"/>
      <w:lvlJc w:val="left"/>
      <w:pPr>
        <w:tabs>
          <w:tab w:val="num" w:pos="5760"/>
        </w:tabs>
        <w:ind w:left="5760" w:hanging="360"/>
      </w:pPr>
      <w:rPr>
        <w:rFonts w:ascii="Arial" w:hAnsi="Arial" w:hint="default"/>
      </w:rPr>
    </w:lvl>
    <w:lvl w:ilvl="8" w:tplc="C61E16F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3CD2151A"/>
    <w:multiLevelType w:val="hybridMultilevel"/>
    <w:tmpl w:val="B40A76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B94427C"/>
    <w:multiLevelType w:val="hybridMultilevel"/>
    <w:tmpl w:val="EA903B5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C147322"/>
    <w:multiLevelType w:val="hybridMultilevel"/>
    <w:tmpl w:val="576E6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C162751"/>
    <w:multiLevelType w:val="hybridMultilevel"/>
    <w:tmpl w:val="761EF2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4CDB2EE6"/>
    <w:multiLevelType w:val="hybridMultilevel"/>
    <w:tmpl w:val="F1A4E05A"/>
    <w:lvl w:ilvl="0" w:tplc="798A1790">
      <w:start w:val="1"/>
      <w:numFmt w:val="upperLetter"/>
      <w:lvlText w:val="(%1)"/>
      <w:lvlJc w:val="left"/>
      <w:pPr>
        <w:ind w:left="360" w:hanging="360"/>
      </w:pPr>
      <w:rPr>
        <w:rFonts w:hint="default"/>
        <w:vertAlign w:val="superscrip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4CEC2E0D"/>
    <w:multiLevelType w:val="hybridMultilevel"/>
    <w:tmpl w:val="E23C9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D0A347C"/>
    <w:multiLevelType w:val="hybridMultilevel"/>
    <w:tmpl w:val="5A26B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3BC1839"/>
    <w:multiLevelType w:val="hybridMultilevel"/>
    <w:tmpl w:val="FB70A13E"/>
    <w:lvl w:ilvl="0" w:tplc="13086A04">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4A210D0"/>
    <w:multiLevelType w:val="hybridMultilevel"/>
    <w:tmpl w:val="4A36582A"/>
    <w:lvl w:ilvl="0" w:tplc="08090001">
      <w:start w:val="1"/>
      <w:numFmt w:val="bullet"/>
      <w:lvlText w:val=""/>
      <w:lvlJc w:val="left"/>
      <w:pPr>
        <w:ind w:left="1848" w:hanging="360"/>
      </w:pPr>
      <w:rPr>
        <w:rFonts w:ascii="Symbol" w:hAnsi="Symbol" w:hint="default"/>
      </w:rPr>
    </w:lvl>
    <w:lvl w:ilvl="1" w:tplc="08090003" w:tentative="1">
      <w:start w:val="1"/>
      <w:numFmt w:val="bullet"/>
      <w:lvlText w:val="o"/>
      <w:lvlJc w:val="left"/>
      <w:pPr>
        <w:ind w:left="2568" w:hanging="360"/>
      </w:pPr>
      <w:rPr>
        <w:rFonts w:ascii="Courier New" w:hAnsi="Courier New" w:cs="Courier New" w:hint="default"/>
      </w:rPr>
    </w:lvl>
    <w:lvl w:ilvl="2" w:tplc="08090005" w:tentative="1">
      <w:start w:val="1"/>
      <w:numFmt w:val="bullet"/>
      <w:lvlText w:val=""/>
      <w:lvlJc w:val="left"/>
      <w:pPr>
        <w:ind w:left="3288" w:hanging="360"/>
      </w:pPr>
      <w:rPr>
        <w:rFonts w:ascii="Wingdings" w:hAnsi="Wingdings" w:hint="default"/>
      </w:rPr>
    </w:lvl>
    <w:lvl w:ilvl="3" w:tplc="08090001" w:tentative="1">
      <w:start w:val="1"/>
      <w:numFmt w:val="bullet"/>
      <w:lvlText w:val=""/>
      <w:lvlJc w:val="left"/>
      <w:pPr>
        <w:ind w:left="4008" w:hanging="360"/>
      </w:pPr>
      <w:rPr>
        <w:rFonts w:ascii="Symbol" w:hAnsi="Symbol" w:hint="default"/>
      </w:rPr>
    </w:lvl>
    <w:lvl w:ilvl="4" w:tplc="08090003" w:tentative="1">
      <w:start w:val="1"/>
      <w:numFmt w:val="bullet"/>
      <w:lvlText w:val="o"/>
      <w:lvlJc w:val="left"/>
      <w:pPr>
        <w:ind w:left="4728" w:hanging="360"/>
      </w:pPr>
      <w:rPr>
        <w:rFonts w:ascii="Courier New" w:hAnsi="Courier New" w:cs="Courier New" w:hint="default"/>
      </w:rPr>
    </w:lvl>
    <w:lvl w:ilvl="5" w:tplc="08090005" w:tentative="1">
      <w:start w:val="1"/>
      <w:numFmt w:val="bullet"/>
      <w:lvlText w:val=""/>
      <w:lvlJc w:val="left"/>
      <w:pPr>
        <w:ind w:left="5448" w:hanging="360"/>
      </w:pPr>
      <w:rPr>
        <w:rFonts w:ascii="Wingdings" w:hAnsi="Wingdings" w:hint="default"/>
      </w:rPr>
    </w:lvl>
    <w:lvl w:ilvl="6" w:tplc="08090001" w:tentative="1">
      <w:start w:val="1"/>
      <w:numFmt w:val="bullet"/>
      <w:lvlText w:val=""/>
      <w:lvlJc w:val="left"/>
      <w:pPr>
        <w:ind w:left="6168" w:hanging="360"/>
      </w:pPr>
      <w:rPr>
        <w:rFonts w:ascii="Symbol" w:hAnsi="Symbol" w:hint="default"/>
      </w:rPr>
    </w:lvl>
    <w:lvl w:ilvl="7" w:tplc="08090003" w:tentative="1">
      <w:start w:val="1"/>
      <w:numFmt w:val="bullet"/>
      <w:lvlText w:val="o"/>
      <w:lvlJc w:val="left"/>
      <w:pPr>
        <w:ind w:left="6888" w:hanging="360"/>
      </w:pPr>
      <w:rPr>
        <w:rFonts w:ascii="Courier New" w:hAnsi="Courier New" w:cs="Courier New" w:hint="default"/>
      </w:rPr>
    </w:lvl>
    <w:lvl w:ilvl="8" w:tplc="08090005" w:tentative="1">
      <w:start w:val="1"/>
      <w:numFmt w:val="bullet"/>
      <w:lvlText w:val=""/>
      <w:lvlJc w:val="left"/>
      <w:pPr>
        <w:ind w:left="7608" w:hanging="360"/>
      </w:pPr>
      <w:rPr>
        <w:rFonts w:ascii="Wingdings" w:hAnsi="Wingdings" w:hint="default"/>
      </w:rPr>
    </w:lvl>
  </w:abstractNum>
  <w:abstractNum w:abstractNumId="41" w15:restartNumberingAfterBreak="0">
    <w:nsid w:val="55D336A2"/>
    <w:multiLevelType w:val="hybridMultilevel"/>
    <w:tmpl w:val="89EE0EFA"/>
    <w:lvl w:ilvl="0" w:tplc="024EDD3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78F588E"/>
    <w:multiLevelType w:val="hybridMultilevel"/>
    <w:tmpl w:val="84484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94920D8"/>
    <w:multiLevelType w:val="hybridMultilevel"/>
    <w:tmpl w:val="7CDC8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A872D29"/>
    <w:multiLevelType w:val="hybridMultilevel"/>
    <w:tmpl w:val="98546B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B477AF4"/>
    <w:multiLevelType w:val="hybridMultilevel"/>
    <w:tmpl w:val="3A3A1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C3F152B"/>
    <w:multiLevelType w:val="hybridMultilevel"/>
    <w:tmpl w:val="8A30D158"/>
    <w:lvl w:ilvl="0" w:tplc="D310A894">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D6834A7"/>
    <w:multiLevelType w:val="hybridMultilevel"/>
    <w:tmpl w:val="5E288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D861510"/>
    <w:multiLevelType w:val="hybridMultilevel"/>
    <w:tmpl w:val="3B187B8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F5A492A"/>
    <w:multiLevelType w:val="hybridMultilevel"/>
    <w:tmpl w:val="29285D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2632A32"/>
    <w:multiLevelType w:val="hybridMultilevel"/>
    <w:tmpl w:val="03BCC484"/>
    <w:lvl w:ilvl="0" w:tplc="5B82E850">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8D204FB"/>
    <w:multiLevelType w:val="hybridMultilevel"/>
    <w:tmpl w:val="B49EA8B0"/>
    <w:lvl w:ilvl="0" w:tplc="EECA712E">
      <w:start w:val="1"/>
      <w:numFmt w:val="bullet"/>
      <w:pStyle w:val="Para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A296FC2"/>
    <w:multiLevelType w:val="hybridMultilevel"/>
    <w:tmpl w:val="4AF033EE"/>
    <w:lvl w:ilvl="0" w:tplc="08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C9D1D0F"/>
    <w:multiLevelType w:val="hybridMultilevel"/>
    <w:tmpl w:val="052A9AC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54" w15:restartNumberingAfterBreak="0">
    <w:nsid w:val="715D508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762B1979"/>
    <w:multiLevelType w:val="hybridMultilevel"/>
    <w:tmpl w:val="5B1217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7ED0EB8"/>
    <w:multiLevelType w:val="hybridMultilevel"/>
    <w:tmpl w:val="A93614CA"/>
    <w:lvl w:ilvl="0" w:tplc="654C816C">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7DDD4E63"/>
    <w:multiLevelType w:val="hybridMultilevel"/>
    <w:tmpl w:val="C012F09E"/>
    <w:lvl w:ilvl="0" w:tplc="C44C2EA6">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29"/>
  </w:num>
  <w:num w:numId="3">
    <w:abstractNumId w:val="51"/>
  </w:num>
  <w:num w:numId="4">
    <w:abstractNumId w:val="52"/>
  </w:num>
  <w:num w:numId="5">
    <w:abstractNumId w:val="38"/>
  </w:num>
  <w:num w:numId="6">
    <w:abstractNumId w:val="13"/>
  </w:num>
  <w:num w:numId="7">
    <w:abstractNumId w:val="13"/>
  </w:num>
  <w:num w:numId="8">
    <w:abstractNumId w:val="16"/>
  </w:num>
  <w:num w:numId="9">
    <w:abstractNumId w:val="35"/>
  </w:num>
  <w:num w:numId="10">
    <w:abstractNumId w:val="13"/>
  </w:num>
  <w:num w:numId="11">
    <w:abstractNumId w:val="13"/>
  </w:num>
  <w:num w:numId="12">
    <w:abstractNumId w:val="21"/>
  </w:num>
  <w:num w:numId="13">
    <w:abstractNumId w:val="23"/>
  </w:num>
  <w:num w:numId="14">
    <w:abstractNumId w:val="20"/>
  </w:num>
  <w:num w:numId="15">
    <w:abstractNumId w:val="56"/>
  </w:num>
  <w:num w:numId="16">
    <w:abstractNumId w:val="13"/>
    <w:lvlOverride w:ilvl="0">
      <w:startOverride w:val="7"/>
    </w:lvlOverride>
  </w:num>
  <w:num w:numId="17">
    <w:abstractNumId w:val="13"/>
  </w:num>
  <w:num w:numId="18">
    <w:abstractNumId w:val="13"/>
    <w:lvlOverride w:ilvl="0">
      <w:startOverride w:val="7"/>
    </w:lvlOverride>
  </w:num>
  <w:num w:numId="19">
    <w:abstractNumId w:val="13"/>
    <w:lvlOverride w:ilvl="0">
      <w:startOverride w:val="9"/>
    </w:lvlOverride>
  </w:num>
  <w:num w:numId="20">
    <w:abstractNumId w:val="13"/>
    <w:lvlOverride w:ilvl="0">
      <w:startOverride w:val="7"/>
    </w:lvlOverride>
  </w:num>
  <w:num w:numId="21">
    <w:abstractNumId w:val="13"/>
    <w:lvlOverride w:ilvl="0">
      <w:startOverride w:val="6"/>
    </w:lvlOverride>
  </w:num>
  <w:num w:numId="22">
    <w:abstractNumId w:val="42"/>
  </w:num>
  <w:num w:numId="23">
    <w:abstractNumId w:val="15"/>
  </w:num>
  <w:num w:numId="24">
    <w:abstractNumId w:val="30"/>
  </w:num>
  <w:num w:numId="25">
    <w:abstractNumId w:val="25"/>
  </w:num>
  <w:num w:numId="26">
    <w:abstractNumId w:val="49"/>
  </w:num>
  <w:num w:numId="27">
    <w:abstractNumId w:val="54"/>
  </w:num>
  <w:num w:numId="28">
    <w:abstractNumId w:val="35"/>
    <w:lvlOverride w:ilvl="0">
      <w:lvl w:ilvl="0" w:tplc="0809000F">
        <w:start w:val="1"/>
        <w:numFmt w:val="none"/>
        <w:lvlText w:val="5."/>
        <w:lvlJc w:val="left"/>
        <w:pPr>
          <w:ind w:left="360" w:hanging="360"/>
        </w:pPr>
        <w:rPr>
          <w:rFonts w:hint="default"/>
        </w:rPr>
      </w:lvl>
    </w:lvlOverride>
    <w:lvlOverride w:ilvl="1">
      <w:lvl w:ilvl="1" w:tplc="08090019">
        <w:start w:val="1"/>
        <w:numFmt w:val="lowerLetter"/>
        <w:lvlText w:val="%2."/>
        <w:lvlJc w:val="left"/>
        <w:pPr>
          <w:ind w:left="1080" w:hanging="360"/>
        </w:pPr>
        <w:rPr>
          <w:rFonts w:hint="default"/>
        </w:rPr>
      </w:lvl>
    </w:lvlOverride>
    <w:lvlOverride w:ilvl="2">
      <w:lvl w:ilvl="2" w:tplc="0809001B">
        <w:start w:val="1"/>
        <w:numFmt w:val="lowerRoman"/>
        <w:lvlText w:val="%3."/>
        <w:lvlJc w:val="right"/>
        <w:pPr>
          <w:ind w:left="1800" w:hanging="180"/>
        </w:pPr>
        <w:rPr>
          <w:rFonts w:hint="default"/>
        </w:rPr>
      </w:lvl>
    </w:lvlOverride>
    <w:lvlOverride w:ilvl="3">
      <w:lvl w:ilvl="3" w:tplc="0809000F">
        <w:start w:val="1"/>
        <w:numFmt w:val="decimal"/>
        <w:lvlText w:val="%4."/>
        <w:lvlJc w:val="left"/>
        <w:pPr>
          <w:ind w:left="2520" w:hanging="360"/>
        </w:pPr>
        <w:rPr>
          <w:rFonts w:hint="default"/>
        </w:rPr>
      </w:lvl>
    </w:lvlOverride>
    <w:lvlOverride w:ilvl="4">
      <w:lvl w:ilvl="4" w:tplc="08090019">
        <w:start w:val="1"/>
        <w:numFmt w:val="lowerLetter"/>
        <w:lvlText w:val="%5."/>
        <w:lvlJc w:val="left"/>
        <w:pPr>
          <w:ind w:left="3240" w:hanging="360"/>
        </w:pPr>
        <w:rPr>
          <w:rFonts w:hint="default"/>
        </w:rPr>
      </w:lvl>
    </w:lvlOverride>
    <w:lvlOverride w:ilvl="5">
      <w:lvl w:ilvl="5" w:tplc="0809001B">
        <w:start w:val="1"/>
        <w:numFmt w:val="lowerRoman"/>
        <w:lvlText w:val="%6."/>
        <w:lvlJc w:val="right"/>
        <w:pPr>
          <w:ind w:left="3960" w:hanging="180"/>
        </w:pPr>
        <w:rPr>
          <w:rFonts w:hint="default"/>
        </w:rPr>
      </w:lvl>
    </w:lvlOverride>
    <w:lvlOverride w:ilvl="6">
      <w:lvl w:ilvl="6" w:tplc="0809000F">
        <w:start w:val="1"/>
        <w:numFmt w:val="decimal"/>
        <w:lvlText w:val="%7."/>
        <w:lvlJc w:val="left"/>
        <w:pPr>
          <w:ind w:left="4680" w:hanging="360"/>
        </w:pPr>
        <w:rPr>
          <w:rFonts w:hint="default"/>
        </w:rPr>
      </w:lvl>
    </w:lvlOverride>
    <w:lvlOverride w:ilvl="7">
      <w:lvl w:ilvl="7" w:tplc="08090019">
        <w:start w:val="1"/>
        <w:numFmt w:val="lowerLetter"/>
        <w:lvlText w:val="%8."/>
        <w:lvlJc w:val="left"/>
        <w:pPr>
          <w:ind w:left="5400" w:hanging="360"/>
        </w:pPr>
        <w:rPr>
          <w:rFonts w:hint="default"/>
        </w:rPr>
      </w:lvl>
    </w:lvlOverride>
    <w:lvlOverride w:ilvl="8">
      <w:lvl w:ilvl="8" w:tplc="0809001B">
        <w:start w:val="1"/>
        <w:numFmt w:val="lowerRoman"/>
        <w:lvlText w:val="%9."/>
        <w:lvlJc w:val="right"/>
        <w:pPr>
          <w:ind w:left="6120" w:hanging="180"/>
        </w:pPr>
        <w:rPr>
          <w:rFonts w:hint="default"/>
        </w:rPr>
      </w:lvl>
    </w:lvlOverride>
  </w:num>
  <w:num w:numId="29">
    <w:abstractNumId w:val="33"/>
  </w:num>
  <w:num w:numId="30">
    <w:abstractNumId w:val="48"/>
  </w:num>
  <w:num w:numId="31">
    <w:abstractNumId w:val="35"/>
    <w:lvlOverride w:ilvl="0">
      <w:lvl w:ilvl="0" w:tplc="0809000F">
        <w:start w:val="1"/>
        <w:numFmt w:val="none"/>
        <w:lvlText w:val="6."/>
        <w:lvlJc w:val="left"/>
        <w:pPr>
          <w:ind w:left="360" w:hanging="360"/>
        </w:pPr>
        <w:rPr>
          <w:rFonts w:hint="default"/>
        </w:rPr>
      </w:lvl>
    </w:lvlOverride>
    <w:lvlOverride w:ilvl="1">
      <w:lvl w:ilvl="1" w:tplc="08090019">
        <w:start w:val="1"/>
        <w:numFmt w:val="lowerLetter"/>
        <w:lvlText w:val="%2."/>
        <w:lvlJc w:val="left"/>
        <w:pPr>
          <w:ind w:left="1080" w:hanging="360"/>
        </w:pPr>
        <w:rPr>
          <w:rFonts w:hint="default"/>
        </w:rPr>
      </w:lvl>
    </w:lvlOverride>
    <w:lvlOverride w:ilvl="2">
      <w:lvl w:ilvl="2" w:tplc="0809001B">
        <w:start w:val="1"/>
        <w:numFmt w:val="lowerRoman"/>
        <w:lvlText w:val="%3."/>
        <w:lvlJc w:val="right"/>
        <w:pPr>
          <w:ind w:left="1800" w:hanging="180"/>
        </w:pPr>
        <w:rPr>
          <w:rFonts w:hint="default"/>
        </w:rPr>
      </w:lvl>
    </w:lvlOverride>
    <w:lvlOverride w:ilvl="3">
      <w:lvl w:ilvl="3" w:tplc="0809000F">
        <w:start w:val="1"/>
        <w:numFmt w:val="decimal"/>
        <w:lvlText w:val="%4."/>
        <w:lvlJc w:val="left"/>
        <w:pPr>
          <w:ind w:left="2520" w:hanging="360"/>
        </w:pPr>
        <w:rPr>
          <w:rFonts w:hint="default"/>
        </w:rPr>
      </w:lvl>
    </w:lvlOverride>
    <w:lvlOverride w:ilvl="4">
      <w:lvl w:ilvl="4" w:tplc="08090019">
        <w:start w:val="1"/>
        <w:numFmt w:val="lowerLetter"/>
        <w:lvlText w:val="%5."/>
        <w:lvlJc w:val="left"/>
        <w:pPr>
          <w:ind w:left="3240" w:hanging="360"/>
        </w:pPr>
        <w:rPr>
          <w:rFonts w:hint="default"/>
        </w:rPr>
      </w:lvl>
    </w:lvlOverride>
    <w:lvlOverride w:ilvl="5">
      <w:lvl w:ilvl="5" w:tplc="0809001B">
        <w:start w:val="1"/>
        <w:numFmt w:val="lowerRoman"/>
        <w:lvlText w:val="%6."/>
        <w:lvlJc w:val="right"/>
        <w:pPr>
          <w:ind w:left="3960" w:hanging="180"/>
        </w:pPr>
        <w:rPr>
          <w:rFonts w:hint="default"/>
        </w:rPr>
      </w:lvl>
    </w:lvlOverride>
    <w:lvlOverride w:ilvl="6">
      <w:lvl w:ilvl="6" w:tplc="0809000F">
        <w:start w:val="1"/>
        <w:numFmt w:val="decimal"/>
        <w:lvlText w:val="%7."/>
        <w:lvlJc w:val="left"/>
        <w:pPr>
          <w:ind w:left="4680" w:hanging="360"/>
        </w:pPr>
        <w:rPr>
          <w:rFonts w:hint="default"/>
        </w:rPr>
      </w:lvl>
    </w:lvlOverride>
    <w:lvlOverride w:ilvl="7">
      <w:lvl w:ilvl="7" w:tplc="08090019">
        <w:start w:val="1"/>
        <w:numFmt w:val="lowerLetter"/>
        <w:lvlText w:val="%8."/>
        <w:lvlJc w:val="left"/>
        <w:pPr>
          <w:ind w:left="5400" w:hanging="360"/>
        </w:pPr>
        <w:rPr>
          <w:rFonts w:hint="default"/>
        </w:rPr>
      </w:lvl>
    </w:lvlOverride>
    <w:lvlOverride w:ilvl="8">
      <w:lvl w:ilvl="8" w:tplc="0809001B">
        <w:start w:val="1"/>
        <w:numFmt w:val="lowerRoman"/>
        <w:lvlText w:val="%9."/>
        <w:lvlJc w:val="right"/>
        <w:pPr>
          <w:ind w:left="6120" w:hanging="180"/>
        </w:pPr>
        <w:rPr>
          <w:rFonts w:hint="default"/>
        </w:rPr>
      </w:lvl>
    </w:lvlOverride>
  </w:num>
  <w:num w:numId="32">
    <w:abstractNumId w:val="35"/>
    <w:lvlOverride w:ilvl="0">
      <w:lvl w:ilvl="0" w:tplc="0809000F">
        <w:start w:val="1"/>
        <w:numFmt w:val="none"/>
        <w:lvlText w:val="7."/>
        <w:lvlJc w:val="left"/>
        <w:pPr>
          <w:ind w:left="360" w:hanging="360"/>
        </w:pPr>
        <w:rPr>
          <w:rFonts w:hint="default"/>
        </w:rPr>
      </w:lvl>
    </w:lvlOverride>
    <w:lvlOverride w:ilvl="1">
      <w:lvl w:ilvl="1" w:tplc="08090019">
        <w:start w:val="1"/>
        <w:numFmt w:val="lowerLetter"/>
        <w:lvlText w:val="%2."/>
        <w:lvlJc w:val="left"/>
        <w:pPr>
          <w:ind w:left="1080" w:hanging="360"/>
        </w:pPr>
        <w:rPr>
          <w:rFonts w:hint="default"/>
        </w:rPr>
      </w:lvl>
    </w:lvlOverride>
    <w:lvlOverride w:ilvl="2">
      <w:lvl w:ilvl="2" w:tplc="0809001B">
        <w:start w:val="1"/>
        <w:numFmt w:val="lowerRoman"/>
        <w:lvlText w:val="%3."/>
        <w:lvlJc w:val="right"/>
        <w:pPr>
          <w:ind w:left="1800" w:hanging="180"/>
        </w:pPr>
        <w:rPr>
          <w:rFonts w:hint="default"/>
        </w:rPr>
      </w:lvl>
    </w:lvlOverride>
    <w:lvlOverride w:ilvl="3">
      <w:lvl w:ilvl="3" w:tplc="0809000F">
        <w:start w:val="1"/>
        <w:numFmt w:val="decimal"/>
        <w:lvlText w:val="%4."/>
        <w:lvlJc w:val="left"/>
        <w:pPr>
          <w:ind w:left="2520" w:hanging="360"/>
        </w:pPr>
        <w:rPr>
          <w:rFonts w:hint="default"/>
        </w:rPr>
      </w:lvl>
    </w:lvlOverride>
    <w:lvlOverride w:ilvl="4">
      <w:lvl w:ilvl="4" w:tplc="08090019">
        <w:start w:val="1"/>
        <w:numFmt w:val="lowerLetter"/>
        <w:lvlText w:val="%5."/>
        <w:lvlJc w:val="left"/>
        <w:pPr>
          <w:ind w:left="3240" w:hanging="360"/>
        </w:pPr>
        <w:rPr>
          <w:rFonts w:hint="default"/>
        </w:rPr>
      </w:lvl>
    </w:lvlOverride>
    <w:lvlOverride w:ilvl="5">
      <w:lvl w:ilvl="5" w:tplc="0809001B">
        <w:start w:val="1"/>
        <w:numFmt w:val="lowerRoman"/>
        <w:lvlText w:val="%6."/>
        <w:lvlJc w:val="right"/>
        <w:pPr>
          <w:ind w:left="3960" w:hanging="180"/>
        </w:pPr>
        <w:rPr>
          <w:rFonts w:hint="default"/>
        </w:rPr>
      </w:lvl>
    </w:lvlOverride>
    <w:lvlOverride w:ilvl="6">
      <w:lvl w:ilvl="6" w:tplc="0809000F">
        <w:start w:val="1"/>
        <w:numFmt w:val="decimal"/>
        <w:lvlText w:val="%7."/>
        <w:lvlJc w:val="left"/>
        <w:pPr>
          <w:ind w:left="4680" w:hanging="360"/>
        </w:pPr>
        <w:rPr>
          <w:rFonts w:hint="default"/>
        </w:rPr>
      </w:lvl>
    </w:lvlOverride>
    <w:lvlOverride w:ilvl="7">
      <w:lvl w:ilvl="7" w:tplc="08090019">
        <w:start w:val="1"/>
        <w:numFmt w:val="lowerLetter"/>
        <w:lvlText w:val="%8."/>
        <w:lvlJc w:val="left"/>
        <w:pPr>
          <w:ind w:left="5400" w:hanging="360"/>
        </w:pPr>
        <w:rPr>
          <w:rFonts w:hint="default"/>
        </w:rPr>
      </w:lvl>
    </w:lvlOverride>
    <w:lvlOverride w:ilvl="8">
      <w:lvl w:ilvl="8" w:tplc="0809001B">
        <w:start w:val="1"/>
        <w:numFmt w:val="lowerRoman"/>
        <w:lvlText w:val="%9."/>
        <w:lvlJc w:val="right"/>
        <w:pPr>
          <w:ind w:left="6120" w:hanging="180"/>
        </w:pPr>
        <w:rPr>
          <w:rFonts w:hint="default"/>
        </w:rPr>
      </w:lvl>
    </w:lvlOverride>
  </w:num>
  <w:num w:numId="33">
    <w:abstractNumId w:val="13"/>
    <w:lvlOverride w:ilvl="0">
      <w:startOverride w:val="8"/>
    </w:lvlOverride>
  </w:num>
  <w:num w:numId="34">
    <w:abstractNumId w:val="57"/>
  </w:num>
  <w:num w:numId="35">
    <w:abstractNumId w:val="26"/>
  </w:num>
  <w:num w:numId="36">
    <w:abstractNumId w:val="12"/>
  </w:num>
  <w:num w:numId="37">
    <w:abstractNumId w:val="9"/>
  </w:num>
  <w:num w:numId="38">
    <w:abstractNumId w:val="7"/>
  </w:num>
  <w:num w:numId="39">
    <w:abstractNumId w:val="6"/>
  </w:num>
  <w:num w:numId="40">
    <w:abstractNumId w:val="5"/>
  </w:num>
  <w:num w:numId="41">
    <w:abstractNumId w:val="4"/>
  </w:num>
  <w:num w:numId="42">
    <w:abstractNumId w:val="8"/>
  </w:num>
  <w:num w:numId="43">
    <w:abstractNumId w:val="3"/>
  </w:num>
  <w:num w:numId="44">
    <w:abstractNumId w:val="2"/>
  </w:num>
  <w:num w:numId="45">
    <w:abstractNumId w:val="1"/>
  </w:num>
  <w:num w:numId="46">
    <w:abstractNumId w:val="0"/>
  </w:num>
  <w:num w:numId="47">
    <w:abstractNumId w:val="31"/>
  </w:num>
  <w:num w:numId="48">
    <w:abstractNumId w:val="46"/>
  </w:num>
  <w:num w:numId="49">
    <w:abstractNumId w:val="13"/>
    <w:lvlOverride w:ilvl="0">
      <w:startOverride w:val="8"/>
    </w:lvlOverride>
  </w:num>
  <w:num w:numId="50">
    <w:abstractNumId w:val="27"/>
  </w:num>
  <w:num w:numId="51">
    <w:abstractNumId w:val="34"/>
  </w:num>
  <w:num w:numId="52">
    <w:abstractNumId w:val="13"/>
  </w:num>
  <w:num w:numId="53">
    <w:abstractNumId w:val="13"/>
    <w:lvlOverride w:ilvl="0">
      <w:startOverride w:val="2"/>
    </w:lvlOverride>
  </w:num>
  <w:num w:numId="54">
    <w:abstractNumId w:val="28"/>
  </w:num>
  <w:num w:numId="55">
    <w:abstractNumId w:val="13"/>
    <w:lvlOverride w:ilvl="0">
      <w:startOverride w:val="1"/>
    </w:lvlOverride>
  </w:num>
  <w:num w:numId="56">
    <w:abstractNumId w:val="13"/>
    <w:lvlOverride w:ilvl="0">
      <w:startOverride w:val="3"/>
    </w:lvlOverride>
  </w:num>
  <w:num w:numId="57">
    <w:abstractNumId w:val="50"/>
  </w:num>
  <w:num w:numId="58">
    <w:abstractNumId w:val="24"/>
  </w:num>
  <w:num w:numId="59">
    <w:abstractNumId w:val="44"/>
  </w:num>
  <w:num w:numId="60">
    <w:abstractNumId w:val="24"/>
  </w:num>
  <w:num w:numId="61">
    <w:abstractNumId w:val="41"/>
  </w:num>
  <w:num w:numId="62">
    <w:abstractNumId w:val="36"/>
  </w:num>
  <w:num w:numId="63">
    <w:abstractNumId w:val="39"/>
  </w:num>
  <w:num w:numId="64">
    <w:abstractNumId w:val="13"/>
  </w:num>
  <w:num w:numId="65">
    <w:abstractNumId w:val="24"/>
  </w:num>
  <w:num w:numId="66">
    <w:abstractNumId w:val="13"/>
  </w:num>
  <w:num w:numId="67">
    <w:abstractNumId w:val="13"/>
  </w:num>
  <w:num w:numId="68">
    <w:abstractNumId w:val="13"/>
  </w:num>
  <w:num w:numId="69">
    <w:abstractNumId w:val="13"/>
  </w:num>
  <w:num w:numId="70">
    <w:abstractNumId w:val="13"/>
  </w:num>
  <w:num w:numId="71">
    <w:abstractNumId w:val="32"/>
  </w:num>
  <w:num w:numId="72">
    <w:abstractNumId w:val="53"/>
  </w:num>
  <w:num w:numId="73">
    <w:abstractNumId w:val="47"/>
  </w:num>
  <w:num w:numId="74">
    <w:abstractNumId w:val="37"/>
  </w:num>
  <w:num w:numId="75">
    <w:abstractNumId w:val="40"/>
  </w:num>
  <w:num w:numId="76">
    <w:abstractNumId w:val="17"/>
  </w:num>
  <w:num w:numId="77">
    <w:abstractNumId w:val="55"/>
  </w:num>
  <w:num w:numId="78">
    <w:abstractNumId w:val="13"/>
    <w:lvlOverride w:ilvl="0">
      <w:startOverride w:val="9"/>
    </w:lvlOverride>
  </w:num>
  <w:num w:numId="79">
    <w:abstractNumId w:val="19"/>
  </w:num>
  <w:num w:numId="80">
    <w:abstractNumId w:val="10"/>
  </w:num>
  <w:num w:numId="81">
    <w:abstractNumId w:val="14"/>
  </w:num>
  <w:num w:numId="82">
    <w:abstractNumId w:val="22"/>
  </w:num>
  <w:num w:numId="83">
    <w:abstractNumId w:val="13"/>
    <w:lvlOverride w:ilvl="0">
      <w:startOverride w:val="8"/>
    </w:lvlOverride>
  </w:num>
  <w:num w:numId="84">
    <w:abstractNumId w:val="13"/>
    <w:lvlOverride w:ilvl="0">
      <w:startOverride w:val="9"/>
    </w:lvlOverride>
  </w:num>
  <w:num w:numId="85">
    <w:abstractNumId w:val="11"/>
  </w:num>
  <w:num w:numId="86">
    <w:abstractNumId w:val="43"/>
  </w:num>
  <w:num w:numId="87">
    <w:abstractNumId w:val="45"/>
  </w:num>
  <w:num w:numId="88">
    <w:abstractNumId w:val="13"/>
    <w:lvlOverride w:ilvl="0">
      <w:startOverride w:val="6"/>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7A2D2D"/>
    <w:rsid w:val="00000097"/>
    <w:rsid w:val="00002662"/>
    <w:rsid w:val="00002C50"/>
    <w:rsid w:val="00003FE3"/>
    <w:rsid w:val="00004B37"/>
    <w:rsid w:val="00004C92"/>
    <w:rsid w:val="0000558A"/>
    <w:rsid w:val="00006096"/>
    <w:rsid w:val="0000690C"/>
    <w:rsid w:val="00010E54"/>
    <w:rsid w:val="00012AAD"/>
    <w:rsid w:val="00012DA6"/>
    <w:rsid w:val="000133E8"/>
    <w:rsid w:val="00013FA2"/>
    <w:rsid w:val="00014195"/>
    <w:rsid w:val="000145AB"/>
    <w:rsid w:val="00015207"/>
    <w:rsid w:val="00015FA4"/>
    <w:rsid w:val="00016D02"/>
    <w:rsid w:val="00017031"/>
    <w:rsid w:val="00020AEC"/>
    <w:rsid w:val="00022752"/>
    <w:rsid w:val="00022C7E"/>
    <w:rsid w:val="00024396"/>
    <w:rsid w:val="00026990"/>
    <w:rsid w:val="000273F8"/>
    <w:rsid w:val="0003193B"/>
    <w:rsid w:val="00033495"/>
    <w:rsid w:val="00033E36"/>
    <w:rsid w:val="00034124"/>
    <w:rsid w:val="00034D4A"/>
    <w:rsid w:val="00036B90"/>
    <w:rsid w:val="0003760E"/>
    <w:rsid w:val="00037A48"/>
    <w:rsid w:val="00037FCB"/>
    <w:rsid w:val="00040221"/>
    <w:rsid w:val="000454DA"/>
    <w:rsid w:val="0004698A"/>
    <w:rsid w:val="0005010D"/>
    <w:rsid w:val="00052FC6"/>
    <w:rsid w:val="00053FC3"/>
    <w:rsid w:val="00053FED"/>
    <w:rsid w:val="0005515F"/>
    <w:rsid w:val="00060356"/>
    <w:rsid w:val="00060567"/>
    <w:rsid w:val="00063B5F"/>
    <w:rsid w:val="000641AF"/>
    <w:rsid w:val="0006467B"/>
    <w:rsid w:val="00064D78"/>
    <w:rsid w:val="000663DC"/>
    <w:rsid w:val="0006640A"/>
    <w:rsid w:val="000709F3"/>
    <w:rsid w:val="0007269D"/>
    <w:rsid w:val="00073B9B"/>
    <w:rsid w:val="00074515"/>
    <w:rsid w:val="00074798"/>
    <w:rsid w:val="00076AC5"/>
    <w:rsid w:val="00076E0A"/>
    <w:rsid w:val="0008074B"/>
    <w:rsid w:val="00081EB2"/>
    <w:rsid w:val="00084134"/>
    <w:rsid w:val="00085736"/>
    <w:rsid w:val="00086243"/>
    <w:rsid w:val="00087D66"/>
    <w:rsid w:val="00092DE0"/>
    <w:rsid w:val="0009339D"/>
    <w:rsid w:val="00093965"/>
    <w:rsid w:val="000940FB"/>
    <w:rsid w:val="00094927"/>
    <w:rsid w:val="0009529F"/>
    <w:rsid w:val="000967DB"/>
    <w:rsid w:val="00096F67"/>
    <w:rsid w:val="000A0230"/>
    <w:rsid w:val="000A0B0F"/>
    <w:rsid w:val="000A0BF3"/>
    <w:rsid w:val="000A4B0B"/>
    <w:rsid w:val="000A59A5"/>
    <w:rsid w:val="000A6537"/>
    <w:rsid w:val="000A6ECF"/>
    <w:rsid w:val="000B0775"/>
    <w:rsid w:val="000B09C8"/>
    <w:rsid w:val="000B0E2C"/>
    <w:rsid w:val="000B6036"/>
    <w:rsid w:val="000B6831"/>
    <w:rsid w:val="000B70CA"/>
    <w:rsid w:val="000C0FEF"/>
    <w:rsid w:val="000C59A2"/>
    <w:rsid w:val="000C59F5"/>
    <w:rsid w:val="000C5F9E"/>
    <w:rsid w:val="000C7137"/>
    <w:rsid w:val="000C7BE5"/>
    <w:rsid w:val="000D41E0"/>
    <w:rsid w:val="000D446F"/>
    <w:rsid w:val="000D4B42"/>
    <w:rsid w:val="000D5448"/>
    <w:rsid w:val="000D7423"/>
    <w:rsid w:val="000E0D8F"/>
    <w:rsid w:val="000E1B98"/>
    <w:rsid w:val="000E4906"/>
    <w:rsid w:val="000E5744"/>
    <w:rsid w:val="000E6978"/>
    <w:rsid w:val="000E77E9"/>
    <w:rsid w:val="000F0AF4"/>
    <w:rsid w:val="000F1A43"/>
    <w:rsid w:val="000F2B83"/>
    <w:rsid w:val="000F2C66"/>
    <w:rsid w:val="000F4DE9"/>
    <w:rsid w:val="000F5483"/>
    <w:rsid w:val="000F6DB0"/>
    <w:rsid w:val="000F75C5"/>
    <w:rsid w:val="0010129C"/>
    <w:rsid w:val="00103AF6"/>
    <w:rsid w:val="00103B0F"/>
    <w:rsid w:val="001050D4"/>
    <w:rsid w:val="001066B6"/>
    <w:rsid w:val="00106B45"/>
    <w:rsid w:val="00106B51"/>
    <w:rsid w:val="001110F2"/>
    <w:rsid w:val="0011178B"/>
    <w:rsid w:val="001118CD"/>
    <w:rsid w:val="00112096"/>
    <w:rsid w:val="00112C3B"/>
    <w:rsid w:val="00112F16"/>
    <w:rsid w:val="001150DA"/>
    <w:rsid w:val="00115113"/>
    <w:rsid w:val="001151BA"/>
    <w:rsid w:val="0011562F"/>
    <w:rsid w:val="00115CF4"/>
    <w:rsid w:val="00115D1C"/>
    <w:rsid w:val="00116555"/>
    <w:rsid w:val="00117283"/>
    <w:rsid w:val="0011737A"/>
    <w:rsid w:val="00117F55"/>
    <w:rsid w:val="00120105"/>
    <w:rsid w:val="001249D0"/>
    <w:rsid w:val="0012570C"/>
    <w:rsid w:val="00132AA6"/>
    <w:rsid w:val="00133A24"/>
    <w:rsid w:val="00133D19"/>
    <w:rsid w:val="00134A1D"/>
    <w:rsid w:val="00137F3E"/>
    <w:rsid w:val="00141978"/>
    <w:rsid w:val="001429BD"/>
    <w:rsid w:val="00143496"/>
    <w:rsid w:val="001441E1"/>
    <w:rsid w:val="001446D7"/>
    <w:rsid w:val="00145030"/>
    <w:rsid w:val="00147780"/>
    <w:rsid w:val="00152693"/>
    <w:rsid w:val="0015304C"/>
    <w:rsid w:val="0015380B"/>
    <w:rsid w:val="00154E32"/>
    <w:rsid w:val="0015621A"/>
    <w:rsid w:val="00157D39"/>
    <w:rsid w:val="00162126"/>
    <w:rsid w:val="00164CAD"/>
    <w:rsid w:val="0016600C"/>
    <w:rsid w:val="00166397"/>
    <w:rsid w:val="00166B4C"/>
    <w:rsid w:val="00166BAE"/>
    <w:rsid w:val="00166D6C"/>
    <w:rsid w:val="00166FB3"/>
    <w:rsid w:val="001710DD"/>
    <w:rsid w:val="0017223C"/>
    <w:rsid w:val="00172308"/>
    <w:rsid w:val="00173073"/>
    <w:rsid w:val="001731F3"/>
    <w:rsid w:val="00174BC9"/>
    <w:rsid w:val="00176597"/>
    <w:rsid w:val="00177AB0"/>
    <w:rsid w:val="00180AA4"/>
    <w:rsid w:val="00181298"/>
    <w:rsid w:val="001815B7"/>
    <w:rsid w:val="00182AA9"/>
    <w:rsid w:val="00182CEF"/>
    <w:rsid w:val="00182DB7"/>
    <w:rsid w:val="001848F1"/>
    <w:rsid w:val="0018511E"/>
    <w:rsid w:val="00185CBC"/>
    <w:rsid w:val="001912F8"/>
    <w:rsid w:val="001921D3"/>
    <w:rsid w:val="001934F6"/>
    <w:rsid w:val="00193E09"/>
    <w:rsid w:val="0019463F"/>
    <w:rsid w:val="00196EB6"/>
    <w:rsid w:val="00197988"/>
    <w:rsid w:val="001A0A92"/>
    <w:rsid w:val="001A147A"/>
    <w:rsid w:val="001A2CF5"/>
    <w:rsid w:val="001A6A40"/>
    <w:rsid w:val="001A76DE"/>
    <w:rsid w:val="001A79D8"/>
    <w:rsid w:val="001B0738"/>
    <w:rsid w:val="001B0CEB"/>
    <w:rsid w:val="001B21B4"/>
    <w:rsid w:val="001B226F"/>
    <w:rsid w:val="001B2FC6"/>
    <w:rsid w:val="001B3384"/>
    <w:rsid w:val="001B358D"/>
    <w:rsid w:val="001B5ABE"/>
    <w:rsid w:val="001B61DD"/>
    <w:rsid w:val="001B6E82"/>
    <w:rsid w:val="001C1324"/>
    <w:rsid w:val="001C2BE0"/>
    <w:rsid w:val="001C457E"/>
    <w:rsid w:val="001D2A45"/>
    <w:rsid w:val="001D39A7"/>
    <w:rsid w:val="001D676A"/>
    <w:rsid w:val="001D743F"/>
    <w:rsid w:val="001E0537"/>
    <w:rsid w:val="001E1337"/>
    <w:rsid w:val="001E4330"/>
    <w:rsid w:val="001E5CE1"/>
    <w:rsid w:val="001E5E61"/>
    <w:rsid w:val="001E7380"/>
    <w:rsid w:val="001E7AA5"/>
    <w:rsid w:val="001E7CFC"/>
    <w:rsid w:val="001F03E5"/>
    <w:rsid w:val="001F0AA1"/>
    <w:rsid w:val="001F1B3E"/>
    <w:rsid w:val="001F38AB"/>
    <w:rsid w:val="001F6BCC"/>
    <w:rsid w:val="00201B48"/>
    <w:rsid w:val="0020270C"/>
    <w:rsid w:val="00202891"/>
    <w:rsid w:val="002036EE"/>
    <w:rsid w:val="00203BA6"/>
    <w:rsid w:val="0020662E"/>
    <w:rsid w:val="00206D8A"/>
    <w:rsid w:val="00206E61"/>
    <w:rsid w:val="0020720A"/>
    <w:rsid w:val="0021053C"/>
    <w:rsid w:val="00212025"/>
    <w:rsid w:val="00214CBB"/>
    <w:rsid w:val="00215053"/>
    <w:rsid w:val="002179C5"/>
    <w:rsid w:val="0022036F"/>
    <w:rsid w:val="002214C4"/>
    <w:rsid w:val="00221DE9"/>
    <w:rsid w:val="002227B3"/>
    <w:rsid w:val="0022291E"/>
    <w:rsid w:val="00223DC3"/>
    <w:rsid w:val="00226D1A"/>
    <w:rsid w:val="00231ADA"/>
    <w:rsid w:val="0023283F"/>
    <w:rsid w:val="00233313"/>
    <w:rsid w:val="00234324"/>
    <w:rsid w:val="00234397"/>
    <w:rsid w:val="002416B1"/>
    <w:rsid w:val="002416DF"/>
    <w:rsid w:val="002427CF"/>
    <w:rsid w:val="002427DE"/>
    <w:rsid w:val="00245270"/>
    <w:rsid w:val="00245B62"/>
    <w:rsid w:val="00245DB2"/>
    <w:rsid w:val="0024640B"/>
    <w:rsid w:val="002466BB"/>
    <w:rsid w:val="00247E28"/>
    <w:rsid w:val="002514C5"/>
    <w:rsid w:val="002517E6"/>
    <w:rsid w:val="00253269"/>
    <w:rsid w:val="002601B9"/>
    <w:rsid w:val="00262326"/>
    <w:rsid w:val="0026245F"/>
    <w:rsid w:val="00262DA1"/>
    <w:rsid w:val="002644DE"/>
    <w:rsid w:val="002652D0"/>
    <w:rsid w:val="0026720B"/>
    <w:rsid w:val="00267536"/>
    <w:rsid w:val="00271DC6"/>
    <w:rsid w:val="00273681"/>
    <w:rsid w:val="00273B2F"/>
    <w:rsid w:val="00276348"/>
    <w:rsid w:val="00276DFE"/>
    <w:rsid w:val="002776CF"/>
    <w:rsid w:val="0028091E"/>
    <w:rsid w:val="00281853"/>
    <w:rsid w:val="002836F5"/>
    <w:rsid w:val="002860AE"/>
    <w:rsid w:val="00287192"/>
    <w:rsid w:val="00290F4C"/>
    <w:rsid w:val="002927E0"/>
    <w:rsid w:val="00292A98"/>
    <w:rsid w:val="002947D2"/>
    <w:rsid w:val="00297B7B"/>
    <w:rsid w:val="002A02CD"/>
    <w:rsid w:val="002A11F6"/>
    <w:rsid w:val="002A42B8"/>
    <w:rsid w:val="002A605E"/>
    <w:rsid w:val="002A6258"/>
    <w:rsid w:val="002A7948"/>
    <w:rsid w:val="002A7C61"/>
    <w:rsid w:val="002A7FD2"/>
    <w:rsid w:val="002B0C9C"/>
    <w:rsid w:val="002B248C"/>
    <w:rsid w:val="002B34F3"/>
    <w:rsid w:val="002B3CC7"/>
    <w:rsid w:val="002B4347"/>
    <w:rsid w:val="002C2661"/>
    <w:rsid w:val="002C3B46"/>
    <w:rsid w:val="002C474B"/>
    <w:rsid w:val="002C67E8"/>
    <w:rsid w:val="002D1D4B"/>
    <w:rsid w:val="002D3D01"/>
    <w:rsid w:val="002D410C"/>
    <w:rsid w:val="002D5514"/>
    <w:rsid w:val="002E201D"/>
    <w:rsid w:val="002E2086"/>
    <w:rsid w:val="002E7D6A"/>
    <w:rsid w:val="002F0A0E"/>
    <w:rsid w:val="002F24E8"/>
    <w:rsid w:val="002F2B7A"/>
    <w:rsid w:val="002F43E5"/>
    <w:rsid w:val="002F61D9"/>
    <w:rsid w:val="002F6D38"/>
    <w:rsid w:val="002F775F"/>
    <w:rsid w:val="0030364C"/>
    <w:rsid w:val="00303831"/>
    <w:rsid w:val="003050D6"/>
    <w:rsid w:val="003051BE"/>
    <w:rsid w:val="00306111"/>
    <w:rsid w:val="0031156A"/>
    <w:rsid w:val="0031311A"/>
    <w:rsid w:val="0031413E"/>
    <w:rsid w:val="00315FFC"/>
    <w:rsid w:val="003175D6"/>
    <w:rsid w:val="00317DED"/>
    <w:rsid w:val="00320388"/>
    <w:rsid w:val="00320885"/>
    <w:rsid w:val="00320980"/>
    <w:rsid w:val="00321447"/>
    <w:rsid w:val="00322ED6"/>
    <w:rsid w:val="00323B67"/>
    <w:rsid w:val="0032430D"/>
    <w:rsid w:val="00324A7D"/>
    <w:rsid w:val="003258B7"/>
    <w:rsid w:val="00325D10"/>
    <w:rsid w:val="00325ED1"/>
    <w:rsid w:val="00325F49"/>
    <w:rsid w:val="00327081"/>
    <w:rsid w:val="00330817"/>
    <w:rsid w:val="00330ADF"/>
    <w:rsid w:val="00332952"/>
    <w:rsid w:val="00337BE4"/>
    <w:rsid w:val="00341E47"/>
    <w:rsid w:val="00343A9D"/>
    <w:rsid w:val="00343BE2"/>
    <w:rsid w:val="00344DA9"/>
    <w:rsid w:val="00346765"/>
    <w:rsid w:val="0035290A"/>
    <w:rsid w:val="003545F1"/>
    <w:rsid w:val="00354FA3"/>
    <w:rsid w:val="003554F1"/>
    <w:rsid w:val="00355A8F"/>
    <w:rsid w:val="003572C5"/>
    <w:rsid w:val="00357642"/>
    <w:rsid w:val="003576E8"/>
    <w:rsid w:val="003631CE"/>
    <w:rsid w:val="003637A8"/>
    <w:rsid w:val="003641D5"/>
    <w:rsid w:val="00365140"/>
    <w:rsid w:val="003661DF"/>
    <w:rsid w:val="003672D7"/>
    <w:rsid w:val="0036799B"/>
    <w:rsid w:val="00371BE0"/>
    <w:rsid w:val="00373106"/>
    <w:rsid w:val="00373807"/>
    <w:rsid w:val="0038116F"/>
    <w:rsid w:val="00382147"/>
    <w:rsid w:val="00382C8C"/>
    <w:rsid w:val="00382FAC"/>
    <w:rsid w:val="00385541"/>
    <w:rsid w:val="00391117"/>
    <w:rsid w:val="00393E89"/>
    <w:rsid w:val="00395808"/>
    <w:rsid w:val="003959A5"/>
    <w:rsid w:val="00396921"/>
    <w:rsid w:val="003979A0"/>
    <w:rsid w:val="00397C2F"/>
    <w:rsid w:val="00397E7B"/>
    <w:rsid w:val="003A106A"/>
    <w:rsid w:val="003A1C24"/>
    <w:rsid w:val="003A23AE"/>
    <w:rsid w:val="003A251E"/>
    <w:rsid w:val="003B10A3"/>
    <w:rsid w:val="003B2FB2"/>
    <w:rsid w:val="003B6238"/>
    <w:rsid w:val="003B72E1"/>
    <w:rsid w:val="003B7495"/>
    <w:rsid w:val="003C06AD"/>
    <w:rsid w:val="003C08AD"/>
    <w:rsid w:val="003C32CB"/>
    <w:rsid w:val="003C79C5"/>
    <w:rsid w:val="003C7B5C"/>
    <w:rsid w:val="003D134A"/>
    <w:rsid w:val="003D34BB"/>
    <w:rsid w:val="003D473F"/>
    <w:rsid w:val="003D5549"/>
    <w:rsid w:val="003D5BF3"/>
    <w:rsid w:val="003D60C0"/>
    <w:rsid w:val="003D7E04"/>
    <w:rsid w:val="003E2376"/>
    <w:rsid w:val="003E23E5"/>
    <w:rsid w:val="003E2891"/>
    <w:rsid w:val="003E3CCF"/>
    <w:rsid w:val="003E41A9"/>
    <w:rsid w:val="003E4E6B"/>
    <w:rsid w:val="003E5308"/>
    <w:rsid w:val="003E5493"/>
    <w:rsid w:val="003E7EA3"/>
    <w:rsid w:val="003F1474"/>
    <w:rsid w:val="003F1DB2"/>
    <w:rsid w:val="003F23CF"/>
    <w:rsid w:val="003F4CA8"/>
    <w:rsid w:val="00402C11"/>
    <w:rsid w:val="00403EFB"/>
    <w:rsid w:val="0040402F"/>
    <w:rsid w:val="0040421D"/>
    <w:rsid w:val="00406DEC"/>
    <w:rsid w:val="00407B61"/>
    <w:rsid w:val="0041190C"/>
    <w:rsid w:val="0041354F"/>
    <w:rsid w:val="00416253"/>
    <w:rsid w:val="004217C0"/>
    <w:rsid w:val="004232D9"/>
    <w:rsid w:val="00430CFB"/>
    <w:rsid w:val="0043340E"/>
    <w:rsid w:val="00440359"/>
    <w:rsid w:val="0044385D"/>
    <w:rsid w:val="00443EE6"/>
    <w:rsid w:val="00446715"/>
    <w:rsid w:val="0044685B"/>
    <w:rsid w:val="00451201"/>
    <w:rsid w:val="00451C23"/>
    <w:rsid w:val="00452454"/>
    <w:rsid w:val="00452C30"/>
    <w:rsid w:val="00452C44"/>
    <w:rsid w:val="0045357C"/>
    <w:rsid w:val="00454A9D"/>
    <w:rsid w:val="00454F9C"/>
    <w:rsid w:val="00455686"/>
    <w:rsid w:val="00460143"/>
    <w:rsid w:val="00461D92"/>
    <w:rsid w:val="00462001"/>
    <w:rsid w:val="00462B62"/>
    <w:rsid w:val="00462EF0"/>
    <w:rsid w:val="00464D3F"/>
    <w:rsid w:val="00465F3F"/>
    <w:rsid w:val="004706E5"/>
    <w:rsid w:val="00471E3C"/>
    <w:rsid w:val="004735F2"/>
    <w:rsid w:val="00473627"/>
    <w:rsid w:val="00473630"/>
    <w:rsid w:val="00473DCA"/>
    <w:rsid w:val="004752B0"/>
    <w:rsid w:val="0047550D"/>
    <w:rsid w:val="00475E44"/>
    <w:rsid w:val="00476BD1"/>
    <w:rsid w:val="00477680"/>
    <w:rsid w:val="0047774A"/>
    <w:rsid w:val="00480A98"/>
    <w:rsid w:val="00482D08"/>
    <w:rsid w:val="0048309B"/>
    <w:rsid w:val="0048352B"/>
    <w:rsid w:val="00485B6B"/>
    <w:rsid w:val="00486D78"/>
    <w:rsid w:val="004871D5"/>
    <w:rsid w:val="00490E28"/>
    <w:rsid w:val="004914A1"/>
    <w:rsid w:val="0049342E"/>
    <w:rsid w:val="004A0199"/>
    <w:rsid w:val="004A1A54"/>
    <w:rsid w:val="004A2552"/>
    <w:rsid w:val="004A4E4E"/>
    <w:rsid w:val="004A50D3"/>
    <w:rsid w:val="004A5265"/>
    <w:rsid w:val="004B014C"/>
    <w:rsid w:val="004B0EF3"/>
    <w:rsid w:val="004B1380"/>
    <w:rsid w:val="004B145F"/>
    <w:rsid w:val="004B163D"/>
    <w:rsid w:val="004C3DBE"/>
    <w:rsid w:val="004C5B54"/>
    <w:rsid w:val="004C5F54"/>
    <w:rsid w:val="004C6F57"/>
    <w:rsid w:val="004D0630"/>
    <w:rsid w:val="004D243C"/>
    <w:rsid w:val="004D30DE"/>
    <w:rsid w:val="004D62D8"/>
    <w:rsid w:val="004E3108"/>
    <w:rsid w:val="004E37EF"/>
    <w:rsid w:val="004E6BD3"/>
    <w:rsid w:val="004E7C87"/>
    <w:rsid w:val="004E7E2D"/>
    <w:rsid w:val="004F0499"/>
    <w:rsid w:val="004F0680"/>
    <w:rsid w:val="004F0C70"/>
    <w:rsid w:val="004F36F7"/>
    <w:rsid w:val="004F4AE2"/>
    <w:rsid w:val="004F71BE"/>
    <w:rsid w:val="00501E35"/>
    <w:rsid w:val="00502ED3"/>
    <w:rsid w:val="005033EC"/>
    <w:rsid w:val="00504172"/>
    <w:rsid w:val="0050581E"/>
    <w:rsid w:val="005060E6"/>
    <w:rsid w:val="0050671B"/>
    <w:rsid w:val="005069B6"/>
    <w:rsid w:val="00507A59"/>
    <w:rsid w:val="00510C0C"/>
    <w:rsid w:val="0051328C"/>
    <w:rsid w:val="00513E26"/>
    <w:rsid w:val="0051424B"/>
    <w:rsid w:val="0051440C"/>
    <w:rsid w:val="0051615F"/>
    <w:rsid w:val="0051642E"/>
    <w:rsid w:val="005164F4"/>
    <w:rsid w:val="00517323"/>
    <w:rsid w:val="0051787E"/>
    <w:rsid w:val="00517E01"/>
    <w:rsid w:val="00521E5B"/>
    <w:rsid w:val="00522A99"/>
    <w:rsid w:val="005255CB"/>
    <w:rsid w:val="00525AC4"/>
    <w:rsid w:val="0052744C"/>
    <w:rsid w:val="005306C9"/>
    <w:rsid w:val="005331D4"/>
    <w:rsid w:val="005379C8"/>
    <w:rsid w:val="005424F5"/>
    <w:rsid w:val="0054373A"/>
    <w:rsid w:val="00545A6F"/>
    <w:rsid w:val="00547B95"/>
    <w:rsid w:val="00550751"/>
    <w:rsid w:val="00550A95"/>
    <w:rsid w:val="00551E6B"/>
    <w:rsid w:val="005548F8"/>
    <w:rsid w:val="005550D3"/>
    <w:rsid w:val="00557141"/>
    <w:rsid w:val="00557436"/>
    <w:rsid w:val="00557FDA"/>
    <w:rsid w:val="00560856"/>
    <w:rsid w:val="005609D2"/>
    <w:rsid w:val="005625D9"/>
    <w:rsid w:val="00562C39"/>
    <w:rsid w:val="0056367E"/>
    <w:rsid w:val="00567D5B"/>
    <w:rsid w:val="00571FB8"/>
    <w:rsid w:val="00572549"/>
    <w:rsid w:val="00573325"/>
    <w:rsid w:val="005751C0"/>
    <w:rsid w:val="00575694"/>
    <w:rsid w:val="005762F2"/>
    <w:rsid w:val="005771B0"/>
    <w:rsid w:val="00577A95"/>
    <w:rsid w:val="005812E5"/>
    <w:rsid w:val="00581632"/>
    <w:rsid w:val="00583467"/>
    <w:rsid w:val="005834A6"/>
    <w:rsid w:val="00585BB6"/>
    <w:rsid w:val="00586F05"/>
    <w:rsid w:val="00587274"/>
    <w:rsid w:val="00594CDA"/>
    <w:rsid w:val="00596788"/>
    <w:rsid w:val="00597EEC"/>
    <w:rsid w:val="005A68FA"/>
    <w:rsid w:val="005A78DC"/>
    <w:rsid w:val="005B1460"/>
    <w:rsid w:val="005B1743"/>
    <w:rsid w:val="005B20E0"/>
    <w:rsid w:val="005B2AC8"/>
    <w:rsid w:val="005B2BD3"/>
    <w:rsid w:val="005B36AA"/>
    <w:rsid w:val="005B46BC"/>
    <w:rsid w:val="005B504D"/>
    <w:rsid w:val="005B6103"/>
    <w:rsid w:val="005B72EE"/>
    <w:rsid w:val="005B7F83"/>
    <w:rsid w:val="005C00CE"/>
    <w:rsid w:val="005C08AD"/>
    <w:rsid w:val="005C10D3"/>
    <w:rsid w:val="005C3A15"/>
    <w:rsid w:val="005C6F46"/>
    <w:rsid w:val="005C7817"/>
    <w:rsid w:val="005D05CC"/>
    <w:rsid w:val="005D0ED8"/>
    <w:rsid w:val="005D3FA9"/>
    <w:rsid w:val="005D7174"/>
    <w:rsid w:val="005E2A4B"/>
    <w:rsid w:val="005E44FE"/>
    <w:rsid w:val="005E7265"/>
    <w:rsid w:val="005E7EAF"/>
    <w:rsid w:val="005F44BA"/>
    <w:rsid w:val="005F4CF0"/>
    <w:rsid w:val="00602360"/>
    <w:rsid w:val="006030A4"/>
    <w:rsid w:val="00604124"/>
    <w:rsid w:val="00607C32"/>
    <w:rsid w:val="00610B77"/>
    <w:rsid w:val="00610EE2"/>
    <w:rsid w:val="00614B04"/>
    <w:rsid w:val="0061735F"/>
    <w:rsid w:val="00622105"/>
    <w:rsid w:val="0062263B"/>
    <w:rsid w:val="00622B3B"/>
    <w:rsid w:val="00623A20"/>
    <w:rsid w:val="00624105"/>
    <w:rsid w:val="006245F4"/>
    <w:rsid w:val="0062464A"/>
    <w:rsid w:val="0062583B"/>
    <w:rsid w:val="006271DA"/>
    <w:rsid w:val="00627525"/>
    <w:rsid w:val="00627B0D"/>
    <w:rsid w:val="00627E5E"/>
    <w:rsid w:val="006309B0"/>
    <w:rsid w:val="006319A8"/>
    <w:rsid w:val="00633573"/>
    <w:rsid w:val="0063532E"/>
    <w:rsid w:val="00637920"/>
    <w:rsid w:val="00637F6B"/>
    <w:rsid w:val="00641683"/>
    <w:rsid w:val="00641BA3"/>
    <w:rsid w:val="006446C7"/>
    <w:rsid w:val="00646695"/>
    <w:rsid w:val="006468C2"/>
    <w:rsid w:val="00650F00"/>
    <w:rsid w:val="006549B2"/>
    <w:rsid w:val="00657DE0"/>
    <w:rsid w:val="0066017D"/>
    <w:rsid w:val="00660AB2"/>
    <w:rsid w:val="00660EC8"/>
    <w:rsid w:val="00662423"/>
    <w:rsid w:val="006665A3"/>
    <w:rsid w:val="00670E24"/>
    <w:rsid w:val="00676488"/>
    <w:rsid w:val="0067696F"/>
    <w:rsid w:val="006772C3"/>
    <w:rsid w:val="00677330"/>
    <w:rsid w:val="00677B52"/>
    <w:rsid w:val="00677CF9"/>
    <w:rsid w:val="006801ED"/>
    <w:rsid w:val="0068024B"/>
    <w:rsid w:val="00680C92"/>
    <w:rsid w:val="00684331"/>
    <w:rsid w:val="0068475C"/>
    <w:rsid w:val="006849E9"/>
    <w:rsid w:val="00685EA7"/>
    <w:rsid w:val="00692E97"/>
    <w:rsid w:val="00693EA1"/>
    <w:rsid w:val="006945DE"/>
    <w:rsid w:val="00695C0F"/>
    <w:rsid w:val="00696807"/>
    <w:rsid w:val="00697E5F"/>
    <w:rsid w:val="00697FEE"/>
    <w:rsid w:val="006A08DA"/>
    <w:rsid w:val="006A1049"/>
    <w:rsid w:val="006A1480"/>
    <w:rsid w:val="006A2CE8"/>
    <w:rsid w:val="006A5F0C"/>
    <w:rsid w:val="006A648B"/>
    <w:rsid w:val="006A6F96"/>
    <w:rsid w:val="006B0A2B"/>
    <w:rsid w:val="006B19A3"/>
    <w:rsid w:val="006B1CD2"/>
    <w:rsid w:val="006B20D0"/>
    <w:rsid w:val="006B27F1"/>
    <w:rsid w:val="006B4ED6"/>
    <w:rsid w:val="006B502C"/>
    <w:rsid w:val="006B57B9"/>
    <w:rsid w:val="006B7FA2"/>
    <w:rsid w:val="006C19A7"/>
    <w:rsid w:val="006C26D8"/>
    <w:rsid w:val="006C38D8"/>
    <w:rsid w:val="006C4AE5"/>
    <w:rsid w:val="006C4E75"/>
    <w:rsid w:val="006C5087"/>
    <w:rsid w:val="006C5CF2"/>
    <w:rsid w:val="006C5F9A"/>
    <w:rsid w:val="006C757C"/>
    <w:rsid w:val="006C7B97"/>
    <w:rsid w:val="006D0CFA"/>
    <w:rsid w:val="006D1BD0"/>
    <w:rsid w:val="006D3E92"/>
    <w:rsid w:val="006D576A"/>
    <w:rsid w:val="006D62D5"/>
    <w:rsid w:val="006E09DB"/>
    <w:rsid w:val="006E1EA2"/>
    <w:rsid w:val="006E401D"/>
    <w:rsid w:val="006E4991"/>
    <w:rsid w:val="006E53F5"/>
    <w:rsid w:val="006E7165"/>
    <w:rsid w:val="006F03C7"/>
    <w:rsid w:val="006F0DB4"/>
    <w:rsid w:val="006F119F"/>
    <w:rsid w:val="006F225B"/>
    <w:rsid w:val="006F32DB"/>
    <w:rsid w:val="006F4273"/>
    <w:rsid w:val="006F440B"/>
    <w:rsid w:val="006F451C"/>
    <w:rsid w:val="006F46A3"/>
    <w:rsid w:val="006F5BBF"/>
    <w:rsid w:val="006F5DEA"/>
    <w:rsid w:val="006F671F"/>
    <w:rsid w:val="00700D9F"/>
    <w:rsid w:val="00700DF0"/>
    <w:rsid w:val="00703E96"/>
    <w:rsid w:val="0070742E"/>
    <w:rsid w:val="0071010D"/>
    <w:rsid w:val="00713EF7"/>
    <w:rsid w:val="00715ED1"/>
    <w:rsid w:val="00720FE5"/>
    <w:rsid w:val="00721899"/>
    <w:rsid w:val="00723C31"/>
    <w:rsid w:val="00725BAE"/>
    <w:rsid w:val="00726F0F"/>
    <w:rsid w:val="00727926"/>
    <w:rsid w:val="00731B0D"/>
    <w:rsid w:val="0073377B"/>
    <w:rsid w:val="0073627A"/>
    <w:rsid w:val="007376CA"/>
    <w:rsid w:val="00741F8A"/>
    <w:rsid w:val="00743360"/>
    <w:rsid w:val="007502FD"/>
    <w:rsid w:val="00752857"/>
    <w:rsid w:val="0075294B"/>
    <w:rsid w:val="007542D1"/>
    <w:rsid w:val="00754A00"/>
    <w:rsid w:val="00755BC0"/>
    <w:rsid w:val="00756CC3"/>
    <w:rsid w:val="007600CD"/>
    <w:rsid w:val="00761957"/>
    <w:rsid w:val="00761C20"/>
    <w:rsid w:val="007620C5"/>
    <w:rsid w:val="007641E7"/>
    <w:rsid w:val="007648E0"/>
    <w:rsid w:val="00764FAB"/>
    <w:rsid w:val="007706C0"/>
    <w:rsid w:val="0077144D"/>
    <w:rsid w:val="00771F34"/>
    <w:rsid w:val="007733F8"/>
    <w:rsid w:val="007744D1"/>
    <w:rsid w:val="00776540"/>
    <w:rsid w:val="0077667C"/>
    <w:rsid w:val="007823AD"/>
    <w:rsid w:val="007859E3"/>
    <w:rsid w:val="007870E8"/>
    <w:rsid w:val="00787662"/>
    <w:rsid w:val="007905D5"/>
    <w:rsid w:val="00791B6C"/>
    <w:rsid w:val="00792292"/>
    <w:rsid w:val="007929C3"/>
    <w:rsid w:val="0079446F"/>
    <w:rsid w:val="00794535"/>
    <w:rsid w:val="007A1897"/>
    <w:rsid w:val="007A2C19"/>
    <w:rsid w:val="007A2D2D"/>
    <w:rsid w:val="007A2FB6"/>
    <w:rsid w:val="007A35AF"/>
    <w:rsid w:val="007A7155"/>
    <w:rsid w:val="007B0324"/>
    <w:rsid w:val="007B039C"/>
    <w:rsid w:val="007B1130"/>
    <w:rsid w:val="007B2ABD"/>
    <w:rsid w:val="007B2C75"/>
    <w:rsid w:val="007C2BD6"/>
    <w:rsid w:val="007C35BF"/>
    <w:rsid w:val="007C64D2"/>
    <w:rsid w:val="007C74D1"/>
    <w:rsid w:val="007D28AB"/>
    <w:rsid w:val="007D335C"/>
    <w:rsid w:val="007D4120"/>
    <w:rsid w:val="007D5837"/>
    <w:rsid w:val="007D60C4"/>
    <w:rsid w:val="007D6865"/>
    <w:rsid w:val="007D7816"/>
    <w:rsid w:val="007E0222"/>
    <w:rsid w:val="007E04B7"/>
    <w:rsid w:val="007E2451"/>
    <w:rsid w:val="007E2CE8"/>
    <w:rsid w:val="007E3FD9"/>
    <w:rsid w:val="007F006E"/>
    <w:rsid w:val="007F06AA"/>
    <w:rsid w:val="007F11AD"/>
    <w:rsid w:val="007F3A0E"/>
    <w:rsid w:val="007F444A"/>
    <w:rsid w:val="007F590D"/>
    <w:rsid w:val="007F67E8"/>
    <w:rsid w:val="007F7665"/>
    <w:rsid w:val="0080039E"/>
    <w:rsid w:val="0080132E"/>
    <w:rsid w:val="00801935"/>
    <w:rsid w:val="00802704"/>
    <w:rsid w:val="00802BFD"/>
    <w:rsid w:val="00803367"/>
    <w:rsid w:val="0080372B"/>
    <w:rsid w:val="00803BA2"/>
    <w:rsid w:val="008042F1"/>
    <w:rsid w:val="00806816"/>
    <w:rsid w:val="008069E6"/>
    <w:rsid w:val="00806D5A"/>
    <w:rsid w:val="0081071F"/>
    <w:rsid w:val="008123B5"/>
    <w:rsid w:val="00812CFA"/>
    <w:rsid w:val="00820B6A"/>
    <w:rsid w:val="00820F34"/>
    <w:rsid w:val="0082275C"/>
    <w:rsid w:val="00823B7A"/>
    <w:rsid w:val="00824CEC"/>
    <w:rsid w:val="00824DEF"/>
    <w:rsid w:val="00827348"/>
    <w:rsid w:val="00832182"/>
    <w:rsid w:val="00832B4D"/>
    <w:rsid w:val="00833D08"/>
    <w:rsid w:val="0083424C"/>
    <w:rsid w:val="00835084"/>
    <w:rsid w:val="008351B9"/>
    <w:rsid w:val="008352EB"/>
    <w:rsid w:val="00835F92"/>
    <w:rsid w:val="0084048C"/>
    <w:rsid w:val="00851289"/>
    <w:rsid w:val="0085523E"/>
    <w:rsid w:val="00855845"/>
    <w:rsid w:val="008602FA"/>
    <w:rsid w:val="00860662"/>
    <w:rsid w:val="00860FE9"/>
    <w:rsid w:val="00863CD7"/>
    <w:rsid w:val="00863FE6"/>
    <w:rsid w:val="0086533E"/>
    <w:rsid w:val="00865915"/>
    <w:rsid w:val="008666BA"/>
    <w:rsid w:val="00870A7E"/>
    <w:rsid w:val="00871457"/>
    <w:rsid w:val="0087212B"/>
    <w:rsid w:val="0087242E"/>
    <w:rsid w:val="00873EA2"/>
    <w:rsid w:val="008757B0"/>
    <w:rsid w:val="00875F1D"/>
    <w:rsid w:val="008764C3"/>
    <w:rsid w:val="00880858"/>
    <w:rsid w:val="00880F61"/>
    <w:rsid w:val="008824B8"/>
    <w:rsid w:val="00882984"/>
    <w:rsid w:val="008832FB"/>
    <w:rsid w:val="00884F29"/>
    <w:rsid w:val="00885512"/>
    <w:rsid w:val="00885AEF"/>
    <w:rsid w:val="00885C89"/>
    <w:rsid w:val="00887C2B"/>
    <w:rsid w:val="00887EFD"/>
    <w:rsid w:val="008906E7"/>
    <w:rsid w:val="008914A9"/>
    <w:rsid w:val="0089269C"/>
    <w:rsid w:val="00895C24"/>
    <w:rsid w:val="008967BE"/>
    <w:rsid w:val="00897BCB"/>
    <w:rsid w:val="008A0EF5"/>
    <w:rsid w:val="008A2E24"/>
    <w:rsid w:val="008A4B06"/>
    <w:rsid w:val="008A505A"/>
    <w:rsid w:val="008B13C4"/>
    <w:rsid w:val="008B1C9B"/>
    <w:rsid w:val="008B3B38"/>
    <w:rsid w:val="008B4863"/>
    <w:rsid w:val="008B4EF2"/>
    <w:rsid w:val="008B64E6"/>
    <w:rsid w:val="008C0A7B"/>
    <w:rsid w:val="008C1627"/>
    <w:rsid w:val="008C3165"/>
    <w:rsid w:val="008C4F08"/>
    <w:rsid w:val="008C5696"/>
    <w:rsid w:val="008C5A2B"/>
    <w:rsid w:val="008C5BAF"/>
    <w:rsid w:val="008D03D1"/>
    <w:rsid w:val="008D10E8"/>
    <w:rsid w:val="008D18F0"/>
    <w:rsid w:val="008D1BA0"/>
    <w:rsid w:val="008D296E"/>
    <w:rsid w:val="008D2C41"/>
    <w:rsid w:val="008D2FAF"/>
    <w:rsid w:val="008D33F1"/>
    <w:rsid w:val="008D3723"/>
    <w:rsid w:val="008D4EB2"/>
    <w:rsid w:val="008D5647"/>
    <w:rsid w:val="008D60DC"/>
    <w:rsid w:val="008D7319"/>
    <w:rsid w:val="008D74B8"/>
    <w:rsid w:val="008D75F0"/>
    <w:rsid w:val="008E04DC"/>
    <w:rsid w:val="008E06F6"/>
    <w:rsid w:val="008E109E"/>
    <w:rsid w:val="008E3249"/>
    <w:rsid w:val="008E4671"/>
    <w:rsid w:val="008E46B3"/>
    <w:rsid w:val="008E690E"/>
    <w:rsid w:val="008E6B2B"/>
    <w:rsid w:val="008F0FE1"/>
    <w:rsid w:val="008F1237"/>
    <w:rsid w:val="008F1CCC"/>
    <w:rsid w:val="008F2433"/>
    <w:rsid w:val="008F35B4"/>
    <w:rsid w:val="008F5708"/>
    <w:rsid w:val="008F742E"/>
    <w:rsid w:val="008F7E8C"/>
    <w:rsid w:val="00901CDB"/>
    <w:rsid w:val="00904D20"/>
    <w:rsid w:val="009102E4"/>
    <w:rsid w:val="00910CAF"/>
    <w:rsid w:val="009121DC"/>
    <w:rsid w:val="0091222C"/>
    <w:rsid w:val="00914995"/>
    <w:rsid w:val="00915451"/>
    <w:rsid w:val="00915ABE"/>
    <w:rsid w:val="009168FB"/>
    <w:rsid w:val="00920C53"/>
    <w:rsid w:val="00921456"/>
    <w:rsid w:val="0092279E"/>
    <w:rsid w:val="00922BB0"/>
    <w:rsid w:val="00922F13"/>
    <w:rsid w:val="00923064"/>
    <w:rsid w:val="009236DF"/>
    <w:rsid w:val="00925030"/>
    <w:rsid w:val="0092528E"/>
    <w:rsid w:val="00926E11"/>
    <w:rsid w:val="009275E3"/>
    <w:rsid w:val="00932581"/>
    <w:rsid w:val="00933A1D"/>
    <w:rsid w:val="00934163"/>
    <w:rsid w:val="009365B3"/>
    <w:rsid w:val="009367C1"/>
    <w:rsid w:val="00942659"/>
    <w:rsid w:val="009429A6"/>
    <w:rsid w:val="00945B84"/>
    <w:rsid w:val="00946B3A"/>
    <w:rsid w:val="00947A36"/>
    <w:rsid w:val="00947E6A"/>
    <w:rsid w:val="0095053D"/>
    <w:rsid w:val="00951EE2"/>
    <w:rsid w:val="0096224A"/>
    <w:rsid w:val="00962696"/>
    <w:rsid w:val="00962910"/>
    <w:rsid w:val="009633D6"/>
    <w:rsid w:val="00963C89"/>
    <w:rsid w:val="00967E01"/>
    <w:rsid w:val="00970BE4"/>
    <w:rsid w:val="00970BF4"/>
    <w:rsid w:val="00971BC3"/>
    <w:rsid w:val="00973FBD"/>
    <w:rsid w:val="00974842"/>
    <w:rsid w:val="00976F20"/>
    <w:rsid w:val="009779AF"/>
    <w:rsid w:val="00982504"/>
    <w:rsid w:val="00982A28"/>
    <w:rsid w:val="00982A34"/>
    <w:rsid w:val="009832F9"/>
    <w:rsid w:val="00985F72"/>
    <w:rsid w:val="00986627"/>
    <w:rsid w:val="009867EC"/>
    <w:rsid w:val="009878BC"/>
    <w:rsid w:val="009901AE"/>
    <w:rsid w:val="00990348"/>
    <w:rsid w:val="0099221E"/>
    <w:rsid w:val="009938C7"/>
    <w:rsid w:val="00994019"/>
    <w:rsid w:val="009959CB"/>
    <w:rsid w:val="00995AA8"/>
    <w:rsid w:val="009974B2"/>
    <w:rsid w:val="009974BC"/>
    <w:rsid w:val="00997DA0"/>
    <w:rsid w:val="00997F95"/>
    <w:rsid w:val="009A6C23"/>
    <w:rsid w:val="009B0F63"/>
    <w:rsid w:val="009B159C"/>
    <w:rsid w:val="009B1C1E"/>
    <w:rsid w:val="009B33AE"/>
    <w:rsid w:val="009C0F78"/>
    <w:rsid w:val="009C1E33"/>
    <w:rsid w:val="009C242F"/>
    <w:rsid w:val="009C28C0"/>
    <w:rsid w:val="009C3C3D"/>
    <w:rsid w:val="009C3D70"/>
    <w:rsid w:val="009C55D4"/>
    <w:rsid w:val="009C6C6D"/>
    <w:rsid w:val="009C6E5A"/>
    <w:rsid w:val="009C70AE"/>
    <w:rsid w:val="009D06E1"/>
    <w:rsid w:val="009D1C07"/>
    <w:rsid w:val="009D1F5B"/>
    <w:rsid w:val="009D2699"/>
    <w:rsid w:val="009D3BF8"/>
    <w:rsid w:val="009D3E24"/>
    <w:rsid w:val="009D5655"/>
    <w:rsid w:val="009D5FD6"/>
    <w:rsid w:val="009D6CD5"/>
    <w:rsid w:val="009D73F2"/>
    <w:rsid w:val="009E0026"/>
    <w:rsid w:val="009E0B7C"/>
    <w:rsid w:val="009E3491"/>
    <w:rsid w:val="009E47C6"/>
    <w:rsid w:val="009E5BB4"/>
    <w:rsid w:val="009F0755"/>
    <w:rsid w:val="009F3E8B"/>
    <w:rsid w:val="009F5ACD"/>
    <w:rsid w:val="009F6BF8"/>
    <w:rsid w:val="00A0412F"/>
    <w:rsid w:val="00A069CD"/>
    <w:rsid w:val="00A06C95"/>
    <w:rsid w:val="00A1004F"/>
    <w:rsid w:val="00A1080F"/>
    <w:rsid w:val="00A109F2"/>
    <w:rsid w:val="00A122A9"/>
    <w:rsid w:val="00A13BFA"/>
    <w:rsid w:val="00A13EB5"/>
    <w:rsid w:val="00A148CE"/>
    <w:rsid w:val="00A16FFE"/>
    <w:rsid w:val="00A20BB5"/>
    <w:rsid w:val="00A21B64"/>
    <w:rsid w:val="00A246ED"/>
    <w:rsid w:val="00A26502"/>
    <w:rsid w:val="00A27FFB"/>
    <w:rsid w:val="00A31496"/>
    <w:rsid w:val="00A3190F"/>
    <w:rsid w:val="00A3339B"/>
    <w:rsid w:val="00A33D49"/>
    <w:rsid w:val="00A34085"/>
    <w:rsid w:val="00A34174"/>
    <w:rsid w:val="00A35825"/>
    <w:rsid w:val="00A35DB2"/>
    <w:rsid w:val="00A4124E"/>
    <w:rsid w:val="00A417E9"/>
    <w:rsid w:val="00A41B54"/>
    <w:rsid w:val="00A42025"/>
    <w:rsid w:val="00A42495"/>
    <w:rsid w:val="00A42824"/>
    <w:rsid w:val="00A428AA"/>
    <w:rsid w:val="00A4402D"/>
    <w:rsid w:val="00A46B58"/>
    <w:rsid w:val="00A46C53"/>
    <w:rsid w:val="00A47927"/>
    <w:rsid w:val="00A52797"/>
    <w:rsid w:val="00A542D0"/>
    <w:rsid w:val="00A55C9C"/>
    <w:rsid w:val="00A560CC"/>
    <w:rsid w:val="00A57535"/>
    <w:rsid w:val="00A62A0E"/>
    <w:rsid w:val="00A63385"/>
    <w:rsid w:val="00A63404"/>
    <w:rsid w:val="00A63F49"/>
    <w:rsid w:val="00A67D91"/>
    <w:rsid w:val="00A75DA2"/>
    <w:rsid w:val="00A75ED9"/>
    <w:rsid w:val="00A7695B"/>
    <w:rsid w:val="00A803D9"/>
    <w:rsid w:val="00A81ABF"/>
    <w:rsid w:val="00A82011"/>
    <w:rsid w:val="00A821DB"/>
    <w:rsid w:val="00A82966"/>
    <w:rsid w:val="00A8301E"/>
    <w:rsid w:val="00A836D4"/>
    <w:rsid w:val="00A83868"/>
    <w:rsid w:val="00A83C1D"/>
    <w:rsid w:val="00A8497B"/>
    <w:rsid w:val="00A84BAC"/>
    <w:rsid w:val="00A86793"/>
    <w:rsid w:val="00A913F3"/>
    <w:rsid w:val="00A920CD"/>
    <w:rsid w:val="00A94F5A"/>
    <w:rsid w:val="00AA2704"/>
    <w:rsid w:val="00AA3E63"/>
    <w:rsid w:val="00AA41A1"/>
    <w:rsid w:val="00AA41C8"/>
    <w:rsid w:val="00AA45FD"/>
    <w:rsid w:val="00AA4A87"/>
    <w:rsid w:val="00AA7B19"/>
    <w:rsid w:val="00AB2E12"/>
    <w:rsid w:val="00AB48C0"/>
    <w:rsid w:val="00AB7268"/>
    <w:rsid w:val="00AB7614"/>
    <w:rsid w:val="00AC08AD"/>
    <w:rsid w:val="00AC1912"/>
    <w:rsid w:val="00AC1CC5"/>
    <w:rsid w:val="00AC1D49"/>
    <w:rsid w:val="00AC225D"/>
    <w:rsid w:val="00AC455B"/>
    <w:rsid w:val="00AC47CB"/>
    <w:rsid w:val="00AC6E76"/>
    <w:rsid w:val="00AC7714"/>
    <w:rsid w:val="00AD1084"/>
    <w:rsid w:val="00AD16CC"/>
    <w:rsid w:val="00AD2186"/>
    <w:rsid w:val="00AD2803"/>
    <w:rsid w:val="00AD3CC2"/>
    <w:rsid w:val="00AD42B3"/>
    <w:rsid w:val="00AD4694"/>
    <w:rsid w:val="00AD6971"/>
    <w:rsid w:val="00AD6E4F"/>
    <w:rsid w:val="00AD7821"/>
    <w:rsid w:val="00AE03E8"/>
    <w:rsid w:val="00AF3407"/>
    <w:rsid w:val="00AF3BAE"/>
    <w:rsid w:val="00AF4386"/>
    <w:rsid w:val="00AF5D3B"/>
    <w:rsid w:val="00AF77AE"/>
    <w:rsid w:val="00B015C5"/>
    <w:rsid w:val="00B01662"/>
    <w:rsid w:val="00B03AC5"/>
    <w:rsid w:val="00B0614E"/>
    <w:rsid w:val="00B075C8"/>
    <w:rsid w:val="00B0793F"/>
    <w:rsid w:val="00B10676"/>
    <w:rsid w:val="00B127CE"/>
    <w:rsid w:val="00B12AD1"/>
    <w:rsid w:val="00B13632"/>
    <w:rsid w:val="00B165D4"/>
    <w:rsid w:val="00B165D9"/>
    <w:rsid w:val="00B166B1"/>
    <w:rsid w:val="00B17564"/>
    <w:rsid w:val="00B201ED"/>
    <w:rsid w:val="00B204CB"/>
    <w:rsid w:val="00B22141"/>
    <w:rsid w:val="00B23078"/>
    <w:rsid w:val="00B243F4"/>
    <w:rsid w:val="00B24490"/>
    <w:rsid w:val="00B2452B"/>
    <w:rsid w:val="00B25AEB"/>
    <w:rsid w:val="00B26860"/>
    <w:rsid w:val="00B271F9"/>
    <w:rsid w:val="00B2757D"/>
    <w:rsid w:val="00B31151"/>
    <w:rsid w:val="00B31BDE"/>
    <w:rsid w:val="00B332BA"/>
    <w:rsid w:val="00B36BB5"/>
    <w:rsid w:val="00B36C8C"/>
    <w:rsid w:val="00B371B2"/>
    <w:rsid w:val="00B47239"/>
    <w:rsid w:val="00B5043C"/>
    <w:rsid w:val="00B50793"/>
    <w:rsid w:val="00B52755"/>
    <w:rsid w:val="00B52EDA"/>
    <w:rsid w:val="00B5516F"/>
    <w:rsid w:val="00B55F0F"/>
    <w:rsid w:val="00B623B4"/>
    <w:rsid w:val="00B64308"/>
    <w:rsid w:val="00B64BF8"/>
    <w:rsid w:val="00B66044"/>
    <w:rsid w:val="00B6765B"/>
    <w:rsid w:val="00B700CC"/>
    <w:rsid w:val="00B71950"/>
    <w:rsid w:val="00B72CE7"/>
    <w:rsid w:val="00B74563"/>
    <w:rsid w:val="00B75E68"/>
    <w:rsid w:val="00B814E5"/>
    <w:rsid w:val="00B83186"/>
    <w:rsid w:val="00B84467"/>
    <w:rsid w:val="00B8455E"/>
    <w:rsid w:val="00B84A07"/>
    <w:rsid w:val="00B854FF"/>
    <w:rsid w:val="00B8643D"/>
    <w:rsid w:val="00B87154"/>
    <w:rsid w:val="00B874FE"/>
    <w:rsid w:val="00B87AEF"/>
    <w:rsid w:val="00B87BAD"/>
    <w:rsid w:val="00B95B66"/>
    <w:rsid w:val="00B960E1"/>
    <w:rsid w:val="00B97561"/>
    <w:rsid w:val="00BA1C6B"/>
    <w:rsid w:val="00BA27DD"/>
    <w:rsid w:val="00BA2D48"/>
    <w:rsid w:val="00BA2D4A"/>
    <w:rsid w:val="00BA3EBA"/>
    <w:rsid w:val="00BA483E"/>
    <w:rsid w:val="00BA511E"/>
    <w:rsid w:val="00BB14D1"/>
    <w:rsid w:val="00BB1827"/>
    <w:rsid w:val="00BB34AB"/>
    <w:rsid w:val="00BB3EFA"/>
    <w:rsid w:val="00BB5090"/>
    <w:rsid w:val="00BB7F05"/>
    <w:rsid w:val="00BC10FA"/>
    <w:rsid w:val="00BC129B"/>
    <w:rsid w:val="00BC2100"/>
    <w:rsid w:val="00BC2155"/>
    <w:rsid w:val="00BC26DE"/>
    <w:rsid w:val="00BC352A"/>
    <w:rsid w:val="00BC3F98"/>
    <w:rsid w:val="00BC4226"/>
    <w:rsid w:val="00BC4B1A"/>
    <w:rsid w:val="00BC6F1A"/>
    <w:rsid w:val="00BC79E1"/>
    <w:rsid w:val="00BD1370"/>
    <w:rsid w:val="00BD1CE7"/>
    <w:rsid w:val="00BD24CB"/>
    <w:rsid w:val="00BD2E2C"/>
    <w:rsid w:val="00BD4559"/>
    <w:rsid w:val="00BD46C9"/>
    <w:rsid w:val="00BD6BE2"/>
    <w:rsid w:val="00BE0F00"/>
    <w:rsid w:val="00BE1C0F"/>
    <w:rsid w:val="00BE6758"/>
    <w:rsid w:val="00BE6DAC"/>
    <w:rsid w:val="00BE787A"/>
    <w:rsid w:val="00BF1A1D"/>
    <w:rsid w:val="00BF1F21"/>
    <w:rsid w:val="00BF20B3"/>
    <w:rsid w:val="00BF2432"/>
    <w:rsid w:val="00BF3AE6"/>
    <w:rsid w:val="00BF3D27"/>
    <w:rsid w:val="00BF49F1"/>
    <w:rsid w:val="00BF66D8"/>
    <w:rsid w:val="00BF7002"/>
    <w:rsid w:val="00C00770"/>
    <w:rsid w:val="00C03EC1"/>
    <w:rsid w:val="00C060CA"/>
    <w:rsid w:val="00C06DC1"/>
    <w:rsid w:val="00C138CC"/>
    <w:rsid w:val="00C14266"/>
    <w:rsid w:val="00C144A3"/>
    <w:rsid w:val="00C1593D"/>
    <w:rsid w:val="00C17591"/>
    <w:rsid w:val="00C20E17"/>
    <w:rsid w:val="00C21F69"/>
    <w:rsid w:val="00C22211"/>
    <w:rsid w:val="00C2254C"/>
    <w:rsid w:val="00C22F76"/>
    <w:rsid w:val="00C23971"/>
    <w:rsid w:val="00C260BB"/>
    <w:rsid w:val="00C2701B"/>
    <w:rsid w:val="00C35376"/>
    <w:rsid w:val="00C374BF"/>
    <w:rsid w:val="00C40249"/>
    <w:rsid w:val="00C4080F"/>
    <w:rsid w:val="00C40B1B"/>
    <w:rsid w:val="00C42554"/>
    <w:rsid w:val="00C4327D"/>
    <w:rsid w:val="00C4637F"/>
    <w:rsid w:val="00C46818"/>
    <w:rsid w:val="00C50494"/>
    <w:rsid w:val="00C50AFC"/>
    <w:rsid w:val="00C51BDB"/>
    <w:rsid w:val="00C520E8"/>
    <w:rsid w:val="00C52271"/>
    <w:rsid w:val="00C52C9B"/>
    <w:rsid w:val="00C53E6B"/>
    <w:rsid w:val="00C53FFF"/>
    <w:rsid w:val="00C540D6"/>
    <w:rsid w:val="00C55CEF"/>
    <w:rsid w:val="00C616E7"/>
    <w:rsid w:val="00C63691"/>
    <w:rsid w:val="00C63AD2"/>
    <w:rsid w:val="00C6400B"/>
    <w:rsid w:val="00C641C9"/>
    <w:rsid w:val="00C66B31"/>
    <w:rsid w:val="00C67DAA"/>
    <w:rsid w:val="00C70366"/>
    <w:rsid w:val="00C714CF"/>
    <w:rsid w:val="00C71782"/>
    <w:rsid w:val="00C71866"/>
    <w:rsid w:val="00C73630"/>
    <w:rsid w:val="00C73CC3"/>
    <w:rsid w:val="00C74017"/>
    <w:rsid w:val="00C7679B"/>
    <w:rsid w:val="00C80406"/>
    <w:rsid w:val="00C80B9B"/>
    <w:rsid w:val="00C8186A"/>
    <w:rsid w:val="00C81C23"/>
    <w:rsid w:val="00C81FB8"/>
    <w:rsid w:val="00C8364C"/>
    <w:rsid w:val="00C83D3C"/>
    <w:rsid w:val="00C8532F"/>
    <w:rsid w:val="00C860C1"/>
    <w:rsid w:val="00C860C2"/>
    <w:rsid w:val="00C9017F"/>
    <w:rsid w:val="00C90979"/>
    <w:rsid w:val="00C94771"/>
    <w:rsid w:val="00C961CA"/>
    <w:rsid w:val="00CA214F"/>
    <w:rsid w:val="00CA28EC"/>
    <w:rsid w:val="00CA28F7"/>
    <w:rsid w:val="00CA2DA2"/>
    <w:rsid w:val="00CA31DC"/>
    <w:rsid w:val="00CA402A"/>
    <w:rsid w:val="00CA6373"/>
    <w:rsid w:val="00CA6D7C"/>
    <w:rsid w:val="00CB0EA3"/>
    <w:rsid w:val="00CB1865"/>
    <w:rsid w:val="00CB3BB5"/>
    <w:rsid w:val="00CB42AB"/>
    <w:rsid w:val="00CB699B"/>
    <w:rsid w:val="00CB7CCC"/>
    <w:rsid w:val="00CB7F1B"/>
    <w:rsid w:val="00CC2A19"/>
    <w:rsid w:val="00CC3A5F"/>
    <w:rsid w:val="00CC6DE0"/>
    <w:rsid w:val="00CC7175"/>
    <w:rsid w:val="00CC71DF"/>
    <w:rsid w:val="00CD0090"/>
    <w:rsid w:val="00CD4E03"/>
    <w:rsid w:val="00CD630A"/>
    <w:rsid w:val="00CD6747"/>
    <w:rsid w:val="00CD7A4A"/>
    <w:rsid w:val="00CD7F10"/>
    <w:rsid w:val="00CE1D63"/>
    <w:rsid w:val="00CE33CA"/>
    <w:rsid w:val="00CE382D"/>
    <w:rsid w:val="00CE48FE"/>
    <w:rsid w:val="00CE5B57"/>
    <w:rsid w:val="00CE79EE"/>
    <w:rsid w:val="00CF055B"/>
    <w:rsid w:val="00CF0951"/>
    <w:rsid w:val="00CF3477"/>
    <w:rsid w:val="00CF7925"/>
    <w:rsid w:val="00CF7F90"/>
    <w:rsid w:val="00D03E8C"/>
    <w:rsid w:val="00D06D17"/>
    <w:rsid w:val="00D06D52"/>
    <w:rsid w:val="00D0719A"/>
    <w:rsid w:val="00D076A6"/>
    <w:rsid w:val="00D07C80"/>
    <w:rsid w:val="00D10704"/>
    <w:rsid w:val="00D10B20"/>
    <w:rsid w:val="00D12164"/>
    <w:rsid w:val="00D12D5F"/>
    <w:rsid w:val="00D1393D"/>
    <w:rsid w:val="00D13B73"/>
    <w:rsid w:val="00D174D7"/>
    <w:rsid w:val="00D17874"/>
    <w:rsid w:val="00D17C59"/>
    <w:rsid w:val="00D203D7"/>
    <w:rsid w:val="00D21F46"/>
    <w:rsid w:val="00D21FF5"/>
    <w:rsid w:val="00D246B7"/>
    <w:rsid w:val="00D24AFF"/>
    <w:rsid w:val="00D25E56"/>
    <w:rsid w:val="00D27999"/>
    <w:rsid w:val="00D34EF6"/>
    <w:rsid w:val="00D35388"/>
    <w:rsid w:val="00D35B2B"/>
    <w:rsid w:val="00D364A5"/>
    <w:rsid w:val="00D364D9"/>
    <w:rsid w:val="00D36989"/>
    <w:rsid w:val="00D3732A"/>
    <w:rsid w:val="00D37A8D"/>
    <w:rsid w:val="00D404FA"/>
    <w:rsid w:val="00D40CF8"/>
    <w:rsid w:val="00D41BC4"/>
    <w:rsid w:val="00D43DD6"/>
    <w:rsid w:val="00D44717"/>
    <w:rsid w:val="00D4491F"/>
    <w:rsid w:val="00D44EA4"/>
    <w:rsid w:val="00D4719E"/>
    <w:rsid w:val="00D47B65"/>
    <w:rsid w:val="00D47DB8"/>
    <w:rsid w:val="00D50D61"/>
    <w:rsid w:val="00D51607"/>
    <w:rsid w:val="00D51EFF"/>
    <w:rsid w:val="00D55095"/>
    <w:rsid w:val="00D57337"/>
    <w:rsid w:val="00D60835"/>
    <w:rsid w:val="00D60E6D"/>
    <w:rsid w:val="00D60F3E"/>
    <w:rsid w:val="00D62449"/>
    <w:rsid w:val="00D633C8"/>
    <w:rsid w:val="00D65529"/>
    <w:rsid w:val="00D6587E"/>
    <w:rsid w:val="00D679CD"/>
    <w:rsid w:val="00D72351"/>
    <w:rsid w:val="00D74740"/>
    <w:rsid w:val="00D750D5"/>
    <w:rsid w:val="00D753B9"/>
    <w:rsid w:val="00D778D9"/>
    <w:rsid w:val="00D77CC5"/>
    <w:rsid w:val="00D80872"/>
    <w:rsid w:val="00D82DDD"/>
    <w:rsid w:val="00D85282"/>
    <w:rsid w:val="00D90904"/>
    <w:rsid w:val="00D927D3"/>
    <w:rsid w:val="00D92F01"/>
    <w:rsid w:val="00D937AB"/>
    <w:rsid w:val="00D95838"/>
    <w:rsid w:val="00D96688"/>
    <w:rsid w:val="00D973FB"/>
    <w:rsid w:val="00DA25B0"/>
    <w:rsid w:val="00DA31F7"/>
    <w:rsid w:val="00DA33FB"/>
    <w:rsid w:val="00DA3F6C"/>
    <w:rsid w:val="00DA4157"/>
    <w:rsid w:val="00DA5A7E"/>
    <w:rsid w:val="00DA5C62"/>
    <w:rsid w:val="00DB040F"/>
    <w:rsid w:val="00DB2027"/>
    <w:rsid w:val="00DB22FE"/>
    <w:rsid w:val="00DB32B7"/>
    <w:rsid w:val="00DB3BCB"/>
    <w:rsid w:val="00DB5932"/>
    <w:rsid w:val="00DB67F2"/>
    <w:rsid w:val="00DB7431"/>
    <w:rsid w:val="00DB7EA6"/>
    <w:rsid w:val="00DC199E"/>
    <w:rsid w:val="00DC2C71"/>
    <w:rsid w:val="00DC3527"/>
    <w:rsid w:val="00DC52F0"/>
    <w:rsid w:val="00DD6455"/>
    <w:rsid w:val="00DE02F3"/>
    <w:rsid w:val="00DE0E3C"/>
    <w:rsid w:val="00DE1738"/>
    <w:rsid w:val="00DE30F3"/>
    <w:rsid w:val="00DE475B"/>
    <w:rsid w:val="00DE5BAB"/>
    <w:rsid w:val="00DF0128"/>
    <w:rsid w:val="00DF0925"/>
    <w:rsid w:val="00DF1598"/>
    <w:rsid w:val="00DF23E5"/>
    <w:rsid w:val="00DF24E6"/>
    <w:rsid w:val="00DF3387"/>
    <w:rsid w:val="00DF6949"/>
    <w:rsid w:val="00DF69B2"/>
    <w:rsid w:val="00E026C4"/>
    <w:rsid w:val="00E037F4"/>
    <w:rsid w:val="00E03B32"/>
    <w:rsid w:val="00E06B2C"/>
    <w:rsid w:val="00E07137"/>
    <w:rsid w:val="00E079EC"/>
    <w:rsid w:val="00E101E1"/>
    <w:rsid w:val="00E111F7"/>
    <w:rsid w:val="00E14CF5"/>
    <w:rsid w:val="00E14F7B"/>
    <w:rsid w:val="00E150C2"/>
    <w:rsid w:val="00E15E5E"/>
    <w:rsid w:val="00E16A2B"/>
    <w:rsid w:val="00E1742A"/>
    <w:rsid w:val="00E202FB"/>
    <w:rsid w:val="00E220D0"/>
    <w:rsid w:val="00E2376F"/>
    <w:rsid w:val="00E242E2"/>
    <w:rsid w:val="00E243D0"/>
    <w:rsid w:val="00E310CE"/>
    <w:rsid w:val="00E3264A"/>
    <w:rsid w:val="00E358A8"/>
    <w:rsid w:val="00E358D9"/>
    <w:rsid w:val="00E35C83"/>
    <w:rsid w:val="00E36D87"/>
    <w:rsid w:val="00E379FF"/>
    <w:rsid w:val="00E40D3F"/>
    <w:rsid w:val="00E4294E"/>
    <w:rsid w:val="00E436E5"/>
    <w:rsid w:val="00E445C1"/>
    <w:rsid w:val="00E44C56"/>
    <w:rsid w:val="00E44F28"/>
    <w:rsid w:val="00E4554B"/>
    <w:rsid w:val="00E4753A"/>
    <w:rsid w:val="00E4774F"/>
    <w:rsid w:val="00E47E2A"/>
    <w:rsid w:val="00E509A4"/>
    <w:rsid w:val="00E50CEF"/>
    <w:rsid w:val="00E51940"/>
    <w:rsid w:val="00E51C37"/>
    <w:rsid w:val="00E54DC2"/>
    <w:rsid w:val="00E564ED"/>
    <w:rsid w:val="00E61B08"/>
    <w:rsid w:val="00E61ECB"/>
    <w:rsid w:val="00E630A4"/>
    <w:rsid w:val="00E64C02"/>
    <w:rsid w:val="00E65542"/>
    <w:rsid w:val="00E6555F"/>
    <w:rsid w:val="00E66816"/>
    <w:rsid w:val="00E704E8"/>
    <w:rsid w:val="00E71831"/>
    <w:rsid w:val="00E73ED7"/>
    <w:rsid w:val="00E74449"/>
    <w:rsid w:val="00E746D4"/>
    <w:rsid w:val="00E756FD"/>
    <w:rsid w:val="00E7732C"/>
    <w:rsid w:val="00E779F2"/>
    <w:rsid w:val="00E82061"/>
    <w:rsid w:val="00E85A5D"/>
    <w:rsid w:val="00E85EE5"/>
    <w:rsid w:val="00E87471"/>
    <w:rsid w:val="00E913F6"/>
    <w:rsid w:val="00E923D0"/>
    <w:rsid w:val="00E93987"/>
    <w:rsid w:val="00E94332"/>
    <w:rsid w:val="00E96AC0"/>
    <w:rsid w:val="00E9724C"/>
    <w:rsid w:val="00E975B5"/>
    <w:rsid w:val="00EA0894"/>
    <w:rsid w:val="00EA09D8"/>
    <w:rsid w:val="00EA272C"/>
    <w:rsid w:val="00EA3883"/>
    <w:rsid w:val="00EA4E04"/>
    <w:rsid w:val="00EA6C33"/>
    <w:rsid w:val="00EA7851"/>
    <w:rsid w:val="00EB03D6"/>
    <w:rsid w:val="00EB1D52"/>
    <w:rsid w:val="00EB272D"/>
    <w:rsid w:val="00EB2AA8"/>
    <w:rsid w:val="00EB35BA"/>
    <w:rsid w:val="00EB489F"/>
    <w:rsid w:val="00EB54C3"/>
    <w:rsid w:val="00EB55CC"/>
    <w:rsid w:val="00EB7162"/>
    <w:rsid w:val="00EC2B40"/>
    <w:rsid w:val="00EC522C"/>
    <w:rsid w:val="00EC5423"/>
    <w:rsid w:val="00EC559B"/>
    <w:rsid w:val="00ED1935"/>
    <w:rsid w:val="00ED2873"/>
    <w:rsid w:val="00ED297A"/>
    <w:rsid w:val="00ED3A22"/>
    <w:rsid w:val="00ED3F65"/>
    <w:rsid w:val="00ED42C6"/>
    <w:rsid w:val="00ED645A"/>
    <w:rsid w:val="00ED6A19"/>
    <w:rsid w:val="00EE031D"/>
    <w:rsid w:val="00EE05E3"/>
    <w:rsid w:val="00EE12B3"/>
    <w:rsid w:val="00EE20AB"/>
    <w:rsid w:val="00EE2708"/>
    <w:rsid w:val="00EE2E80"/>
    <w:rsid w:val="00EE38FD"/>
    <w:rsid w:val="00EE3BAB"/>
    <w:rsid w:val="00EE3F74"/>
    <w:rsid w:val="00EE6730"/>
    <w:rsid w:val="00EE7929"/>
    <w:rsid w:val="00EE7FB7"/>
    <w:rsid w:val="00EF0607"/>
    <w:rsid w:val="00EF104A"/>
    <w:rsid w:val="00EF1C44"/>
    <w:rsid w:val="00EF2603"/>
    <w:rsid w:val="00EF4C08"/>
    <w:rsid w:val="00EF4E25"/>
    <w:rsid w:val="00EF573F"/>
    <w:rsid w:val="00EF674B"/>
    <w:rsid w:val="00EF6CC4"/>
    <w:rsid w:val="00EF6E3F"/>
    <w:rsid w:val="00F013EE"/>
    <w:rsid w:val="00F053A8"/>
    <w:rsid w:val="00F05D58"/>
    <w:rsid w:val="00F07DCB"/>
    <w:rsid w:val="00F1217E"/>
    <w:rsid w:val="00F13741"/>
    <w:rsid w:val="00F1379A"/>
    <w:rsid w:val="00F14E9E"/>
    <w:rsid w:val="00F16887"/>
    <w:rsid w:val="00F20196"/>
    <w:rsid w:val="00F20582"/>
    <w:rsid w:val="00F2066D"/>
    <w:rsid w:val="00F20942"/>
    <w:rsid w:val="00F219F6"/>
    <w:rsid w:val="00F22A70"/>
    <w:rsid w:val="00F237B6"/>
    <w:rsid w:val="00F30B81"/>
    <w:rsid w:val="00F3458F"/>
    <w:rsid w:val="00F34FEB"/>
    <w:rsid w:val="00F3573D"/>
    <w:rsid w:val="00F36CCE"/>
    <w:rsid w:val="00F3735C"/>
    <w:rsid w:val="00F44A1D"/>
    <w:rsid w:val="00F4505D"/>
    <w:rsid w:val="00F45CD1"/>
    <w:rsid w:val="00F4623D"/>
    <w:rsid w:val="00F47ADC"/>
    <w:rsid w:val="00F51F44"/>
    <w:rsid w:val="00F52754"/>
    <w:rsid w:val="00F567E7"/>
    <w:rsid w:val="00F60C16"/>
    <w:rsid w:val="00F62604"/>
    <w:rsid w:val="00F6562F"/>
    <w:rsid w:val="00F66B3A"/>
    <w:rsid w:val="00F729E2"/>
    <w:rsid w:val="00F73561"/>
    <w:rsid w:val="00F7391A"/>
    <w:rsid w:val="00F739EB"/>
    <w:rsid w:val="00F8207C"/>
    <w:rsid w:val="00F82616"/>
    <w:rsid w:val="00F839BE"/>
    <w:rsid w:val="00F84E11"/>
    <w:rsid w:val="00F85B33"/>
    <w:rsid w:val="00F87268"/>
    <w:rsid w:val="00F87C74"/>
    <w:rsid w:val="00F9301C"/>
    <w:rsid w:val="00F9442F"/>
    <w:rsid w:val="00F94C58"/>
    <w:rsid w:val="00F9624A"/>
    <w:rsid w:val="00F97664"/>
    <w:rsid w:val="00F97F7B"/>
    <w:rsid w:val="00FA0088"/>
    <w:rsid w:val="00FA4C7A"/>
    <w:rsid w:val="00FA4FD3"/>
    <w:rsid w:val="00FB1B22"/>
    <w:rsid w:val="00FB6F7D"/>
    <w:rsid w:val="00FC0728"/>
    <w:rsid w:val="00FC44E2"/>
    <w:rsid w:val="00FC492D"/>
    <w:rsid w:val="00FC4C4A"/>
    <w:rsid w:val="00FD0B2E"/>
    <w:rsid w:val="00FD1FEA"/>
    <w:rsid w:val="00FD2715"/>
    <w:rsid w:val="00FD3735"/>
    <w:rsid w:val="00FD7A57"/>
    <w:rsid w:val="00FE293E"/>
    <w:rsid w:val="00FE2A60"/>
    <w:rsid w:val="00FE4924"/>
    <w:rsid w:val="00FE6030"/>
    <w:rsid w:val="00FE6156"/>
    <w:rsid w:val="00FE756D"/>
    <w:rsid w:val="00FF1E44"/>
    <w:rsid w:val="00FF24CA"/>
    <w:rsid w:val="00FF30EB"/>
    <w:rsid w:val="00FF33A5"/>
    <w:rsid w:val="00FF4390"/>
    <w:rsid w:val="00FF4FBA"/>
    <w:rsid w:val="00FF6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8D7451E"/>
  <w15:docId w15:val="{9E52CFEB-C5B1-4A0F-9B3C-BE844E2B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A3F6C"/>
    <w:rPr>
      <w:rFonts w:ascii="Calibri" w:eastAsia="Calibri" w:hAnsi="Calibri" w:cs="Calibri"/>
      <w:lang w:val="en-GB" w:eastAsia="en-GB" w:bidi="en-GB"/>
    </w:rPr>
  </w:style>
  <w:style w:type="paragraph" w:styleId="Heading1">
    <w:name w:val="heading 1"/>
    <w:basedOn w:val="Normal"/>
    <w:link w:val="Heading1Char"/>
    <w:uiPriority w:val="9"/>
    <w:qFormat/>
    <w:pPr>
      <w:ind w:left="20"/>
      <w:outlineLvl w:val="0"/>
    </w:pPr>
    <w:rPr>
      <w:b/>
      <w:bCs/>
      <w:sz w:val="20"/>
      <w:szCs w:val="20"/>
    </w:rPr>
  </w:style>
  <w:style w:type="paragraph" w:styleId="Heading2">
    <w:name w:val="heading 2"/>
    <w:basedOn w:val="Normal"/>
    <w:link w:val="Heading2Char"/>
    <w:uiPriority w:val="9"/>
    <w:unhideWhenUsed/>
    <w:qFormat/>
    <w:rsid w:val="00915451"/>
    <w:pPr>
      <w:numPr>
        <w:numId w:val="67"/>
      </w:numPr>
      <w:tabs>
        <w:tab w:val="left" w:pos="567"/>
      </w:tabs>
      <w:spacing w:before="64"/>
      <w:outlineLvl w:val="1"/>
    </w:pPr>
    <w:rPr>
      <w:b/>
      <w:bCs/>
      <w:sz w:val="18"/>
      <w:szCs w:val="18"/>
    </w:rPr>
  </w:style>
  <w:style w:type="paragraph" w:styleId="Heading3">
    <w:name w:val="heading 3"/>
    <w:basedOn w:val="Normal"/>
    <w:uiPriority w:val="9"/>
    <w:unhideWhenUsed/>
    <w:qFormat/>
    <w:pPr>
      <w:spacing w:before="18"/>
      <w:ind w:left="560"/>
      <w:outlineLvl w:val="2"/>
    </w:pPr>
    <w:rPr>
      <w:b/>
      <w:bCs/>
      <w:i/>
      <w:sz w:val="18"/>
      <w:szCs w:val="18"/>
    </w:rPr>
  </w:style>
  <w:style w:type="paragraph" w:styleId="Heading4">
    <w:name w:val="heading 4"/>
    <w:basedOn w:val="Normal"/>
    <w:next w:val="Normal"/>
    <w:link w:val="Heading4Char"/>
    <w:uiPriority w:val="9"/>
    <w:semiHidden/>
    <w:unhideWhenUsed/>
    <w:qFormat/>
    <w:rsid w:val="00B8455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8455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8455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8455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8455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8455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01C"/>
    <w:rPr>
      <w:rFonts w:ascii="Calibri" w:eastAsia="Calibri" w:hAnsi="Calibri" w:cs="Calibri"/>
      <w:b/>
      <w:bCs/>
      <w:sz w:val="20"/>
      <w:szCs w:val="20"/>
      <w:lang w:val="en-GB" w:eastAsia="en-GB" w:bidi="en-GB"/>
    </w:rPr>
  </w:style>
  <w:style w:type="character" w:customStyle="1" w:styleId="Heading2Char">
    <w:name w:val="Heading 2 Char"/>
    <w:basedOn w:val="DefaultParagraphFont"/>
    <w:link w:val="Heading2"/>
    <w:uiPriority w:val="9"/>
    <w:rsid w:val="00915451"/>
    <w:rPr>
      <w:rFonts w:ascii="Calibri" w:eastAsia="Calibri" w:hAnsi="Calibri" w:cs="Calibri"/>
      <w:b/>
      <w:bCs/>
      <w:sz w:val="18"/>
      <w:szCs w:val="18"/>
      <w:lang w:val="en-GB" w:eastAsia="en-GB" w:bidi="en-GB"/>
    </w:rPr>
  </w:style>
  <w:style w:type="paragraph" w:styleId="BodyText">
    <w:name w:val="Body Text"/>
    <w:basedOn w:val="Normal"/>
    <w:link w:val="BodyTextChar"/>
    <w:uiPriority w:val="1"/>
    <w:qFormat/>
    <w:rsid w:val="00B204CB"/>
    <w:pPr>
      <w:spacing w:before="4"/>
    </w:pPr>
    <w:rPr>
      <w:rFonts w:asciiTheme="minorHAnsi" w:hAnsiTheme="minorHAnsi" w:cstheme="minorHAnsi"/>
      <w:sz w:val="18"/>
      <w:szCs w:val="18"/>
    </w:rPr>
  </w:style>
  <w:style w:type="character" w:customStyle="1" w:styleId="BodyTextChar">
    <w:name w:val="Body Text Char"/>
    <w:basedOn w:val="DefaultParagraphFont"/>
    <w:link w:val="BodyText"/>
    <w:uiPriority w:val="1"/>
    <w:rsid w:val="00B204CB"/>
    <w:rPr>
      <w:rFonts w:eastAsia="Calibri" w:cstheme="minorHAnsi"/>
      <w:sz w:val="18"/>
      <w:szCs w:val="18"/>
      <w:lang w:val="en-GB" w:eastAsia="en-GB" w:bidi="en-GB"/>
    </w:rPr>
  </w:style>
  <w:style w:type="paragraph" w:styleId="ListParagraph">
    <w:name w:val="List Paragraph"/>
    <w:basedOn w:val="Normal"/>
    <w:link w:val="ListParagraphChar"/>
    <w:uiPriority w:val="34"/>
    <w:qFormat/>
    <w:pPr>
      <w:ind w:left="920" w:hanging="720"/>
    </w:pPr>
  </w:style>
  <w:style w:type="character" w:customStyle="1" w:styleId="ListParagraphChar">
    <w:name w:val="List Paragraph Char"/>
    <w:basedOn w:val="DefaultParagraphFont"/>
    <w:link w:val="ListParagraph"/>
    <w:uiPriority w:val="34"/>
    <w:rsid w:val="00081EB2"/>
    <w:rPr>
      <w:rFonts w:ascii="Calibri" w:eastAsia="Calibri" w:hAnsi="Calibri" w:cs="Calibri"/>
      <w:lang w:val="en-GB" w:eastAsia="en-GB" w:bidi="en-GB"/>
    </w:r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6C4E75"/>
    <w:pPr>
      <w:tabs>
        <w:tab w:val="center" w:pos="4513"/>
        <w:tab w:val="right" w:pos="9026"/>
      </w:tabs>
    </w:pPr>
  </w:style>
  <w:style w:type="character" w:customStyle="1" w:styleId="FooterChar">
    <w:name w:val="Footer Char"/>
    <w:basedOn w:val="DefaultParagraphFont"/>
    <w:link w:val="Footer"/>
    <w:uiPriority w:val="99"/>
    <w:rsid w:val="006C4E75"/>
    <w:rPr>
      <w:rFonts w:ascii="Calibri" w:eastAsia="Calibri" w:hAnsi="Calibri" w:cs="Calibri"/>
      <w:lang w:val="en-GB" w:eastAsia="en-GB" w:bidi="en-GB"/>
    </w:rPr>
  </w:style>
  <w:style w:type="paragraph" w:styleId="Header">
    <w:name w:val="header"/>
    <w:basedOn w:val="Normal"/>
    <w:link w:val="HeaderChar"/>
    <w:unhideWhenUsed/>
    <w:rsid w:val="006C4E75"/>
    <w:pPr>
      <w:tabs>
        <w:tab w:val="center" w:pos="4513"/>
        <w:tab w:val="right" w:pos="9026"/>
      </w:tabs>
    </w:pPr>
  </w:style>
  <w:style w:type="character" w:customStyle="1" w:styleId="HeaderChar">
    <w:name w:val="Header Char"/>
    <w:basedOn w:val="DefaultParagraphFont"/>
    <w:link w:val="Header"/>
    <w:rsid w:val="006C4E75"/>
    <w:rPr>
      <w:rFonts w:ascii="Calibri" w:eastAsia="Calibri" w:hAnsi="Calibri" w:cs="Calibri"/>
      <w:lang w:val="en-GB" w:eastAsia="en-GB" w:bidi="en-GB"/>
    </w:rPr>
  </w:style>
  <w:style w:type="table" w:styleId="TableGrid">
    <w:name w:val="Table Grid"/>
    <w:basedOn w:val="TableNormal"/>
    <w:uiPriority w:val="99"/>
    <w:rsid w:val="00DF3387"/>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aliases w:val="Table Col Head,T1"/>
    <w:basedOn w:val="Normal"/>
    <w:next w:val="Normal"/>
    <w:link w:val="SubtitleChar"/>
    <w:uiPriority w:val="11"/>
    <w:qFormat/>
    <w:rsid w:val="007A1897"/>
    <w:pPr>
      <w:widowControl/>
      <w:autoSpaceDE/>
      <w:autoSpaceDN/>
      <w:jc w:val="right"/>
    </w:pPr>
    <w:rPr>
      <w:rFonts w:asciiTheme="minorHAnsi" w:eastAsiaTheme="minorHAnsi" w:hAnsiTheme="minorHAnsi" w:cstheme="minorBidi"/>
      <w:b/>
      <w:sz w:val="18"/>
      <w:szCs w:val="18"/>
      <w:lang w:eastAsia="en-US" w:bidi="ar-SA"/>
    </w:rPr>
  </w:style>
  <w:style w:type="character" w:customStyle="1" w:styleId="SubtitleChar">
    <w:name w:val="Subtitle Char"/>
    <w:aliases w:val="Table Col Head Char,T1 Char"/>
    <w:basedOn w:val="DefaultParagraphFont"/>
    <w:link w:val="Subtitle"/>
    <w:uiPriority w:val="11"/>
    <w:rsid w:val="007A1897"/>
    <w:rPr>
      <w:b/>
      <w:sz w:val="18"/>
      <w:szCs w:val="18"/>
      <w:lang w:val="en-GB"/>
    </w:rPr>
  </w:style>
  <w:style w:type="paragraph" w:customStyle="1" w:styleId="T2">
    <w:name w:val="T2"/>
    <w:basedOn w:val="Subtitle"/>
    <w:link w:val="T2Char"/>
    <w:qFormat/>
    <w:rsid w:val="00D90904"/>
    <w:rPr>
      <w:b w:val="0"/>
    </w:rPr>
  </w:style>
  <w:style w:type="character" w:customStyle="1" w:styleId="T2Char">
    <w:name w:val="T2 Char"/>
    <w:basedOn w:val="SubtitleChar"/>
    <w:link w:val="T2"/>
    <w:rsid w:val="00D90904"/>
    <w:rPr>
      <w:b w:val="0"/>
      <w:sz w:val="18"/>
      <w:szCs w:val="18"/>
      <w:lang w:val="en-GB"/>
    </w:rPr>
  </w:style>
  <w:style w:type="table" w:customStyle="1" w:styleId="TableGrid1">
    <w:name w:val="Table Grid1"/>
    <w:basedOn w:val="TableNormal"/>
    <w:next w:val="TableGrid"/>
    <w:uiPriority w:val="39"/>
    <w:rsid w:val="003E4E6B"/>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Head">
    <w:name w:val="Table Row Head"/>
    <w:basedOn w:val="T2"/>
    <w:link w:val="TableRowHeadChar"/>
    <w:qFormat/>
    <w:rsid w:val="00006096"/>
    <w:pPr>
      <w:jc w:val="left"/>
    </w:pPr>
  </w:style>
  <w:style w:type="character" w:customStyle="1" w:styleId="TableRowHeadChar">
    <w:name w:val="Table Row Head Char"/>
    <w:basedOn w:val="T2Char"/>
    <w:link w:val="TableRowHead"/>
    <w:rsid w:val="00006096"/>
    <w:rPr>
      <w:b w:val="0"/>
      <w:sz w:val="18"/>
      <w:szCs w:val="18"/>
      <w:lang w:val="en-GB"/>
    </w:rPr>
  </w:style>
  <w:style w:type="paragraph" w:customStyle="1" w:styleId="TableComments">
    <w:name w:val="Table Comments"/>
    <w:basedOn w:val="Normal"/>
    <w:link w:val="TableCommentsChar"/>
    <w:qFormat/>
    <w:rsid w:val="00E310CE"/>
    <w:pPr>
      <w:ind w:left="307" w:right="738"/>
    </w:pPr>
    <w:rPr>
      <w:sz w:val="16"/>
    </w:rPr>
  </w:style>
  <w:style w:type="character" w:customStyle="1" w:styleId="TableCommentsChar">
    <w:name w:val="Table Comments Char"/>
    <w:basedOn w:val="T2Char"/>
    <w:link w:val="TableComments"/>
    <w:rsid w:val="00E310CE"/>
    <w:rPr>
      <w:rFonts w:ascii="Calibri" w:eastAsia="Calibri" w:hAnsi="Calibri" w:cs="Calibri"/>
      <w:b w:val="0"/>
      <w:sz w:val="16"/>
      <w:szCs w:val="18"/>
      <w:lang w:val="en-GB" w:eastAsia="en-GB" w:bidi="en-GB"/>
    </w:rPr>
  </w:style>
  <w:style w:type="character" w:styleId="CommentReference">
    <w:name w:val="annotation reference"/>
    <w:basedOn w:val="DefaultParagraphFont"/>
    <w:uiPriority w:val="99"/>
    <w:semiHidden/>
    <w:unhideWhenUsed/>
    <w:rsid w:val="006849E9"/>
    <w:rPr>
      <w:sz w:val="16"/>
      <w:szCs w:val="16"/>
    </w:rPr>
  </w:style>
  <w:style w:type="paragraph" w:styleId="CommentText">
    <w:name w:val="annotation text"/>
    <w:basedOn w:val="Normal"/>
    <w:link w:val="CommentTextChar"/>
    <w:uiPriority w:val="99"/>
    <w:semiHidden/>
    <w:unhideWhenUsed/>
    <w:rsid w:val="006849E9"/>
    <w:rPr>
      <w:sz w:val="20"/>
      <w:szCs w:val="20"/>
    </w:rPr>
  </w:style>
  <w:style w:type="character" w:customStyle="1" w:styleId="CommentTextChar">
    <w:name w:val="Comment Text Char"/>
    <w:basedOn w:val="DefaultParagraphFont"/>
    <w:link w:val="CommentText"/>
    <w:uiPriority w:val="99"/>
    <w:semiHidden/>
    <w:rsid w:val="006849E9"/>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6849E9"/>
    <w:rPr>
      <w:b/>
      <w:bCs/>
    </w:rPr>
  </w:style>
  <w:style w:type="character" w:customStyle="1" w:styleId="CommentSubjectChar">
    <w:name w:val="Comment Subject Char"/>
    <w:basedOn w:val="CommentTextChar"/>
    <w:link w:val="CommentSubject"/>
    <w:uiPriority w:val="99"/>
    <w:semiHidden/>
    <w:rsid w:val="006849E9"/>
    <w:rPr>
      <w:rFonts w:ascii="Calibri" w:eastAsia="Calibri" w:hAnsi="Calibri" w:cs="Calibri"/>
      <w:b/>
      <w:bCs/>
      <w:sz w:val="20"/>
      <w:szCs w:val="20"/>
      <w:lang w:val="en-GB" w:eastAsia="en-GB" w:bidi="en-GB"/>
    </w:rPr>
  </w:style>
  <w:style w:type="paragraph" w:styleId="BalloonText">
    <w:name w:val="Balloon Text"/>
    <w:basedOn w:val="Normal"/>
    <w:link w:val="BalloonTextChar"/>
    <w:uiPriority w:val="99"/>
    <w:semiHidden/>
    <w:unhideWhenUsed/>
    <w:rsid w:val="006849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9E9"/>
    <w:rPr>
      <w:rFonts w:ascii="Segoe UI" w:eastAsia="Calibri" w:hAnsi="Segoe UI" w:cs="Segoe UI"/>
      <w:sz w:val="18"/>
      <w:szCs w:val="18"/>
      <w:lang w:val="en-GB" w:eastAsia="en-GB" w:bidi="en-GB"/>
    </w:rPr>
  </w:style>
  <w:style w:type="paragraph" w:customStyle="1" w:styleId="Style1">
    <w:name w:val="Style1"/>
    <w:basedOn w:val="Heading2"/>
    <w:link w:val="Style1Char"/>
    <w:qFormat/>
    <w:rsid w:val="00915451"/>
    <w:pPr>
      <w:numPr>
        <w:numId w:val="0"/>
      </w:numPr>
    </w:pPr>
  </w:style>
  <w:style w:type="character" w:customStyle="1" w:styleId="Style1Char">
    <w:name w:val="Style1 Char"/>
    <w:basedOn w:val="Heading2Char"/>
    <w:link w:val="Style1"/>
    <w:rsid w:val="00915451"/>
    <w:rPr>
      <w:rFonts w:ascii="Calibri" w:eastAsia="Calibri" w:hAnsi="Calibri" w:cs="Calibri"/>
      <w:b/>
      <w:bCs/>
      <w:sz w:val="18"/>
      <w:szCs w:val="18"/>
      <w:lang w:val="en-GB" w:eastAsia="en-GB" w:bidi="en-GB"/>
    </w:rPr>
  </w:style>
  <w:style w:type="character" w:styleId="Strong">
    <w:name w:val="Strong"/>
    <w:basedOn w:val="DefaultParagraphFont"/>
    <w:uiPriority w:val="22"/>
    <w:qFormat/>
    <w:rsid w:val="00315FFC"/>
    <w:rPr>
      <w:b/>
      <w:bCs/>
    </w:rPr>
  </w:style>
  <w:style w:type="character" w:styleId="SubtleEmphasis">
    <w:name w:val="Subtle Emphasis"/>
    <w:aliases w:val="Table 2"/>
    <w:uiPriority w:val="19"/>
    <w:rsid w:val="00081EB2"/>
  </w:style>
  <w:style w:type="paragraph" w:customStyle="1" w:styleId="Paragraph">
    <w:name w:val="Paragraph"/>
    <w:basedOn w:val="Normal"/>
    <w:link w:val="ParagraphChar"/>
    <w:qFormat/>
    <w:rsid w:val="00081EB2"/>
    <w:pPr>
      <w:widowControl/>
      <w:autoSpaceDE/>
      <w:autoSpaceDN/>
      <w:spacing w:before="160"/>
    </w:pPr>
    <w:rPr>
      <w:rFonts w:asciiTheme="minorHAnsi" w:eastAsiaTheme="minorHAnsi" w:hAnsiTheme="minorHAnsi" w:cstheme="minorBidi"/>
      <w:sz w:val="18"/>
      <w:szCs w:val="18"/>
      <w:lang w:eastAsia="en-US" w:bidi="ar-SA"/>
    </w:rPr>
  </w:style>
  <w:style w:type="character" w:customStyle="1" w:styleId="ParagraphChar">
    <w:name w:val="Paragraph Char"/>
    <w:basedOn w:val="DefaultParagraphFont"/>
    <w:link w:val="Paragraph"/>
    <w:rsid w:val="00081EB2"/>
    <w:rPr>
      <w:sz w:val="18"/>
      <w:szCs w:val="18"/>
      <w:lang w:val="en-GB"/>
    </w:rPr>
  </w:style>
  <w:style w:type="paragraph" w:customStyle="1" w:styleId="ParaBulletStyle">
    <w:name w:val="Para Bullet Style"/>
    <w:basedOn w:val="Paragraph"/>
    <w:link w:val="ParaBulletStyleChar"/>
    <w:qFormat/>
    <w:rsid w:val="00081EB2"/>
    <w:pPr>
      <w:numPr>
        <w:numId w:val="3"/>
      </w:numPr>
      <w:spacing w:before="80"/>
      <w:ind w:left="714" w:hanging="357"/>
    </w:pPr>
  </w:style>
  <w:style w:type="character" w:customStyle="1" w:styleId="ParaBulletStyleChar">
    <w:name w:val="Para Bullet Style Char"/>
    <w:basedOn w:val="ParagraphChar"/>
    <w:link w:val="ParaBulletStyle"/>
    <w:rsid w:val="00081EB2"/>
    <w:rPr>
      <w:sz w:val="18"/>
      <w:szCs w:val="18"/>
      <w:lang w:val="en-GB"/>
    </w:rPr>
  </w:style>
  <w:style w:type="paragraph" w:customStyle="1" w:styleId="Default">
    <w:name w:val="Default"/>
    <w:rsid w:val="00081EB2"/>
    <w:pPr>
      <w:widowControl/>
      <w:adjustRightInd w:val="0"/>
    </w:pPr>
    <w:rPr>
      <w:rFonts w:ascii="Verdana" w:eastAsia="Times New Roman" w:hAnsi="Verdana" w:cs="Times New Roman"/>
      <w:sz w:val="20"/>
      <w:szCs w:val="20"/>
    </w:rPr>
  </w:style>
  <w:style w:type="character" w:styleId="Hyperlink">
    <w:name w:val="Hyperlink"/>
    <w:basedOn w:val="DefaultParagraphFont"/>
    <w:rsid w:val="00081EB2"/>
    <w:rPr>
      <w:rFonts w:cs="Times New Roman"/>
      <w:color w:val="0000FF"/>
      <w:u w:val="single"/>
    </w:rPr>
  </w:style>
  <w:style w:type="paragraph" w:styleId="Revision">
    <w:name w:val="Revision"/>
    <w:hidden/>
    <w:uiPriority w:val="99"/>
    <w:semiHidden/>
    <w:rsid w:val="00CB42AB"/>
    <w:pPr>
      <w:widowControl/>
      <w:autoSpaceDE/>
      <w:autoSpaceDN/>
    </w:pPr>
    <w:rPr>
      <w:rFonts w:ascii="Calibri" w:eastAsia="Calibri" w:hAnsi="Calibri" w:cs="Calibri"/>
      <w:lang w:val="en-GB" w:eastAsia="en-GB" w:bidi="en-GB"/>
    </w:rPr>
  </w:style>
  <w:style w:type="paragraph" w:customStyle="1" w:styleId="SectionH3">
    <w:name w:val="Section H3"/>
    <w:basedOn w:val="Normal"/>
    <w:link w:val="SectionH3Char"/>
    <w:qFormat/>
    <w:rsid w:val="008E06F6"/>
    <w:pPr>
      <w:spacing w:after="120"/>
      <w:jc w:val="both"/>
    </w:pPr>
    <w:rPr>
      <w:rFonts w:cs="Arial"/>
      <w:b/>
      <w:bCs/>
      <w:sz w:val="18"/>
      <w:szCs w:val="18"/>
      <w:lang w:val="en-US"/>
    </w:rPr>
  </w:style>
  <w:style w:type="character" w:customStyle="1" w:styleId="SectionH3Char">
    <w:name w:val="Section H3 Char"/>
    <w:basedOn w:val="DefaultParagraphFont"/>
    <w:link w:val="SectionH3"/>
    <w:rsid w:val="008E06F6"/>
    <w:rPr>
      <w:rFonts w:ascii="Calibri" w:eastAsia="Calibri" w:hAnsi="Calibri" w:cs="Arial"/>
      <w:b/>
      <w:bCs/>
      <w:sz w:val="18"/>
      <w:szCs w:val="18"/>
      <w:lang w:eastAsia="en-GB" w:bidi="en-GB"/>
    </w:rPr>
  </w:style>
  <w:style w:type="paragraph" w:customStyle="1" w:styleId="Body">
    <w:name w:val="Body"/>
    <w:rsid w:val="00E509A4"/>
    <w:pPr>
      <w:widowControl/>
      <w:pBdr>
        <w:top w:val="nil"/>
        <w:left w:val="nil"/>
        <w:bottom w:val="nil"/>
        <w:right w:val="nil"/>
        <w:between w:val="nil"/>
        <w:bar w:val="nil"/>
      </w:pBdr>
      <w:autoSpaceDE/>
      <w:autoSpaceDN/>
      <w:spacing w:after="160" w:line="259" w:lineRule="auto"/>
    </w:pPr>
    <w:rPr>
      <w:rFonts w:ascii="Calibri" w:eastAsia="Arial Unicode MS" w:hAnsi="Calibri" w:cs="Arial Unicode MS"/>
      <w:color w:val="000000"/>
      <w:u w:color="000000"/>
      <w:bdr w:val="nil"/>
      <w:lang w:val="pt-PT" w:eastAsia="en-GB"/>
      <w14:textOutline w14:w="0" w14:cap="flat" w14:cmpd="sng" w14:algn="ctr">
        <w14:noFill/>
        <w14:prstDash w14:val="solid"/>
        <w14:bevel/>
      </w14:textOutline>
    </w:rPr>
  </w:style>
  <w:style w:type="paragraph" w:styleId="Bibliography">
    <w:name w:val="Bibliography"/>
    <w:basedOn w:val="Normal"/>
    <w:next w:val="Normal"/>
    <w:uiPriority w:val="37"/>
    <w:semiHidden/>
    <w:unhideWhenUsed/>
    <w:rsid w:val="00B8455E"/>
  </w:style>
  <w:style w:type="paragraph" w:styleId="BlockText">
    <w:name w:val="Block Text"/>
    <w:basedOn w:val="Normal"/>
    <w:uiPriority w:val="99"/>
    <w:semiHidden/>
    <w:unhideWhenUsed/>
    <w:rsid w:val="00B8455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B8455E"/>
    <w:pPr>
      <w:spacing w:after="120" w:line="480" w:lineRule="auto"/>
    </w:pPr>
  </w:style>
  <w:style w:type="character" w:customStyle="1" w:styleId="BodyText2Char">
    <w:name w:val="Body Text 2 Char"/>
    <w:basedOn w:val="DefaultParagraphFont"/>
    <w:link w:val="BodyText2"/>
    <w:uiPriority w:val="99"/>
    <w:semiHidden/>
    <w:rsid w:val="00B8455E"/>
    <w:rPr>
      <w:rFonts w:ascii="Calibri" w:eastAsia="Calibri" w:hAnsi="Calibri" w:cs="Calibri"/>
      <w:lang w:val="en-GB" w:eastAsia="en-GB" w:bidi="en-GB"/>
    </w:rPr>
  </w:style>
  <w:style w:type="paragraph" w:styleId="BodyText3">
    <w:name w:val="Body Text 3"/>
    <w:basedOn w:val="Normal"/>
    <w:link w:val="BodyText3Char"/>
    <w:uiPriority w:val="99"/>
    <w:semiHidden/>
    <w:unhideWhenUsed/>
    <w:rsid w:val="00B8455E"/>
    <w:pPr>
      <w:spacing w:after="120"/>
    </w:pPr>
    <w:rPr>
      <w:sz w:val="16"/>
      <w:szCs w:val="16"/>
    </w:rPr>
  </w:style>
  <w:style w:type="character" w:customStyle="1" w:styleId="BodyText3Char">
    <w:name w:val="Body Text 3 Char"/>
    <w:basedOn w:val="DefaultParagraphFont"/>
    <w:link w:val="BodyText3"/>
    <w:uiPriority w:val="99"/>
    <w:semiHidden/>
    <w:rsid w:val="00B8455E"/>
    <w:rPr>
      <w:rFonts w:ascii="Calibri" w:eastAsia="Calibri" w:hAnsi="Calibri" w:cs="Calibri"/>
      <w:sz w:val="16"/>
      <w:szCs w:val="16"/>
      <w:lang w:val="en-GB" w:eastAsia="en-GB" w:bidi="en-GB"/>
    </w:rPr>
  </w:style>
  <w:style w:type="paragraph" w:styleId="BodyTextFirstIndent">
    <w:name w:val="Body Text First Indent"/>
    <w:basedOn w:val="BodyText"/>
    <w:link w:val="BodyTextFirstIndentChar"/>
    <w:uiPriority w:val="99"/>
    <w:semiHidden/>
    <w:unhideWhenUsed/>
    <w:rsid w:val="00B8455E"/>
    <w:pPr>
      <w:spacing w:before="0"/>
      <w:ind w:firstLine="360"/>
    </w:pPr>
    <w:rPr>
      <w:rFonts w:ascii="Calibri" w:hAnsi="Calibri" w:cs="Calibri"/>
      <w:sz w:val="22"/>
      <w:szCs w:val="22"/>
    </w:rPr>
  </w:style>
  <w:style w:type="character" w:customStyle="1" w:styleId="BodyTextFirstIndentChar">
    <w:name w:val="Body Text First Indent Char"/>
    <w:basedOn w:val="BodyTextChar"/>
    <w:link w:val="BodyTextFirstIndent"/>
    <w:uiPriority w:val="99"/>
    <w:semiHidden/>
    <w:rsid w:val="00B8455E"/>
    <w:rPr>
      <w:rFonts w:ascii="Calibri" w:eastAsia="Calibri" w:hAnsi="Calibri" w:cs="Calibri"/>
      <w:sz w:val="18"/>
      <w:szCs w:val="18"/>
      <w:lang w:val="en-GB" w:eastAsia="en-GB" w:bidi="en-GB"/>
    </w:rPr>
  </w:style>
  <w:style w:type="paragraph" w:styleId="BodyTextIndent">
    <w:name w:val="Body Text Indent"/>
    <w:basedOn w:val="Normal"/>
    <w:link w:val="BodyTextIndentChar"/>
    <w:uiPriority w:val="99"/>
    <w:semiHidden/>
    <w:unhideWhenUsed/>
    <w:rsid w:val="00B8455E"/>
    <w:pPr>
      <w:spacing w:after="120"/>
      <w:ind w:left="283"/>
    </w:pPr>
  </w:style>
  <w:style w:type="character" w:customStyle="1" w:styleId="BodyTextIndentChar">
    <w:name w:val="Body Text Indent Char"/>
    <w:basedOn w:val="DefaultParagraphFont"/>
    <w:link w:val="BodyTextIndent"/>
    <w:uiPriority w:val="99"/>
    <w:semiHidden/>
    <w:rsid w:val="00B8455E"/>
    <w:rPr>
      <w:rFonts w:ascii="Calibri" w:eastAsia="Calibri" w:hAnsi="Calibri" w:cs="Calibri"/>
      <w:lang w:val="en-GB" w:eastAsia="en-GB" w:bidi="en-GB"/>
    </w:rPr>
  </w:style>
  <w:style w:type="paragraph" w:styleId="BodyTextFirstIndent2">
    <w:name w:val="Body Text First Indent 2"/>
    <w:basedOn w:val="BodyTextIndent"/>
    <w:link w:val="BodyTextFirstIndent2Char"/>
    <w:uiPriority w:val="99"/>
    <w:semiHidden/>
    <w:unhideWhenUsed/>
    <w:rsid w:val="00B8455E"/>
    <w:pPr>
      <w:spacing w:after="0"/>
      <w:ind w:left="360" w:firstLine="360"/>
    </w:pPr>
  </w:style>
  <w:style w:type="character" w:customStyle="1" w:styleId="BodyTextFirstIndent2Char">
    <w:name w:val="Body Text First Indent 2 Char"/>
    <w:basedOn w:val="BodyTextIndentChar"/>
    <w:link w:val="BodyTextFirstIndent2"/>
    <w:uiPriority w:val="99"/>
    <w:semiHidden/>
    <w:rsid w:val="00B8455E"/>
    <w:rPr>
      <w:rFonts w:ascii="Calibri" w:eastAsia="Calibri" w:hAnsi="Calibri" w:cs="Calibri"/>
      <w:lang w:val="en-GB" w:eastAsia="en-GB" w:bidi="en-GB"/>
    </w:rPr>
  </w:style>
  <w:style w:type="paragraph" w:styleId="BodyTextIndent2">
    <w:name w:val="Body Text Indent 2"/>
    <w:basedOn w:val="Normal"/>
    <w:link w:val="BodyTextIndent2Char"/>
    <w:uiPriority w:val="99"/>
    <w:semiHidden/>
    <w:unhideWhenUsed/>
    <w:rsid w:val="00B8455E"/>
    <w:pPr>
      <w:spacing w:after="120" w:line="480" w:lineRule="auto"/>
      <w:ind w:left="283"/>
    </w:pPr>
  </w:style>
  <w:style w:type="character" w:customStyle="1" w:styleId="BodyTextIndent2Char">
    <w:name w:val="Body Text Indent 2 Char"/>
    <w:basedOn w:val="DefaultParagraphFont"/>
    <w:link w:val="BodyTextIndent2"/>
    <w:uiPriority w:val="99"/>
    <w:semiHidden/>
    <w:rsid w:val="00B8455E"/>
    <w:rPr>
      <w:rFonts w:ascii="Calibri" w:eastAsia="Calibri" w:hAnsi="Calibri" w:cs="Calibri"/>
      <w:lang w:val="en-GB" w:eastAsia="en-GB" w:bidi="en-GB"/>
    </w:rPr>
  </w:style>
  <w:style w:type="paragraph" w:styleId="BodyTextIndent3">
    <w:name w:val="Body Text Indent 3"/>
    <w:basedOn w:val="Normal"/>
    <w:link w:val="BodyTextIndent3Char"/>
    <w:uiPriority w:val="99"/>
    <w:semiHidden/>
    <w:unhideWhenUsed/>
    <w:rsid w:val="00B8455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8455E"/>
    <w:rPr>
      <w:rFonts w:ascii="Calibri" w:eastAsia="Calibri" w:hAnsi="Calibri" w:cs="Calibri"/>
      <w:sz w:val="16"/>
      <w:szCs w:val="16"/>
      <w:lang w:val="en-GB" w:eastAsia="en-GB" w:bidi="en-GB"/>
    </w:rPr>
  </w:style>
  <w:style w:type="paragraph" w:styleId="Caption">
    <w:name w:val="caption"/>
    <w:basedOn w:val="Normal"/>
    <w:next w:val="Normal"/>
    <w:uiPriority w:val="35"/>
    <w:semiHidden/>
    <w:unhideWhenUsed/>
    <w:qFormat/>
    <w:rsid w:val="00B8455E"/>
    <w:pPr>
      <w:spacing w:after="200"/>
    </w:pPr>
    <w:rPr>
      <w:i/>
      <w:iCs/>
      <w:color w:val="1F497D" w:themeColor="text2"/>
      <w:sz w:val="18"/>
      <w:szCs w:val="18"/>
    </w:rPr>
  </w:style>
  <w:style w:type="paragraph" w:styleId="Closing">
    <w:name w:val="Closing"/>
    <w:basedOn w:val="Normal"/>
    <w:link w:val="ClosingChar"/>
    <w:uiPriority w:val="99"/>
    <w:semiHidden/>
    <w:unhideWhenUsed/>
    <w:rsid w:val="00B8455E"/>
    <w:pPr>
      <w:ind w:left="4252"/>
    </w:pPr>
  </w:style>
  <w:style w:type="character" w:customStyle="1" w:styleId="ClosingChar">
    <w:name w:val="Closing Char"/>
    <w:basedOn w:val="DefaultParagraphFont"/>
    <w:link w:val="Closing"/>
    <w:uiPriority w:val="99"/>
    <w:semiHidden/>
    <w:rsid w:val="00B8455E"/>
    <w:rPr>
      <w:rFonts w:ascii="Calibri" w:eastAsia="Calibri" w:hAnsi="Calibri" w:cs="Calibri"/>
      <w:lang w:val="en-GB" w:eastAsia="en-GB" w:bidi="en-GB"/>
    </w:rPr>
  </w:style>
  <w:style w:type="paragraph" w:styleId="Date">
    <w:name w:val="Date"/>
    <w:basedOn w:val="Normal"/>
    <w:next w:val="Normal"/>
    <w:link w:val="DateChar"/>
    <w:uiPriority w:val="99"/>
    <w:semiHidden/>
    <w:unhideWhenUsed/>
    <w:rsid w:val="00B8455E"/>
  </w:style>
  <w:style w:type="character" w:customStyle="1" w:styleId="DateChar">
    <w:name w:val="Date Char"/>
    <w:basedOn w:val="DefaultParagraphFont"/>
    <w:link w:val="Date"/>
    <w:uiPriority w:val="99"/>
    <w:semiHidden/>
    <w:rsid w:val="00B8455E"/>
    <w:rPr>
      <w:rFonts w:ascii="Calibri" w:eastAsia="Calibri" w:hAnsi="Calibri" w:cs="Calibri"/>
      <w:lang w:val="en-GB" w:eastAsia="en-GB" w:bidi="en-GB"/>
    </w:rPr>
  </w:style>
  <w:style w:type="paragraph" w:styleId="DocumentMap">
    <w:name w:val="Document Map"/>
    <w:basedOn w:val="Normal"/>
    <w:link w:val="DocumentMapChar"/>
    <w:uiPriority w:val="99"/>
    <w:semiHidden/>
    <w:unhideWhenUsed/>
    <w:rsid w:val="00B8455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8455E"/>
    <w:rPr>
      <w:rFonts w:ascii="Segoe UI" w:eastAsia="Calibri" w:hAnsi="Segoe UI" w:cs="Segoe UI"/>
      <w:sz w:val="16"/>
      <w:szCs w:val="16"/>
      <w:lang w:val="en-GB" w:eastAsia="en-GB" w:bidi="en-GB"/>
    </w:rPr>
  </w:style>
  <w:style w:type="paragraph" w:styleId="E-mailSignature">
    <w:name w:val="E-mail Signature"/>
    <w:basedOn w:val="Normal"/>
    <w:link w:val="E-mailSignatureChar"/>
    <w:uiPriority w:val="99"/>
    <w:semiHidden/>
    <w:unhideWhenUsed/>
    <w:rsid w:val="00B8455E"/>
  </w:style>
  <w:style w:type="character" w:customStyle="1" w:styleId="E-mailSignatureChar">
    <w:name w:val="E-mail Signature Char"/>
    <w:basedOn w:val="DefaultParagraphFont"/>
    <w:link w:val="E-mailSignature"/>
    <w:uiPriority w:val="99"/>
    <w:semiHidden/>
    <w:rsid w:val="00B8455E"/>
    <w:rPr>
      <w:rFonts w:ascii="Calibri" w:eastAsia="Calibri" w:hAnsi="Calibri" w:cs="Calibri"/>
      <w:lang w:val="en-GB" w:eastAsia="en-GB" w:bidi="en-GB"/>
    </w:rPr>
  </w:style>
  <w:style w:type="paragraph" w:styleId="EndnoteText">
    <w:name w:val="endnote text"/>
    <w:basedOn w:val="Normal"/>
    <w:link w:val="EndnoteTextChar"/>
    <w:uiPriority w:val="99"/>
    <w:semiHidden/>
    <w:unhideWhenUsed/>
    <w:rsid w:val="00B8455E"/>
    <w:rPr>
      <w:sz w:val="20"/>
      <w:szCs w:val="20"/>
    </w:rPr>
  </w:style>
  <w:style w:type="character" w:customStyle="1" w:styleId="EndnoteTextChar">
    <w:name w:val="Endnote Text Char"/>
    <w:basedOn w:val="DefaultParagraphFont"/>
    <w:link w:val="EndnoteText"/>
    <w:uiPriority w:val="99"/>
    <w:semiHidden/>
    <w:rsid w:val="00B8455E"/>
    <w:rPr>
      <w:rFonts w:ascii="Calibri" w:eastAsia="Calibri" w:hAnsi="Calibri" w:cs="Calibri"/>
      <w:sz w:val="20"/>
      <w:szCs w:val="20"/>
      <w:lang w:val="en-GB" w:eastAsia="en-GB" w:bidi="en-GB"/>
    </w:rPr>
  </w:style>
  <w:style w:type="paragraph" w:styleId="EnvelopeAddress">
    <w:name w:val="envelope address"/>
    <w:basedOn w:val="Normal"/>
    <w:uiPriority w:val="99"/>
    <w:semiHidden/>
    <w:unhideWhenUsed/>
    <w:rsid w:val="00B8455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8455E"/>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B8455E"/>
    <w:rPr>
      <w:sz w:val="20"/>
      <w:szCs w:val="20"/>
    </w:rPr>
  </w:style>
  <w:style w:type="character" w:customStyle="1" w:styleId="FootnoteTextChar">
    <w:name w:val="Footnote Text Char"/>
    <w:basedOn w:val="DefaultParagraphFont"/>
    <w:link w:val="FootnoteText"/>
    <w:uiPriority w:val="99"/>
    <w:semiHidden/>
    <w:rsid w:val="00B8455E"/>
    <w:rPr>
      <w:rFonts w:ascii="Calibri" w:eastAsia="Calibri" w:hAnsi="Calibri" w:cs="Calibri"/>
      <w:sz w:val="20"/>
      <w:szCs w:val="20"/>
      <w:lang w:val="en-GB" w:eastAsia="en-GB" w:bidi="en-GB"/>
    </w:rPr>
  </w:style>
  <w:style w:type="character" w:customStyle="1" w:styleId="Heading4Char">
    <w:name w:val="Heading 4 Char"/>
    <w:basedOn w:val="DefaultParagraphFont"/>
    <w:link w:val="Heading4"/>
    <w:uiPriority w:val="9"/>
    <w:semiHidden/>
    <w:rsid w:val="00B8455E"/>
    <w:rPr>
      <w:rFonts w:asciiTheme="majorHAnsi" w:eastAsiaTheme="majorEastAsia" w:hAnsiTheme="majorHAnsi" w:cstheme="majorBidi"/>
      <w:i/>
      <w:iCs/>
      <w:color w:val="365F91" w:themeColor="accent1" w:themeShade="BF"/>
      <w:lang w:val="en-GB" w:eastAsia="en-GB" w:bidi="en-GB"/>
    </w:rPr>
  </w:style>
  <w:style w:type="character" w:customStyle="1" w:styleId="Heading5Char">
    <w:name w:val="Heading 5 Char"/>
    <w:basedOn w:val="DefaultParagraphFont"/>
    <w:link w:val="Heading5"/>
    <w:uiPriority w:val="9"/>
    <w:semiHidden/>
    <w:rsid w:val="00B8455E"/>
    <w:rPr>
      <w:rFonts w:asciiTheme="majorHAnsi" w:eastAsiaTheme="majorEastAsia" w:hAnsiTheme="majorHAnsi" w:cstheme="majorBidi"/>
      <w:color w:val="365F91" w:themeColor="accent1" w:themeShade="BF"/>
      <w:lang w:val="en-GB" w:eastAsia="en-GB" w:bidi="en-GB"/>
    </w:rPr>
  </w:style>
  <w:style w:type="character" w:customStyle="1" w:styleId="Heading6Char">
    <w:name w:val="Heading 6 Char"/>
    <w:basedOn w:val="DefaultParagraphFont"/>
    <w:link w:val="Heading6"/>
    <w:uiPriority w:val="9"/>
    <w:semiHidden/>
    <w:rsid w:val="00B8455E"/>
    <w:rPr>
      <w:rFonts w:asciiTheme="majorHAnsi" w:eastAsiaTheme="majorEastAsia" w:hAnsiTheme="majorHAnsi" w:cstheme="majorBidi"/>
      <w:color w:val="243F60" w:themeColor="accent1" w:themeShade="7F"/>
      <w:lang w:val="en-GB" w:eastAsia="en-GB" w:bidi="en-GB"/>
    </w:rPr>
  </w:style>
  <w:style w:type="character" w:customStyle="1" w:styleId="Heading7Char">
    <w:name w:val="Heading 7 Char"/>
    <w:basedOn w:val="DefaultParagraphFont"/>
    <w:link w:val="Heading7"/>
    <w:uiPriority w:val="9"/>
    <w:semiHidden/>
    <w:rsid w:val="00B8455E"/>
    <w:rPr>
      <w:rFonts w:asciiTheme="majorHAnsi" w:eastAsiaTheme="majorEastAsia" w:hAnsiTheme="majorHAnsi" w:cstheme="majorBidi"/>
      <w:i/>
      <w:iCs/>
      <w:color w:val="243F60" w:themeColor="accent1" w:themeShade="7F"/>
      <w:lang w:val="en-GB" w:eastAsia="en-GB" w:bidi="en-GB"/>
    </w:rPr>
  </w:style>
  <w:style w:type="character" w:customStyle="1" w:styleId="Heading8Char">
    <w:name w:val="Heading 8 Char"/>
    <w:basedOn w:val="DefaultParagraphFont"/>
    <w:link w:val="Heading8"/>
    <w:uiPriority w:val="9"/>
    <w:semiHidden/>
    <w:rsid w:val="00B8455E"/>
    <w:rPr>
      <w:rFonts w:asciiTheme="majorHAnsi" w:eastAsiaTheme="majorEastAsia" w:hAnsiTheme="majorHAnsi" w:cstheme="majorBidi"/>
      <w:color w:val="272727" w:themeColor="text1" w:themeTint="D8"/>
      <w:sz w:val="21"/>
      <w:szCs w:val="21"/>
      <w:lang w:val="en-GB" w:eastAsia="en-GB" w:bidi="en-GB"/>
    </w:rPr>
  </w:style>
  <w:style w:type="character" w:customStyle="1" w:styleId="Heading9Char">
    <w:name w:val="Heading 9 Char"/>
    <w:basedOn w:val="DefaultParagraphFont"/>
    <w:link w:val="Heading9"/>
    <w:uiPriority w:val="9"/>
    <w:semiHidden/>
    <w:rsid w:val="00B8455E"/>
    <w:rPr>
      <w:rFonts w:asciiTheme="majorHAnsi" w:eastAsiaTheme="majorEastAsia" w:hAnsiTheme="majorHAnsi" w:cstheme="majorBidi"/>
      <w:i/>
      <w:iCs/>
      <w:color w:val="272727" w:themeColor="text1" w:themeTint="D8"/>
      <w:sz w:val="21"/>
      <w:szCs w:val="21"/>
      <w:lang w:val="en-GB" w:eastAsia="en-GB" w:bidi="en-GB"/>
    </w:rPr>
  </w:style>
  <w:style w:type="paragraph" w:styleId="HTMLAddress">
    <w:name w:val="HTML Address"/>
    <w:basedOn w:val="Normal"/>
    <w:link w:val="HTMLAddressChar"/>
    <w:uiPriority w:val="99"/>
    <w:semiHidden/>
    <w:unhideWhenUsed/>
    <w:rsid w:val="00B8455E"/>
    <w:rPr>
      <w:i/>
      <w:iCs/>
    </w:rPr>
  </w:style>
  <w:style w:type="character" w:customStyle="1" w:styleId="HTMLAddressChar">
    <w:name w:val="HTML Address Char"/>
    <w:basedOn w:val="DefaultParagraphFont"/>
    <w:link w:val="HTMLAddress"/>
    <w:uiPriority w:val="99"/>
    <w:semiHidden/>
    <w:rsid w:val="00B8455E"/>
    <w:rPr>
      <w:rFonts w:ascii="Calibri" w:eastAsia="Calibri" w:hAnsi="Calibri" w:cs="Calibri"/>
      <w:i/>
      <w:iCs/>
      <w:lang w:val="en-GB" w:eastAsia="en-GB" w:bidi="en-GB"/>
    </w:rPr>
  </w:style>
  <w:style w:type="paragraph" w:styleId="HTMLPreformatted">
    <w:name w:val="HTML Preformatted"/>
    <w:basedOn w:val="Normal"/>
    <w:link w:val="HTMLPreformattedChar"/>
    <w:uiPriority w:val="99"/>
    <w:semiHidden/>
    <w:unhideWhenUsed/>
    <w:rsid w:val="00B8455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8455E"/>
    <w:rPr>
      <w:rFonts w:ascii="Consolas" w:eastAsia="Calibri" w:hAnsi="Consolas" w:cs="Calibri"/>
      <w:sz w:val="20"/>
      <w:szCs w:val="20"/>
      <w:lang w:val="en-GB" w:eastAsia="en-GB" w:bidi="en-GB"/>
    </w:rPr>
  </w:style>
  <w:style w:type="paragraph" w:styleId="Index1">
    <w:name w:val="index 1"/>
    <w:basedOn w:val="Normal"/>
    <w:next w:val="Normal"/>
    <w:autoRedefine/>
    <w:uiPriority w:val="99"/>
    <w:semiHidden/>
    <w:unhideWhenUsed/>
    <w:rsid w:val="00B8455E"/>
    <w:pPr>
      <w:ind w:left="220" w:hanging="220"/>
    </w:pPr>
  </w:style>
  <w:style w:type="paragraph" w:styleId="Index2">
    <w:name w:val="index 2"/>
    <w:basedOn w:val="Normal"/>
    <w:next w:val="Normal"/>
    <w:autoRedefine/>
    <w:uiPriority w:val="99"/>
    <w:semiHidden/>
    <w:unhideWhenUsed/>
    <w:rsid w:val="00B8455E"/>
    <w:pPr>
      <w:ind w:left="440" w:hanging="220"/>
    </w:pPr>
  </w:style>
  <w:style w:type="paragraph" w:styleId="Index3">
    <w:name w:val="index 3"/>
    <w:basedOn w:val="Normal"/>
    <w:next w:val="Normal"/>
    <w:autoRedefine/>
    <w:uiPriority w:val="99"/>
    <w:semiHidden/>
    <w:unhideWhenUsed/>
    <w:rsid w:val="00B8455E"/>
    <w:pPr>
      <w:ind w:left="660" w:hanging="220"/>
    </w:pPr>
  </w:style>
  <w:style w:type="paragraph" w:styleId="Index4">
    <w:name w:val="index 4"/>
    <w:basedOn w:val="Normal"/>
    <w:next w:val="Normal"/>
    <w:autoRedefine/>
    <w:uiPriority w:val="99"/>
    <w:semiHidden/>
    <w:unhideWhenUsed/>
    <w:rsid w:val="00B8455E"/>
    <w:pPr>
      <w:ind w:left="880" w:hanging="220"/>
    </w:pPr>
  </w:style>
  <w:style w:type="paragraph" w:styleId="Index5">
    <w:name w:val="index 5"/>
    <w:basedOn w:val="Normal"/>
    <w:next w:val="Normal"/>
    <w:autoRedefine/>
    <w:uiPriority w:val="99"/>
    <w:semiHidden/>
    <w:unhideWhenUsed/>
    <w:rsid w:val="00B8455E"/>
    <w:pPr>
      <w:ind w:left="1100" w:hanging="220"/>
    </w:pPr>
  </w:style>
  <w:style w:type="paragraph" w:styleId="Index6">
    <w:name w:val="index 6"/>
    <w:basedOn w:val="Normal"/>
    <w:next w:val="Normal"/>
    <w:autoRedefine/>
    <w:uiPriority w:val="99"/>
    <w:semiHidden/>
    <w:unhideWhenUsed/>
    <w:rsid w:val="00B8455E"/>
    <w:pPr>
      <w:ind w:left="1320" w:hanging="220"/>
    </w:pPr>
  </w:style>
  <w:style w:type="paragraph" w:styleId="Index7">
    <w:name w:val="index 7"/>
    <w:basedOn w:val="Normal"/>
    <w:next w:val="Normal"/>
    <w:autoRedefine/>
    <w:uiPriority w:val="99"/>
    <w:semiHidden/>
    <w:unhideWhenUsed/>
    <w:rsid w:val="00B8455E"/>
    <w:pPr>
      <w:ind w:left="1540" w:hanging="220"/>
    </w:pPr>
  </w:style>
  <w:style w:type="paragraph" w:styleId="Index8">
    <w:name w:val="index 8"/>
    <w:basedOn w:val="Normal"/>
    <w:next w:val="Normal"/>
    <w:autoRedefine/>
    <w:uiPriority w:val="99"/>
    <w:semiHidden/>
    <w:unhideWhenUsed/>
    <w:rsid w:val="00B8455E"/>
    <w:pPr>
      <w:ind w:left="1760" w:hanging="220"/>
    </w:pPr>
  </w:style>
  <w:style w:type="paragraph" w:styleId="Index9">
    <w:name w:val="index 9"/>
    <w:basedOn w:val="Normal"/>
    <w:next w:val="Normal"/>
    <w:autoRedefine/>
    <w:uiPriority w:val="99"/>
    <w:semiHidden/>
    <w:unhideWhenUsed/>
    <w:rsid w:val="00B8455E"/>
    <w:pPr>
      <w:ind w:left="1980" w:hanging="220"/>
    </w:pPr>
  </w:style>
  <w:style w:type="paragraph" w:styleId="IndexHeading">
    <w:name w:val="index heading"/>
    <w:basedOn w:val="Normal"/>
    <w:next w:val="Index1"/>
    <w:uiPriority w:val="99"/>
    <w:semiHidden/>
    <w:unhideWhenUsed/>
    <w:rsid w:val="00B8455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8455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8455E"/>
    <w:rPr>
      <w:rFonts w:ascii="Calibri" w:eastAsia="Calibri" w:hAnsi="Calibri" w:cs="Calibri"/>
      <w:i/>
      <w:iCs/>
      <w:color w:val="4F81BD" w:themeColor="accent1"/>
      <w:lang w:val="en-GB" w:eastAsia="en-GB" w:bidi="en-GB"/>
    </w:rPr>
  </w:style>
  <w:style w:type="paragraph" w:styleId="List">
    <w:name w:val="List"/>
    <w:basedOn w:val="Normal"/>
    <w:uiPriority w:val="99"/>
    <w:semiHidden/>
    <w:unhideWhenUsed/>
    <w:rsid w:val="00B8455E"/>
    <w:pPr>
      <w:ind w:left="283" w:hanging="283"/>
      <w:contextualSpacing/>
    </w:pPr>
  </w:style>
  <w:style w:type="paragraph" w:styleId="List2">
    <w:name w:val="List 2"/>
    <w:basedOn w:val="Normal"/>
    <w:uiPriority w:val="99"/>
    <w:semiHidden/>
    <w:unhideWhenUsed/>
    <w:rsid w:val="00B8455E"/>
    <w:pPr>
      <w:ind w:left="566" w:hanging="283"/>
      <w:contextualSpacing/>
    </w:pPr>
  </w:style>
  <w:style w:type="paragraph" w:styleId="List3">
    <w:name w:val="List 3"/>
    <w:basedOn w:val="Normal"/>
    <w:uiPriority w:val="99"/>
    <w:semiHidden/>
    <w:unhideWhenUsed/>
    <w:rsid w:val="00B8455E"/>
    <w:pPr>
      <w:ind w:left="849" w:hanging="283"/>
      <w:contextualSpacing/>
    </w:pPr>
  </w:style>
  <w:style w:type="paragraph" w:styleId="List4">
    <w:name w:val="List 4"/>
    <w:basedOn w:val="Normal"/>
    <w:uiPriority w:val="99"/>
    <w:semiHidden/>
    <w:unhideWhenUsed/>
    <w:rsid w:val="00B8455E"/>
    <w:pPr>
      <w:ind w:left="1132" w:hanging="283"/>
      <w:contextualSpacing/>
    </w:pPr>
  </w:style>
  <w:style w:type="paragraph" w:styleId="List5">
    <w:name w:val="List 5"/>
    <w:basedOn w:val="Normal"/>
    <w:uiPriority w:val="99"/>
    <w:semiHidden/>
    <w:unhideWhenUsed/>
    <w:rsid w:val="00B8455E"/>
    <w:pPr>
      <w:ind w:left="1415" w:hanging="283"/>
      <w:contextualSpacing/>
    </w:pPr>
  </w:style>
  <w:style w:type="paragraph" w:styleId="ListBullet">
    <w:name w:val="List Bullet"/>
    <w:basedOn w:val="Normal"/>
    <w:uiPriority w:val="99"/>
    <w:semiHidden/>
    <w:unhideWhenUsed/>
    <w:rsid w:val="00B8455E"/>
    <w:pPr>
      <w:numPr>
        <w:numId w:val="37"/>
      </w:numPr>
      <w:contextualSpacing/>
    </w:pPr>
  </w:style>
  <w:style w:type="paragraph" w:styleId="ListBullet2">
    <w:name w:val="List Bullet 2"/>
    <w:basedOn w:val="Normal"/>
    <w:uiPriority w:val="99"/>
    <w:semiHidden/>
    <w:unhideWhenUsed/>
    <w:rsid w:val="00B8455E"/>
    <w:pPr>
      <w:numPr>
        <w:numId w:val="38"/>
      </w:numPr>
      <w:contextualSpacing/>
    </w:pPr>
  </w:style>
  <w:style w:type="paragraph" w:styleId="ListBullet3">
    <w:name w:val="List Bullet 3"/>
    <w:basedOn w:val="Normal"/>
    <w:uiPriority w:val="99"/>
    <w:semiHidden/>
    <w:unhideWhenUsed/>
    <w:rsid w:val="00B8455E"/>
    <w:pPr>
      <w:numPr>
        <w:numId w:val="39"/>
      </w:numPr>
      <w:contextualSpacing/>
    </w:pPr>
  </w:style>
  <w:style w:type="paragraph" w:styleId="ListBullet4">
    <w:name w:val="List Bullet 4"/>
    <w:basedOn w:val="Normal"/>
    <w:uiPriority w:val="99"/>
    <w:semiHidden/>
    <w:unhideWhenUsed/>
    <w:rsid w:val="00B8455E"/>
    <w:pPr>
      <w:numPr>
        <w:numId w:val="40"/>
      </w:numPr>
      <w:contextualSpacing/>
    </w:pPr>
  </w:style>
  <w:style w:type="paragraph" w:styleId="ListBullet5">
    <w:name w:val="List Bullet 5"/>
    <w:basedOn w:val="Normal"/>
    <w:uiPriority w:val="99"/>
    <w:semiHidden/>
    <w:unhideWhenUsed/>
    <w:rsid w:val="00B8455E"/>
    <w:pPr>
      <w:numPr>
        <w:numId w:val="41"/>
      </w:numPr>
      <w:contextualSpacing/>
    </w:pPr>
  </w:style>
  <w:style w:type="paragraph" w:styleId="ListContinue">
    <w:name w:val="List Continue"/>
    <w:basedOn w:val="Normal"/>
    <w:uiPriority w:val="99"/>
    <w:semiHidden/>
    <w:unhideWhenUsed/>
    <w:rsid w:val="00B8455E"/>
    <w:pPr>
      <w:spacing w:after="120"/>
      <w:ind w:left="283"/>
      <w:contextualSpacing/>
    </w:pPr>
  </w:style>
  <w:style w:type="paragraph" w:styleId="ListContinue2">
    <w:name w:val="List Continue 2"/>
    <w:basedOn w:val="Normal"/>
    <w:uiPriority w:val="99"/>
    <w:semiHidden/>
    <w:unhideWhenUsed/>
    <w:rsid w:val="00B8455E"/>
    <w:pPr>
      <w:spacing w:after="120"/>
      <w:ind w:left="566"/>
      <w:contextualSpacing/>
    </w:pPr>
  </w:style>
  <w:style w:type="paragraph" w:styleId="ListContinue3">
    <w:name w:val="List Continue 3"/>
    <w:basedOn w:val="Normal"/>
    <w:uiPriority w:val="99"/>
    <w:semiHidden/>
    <w:unhideWhenUsed/>
    <w:rsid w:val="00B8455E"/>
    <w:pPr>
      <w:spacing w:after="120"/>
      <w:ind w:left="849"/>
      <w:contextualSpacing/>
    </w:pPr>
  </w:style>
  <w:style w:type="paragraph" w:styleId="ListContinue4">
    <w:name w:val="List Continue 4"/>
    <w:basedOn w:val="Normal"/>
    <w:uiPriority w:val="99"/>
    <w:semiHidden/>
    <w:unhideWhenUsed/>
    <w:rsid w:val="00B8455E"/>
    <w:pPr>
      <w:spacing w:after="120"/>
      <w:ind w:left="1132"/>
      <w:contextualSpacing/>
    </w:pPr>
  </w:style>
  <w:style w:type="paragraph" w:styleId="ListContinue5">
    <w:name w:val="List Continue 5"/>
    <w:basedOn w:val="Normal"/>
    <w:uiPriority w:val="99"/>
    <w:semiHidden/>
    <w:unhideWhenUsed/>
    <w:rsid w:val="00B8455E"/>
    <w:pPr>
      <w:spacing w:after="120"/>
      <w:ind w:left="1415"/>
      <w:contextualSpacing/>
    </w:pPr>
  </w:style>
  <w:style w:type="paragraph" w:styleId="ListNumber">
    <w:name w:val="List Number"/>
    <w:basedOn w:val="Normal"/>
    <w:uiPriority w:val="99"/>
    <w:semiHidden/>
    <w:unhideWhenUsed/>
    <w:rsid w:val="00B8455E"/>
    <w:pPr>
      <w:numPr>
        <w:numId w:val="42"/>
      </w:numPr>
      <w:contextualSpacing/>
    </w:pPr>
  </w:style>
  <w:style w:type="paragraph" w:styleId="ListNumber2">
    <w:name w:val="List Number 2"/>
    <w:basedOn w:val="Normal"/>
    <w:uiPriority w:val="99"/>
    <w:semiHidden/>
    <w:unhideWhenUsed/>
    <w:rsid w:val="00B8455E"/>
    <w:pPr>
      <w:numPr>
        <w:numId w:val="43"/>
      </w:numPr>
      <w:contextualSpacing/>
    </w:pPr>
  </w:style>
  <w:style w:type="paragraph" w:styleId="ListNumber3">
    <w:name w:val="List Number 3"/>
    <w:basedOn w:val="Normal"/>
    <w:uiPriority w:val="99"/>
    <w:semiHidden/>
    <w:unhideWhenUsed/>
    <w:rsid w:val="00B8455E"/>
    <w:pPr>
      <w:numPr>
        <w:numId w:val="44"/>
      </w:numPr>
      <w:contextualSpacing/>
    </w:pPr>
  </w:style>
  <w:style w:type="paragraph" w:styleId="ListNumber4">
    <w:name w:val="List Number 4"/>
    <w:basedOn w:val="Normal"/>
    <w:uiPriority w:val="99"/>
    <w:semiHidden/>
    <w:unhideWhenUsed/>
    <w:rsid w:val="00B8455E"/>
    <w:pPr>
      <w:numPr>
        <w:numId w:val="45"/>
      </w:numPr>
      <w:contextualSpacing/>
    </w:pPr>
  </w:style>
  <w:style w:type="paragraph" w:styleId="ListNumber5">
    <w:name w:val="List Number 5"/>
    <w:basedOn w:val="Normal"/>
    <w:uiPriority w:val="99"/>
    <w:semiHidden/>
    <w:unhideWhenUsed/>
    <w:rsid w:val="00B8455E"/>
    <w:pPr>
      <w:numPr>
        <w:numId w:val="46"/>
      </w:numPr>
      <w:contextualSpacing/>
    </w:pPr>
  </w:style>
  <w:style w:type="paragraph" w:styleId="MacroText">
    <w:name w:val="macro"/>
    <w:link w:val="MacroTextChar"/>
    <w:uiPriority w:val="99"/>
    <w:semiHidden/>
    <w:unhideWhenUsed/>
    <w:rsid w:val="00B8455E"/>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cs="Calibri"/>
      <w:sz w:val="20"/>
      <w:szCs w:val="20"/>
      <w:lang w:val="en-GB" w:eastAsia="en-GB" w:bidi="en-GB"/>
    </w:rPr>
  </w:style>
  <w:style w:type="character" w:customStyle="1" w:styleId="MacroTextChar">
    <w:name w:val="Macro Text Char"/>
    <w:basedOn w:val="DefaultParagraphFont"/>
    <w:link w:val="MacroText"/>
    <w:uiPriority w:val="99"/>
    <w:semiHidden/>
    <w:rsid w:val="00B8455E"/>
    <w:rPr>
      <w:rFonts w:ascii="Consolas" w:eastAsia="Calibri" w:hAnsi="Consolas" w:cs="Calibri"/>
      <w:sz w:val="20"/>
      <w:szCs w:val="20"/>
      <w:lang w:val="en-GB" w:eastAsia="en-GB" w:bidi="en-GB"/>
    </w:rPr>
  </w:style>
  <w:style w:type="paragraph" w:styleId="MessageHeader">
    <w:name w:val="Message Header"/>
    <w:basedOn w:val="Normal"/>
    <w:link w:val="MessageHeaderChar"/>
    <w:uiPriority w:val="99"/>
    <w:semiHidden/>
    <w:unhideWhenUsed/>
    <w:rsid w:val="00B8455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8455E"/>
    <w:rPr>
      <w:rFonts w:asciiTheme="majorHAnsi" w:eastAsiaTheme="majorEastAsia" w:hAnsiTheme="majorHAnsi" w:cstheme="majorBidi"/>
      <w:sz w:val="24"/>
      <w:szCs w:val="24"/>
      <w:shd w:val="pct20" w:color="auto" w:fill="auto"/>
      <w:lang w:val="en-GB" w:eastAsia="en-GB" w:bidi="en-GB"/>
    </w:rPr>
  </w:style>
  <w:style w:type="paragraph" w:styleId="NoSpacing">
    <w:name w:val="No Spacing"/>
    <w:uiPriority w:val="1"/>
    <w:qFormat/>
    <w:rsid w:val="00B8455E"/>
    <w:rPr>
      <w:rFonts w:ascii="Calibri" w:eastAsia="Calibri" w:hAnsi="Calibri" w:cs="Calibri"/>
      <w:lang w:val="en-GB" w:eastAsia="en-GB" w:bidi="en-GB"/>
    </w:rPr>
  </w:style>
  <w:style w:type="paragraph" w:styleId="NormalWeb">
    <w:name w:val="Normal (Web)"/>
    <w:basedOn w:val="Normal"/>
    <w:uiPriority w:val="99"/>
    <w:semiHidden/>
    <w:unhideWhenUsed/>
    <w:rsid w:val="00B8455E"/>
    <w:rPr>
      <w:rFonts w:ascii="Times New Roman" w:hAnsi="Times New Roman" w:cs="Times New Roman"/>
      <w:sz w:val="24"/>
      <w:szCs w:val="24"/>
    </w:rPr>
  </w:style>
  <w:style w:type="paragraph" w:styleId="NormalIndent">
    <w:name w:val="Normal Indent"/>
    <w:basedOn w:val="Normal"/>
    <w:uiPriority w:val="99"/>
    <w:semiHidden/>
    <w:unhideWhenUsed/>
    <w:rsid w:val="00B8455E"/>
    <w:pPr>
      <w:ind w:left="720"/>
    </w:pPr>
  </w:style>
  <w:style w:type="paragraph" w:styleId="NoteHeading">
    <w:name w:val="Note Heading"/>
    <w:basedOn w:val="Normal"/>
    <w:next w:val="Normal"/>
    <w:link w:val="NoteHeadingChar"/>
    <w:uiPriority w:val="99"/>
    <w:semiHidden/>
    <w:unhideWhenUsed/>
    <w:rsid w:val="00B8455E"/>
  </w:style>
  <w:style w:type="character" w:customStyle="1" w:styleId="NoteHeadingChar">
    <w:name w:val="Note Heading Char"/>
    <w:basedOn w:val="DefaultParagraphFont"/>
    <w:link w:val="NoteHeading"/>
    <w:uiPriority w:val="99"/>
    <w:semiHidden/>
    <w:rsid w:val="00B8455E"/>
    <w:rPr>
      <w:rFonts w:ascii="Calibri" w:eastAsia="Calibri" w:hAnsi="Calibri" w:cs="Calibri"/>
      <w:lang w:val="en-GB" w:eastAsia="en-GB" w:bidi="en-GB"/>
    </w:rPr>
  </w:style>
  <w:style w:type="paragraph" w:styleId="PlainText">
    <w:name w:val="Plain Text"/>
    <w:basedOn w:val="Normal"/>
    <w:link w:val="PlainTextChar"/>
    <w:uiPriority w:val="99"/>
    <w:semiHidden/>
    <w:unhideWhenUsed/>
    <w:rsid w:val="00B8455E"/>
    <w:rPr>
      <w:rFonts w:ascii="Consolas" w:hAnsi="Consolas"/>
      <w:sz w:val="21"/>
      <w:szCs w:val="21"/>
    </w:rPr>
  </w:style>
  <w:style w:type="character" w:customStyle="1" w:styleId="PlainTextChar">
    <w:name w:val="Plain Text Char"/>
    <w:basedOn w:val="DefaultParagraphFont"/>
    <w:link w:val="PlainText"/>
    <w:uiPriority w:val="99"/>
    <w:semiHidden/>
    <w:rsid w:val="00B8455E"/>
    <w:rPr>
      <w:rFonts w:ascii="Consolas" w:eastAsia="Calibri" w:hAnsi="Consolas" w:cs="Calibri"/>
      <w:sz w:val="21"/>
      <w:szCs w:val="21"/>
      <w:lang w:val="en-GB" w:eastAsia="en-GB" w:bidi="en-GB"/>
    </w:rPr>
  </w:style>
  <w:style w:type="paragraph" w:styleId="Quote">
    <w:name w:val="Quote"/>
    <w:basedOn w:val="Normal"/>
    <w:next w:val="Normal"/>
    <w:link w:val="QuoteChar"/>
    <w:uiPriority w:val="29"/>
    <w:qFormat/>
    <w:rsid w:val="00B8455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8455E"/>
    <w:rPr>
      <w:rFonts w:ascii="Calibri" w:eastAsia="Calibri" w:hAnsi="Calibri" w:cs="Calibri"/>
      <w:i/>
      <w:iCs/>
      <w:color w:val="404040" w:themeColor="text1" w:themeTint="BF"/>
      <w:lang w:val="en-GB" w:eastAsia="en-GB" w:bidi="en-GB"/>
    </w:rPr>
  </w:style>
  <w:style w:type="paragraph" w:styleId="Salutation">
    <w:name w:val="Salutation"/>
    <w:basedOn w:val="Normal"/>
    <w:next w:val="Normal"/>
    <w:link w:val="SalutationChar"/>
    <w:uiPriority w:val="99"/>
    <w:semiHidden/>
    <w:unhideWhenUsed/>
    <w:rsid w:val="00B8455E"/>
  </w:style>
  <w:style w:type="character" w:customStyle="1" w:styleId="SalutationChar">
    <w:name w:val="Salutation Char"/>
    <w:basedOn w:val="DefaultParagraphFont"/>
    <w:link w:val="Salutation"/>
    <w:uiPriority w:val="99"/>
    <w:semiHidden/>
    <w:rsid w:val="00B8455E"/>
    <w:rPr>
      <w:rFonts w:ascii="Calibri" w:eastAsia="Calibri" w:hAnsi="Calibri" w:cs="Calibri"/>
      <w:lang w:val="en-GB" w:eastAsia="en-GB" w:bidi="en-GB"/>
    </w:rPr>
  </w:style>
  <w:style w:type="paragraph" w:styleId="Signature">
    <w:name w:val="Signature"/>
    <w:basedOn w:val="Normal"/>
    <w:link w:val="SignatureChar"/>
    <w:uiPriority w:val="99"/>
    <w:semiHidden/>
    <w:unhideWhenUsed/>
    <w:rsid w:val="00B8455E"/>
    <w:pPr>
      <w:ind w:left="4252"/>
    </w:pPr>
  </w:style>
  <w:style w:type="character" w:customStyle="1" w:styleId="SignatureChar">
    <w:name w:val="Signature Char"/>
    <w:basedOn w:val="DefaultParagraphFont"/>
    <w:link w:val="Signature"/>
    <w:uiPriority w:val="99"/>
    <w:semiHidden/>
    <w:rsid w:val="00B8455E"/>
    <w:rPr>
      <w:rFonts w:ascii="Calibri" w:eastAsia="Calibri" w:hAnsi="Calibri" w:cs="Calibri"/>
      <w:lang w:val="en-GB" w:eastAsia="en-GB" w:bidi="en-GB"/>
    </w:rPr>
  </w:style>
  <w:style w:type="paragraph" w:styleId="TableofAuthorities">
    <w:name w:val="table of authorities"/>
    <w:basedOn w:val="Normal"/>
    <w:next w:val="Normal"/>
    <w:uiPriority w:val="99"/>
    <w:semiHidden/>
    <w:unhideWhenUsed/>
    <w:rsid w:val="00B8455E"/>
    <w:pPr>
      <w:ind w:left="220" w:hanging="220"/>
    </w:pPr>
  </w:style>
  <w:style w:type="paragraph" w:styleId="TableofFigures">
    <w:name w:val="table of figures"/>
    <w:basedOn w:val="Normal"/>
    <w:next w:val="Normal"/>
    <w:uiPriority w:val="99"/>
    <w:semiHidden/>
    <w:unhideWhenUsed/>
    <w:rsid w:val="00B8455E"/>
  </w:style>
  <w:style w:type="paragraph" w:styleId="Title">
    <w:name w:val="Title"/>
    <w:basedOn w:val="Normal"/>
    <w:next w:val="Normal"/>
    <w:link w:val="TitleChar"/>
    <w:uiPriority w:val="10"/>
    <w:rsid w:val="00B8455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55E"/>
    <w:rPr>
      <w:rFonts w:asciiTheme="majorHAnsi" w:eastAsiaTheme="majorEastAsia" w:hAnsiTheme="majorHAnsi" w:cstheme="majorBidi"/>
      <w:spacing w:val="-10"/>
      <w:kern w:val="28"/>
      <w:sz w:val="56"/>
      <w:szCs w:val="56"/>
      <w:lang w:val="en-GB" w:eastAsia="en-GB" w:bidi="en-GB"/>
    </w:rPr>
  </w:style>
  <w:style w:type="paragraph" w:styleId="TOAHeading">
    <w:name w:val="toa heading"/>
    <w:basedOn w:val="Normal"/>
    <w:next w:val="Normal"/>
    <w:uiPriority w:val="99"/>
    <w:semiHidden/>
    <w:unhideWhenUsed/>
    <w:rsid w:val="00B8455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8455E"/>
    <w:pPr>
      <w:spacing w:after="100"/>
    </w:pPr>
  </w:style>
  <w:style w:type="paragraph" w:styleId="TOC2">
    <w:name w:val="toc 2"/>
    <w:basedOn w:val="Normal"/>
    <w:next w:val="Normal"/>
    <w:autoRedefine/>
    <w:uiPriority w:val="39"/>
    <w:semiHidden/>
    <w:unhideWhenUsed/>
    <w:rsid w:val="00B8455E"/>
    <w:pPr>
      <w:spacing w:after="100"/>
      <w:ind w:left="220"/>
    </w:pPr>
  </w:style>
  <w:style w:type="paragraph" w:styleId="TOC3">
    <w:name w:val="toc 3"/>
    <w:basedOn w:val="Normal"/>
    <w:next w:val="Normal"/>
    <w:autoRedefine/>
    <w:uiPriority w:val="39"/>
    <w:semiHidden/>
    <w:unhideWhenUsed/>
    <w:rsid w:val="00B8455E"/>
    <w:pPr>
      <w:spacing w:after="100"/>
      <w:ind w:left="440"/>
    </w:pPr>
  </w:style>
  <w:style w:type="paragraph" w:styleId="TOC4">
    <w:name w:val="toc 4"/>
    <w:basedOn w:val="Normal"/>
    <w:next w:val="Normal"/>
    <w:autoRedefine/>
    <w:uiPriority w:val="39"/>
    <w:semiHidden/>
    <w:unhideWhenUsed/>
    <w:rsid w:val="00B8455E"/>
    <w:pPr>
      <w:spacing w:after="100"/>
      <w:ind w:left="660"/>
    </w:pPr>
  </w:style>
  <w:style w:type="paragraph" w:styleId="TOC5">
    <w:name w:val="toc 5"/>
    <w:basedOn w:val="Normal"/>
    <w:next w:val="Normal"/>
    <w:autoRedefine/>
    <w:uiPriority w:val="39"/>
    <w:semiHidden/>
    <w:unhideWhenUsed/>
    <w:rsid w:val="00B8455E"/>
    <w:pPr>
      <w:spacing w:after="100"/>
      <w:ind w:left="880"/>
    </w:pPr>
  </w:style>
  <w:style w:type="paragraph" w:styleId="TOC6">
    <w:name w:val="toc 6"/>
    <w:basedOn w:val="Normal"/>
    <w:next w:val="Normal"/>
    <w:autoRedefine/>
    <w:uiPriority w:val="39"/>
    <w:semiHidden/>
    <w:unhideWhenUsed/>
    <w:rsid w:val="00B8455E"/>
    <w:pPr>
      <w:spacing w:after="100"/>
      <w:ind w:left="1100"/>
    </w:pPr>
  </w:style>
  <w:style w:type="paragraph" w:styleId="TOC7">
    <w:name w:val="toc 7"/>
    <w:basedOn w:val="Normal"/>
    <w:next w:val="Normal"/>
    <w:autoRedefine/>
    <w:uiPriority w:val="39"/>
    <w:semiHidden/>
    <w:unhideWhenUsed/>
    <w:rsid w:val="00B8455E"/>
    <w:pPr>
      <w:spacing w:after="100"/>
      <w:ind w:left="1320"/>
    </w:pPr>
  </w:style>
  <w:style w:type="paragraph" w:styleId="TOC8">
    <w:name w:val="toc 8"/>
    <w:basedOn w:val="Normal"/>
    <w:next w:val="Normal"/>
    <w:autoRedefine/>
    <w:uiPriority w:val="39"/>
    <w:semiHidden/>
    <w:unhideWhenUsed/>
    <w:rsid w:val="00B8455E"/>
    <w:pPr>
      <w:spacing w:after="100"/>
      <w:ind w:left="1540"/>
    </w:pPr>
  </w:style>
  <w:style w:type="paragraph" w:styleId="TOC9">
    <w:name w:val="toc 9"/>
    <w:basedOn w:val="Normal"/>
    <w:next w:val="Normal"/>
    <w:autoRedefine/>
    <w:uiPriority w:val="39"/>
    <w:semiHidden/>
    <w:unhideWhenUsed/>
    <w:rsid w:val="00B8455E"/>
    <w:pPr>
      <w:spacing w:after="100"/>
      <w:ind w:left="1760"/>
    </w:pPr>
  </w:style>
  <w:style w:type="paragraph" w:styleId="TOCHeading">
    <w:name w:val="TOC Heading"/>
    <w:basedOn w:val="Heading1"/>
    <w:next w:val="Normal"/>
    <w:uiPriority w:val="39"/>
    <w:semiHidden/>
    <w:unhideWhenUsed/>
    <w:qFormat/>
    <w:rsid w:val="00B8455E"/>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 w:type="paragraph" w:customStyle="1" w:styleId="xxmsonormal">
    <w:name w:val="x_xmsonormal"/>
    <w:basedOn w:val="Normal"/>
    <w:rsid w:val="00CE48FE"/>
    <w:pPr>
      <w:widowControl/>
      <w:autoSpaceDE/>
      <w:autoSpaceDN/>
    </w:pPr>
    <w:rPr>
      <w:rFonts w:eastAsiaTheme="minorHAnsi"/>
      <w:lang w:bidi="ar-SA"/>
    </w:rPr>
  </w:style>
  <w:style w:type="paragraph" w:customStyle="1" w:styleId="xmsonormal">
    <w:name w:val="x_msonormal"/>
    <w:basedOn w:val="Normal"/>
    <w:rsid w:val="007F11AD"/>
    <w:pPr>
      <w:widowControl/>
      <w:autoSpaceDE/>
      <w:autoSpaceDN/>
    </w:pPr>
    <w:rPr>
      <w:rFonts w:eastAsiaTheme="minorHAnsi"/>
      <w:lang w:bidi="ar-SA"/>
    </w:rPr>
  </w:style>
  <w:style w:type="character" w:customStyle="1" w:styleId="UnresolvedMention1">
    <w:name w:val="Unresolved Mention1"/>
    <w:basedOn w:val="DefaultParagraphFont"/>
    <w:uiPriority w:val="99"/>
    <w:semiHidden/>
    <w:unhideWhenUsed/>
    <w:rsid w:val="00473D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49655">
      <w:bodyDiv w:val="1"/>
      <w:marLeft w:val="0"/>
      <w:marRight w:val="0"/>
      <w:marTop w:val="0"/>
      <w:marBottom w:val="0"/>
      <w:divBdr>
        <w:top w:val="none" w:sz="0" w:space="0" w:color="auto"/>
        <w:left w:val="none" w:sz="0" w:space="0" w:color="auto"/>
        <w:bottom w:val="none" w:sz="0" w:space="0" w:color="auto"/>
        <w:right w:val="none" w:sz="0" w:space="0" w:color="auto"/>
      </w:divBdr>
      <w:divsChild>
        <w:div w:id="881209868">
          <w:marLeft w:val="446"/>
          <w:marRight w:val="0"/>
          <w:marTop w:val="0"/>
          <w:marBottom w:val="0"/>
          <w:divBdr>
            <w:top w:val="none" w:sz="0" w:space="0" w:color="auto"/>
            <w:left w:val="none" w:sz="0" w:space="0" w:color="auto"/>
            <w:bottom w:val="none" w:sz="0" w:space="0" w:color="auto"/>
            <w:right w:val="none" w:sz="0" w:space="0" w:color="auto"/>
          </w:divBdr>
        </w:div>
      </w:divsChild>
    </w:div>
    <w:div w:id="104664660">
      <w:bodyDiv w:val="1"/>
      <w:marLeft w:val="0"/>
      <w:marRight w:val="0"/>
      <w:marTop w:val="0"/>
      <w:marBottom w:val="0"/>
      <w:divBdr>
        <w:top w:val="none" w:sz="0" w:space="0" w:color="auto"/>
        <w:left w:val="none" w:sz="0" w:space="0" w:color="auto"/>
        <w:bottom w:val="none" w:sz="0" w:space="0" w:color="auto"/>
        <w:right w:val="none" w:sz="0" w:space="0" w:color="auto"/>
      </w:divBdr>
    </w:div>
    <w:div w:id="572161101">
      <w:bodyDiv w:val="1"/>
      <w:marLeft w:val="0"/>
      <w:marRight w:val="0"/>
      <w:marTop w:val="0"/>
      <w:marBottom w:val="0"/>
      <w:divBdr>
        <w:top w:val="none" w:sz="0" w:space="0" w:color="auto"/>
        <w:left w:val="none" w:sz="0" w:space="0" w:color="auto"/>
        <w:bottom w:val="none" w:sz="0" w:space="0" w:color="auto"/>
        <w:right w:val="none" w:sz="0" w:space="0" w:color="auto"/>
      </w:divBdr>
    </w:div>
    <w:div w:id="601186579">
      <w:bodyDiv w:val="1"/>
      <w:marLeft w:val="0"/>
      <w:marRight w:val="0"/>
      <w:marTop w:val="0"/>
      <w:marBottom w:val="0"/>
      <w:divBdr>
        <w:top w:val="none" w:sz="0" w:space="0" w:color="auto"/>
        <w:left w:val="none" w:sz="0" w:space="0" w:color="auto"/>
        <w:bottom w:val="none" w:sz="0" w:space="0" w:color="auto"/>
        <w:right w:val="none" w:sz="0" w:space="0" w:color="auto"/>
      </w:divBdr>
    </w:div>
    <w:div w:id="754088550">
      <w:bodyDiv w:val="1"/>
      <w:marLeft w:val="0"/>
      <w:marRight w:val="0"/>
      <w:marTop w:val="0"/>
      <w:marBottom w:val="0"/>
      <w:divBdr>
        <w:top w:val="none" w:sz="0" w:space="0" w:color="auto"/>
        <w:left w:val="none" w:sz="0" w:space="0" w:color="auto"/>
        <w:bottom w:val="none" w:sz="0" w:space="0" w:color="auto"/>
        <w:right w:val="none" w:sz="0" w:space="0" w:color="auto"/>
      </w:divBdr>
    </w:div>
    <w:div w:id="761529366">
      <w:bodyDiv w:val="1"/>
      <w:marLeft w:val="0"/>
      <w:marRight w:val="0"/>
      <w:marTop w:val="0"/>
      <w:marBottom w:val="0"/>
      <w:divBdr>
        <w:top w:val="none" w:sz="0" w:space="0" w:color="auto"/>
        <w:left w:val="none" w:sz="0" w:space="0" w:color="auto"/>
        <w:bottom w:val="none" w:sz="0" w:space="0" w:color="auto"/>
        <w:right w:val="none" w:sz="0" w:space="0" w:color="auto"/>
      </w:divBdr>
    </w:div>
    <w:div w:id="824664376">
      <w:bodyDiv w:val="1"/>
      <w:marLeft w:val="0"/>
      <w:marRight w:val="0"/>
      <w:marTop w:val="0"/>
      <w:marBottom w:val="0"/>
      <w:divBdr>
        <w:top w:val="none" w:sz="0" w:space="0" w:color="auto"/>
        <w:left w:val="none" w:sz="0" w:space="0" w:color="auto"/>
        <w:bottom w:val="none" w:sz="0" w:space="0" w:color="auto"/>
        <w:right w:val="none" w:sz="0" w:space="0" w:color="auto"/>
      </w:divBdr>
    </w:div>
    <w:div w:id="905653303">
      <w:bodyDiv w:val="1"/>
      <w:marLeft w:val="0"/>
      <w:marRight w:val="0"/>
      <w:marTop w:val="0"/>
      <w:marBottom w:val="0"/>
      <w:divBdr>
        <w:top w:val="none" w:sz="0" w:space="0" w:color="auto"/>
        <w:left w:val="none" w:sz="0" w:space="0" w:color="auto"/>
        <w:bottom w:val="none" w:sz="0" w:space="0" w:color="auto"/>
        <w:right w:val="none" w:sz="0" w:space="0" w:color="auto"/>
      </w:divBdr>
    </w:div>
    <w:div w:id="1018044322">
      <w:bodyDiv w:val="1"/>
      <w:marLeft w:val="0"/>
      <w:marRight w:val="0"/>
      <w:marTop w:val="0"/>
      <w:marBottom w:val="0"/>
      <w:divBdr>
        <w:top w:val="none" w:sz="0" w:space="0" w:color="auto"/>
        <w:left w:val="none" w:sz="0" w:space="0" w:color="auto"/>
        <w:bottom w:val="none" w:sz="0" w:space="0" w:color="auto"/>
        <w:right w:val="none" w:sz="0" w:space="0" w:color="auto"/>
      </w:divBdr>
    </w:div>
    <w:div w:id="1025599799">
      <w:bodyDiv w:val="1"/>
      <w:marLeft w:val="0"/>
      <w:marRight w:val="0"/>
      <w:marTop w:val="0"/>
      <w:marBottom w:val="0"/>
      <w:divBdr>
        <w:top w:val="none" w:sz="0" w:space="0" w:color="auto"/>
        <w:left w:val="none" w:sz="0" w:space="0" w:color="auto"/>
        <w:bottom w:val="none" w:sz="0" w:space="0" w:color="auto"/>
        <w:right w:val="none" w:sz="0" w:space="0" w:color="auto"/>
      </w:divBdr>
    </w:div>
    <w:div w:id="1286500925">
      <w:bodyDiv w:val="1"/>
      <w:marLeft w:val="0"/>
      <w:marRight w:val="0"/>
      <w:marTop w:val="0"/>
      <w:marBottom w:val="0"/>
      <w:divBdr>
        <w:top w:val="none" w:sz="0" w:space="0" w:color="auto"/>
        <w:left w:val="none" w:sz="0" w:space="0" w:color="auto"/>
        <w:bottom w:val="none" w:sz="0" w:space="0" w:color="auto"/>
        <w:right w:val="none" w:sz="0" w:space="0" w:color="auto"/>
      </w:divBdr>
    </w:div>
    <w:div w:id="1305936964">
      <w:bodyDiv w:val="1"/>
      <w:marLeft w:val="0"/>
      <w:marRight w:val="0"/>
      <w:marTop w:val="0"/>
      <w:marBottom w:val="0"/>
      <w:divBdr>
        <w:top w:val="none" w:sz="0" w:space="0" w:color="auto"/>
        <w:left w:val="none" w:sz="0" w:space="0" w:color="auto"/>
        <w:bottom w:val="none" w:sz="0" w:space="0" w:color="auto"/>
        <w:right w:val="none" w:sz="0" w:space="0" w:color="auto"/>
      </w:divBdr>
    </w:div>
    <w:div w:id="1426269249">
      <w:bodyDiv w:val="1"/>
      <w:marLeft w:val="0"/>
      <w:marRight w:val="0"/>
      <w:marTop w:val="0"/>
      <w:marBottom w:val="0"/>
      <w:divBdr>
        <w:top w:val="none" w:sz="0" w:space="0" w:color="auto"/>
        <w:left w:val="none" w:sz="0" w:space="0" w:color="auto"/>
        <w:bottom w:val="none" w:sz="0" w:space="0" w:color="auto"/>
        <w:right w:val="none" w:sz="0" w:space="0" w:color="auto"/>
      </w:divBdr>
    </w:div>
    <w:div w:id="1462574272">
      <w:bodyDiv w:val="1"/>
      <w:marLeft w:val="0"/>
      <w:marRight w:val="0"/>
      <w:marTop w:val="0"/>
      <w:marBottom w:val="0"/>
      <w:divBdr>
        <w:top w:val="none" w:sz="0" w:space="0" w:color="auto"/>
        <w:left w:val="none" w:sz="0" w:space="0" w:color="auto"/>
        <w:bottom w:val="none" w:sz="0" w:space="0" w:color="auto"/>
        <w:right w:val="none" w:sz="0" w:space="0" w:color="auto"/>
      </w:divBdr>
    </w:div>
    <w:div w:id="1598630923">
      <w:bodyDiv w:val="1"/>
      <w:marLeft w:val="0"/>
      <w:marRight w:val="0"/>
      <w:marTop w:val="0"/>
      <w:marBottom w:val="0"/>
      <w:divBdr>
        <w:top w:val="none" w:sz="0" w:space="0" w:color="auto"/>
        <w:left w:val="none" w:sz="0" w:space="0" w:color="auto"/>
        <w:bottom w:val="none" w:sz="0" w:space="0" w:color="auto"/>
        <w:right w:val="none" w:sz="0" w:space="0" w:color="auto"/>
      </w:divBdr>
      <w:divsChild>
        <w:div w:id="1277559998">
          <w:marLeft w:val="446"/>
          <w:marRight w:val="0"/>
          <w:marTop w:val="0"/>
          <w:marBottom w:val="0"/>
          <w:divBdr>
            <w:top w:val="none" w:sz="0" w:space="0" w:color="auto"/>
            <w:left w:val="none" w:sz="0" w:space="0" w:color="auto"/>
            <w:bottom w:val="none" w:sz="0" w:space="0" w:color="auto"/>
            <w:right w:val="none" w:sz="0" w:space="0" w:color="auto"/>
          </w:divBdr>
        </w:div>
        <w:div w:id="2085295475">
          <w:marLeft w:val="446"/>
          <w:marRight w:val="0"/>
          <w:marTop w:val="0"/>
          <w:marBottom w:val="0"/>
          <w:divBdr>
            <w:top w:val="none" w:sz="0" w:space="0" w:color="auto"/>
            <w:left w:val="none" w:sz="0" w:space="0" w:color="auto"/>
            <w:bottom w:val="none" w:sz="0" w:space="0" w:color="auto"/>
            <w:right w:val="none" w:sz="0" w:space="0" w:color="auto"/>
          </w:divBdr>
        </w:div>
      </w:divsChild>
    </w:div>
    <w:div w:id="1830173209">
      <w:bodyDiv w:val="1"/>
      <w:marLeft w:val="0"/>
      <w:marRight w:val="0"/>
      <w:marTop w:val="0"/>
      <w:marBottom w:val="0"/>
      <w:divBdr>
        <w:top w:val="none" w:sz="0" w:space="0" w:color="auto"/>
        <w:left w:val="none" w:sz="0" w:space="0" w:color="auto"/>
        <w:bottom w:val="none" w:sz="0" w:space="0" w:color="auto"/>
        <w:right w:val="none" w:sz="0" w:space="0" w:color="auto"/>
      </w:divBdr>
    </w:div>
    <w:div w:id="1891841340">
      <w:bodyDiv w:val="1"/>
      <w:marLeft w:val="0"/>
      <w:marRight w:val="0"/>
      <w:marTop w:val="0"/>
      <w:marBottom w:val="0"/>
      <w:divBdr>
        <w:top w:val="none" w:sz="0" w:space="0" w:color="auto"/>
        <w:left w:val="none" w:sz="0" w:space="0" w:color="auto"/>
        <w:bottom w:val="none" w:sz="0" w:space="0" w:color="auto"/>
        <w:right w:val="none" w:sz="0" w:space="0" w:color="auto"/>
      </w:divBdr>
    </w:div>
    <w:div w:id="1967739962">
      <w:bodyDiv w:val="1"/>
      <w:marLeft w:val="0"/>
      <w:marRight w:val="0"/>
      <w:marTop w:val="0"/>
      <w:marBottom w:val="0"/>
      <w:divBdr>
        <w:top w:val="none" w:sz="0" w:space="0" w:color="auto"/>
        <w:left w:val="none" w:sz="0" w:space="0" w:color="auto"/>
        <w:bottom w:val="none" w:sz="0" w:space="0" w:color="auto"/>
        <w:right w:val="none" w:sz="0" w:space="0" w:color="auto"/>
      </w:divBdr>
    </w:div>
    <w:div w:id="2039889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eencore.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FD766C77D08640BEF7E7BBE23789C7" ma:contentTypeVersion="10" ma:contentTypeDescription="Create a new document." ma:contentTypeScope="" ma:versionID="395cfab520b8a949014eed8e4e5a78f9">
  <xsd:schema xmlns:xsd="http://www.w3.org/2001/XMLSchema" xmlns:xs="http://www.w3.org/2001/XMLSchema" xmlns:p="http://schemas.microsoft.com/office/2006/metadata/properties" xmlns:ns3="199c9252-fc15-460c-aa13-7d221f993ba4" targetNamespace="http://schemas.microsoft.com/office/2006/metadata/properties" ma:root="true" ma:fieldsID="f499e7e19484f48fb1321ec1b890b2ab" ns3:_="">
    <xsd:import namespace="199c9252-fc15-460c-aa13-7d221f993ba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c9252-fc15-460c-aa13-7d221f993b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9BFCF-25E9-463A-B5DB-6B28B8C5453C}">
  <ds:schemaRefs>
    <ds:schemaRef ds:uri="http://purl.org/dc/dcmitype/"/>
    <ds:schemaRef ds:uri="http://purl.org/dc/terms/"/>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www.w3.org/XML/1998/namespace"/>
    <ds:schemaRef ds:uri="199c9252-fc15-460c-aa13-7d221f993ba4"/>
  </ds:schemaRefs>
</ds:datastoreItem>
</file>

<file path=customXml/itemProps2.xml><?xml version="1.0" encoding="utf-8"?>
<ds:datastoreItem xmlns:ds="http://schemas.openxmlformats.org/officeDocument/2006/customXml" ds:itemID="{D0910D16-2805-4FFC-8777-1938F8019449}">
  <ds:schemaRefs>
    <ds:schemaRef ds:uri="http://schemas.microsoft.com/sharepoint/v3/contenttype/forms"/>
  </ds:schemaRefs>
</ds:datastoreItem>
</file>

<file path=customXml/itemProps3.xml><?xml version="1.0" encoding="utf-8"?>
<ds:datastoreItem xmlns:ds="http://schemas.openxmlformats.org/officeDocument/2006/customXml" ds:itemID="{203C7D07-E6D7-46BA-B33A-F7249CAF5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c9252-fc15-460c-aa13-7d221f993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504591-48E8-4DBC-BD42-8CF4FE986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21</Pages>
  <Words>13125</Words>
  <Characters>72654</Characters>
  <Application>Microsoft Office Word</Application>
  <DocSecurity>0</DocSecurity>
  <Lines>605</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Amber Bhangoo</dc:creator>
  <cp:lastModifiedBy>Natasha Short</cp:lastModifiedBy>
  <cp:revision>5</cp:revision>
  <cp:lastPrinted>2020-11-23T00:33:00Z</cp:lastPrinted>
  <dcterms:created xsi:type="dcterms:W3CDTF">2021-11-29T18:04:00Z</dcterms:created>
  <dcterms:modified xsi:type="dcterms:W3CDTF">2021-11-29T19:09:00Z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2019-10-07T00:00:00Z</vt:filetime>
  </property>
  <property fmtid="{D5CDD505-2E9C-101B-9397-08002B2CF9AE}" pid="3" name="Creator">
    <vt:lpwstr>Acrobat PDFMaker 19 for Word</vt:lpwstr>
  </property>
  <property fmtid="{D5CDD505-2E9C-101B-9397-08002B2CF9AE}" pid="4" name="LastSaved">
    <vt:filetime>2019-10-07T00:00:00Z</vt:filetime>
  </property>
  <property fmtid="{D5CDD505-2E9C-101B-9397-08002B2CF9AE}" pid="5" name="ContentTypeId">
    <vt:lpwstr>0x01010082FD766C77D08640BEF7E7BBE23789C7</vt:lpwstr>
  </property>
</Properties>
</file>