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23E8A" w14:textId="77777777" w:rsidR="00A57C80" w:rsidRPr="00BD1A2B" w:rsidRDefault="00A57C80" w:rsidP="00A57C80">
      <w:pPr>
        <w:rPr>
          <w:b/>
        </w:rPr>
      </w:pPr>
      <w:r>
        <w:t xml:space="preserve">26 January 2021 </w:t>
      </w:r>
    </w:p>
    <w:p w14:paraId="23C5F3C0" w14:textId="77777777" w:rsidR="00A57C80" w:rsidRPr="00A57C80" w:rsidRDefault="00A57C80" w:rsidP="00A57C80">
      <w:pPr>
        <w:jc w:val="center"/>
        <w:rPr>
          <w:b/>
        </w:rPr>
      </w:pPr>
      <w:r w:rsidRPr="00A57C80">
        <w:rPr>
          <w:b/>
        </w:rPr>
        <w:t>Greencore Group plc</w:t>
      </w:r>
    </w:p>
    <w:p w14:paraId="7C24C864" w14:textId="77777777" w:rsidR="00A57C80" w:rsidRPr="00A57C80" w:rsidRDefault="0035187C" w:rsidP="00A57C80">
      <w:pPr>
        <w:jc w:val="center"/>
        <w:rPr>
          <w:b/>
        </w:rPr>
      </w:pPr>
      <w:r>
        <w:rPr>
          <w:b/>
        </w:rPr>
        <w:t>A r</w:t>
      </w:r>
      <w:r w:rsidR="00A57C80" w:rsidRPr="00A57C80">
        <w:rPr>
          <w:b/>
        </w:rPr>
        <w:t>esilient Q1 performance in challenging trading conditions</w:t>
      </w:r>
    </w:p>
    <w:p w14:paraId="2A2894A6" w14:textId="77777777" w:rsidR="00A57C80" w:rsidRDefault="00A57C80" w:rsidP="00A57C80">
      <w:pPr>
        <w:jc w:val="both"/>
      </w:pPr>
      <w:r>
        <w:t>Greencore Group plc (“Greencore” or the “Group”)</w:t>
      </w:r>
      <w:r w:rsidR="007D289C">
        <w:t>,</w:t>
      </w:r>
      <w:r>
        <w:t xml:space="preserve"> a leading manufacturer of convenience foods in the UK, today issues a trading update covering the 13 weeks to 25 December 2020 (“Q1” or “the quarter”).</w:t>
      </w:r>
    </w:p>
    <w:p w14:paraId="71DB6291" w14:textId="77777777" w:rsidR="00A57C80" w:rsidRPr="00A57C80" w:rsidRDefault="00A57C80" w:rsidP="00A57C80">
      <w:pPr>
        <w:rPr>
          <w:b/>
        </w:rPr>
      </w:pPr>
      <w:r w:rsidRPr="00A57C80">
        <w:rPr>
          <w:b/>
        </w:rPr>
        <w:t>Q1 Highlights</w:t>
      </w:r>
      <w:r w:rsidRPr="00A57C80">
        <w:rPr>
          <w:b/>
          <w:vertAlign w:val="superscript"/>
        </w:rPr>
        <w:t>1,2</w:t>
      </w:r>
    </w:p>
    <w:p w14:paraId="086152B5" w14:textId="77777777" w:rsidR="00C6638D" w:rsidRDefault="00C6638D" w:rsidP="00BD1A2B">
      <w:pPr>
        <w:pStyle w:val="ListParagraph"/>
        <w:numPr>
          <w:ilvl w:val="0"/>
          <w:numId w:val="1"/>
        </w:numPr>
        <w:jc w:val="both"/>
      </w:pPr>
      <w:r>
        <w:t>Consistent focus on the Group’s three priorities – keeping our people safe, feeding the UK, and protecting our business</w:t>
      </w:r>
    </w:p>
    <w:p w14:paraId="18AEB150" w14:textId="77777777" w:rsidR="0035187C" w:rsidRDefault="00A57C80" w:rsidP="00945FC4">
      <w:pPr>
        <w:pStyle w:val="ListParagraph"/>
        <w:numPr>
          <w:ilvl w:val="0"/>
          <w:numId w:val="1"/>
        </w:numPr>
        <w:jc w:val="both"/>
      </w:pPr>
      <w:r>
        <w:t>Group revenue down 15.0% in Q1</w:t>
      </w:r>
      <w:r w:rsidR="0035187C">
        <w:t xml:space="preserve">, impacted by the reduction in mobility </w:t>
      </w:r>
      <w:r w:rsidR="00171517">
        <w:t>arising from</w:t>
      </w:r>
      <w:r w:rsidR="0035187C">
        <w:t xml:space="preserve"> tiered restrictions and lockdowns in the UK during the period</w:t>
      </w:r>
    </w:p>
    <w:p w14:paraId="00D50F73" w14:textId="77777777" w:rsidR="00393058" w:rsidRDefault="0035187C" w:rsidP="00945FC4">
      <w:pPr>
        <w:pStyle w:val="ListParagraph"/>
        <w:numPr>
          <w:ilvl w:val="0"/>
          <w:numId w:val="1"/>
        </w:numPr>
        <w:jc w:val="both"/>
      </w:pPr>
      <w:r>
        <w:t>P</w:t>
      </w:r>
      <w:r w:rsidR="00A57C80">
        <w:t>ositive</w:t>
      </w:r>
      <w:r w:rsidR="002C6C95">
        <w:t xml:space="preserve"> Adjusted Operating Profit</w:t>
      </w:r>
      <w:r w:rsidR="00A57C80">
        <w:t xml:space="preserve"> </w:t>
      </w:r>
      <w:r w:rsidR="002C6C95">
        <w:t xml:space="preserve">and </w:t>
      </w:r>
      <w:r w:rsidR="00A57C80" w:rsidRPr="009E62ED">
        <w:t>Adjusted EBITDA</w:t>
      </w:r>
      <w:r w:rsidR="00A57C80">
        <w:t xml:space="preserve"> for the quarter</w:t>
      </w:r>
    </w:p>
    <w:p w14:paraId="08BE69E6" w14:textId="77777777" w:rsidR="002D3CC4" w:rsidRDefault="002D3CC4" w:rsidP="00BD1A2B">
      <w:pPr>
        <w:pStyle w:val="ListParagraph"/>
        <w:numPr>
          <w:ilvl w:val="0"/>
          <w:numId w:val="1"/>
        </w:numPr>
        <w:jc w:val="both"/>
      </w:pPr>
      <w:r>
        <w:t xml:space="preserve">Continued to execute well against growth opportunities and secured additional </w:t>
      </w:r>
      <w:r w:rsidR="008046FD">
        <w:t xml:space="preserve">new </w:t>
      </w:r>
      <w:r>
        <w:t>business during the quarter</w:t>
      </w:r>
    </w:p>
    <w:p w14:paraId="0BF15C19" w14:textId="77777777" w:rsidR="00A57C80" w:rsidRDefault="008046FD" w:rsidP="00BD1A2B">
      <w:pPr>
        <w:pStyle w:val="ListParagraph"/>
        <w:numPr>
          <w:ilvl w:val="0"/>
          <w:numId w:val="1"/>
        </w:numPr>
        <w:jc w:val="both"/>
      </w:pPr>
      <w:r>
        <w:t xml:space="preserve">Liquidity and </w:t>
      </w:r>
      <w:r w:rsidR="00A57C80">
        <w:t xml:space="preserve">balance sheet </w:t>
      </w:r>
      <w:r>
        <w:t xml:space="preserve">strengthened through </w:t>
      </w:r>
      <w:r w:rsidR="00A57C80">
        <w:t xml:space="preserve">revised debt financing agreements and </w:t>
      </w:r>
      <w:r w:rsidR="00393058">
        <w:t xml:space="preserve">a </w:t>
      </w:r>
      <w:r w:rsidR="00A57C80">
        <w:t>successful equity placing</w:t>
      </w:r>
      <w:r w:rsidR="00B773A9">
        <w:t xml:space="preserve"> raising gross proceeds of £90m</w:t>
      </w:r>
      <w:r w:rsidR="00B72A1C">
        <w:t>,</w:t>
      </w:r>
      <w:r w:rsidR="00393058">
        <w:t xml:space="preserve"> </w:t>
      </w:r>
      <w:r>
        <w:t>protect</w:t>
      </w:r>
      <w:r w:rsidR="00B72A1C">
        <w:t>ing</w:t>
      </w:r>
      <w:r>
        <w:t xml:space="preserve"> the business in the near term and support</w:t>
      </w:r>
      <w:r w:rsidR="00B72A1C">
        <w:t>ing</w:t>
      </w:r>
      <w:r>
        <w:t xml:space="preserve"> </w:t>
      </w:r>
      <w:r w:rsidR="00B72A1C">
        <w:t>delivery of value creati</w:t>
      </w:r>
      <w:r w:rsidR="00A76D9C">
        <w:t>ng</w:t>
      </w:r>
      <w:r w:rsidR="00B72A1C">
        <w:t xml:space="preserve"> opportunities</w:t>
      </w:r>
      <w:r w:rsidR="0050794E">
        <w:t xml:space="preserve"> as trading conditions recover</w:t>
      </w:r>
      <w:r>
        <w:t xml:space="preserve"> </w:t>
      </w:r>
    </w:p>
    <w:p w14:paraId="4566EB42" w14:textId="77777777" w:rsidR="00A57C80" w:rsidRPr="00EB5405" w:rsidRDefault="00A57C80" w:rsidP="00BD1A2B">
      <w:pPr>
        <w:pStyle w:val="ListParagraph"/>
        <w:numPr>
          <w:ilvl w:val="0"/>
          <w:numId w:val="1"/>
        </w:numPr>
        <w:jc w:val="both"/>
      </w:pPr>
      <w:r w:rsidRPr="00EB5405">
        <w:t xml:space="preserve">Latest lockdown significantly impacting demand in food to go categories, though not as marked as the initial lockdown in March 2020. </w:t>
      </w:r>
      <w:r w:rsidR="00EB5405" w:rsidRPr="00EB5405">
        <w:t>Currently, p</w:t>
      </w:r>
      <w:r w:rsidR="00E16317" w:rsidRPr="00EB5405">
        <w:t xml:space="preserve">ro forma </w:t>
      </w:r>
      <w:r w:rsidRPr="00EB5405">
        <w:t xml:space="preserve">Group revenue </w:t>
      </w:r>
      <w:r w:rsidR="00EB5405" w:rsidRPr="00AD3008">
        <w:t xml:space="preserve">is </w:t>
      </w:r>
      <w:r w:rsidR="0076474D" w:rsidRPr="00EB5405">
        <w:t xml:space="preserve">approximately </w:t>
      </w:r>
      <w:r w:rsidR="00B437A2" w:rsidRPr="00EB5405">
        <w:t>20</w:t>
      </w:r>
      <w:r w:rsidRPr="00EB5405">
        <w:t xml:space="preserve">% below prior year levels, with </w:t>
      </w:r>
      <w:r w:rsidR="00373BD5" w:rsidRPr="00EB5405">
        <w:t xml:space="preserve">performance </w:t>
      </w:r>
      <w:r w:rsidRPr="00EB5405">
        <w:t xml:space="preserve">in food to go categories down </w:t>
      </w:r>
      <w:r w:rsidR="00DF1EA2" w:rsidRPr="00EB5405">
        <w:t xml:space="preserve">approximately </w:t>
      </w:r>
      <w:r w:rsidR="00B437A2" w:rsidRPr="00EB5405">
        <w:t>3</w:t>
      </w:r>
      <w:r w:rsidR="00EB5405" w:rsidRPr="00AD3008">
        <w:t>5</w:t>
      </w:r>
      <w:r w:rsidRPr="00EB5405">
        <w:t>%</w:t>
      </w:r>
      <w:r w:rsidR="00BF2E7E">
        <w:t xml:space="preserve"> on prior year</w:t>
      </w:r>
      <w:r w:rsidR="00342D1F">
        <w:t xml:space="preserve"> while other convenience categories remain stable</w:t>
      </w:r>
    </w:p>
    <w:p w14:paraId="185C1FB4" w14:textId="77777777" w:rsidR="00A57C80" w:rsidRDefault="007D289C" w:rsidP="00BD1A2B">
      <w:pPr>
        <w:pStyle w:val="ListParagraph"/>
        <w:numPr>
          <w:ilvl w:val="0"/>
          <w:numId w:val="1"/>
        </w:numPr>
        <w:jc w:val="both"/>
      </w:pPr>
      <w:r>
        <w:t>Continued near term trading uncertainty however, the Group is w</w:t>
      </w:r>
      <w:r w:rsidR="00A57C80">
        <w:t>ell positioned to build back the business rapidly as trading conditions recover</w:t>
      </w:r>
    </w:p>
    <w:p w14:paraId="2138FA95" w14:textId="77777777" w:rsidR="00A57C80" w:rsidRDefault="00A57C80" w:rsidP="00A57C80">
      <w:pPr>
        <w:pStyle w:val="ListParagraph"/>
      </w:pPr>
    </w:p>
    <w:p w14:paraId="21F1F6D4" w14:textId="77777777" w:rsidR="00A57C80" w:rsidRPr="00A57C80" w:rsidRDefault="00493B3B" w:rsidP="00A57C80">
      <w:pPr>
        <w:rPr>
          <w:b/>
        </w:rPr>
      </w:pPr>
      <w:r>
        <w:rPr>
          <w:b/>
        </w:rPr>
        <w:t xml:space="preserve">Q1 Trading </w:t>
      </w:r>
      <w:r w:rsidR="00A57C80" w:rsidRPr="00A57C80">
        <w:rPr>
          <w:b/>
          <w:vertAlign w:val="superscript"/>
        </w:rPr>
        <w:t>1,2</w:t>
      </w:r>
    </w:p>
    <w:tbl>
      <w:tblPr>
        <w:tblW w:w="86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97"/>
        <w:gridCol w:w="1756"/>
        <w:gridCol w:w="1788"/>
        <w:gridCol w:w="1701"/>
      </w:tblGrid>
      <w:tr w:rsidR="00A57C80" w14:paraId="473C6D4D" w14:textId="77777777" w:rsidTr="00AD3008">
        <w:trPr>
          <w:trHeight w:val="5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A96EE8B" w14:textId="77777777" w:rsidR="00A57C80" w:rsidRPr="00A57C80" w:rsidRDefault="00A57C80" w:rsidP="00DB6274">
            <w:pPr>
              <w:rPr>
                <w:sz w:val="10"/>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A27EE" w14:textId="77777777" w:rsidR="00A57C80" w:rsidRDefault="00A57C80" w:rsidP="00DB6274">
            <w:pPr>
              <w:pStyle w:val="Body"/>
              <w:spacing w:after="0" w:line="240" w:lineRule="auto"/>
              <w:jc w:val="center"/>
              <w:rPr>
                <w:b/>
                <w:bCs/>
              </w:rPr>
            </w:pPr>
            <w:r>
              <w:rPr>
                <w:b/>
                <w:bCs/>
              </w:rPr>
              <w:t>Revenue</w:t>
            </w:r>
          </w:p>
        </w:tc>
        <w:tc>
          <w:tcPr>
            <w:tcW w:w="34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AC2B6" w14:textId="77777777" w:rsidR="00A57C80" w:rsidRDefault="00A57C80" w:rsidP="00DB6274">
            <w:pPr>
              <w:pStyle w:val="Body"/>
              <w:spacing w:after="0" w:line="240" w:lineRule="auto"/>
              <w:jc w:val="center"/>
              <w:rPr>
                <w:b/>
                <w:bCs/>
              </w:rPr>
            </w:pPr>
            <w:r>
              <w:rPr>
                <w:b/>
                <w:bCs/>
              </w:rPr>
              <w:t>Growth</w:t>
            </w:r>
          </w:p>
        </w:tc>
      </w:tr>
      <w:tr w:rsidR="00A57C80" w14:paraId="0B41EE59" w14:textId="77777777" w:rsidTr="00AD3008">
        <w:trPr>
          <w:trHeight w:val="5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7439EAC0" w14:textId="77777777" w:rsidR="00A57C80" w:rsidRPr="00A57C80" w:rsidRDefault="00A57C80" w:rsidP="00DB6274">
            <w:pPr>
              <w:rPr>
                <w:sz w:val="10"/>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FC866" w14:textId="77777777" w:rsidR="00A57C80" w:rsidRDefault="00A57C80" w:rsidP="00DB6274">
            <w:pPr>
              <w:pStyle w:val="Body"/>
              <w:spacing w:after="0" w:line="240" w:lineRule="auto"/>
              <w:jc w:val="center"/>
            </w:pPr>
            <w:r>
              <w:rPr>
                <w:b/>
                <w:bCs/>
              </w:rPr>
              <w:t>£m</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7EC9D" w14:textId="77777777" w:rsidR="00A57C80" w:rsidRDefault="00A57C80" w:rsidP="00DB6274">
            <w:pPr>
              <w:pStyle w:val="Body"/>
              <w:spacing w:after="0" w:line="240" w:lineRule="auto"/>
              <w:jc w:val="center"/>
            </w:pPr>
            <w:r>
              <w:rPr>
                <w:b/>
                <w:bCs/>
              </w:rPr>
              <w:t>Reported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D0ABD" w14:textId="77777777" w:rsidR="00A57C80" w:rsidRDefault="00A57C80" w:rsidP="00DB6274">
            <w:pPr>
              <w:pStyle w:val="Body"/>
              <w:spacing w:after="0" w:line="240" w:lineRule="auto"/>
              <w:jc w:val="center"/>
            </w:pPr>
            <w:r>
              <w:rPr>
                <w:b/>
                <w:bCs/>
              </w:rPr>
              <w:t>Pro forma</w:t>
            </w:r>
          </w:p>
        </w:tc>
      </w:tr>
      <w:tr w:rsidR="00A57C80" w:rsidRPr="009A21BE" w14:paraId="06400887" w14:textId="77777777" w:rsidTr="00AD3008">
        <w:trPr>
          <w:trHeight w:val="5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17F34" w14:textId="77777777" w:rsidR="00A57C80" w:rsidRPr="009A21BE" w:rsidRDefault="00A57C80" w:rsidP="00DB6274">
            <w:pPr>
              <w:pStyle w:val="Body"/>
              <w:spacing w:after="0" w:line="240" w:lineRule="auto"/>
            </w:pPr>
            <w:r w:rsidRPr="009A21BE">
              <w:t xml:space="preserve">Group </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FAE7" w14:textId="77777777" w:rsidR="00A57C80" w:rsidRPr="009A21BE" w:rsidRDefault="00A57C80" w:rsidP="00DB6274">
            <w:pPr>
              <w:pStyle w:val="Body"/>
              <w:spacing w:after="0" w:line="240" w:lineRule="auto"/>
              <w:jc w:val="center"/>
            </w:pPr>
            <w:r>
              <w:t>312.7</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B6A6D" w14:textId="77777777" w:rsidR="00A57C80" w:rsidRPr="009A21BE" w:rsidRDefault="00A57C80" w:rsidP="00DB6274">
            <w:pPr>
              <w:pStyle w:val="Body"/>
              <w:spacing w:after="0" w:line="240" w:lineRule="auto"/>
              <w:jc w:val="center"/>
            </w:pPr>
            <w:r>
              <w:t>-15.0%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EB0C3" w14:textId="77777777" w:rsidR="00A57C80" w:rsidRPr="009A21BE" w:rsidRDefault="00A57C80" w:rsidP="00DB6274">
            <w:pPr>
              <w:pStyle w:val="Body"/>
              <w:spacing w:after="0" w:line="240" w:lineRule="auto"/>
              <w:jc w:val="center"/>
            </w:pPr>
            <w:r>
              <w:t>-15.1%</w:t>
            </w:r>
          </w:p>
        </w:tc>
      </w:tr>
      <w:tr w:rsidR="00A57C80" w14:paraId="38085A89" w14:textId="77777777" w:rsidTr="00AD3008">
        <w:trPr>
          <w:trHeight w:val="5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3D4CB" w14:textId="77777777" w:rsidR="00A57C80" w:rsidRDefault="00A57C80" w:rsidP="00DB6274">
            <w:pPr>
              <w:pStyle w:val="Body"/>
              <w:spacing w:after="0" w:line="240" w:lineRule="auto"/>
            </w:pPr>
            <w:r>
              <w:t>Food to go categories</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760F6" w14:textId="77777777" w:rsidR="00A57C80" w:rsidRDefault="00A57C80" w:rsidP="00DB6274">
            <w:pPr>
              <w:pStyle w:val="Body"/>
              <w:spacing w:after="0" w:line="240" w:lineRule="auto"/>
              <w:jc w:val="center"/>
            </w:pPr>
            <w:r>
              <w:t>188.5</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FA8D0" w14:textId="77777777" w:rsidR="00A57C80" w:rsidRDefault="00A57C80" w:rsidP="00DB6274">
            <w:pPr>
              <w:pStyle w:val="Body"/>
              <w:spacing w:after="0" w:line="240" w:lineRule="auto"/>
              <w:jc w:val="center"/>
            </w:pPr>
            <w:r>
              <w:t>-21.7%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C1FAE" w14:textId="77777777" w:rsidR="00A57C80" w:rsidRDefault="00A57C80">
            <w:pPr>
              <w:pStyle w:val="Body"/>
              <w:spacing w:after="0" w:line="240" w:lineRule="auto"/>
              <w:jc w:val="center"/>
            </w:pPr>
            <w:r>
              <w:t>-21.7%</w:t>
            </w:r>
          </w:p>
        </w:tc>
      </w:tr>
      <w:tr w:rsidR="00A57C80" w14:paraId="1DCFDBBB" w14:textId="77777777" w:rsidTr="00AD3008">
        <w:trPr>
          <w:trHeight w:val="57"/>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60B38" w14:textId="77777777" w:rsidR="00A57C80" w:rsidRDefault="00A57C80" w:rsidP="00DB6274">
            <w:pPr>
              <w:pStyle w:val="Body"/>
              <w:spacing w:after="0" w:line="240" w:lineRule="auto"/>
            </w:pPr>
            <w:r>
              <w:t>Other convenience food categories</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927D4" w14:textId="77777777" w:rsidR="00A57C80" w:rsidRDefault="00A57C80">
            <w:pPr>
              <w:pStyle w:val="Body"/>
              <w:spacing w:after="0" w:line="240" w:lineRule="auto"/>
              <w:jc w:val="center"/>
            </w:pPr>
            <w:r>
              <w:t>124.1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9CA9B" w14:textId="77777777" w:rsidR="00A57C80" w:rsidRDefault="00A57C80" w:rsidP="00DB6274">
            <w:pPr>
              <w:pStyle w:val="Body"/>
              <w:spacing w:after="0" w:line="240" w:lineRule="auto"/>
              <w:jc w:val="center"/>
            </w:pPr>
            <w: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E66F1" w14:textId="77777777" w:rsidR="00A57C80" w:rsidRDefault="00A57C80">
            <w:pPr>
              <w:pStyle w:val="Body"/>
              <w:spacing w:after="0" w:line="240" w:lineRule="auto"/>
              <w:jc w:val="center"/>
            </w:pPr>
            <w:r w:rsidRPr="00AD3008">
              <w:t>-2.1%</w:t>
            </w:r>
          </w:p>
        </w:tc>
      </w:tr>
    </w:tbl>
    <w:p w14:paraId="4A2D66E8" w14:textId="77777777" w:rsidR="00A57C80" w:rsidRDefault="00A57C80" w:rsidP="00A57C80"/>
    <w:tbl>
      <w:tblPr>
        <w:tblW w:w="86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97"/>
        <w:gridCol w:w="1748"/>
        <w:gridCol w:w="1748"/>
        <w:gridCol w:w="1749"/>
      </w:tblGrid>
      <w:tr w:rsidR="00DF1EA2" w14:paraId="0280302E" w14:textId="77777777" w:rsidTr="00AD3008">
        <w:trPr>
          <w:trHeight w:val="221"/>
          <w:jc w:val="center"/>
        </w:trPr>
        <w:tc>
          <w:tcPr>
            <w:tcW w:w="339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1A12E" w14:textId="77777777" w:rsidR="00DF1EA2" w:rsidRDefault="00DF1EA2" w:rsidP="00DB6274"/>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145D0" w14:textId="77777777" w:rsidR="00DF1EA2" w:rsidRDefault="00DF1EA2" w:rsidP="00DB6274">
            <w:pPr>
              <w:pStyle w:val="Body"/>
              <w:spacing w:after="0" w:line="240" w:lineRule="auto"/>
              <w:jc w:val="center"/>
            </w:pPr>
            <w:r>
              <w:rPr>
                <w:b/>
                <w:bCs/>
              </w:rPr>
              <w:t xml:space="preserve"> Pro Forma Revenue Growth</w:t>
            </w:r>
          </w:p>
        </w:tc>
      </w:tr>
      <w:tr w:rsidR="00DF1EA2" w14:paraId="1977596D" w14:textId="77777777" w:rsidTr="00AD3008">
        <w:trPr>
          <w:trHeight w:val="221"/>
          <w:jc w:val="center"/>
        </w:trPr>
        <w:tc>
          <w:tcPr>
            <w:tcW w:w="3397" w:type="dxa"/>
            <w:vMerge/>
            <w:tcBorders>
              <w:top w:val="single" w:sz="4" w:space="0" w:color="000000"/>
              <w:left w:val="single" w:sz="4" w:space="0" w:color="000000"/>
              <w:bottom w:val="single" w:sz="4" w:space="0" w:color="000000"/>
              <w:right w:val="single" w:sz="4" w:space="0" w:color="000000"/>
            </w:tcBorders>
            <w:shd w:val="clear" w:color="auto" w:fill="auto"/>
          </w:tcPr>
          <w:p w14:paraId="0AC5129B" w14:textId="77777777" w:rsidR="00DF1EA2" w:rsidRDefault="00DF1EA2" w:rsidP="00DB6274"/>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77923" w14:textId="77777777" w:rsidR="00DF1EA2" w:rsidRDefault="00DF1EA2" w:rsidP="00DF1EA2">
            <w:pPr>
              <w:pStyle w:val="Body"/>
              <w:spacing w:after="0" w:line="240" w:lineRule="auto"/>
              <w:jc w:val="center"/>
            </w:pPr>
            <w:r>
              <w:rPr>
                <w:b/>
                <w:bCs/>
              </w:rPr>
              <w:t>October 2020</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F005C" w14:textId="77777777" w:rsidR="00DF1EA2" w:rsidRDefault="00DF1EA2" w:rsidP="00DF1EA2">
            <w:pPr>
              <w:pStyle w:val="Body"/>
              <w:spacing w:after="0" w:line="240" w:lineRule="auto"/>
              <w:jc w:val="center"/>
            </w:pPr>
            <w:r>
              <w:rPr>
                <w:b/>
                <w:bCs/>
              </w:rPr>
              <w:t>November 2020</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D8D02" w14:textId="77777777" w:rsidR="00DF1EA2" w:rsidRDefault="00DF1EA2" w:rsidP="00DB6274">
            <w:pPr>
              <w:pStyle w:val="Body"/>
              <w:spacing w:after="0" w:line="240" w:lineRule="auto"/>
              <w:jc w:val="center"/>
            </w:pPr>
            <w:r>
              <w:rPr>
                <w:b/>
                <w:bCs/>
              </w:rPr>
              <w:t>December 2020</w:t>
            </w:r>
          </w:p>
        </w:tc>
      </w:tr>
      <w:tr w:rsidR="00DF1EA2" w14:paraId="2FDA7BEB" w14:textId="77777777" w:rsidTr="00AD3008">
        <w:trPr>
          <w:trHeight w:val="22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E59F5" w14:textId="77777777" w:rsidR="00DF1EA2" w:rsidRDefault="00DF1EA2" w:rsidP="00DB6274">
            <w:pPr>
              <w:pStyle w:val="Body"/>
              <w:spacing w:after="0" w:line="240" w:lineRule="auto"/>
            </w:pPr>
            <w:r>
              <w:t>Group</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DB7B0" w14:textId="77777777" w:rsidR="00DF1EA2" w:rsidRPr="00925715" w:rsidRDefault="00DF1EA2" w:rsidP="00DB6274">
            <w:pPr>
              <w:pStyle w:val="Body"/>
              <w:spacing w:after="0" w:line="240" w:lineRule="auto"/>
              <w:jc w:val="center"/>
            </w:pPr>
            <w:r>
              <w:t>-15%</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CB0CF" w14:textId="77777777" w:rsidR="00DF1EA2" w:rsidRPr="00925715" w:rsidRDefault="00DF1EA2" w:rsidP="00DB6274">
            <w:pPr>
              <w:pStyle w:val="Body"/>
              <w:spacing w:after="0" w:line="240" w:lineRule="auto"/>
              <w:jc w:val="center"/>
            </w:pPr>
            <w:r>
              <w:t>-17</w:t>
            </w:r>
            <w:r w:rsidRPr="0046326F">
              <w: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7AED2" w14:textId="77777777" w:rsidR="00DF1EA2" w:rsidRPr="00925715" w:rsidRDefault="00DF1EA2" w:rsidP="00DB6274">
            <w:pPr>
              <w:pStyle w:val="Body"/>
              <w:spacing w:after="0" w:line="240" w:lineRule="auto"/>
              <w:jc w:val="center"/>
            </w:pPr>
            <w:r>
              <w:t>-14</w:t>
            </w:r>
            <w:r w:rsidRPr="0046326F">
              <w:t>%</w:t>
            </w:r>
          </w:p>
        </w:tc>
      </w:tr>
      <w:tr w:rsidR="00DF1EA2" w14:paraId="51827196" w14:textId="77777777" w:rsidTr="00AD3008">
        <w:trPr>
          <w:trHeight w:val="22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0A0BD" w14:textId="77777777" w:rsidR="00DF1EA2" w:rsidRDefault="00DF1EA2" w:rsidP="00DB6274">
            <w:pPr>
              <w:pStyle w:val="Body"/>
              <w:spacing w:after="0" w:line="240" w:lineRule="auto"/>
            </w:pPr>
            <w:r>
              <w:t>Food to go categories</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35F9B" w14:textId="77777777" w:rsidR="00DF1EA2" w:rsidRDefault="00DF1EA2">
            <w:pPr>
              <w:pStyle w:val="Body"/>
              <w:spacing w:after="0" w:line="240" w:lineRule="auto"/>
              <w:jc w:val="center"/>
            </w:pPr>
            <w:r>
              <w:t>-22</w:t>
            </w:r>
            <w:r w:rsidRPr="00DF480A">
              <w:t>%</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79B58" w14:textId="77777777" w:rsidR="00DF1EA2" w:rsidRDefault="00DF1EA2">
            <w:pPr>
              <w:pStyle w:val="Body"/>
              <w:spacing w:after="0" w:line="240" w:lineRule="auto"/>
              <w:jc w:val="center"/>
            </w:pPr>
            <w:r>
              <w:t>-24</w:t>
            </w:r>
            <w:r w:rsidRPr="0046326F">
              <w: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F573D" w14:textId="77777777" w:rsidR="00DF1EA2" w:rsidRDefault="00DF1EA2">
            <w:pPr>
              <w:pStyle w:val="Body"/>
              <w:spacing w:after="0" w:line="240" w:lineRule="auto"/>
              <w:jc w:val="center"/>
            </w:pPr>
            <w:r>
              <w:t>-20</w:t>
            </w:r>
            <w:r w:rsidRPr="0046326F">
              <w:t>%</w:t>
            </w:r>
          </w:p>
        </w:tc>
      </w:tr>
      <w:tr w:rsidR="00DF1EA2" w14:paraId="77822137" w14:textId="77777777" w:rsidTr="00AD3008">
        <w:trPr>
          <w:trHeight w:val="221"/>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C6AB3" w14:textId="77777777" w:rsidR="00DF1EA2" w:rsidRDefault="00DF1EA2" w:rsidP="00DB6274">
            <w:pPr>
              <w:pStyle w:val="Body"/>
              <w:spacing w:after="0" w:line="240" w:lineRule="auto"/>
            </w:pPr>
            <w:r>
              <w:t>Other convenience food categories</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61B62" w14:textId="77777777" w:rsidR="00DF1EA2" w:rsidRPr="00925715" w:rsidRDefault="00DF1EA2" w:rsidP="00DB6274">
            <w:pPr>
              <w:pStyle w:val="Body"/>
              <w:spacing w:after="0" w:line="240" w:lineRule="auto"/>
              <w:jc w:val="center"/>
            </w:pPr>
            <w:r>
              <w:t>-2</w:t>
            </w:r>
            <w:r w:rsidRPr="00DF480A">
              <w:t>%</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56DF2" w14:textId="77777777" w:rsidR="00DF1EA2" w:rsidRPr="00925715" w:rsidRDefault="00DF1EA2">
            <w:pPr>
              <w:pStyle w:val="Body"/>
              <w:spacing w:after="0" w:line="240" w:lineRule="auto"/>
              <w:jc w:val="center"/>
            </w:pPr>
            <w:r>
              <w:t>-2</w:t>
            </w:r>
            <w:r w:rsidRPr="0046326F">
              <w: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7B39B" w14:textId="77777777" w:rsidR="00DF1EA2" w:rsidRPr="00925715" w:rsidRDefault="00DF1EA2">
            <w:pPr>
              <w:pStyle w:val="Body"/>
              <w:spacing w:after="0" w:line="240" w:lineRule="auto"/>
              <w:jc w:val="center"/>
            </w:pPr>
            <w:r>
              <w:t>-2</w:t>
            </w:r>
            <w:r w:rsidRPr="0046326F">
              <w:t>%</w:t>
            </w:r>
          </w:p>
        </w:tc>
      </w:tr>
    </w:tbl>
    <w:p w14:paraId="56412800" w14:textId="77777777" w:rsidR="00A57C80" w:rsidRDefault="00A57C80" w:rsidP="00A57C80"/>
    <w:p w14:paraId="1CA86CEE" w14:textId="77777777" w:rsidR="00A57C80" w:rsidRDefault="00A57C80" w:rsidP="00A57C80">
      <w:pPr>
        <w:jc w:val="both"/>
      </w:pPr>
      <w:r w:rsidRPr="00373BD5">
        <w:lastRenderedPageBreak/>
        <w:t xml:space="preserve">Greencore’s </w:t>
      </w:r>
      <w:r w:rsidR="00373BD5">
        <w:t xml:space="preserve">purposeful leadership and its </w:t>
      </w:r>
      <w:r w:rsidRPr="00373BD5">
        <w:t>three priorities</w:t>
      </w:r>
      <w:r>
        <w:t xml:space="preserve"> - keeping our people safe, feeding the UK, and protecting our business – continued to provide a clear direction for the Group in Q1. The organisation, supply chain and production network </w:t>
      </w:r>
      <w:r w:rsidR="00B773A9">
        <w:t xml:space="preserve">all </w:t>
      </w:r>
      <w:r>
        <w:t>functioned well</w:t>
      </w:r>
      <w:r w:rsidR="00B773A9">
        <w:t xml:space="preserve"> in the period,</w:t>
      </w:r>
      <w:r>
        <w:t xml:space="preserve"> enabling </w:t>
      </w:r>
      <w:r w:rsidR="00B773A9">
        <w:t xml:space="preserve">the Group to maintain its high </w:t>
      </w:r>
      <w:r>
        <w:t>levels of customer service</w:t>
      </w:r>
      <w:r w:rsidR="00B773A9">
        <w:t xml:space="preserve"> and satisfaction</w:t>
      </w:r>
      <w:r w:rsidR="00B773A9" w:rsidRPr="00B773A9">
        <w:t xml:space="preserve"> </w:t>
      </w:r>
      <w:r w:rsidR="00B773A9">
        <w:t>in this challenging operating environment</w:t>
      </w:r>
      <w:r>
        <w:t>.</w:t>
      </w:r>
    </w:p>
    <w:p w14:paraId="0467B3A4" w14:textId="77777777" w:rsidR="00A57C80" w:rsidRDefault="00171517" w:rsidP="00A57C80">
      <w:pPr>
        <w:jc w:val="both"/>
      </w:pPr>
      <w:r>
        <w:t>T</w:t>
      </w:r>
      <w:r w:rsidR="00A57C80">
        <w:t xml:space="preserve">he Group’s reported revenue </w:t>
      </w:r>
      <w:r>
        <w:t xml:space="preserve">in Q1 </w:t>
      </w:r>
      <w:r w:rsidR="00A57C80">
        <w:t xml:space="preserve">was £312.7m, a decrease of 15.0% on the prior year, reflecting the impact of COVID-19 </w:t>
      </w:r>
      <w:r w:rsidR="00B773A9">
        <w:t xml:space="preserve">related restrictions </w:t>
      </w:r>
      <w:r w:rsidR="00A57C80">
        <w:t xml:space="preserve">on </w:t>
      </w:r>
      <w:r w:rsidR="003947C8">
        <w:t xml:space="preserve">demand in </w:t>
      </w:r>
      <w:r w:rsidR="00A57C80">
        <w:t xml:space="preserve">food to go categories. On a pro forma basis, Group revenue decreased by 15.1%. </w:t>
      </w:r>
      <w:r w:rsidR="00AB66BE">
        <w:t>The Group continued to execute well against growth opportunities and secured additional new business during the quarter.</w:t>
      </w:r>
    </w:p>
    <w:p w14:paraId="19635181" w14:textId="77777777" w:rsidR="00A57C80" w:rsidRDefault="00A57C80" w:rsidP="00A57C80">
      <w:pPr>
        <w:jc w:val="both"/>
      </w:pPr>
      <w:r>
        <w:t>In the Group’s food to go categories, reported revenue was £188.5m in Q1, a decrease of 21.7% on</w:t>
      </w:r>
      <w:r w:rsidR="007D289C">
        <w:t xml:space="preserve"> both</w:t>
      </w:r>
      <w:r>
        <w:t xml:space="preserve"> a reported and pro forma basis. The recovery in demand that was evident at the end of FY20 was impeded by the tiered regional restrictions</w:t>
      </w:r>
      <w:r w:rsidR="00171517">
        <w:t xml:space="preserve"> on mobil</w:t>
      </w:r>
      <w:r w:rsidR="0035187C">
        <w:t>ity</w:t>
      </w:r>
      <w:r>
        <w:t xml:space="preserve"> introduced across the UK in October, and </w:t>
      </w:r>
      <w:r w:rsidR="00171517">
        <w:t xml:space="preserve">then </w:t>
      </w:r>
      <w:r>
        <w:t>by a subsequent national lockdown until early December</w:t>
      </w:r>
      <w:r w:rsidR="00392EC0">
        <w:t>, followed by the implementation of tiered regional lockdowns.</w:t>
      </w:r>
    </w:p>
    <w:p w14:paraId="123A7AD0" w14:textId="77777777" w:rsidR="00A57C80" w:rsidRDefault="00A57C80" w:rsidP="00A57C80">
      <w:pPr>
        <w:jc w:val="both"/>
      </w:pPr>
      <w:r>
        <w:t xml:space="preserve">Reported revenue in the Group’s other convenience food categories was £124.1m in Q1, a decrease of 2.1% on </w:t>
      </w:r>
      <w:r w:rsidR="007D289C">
        <w:t xml:space="preserve">both </w:t>
      </w:r>
      <w:r>
        <w:t xml:space="preserve">a reported </w:t>
      </w:r>
      <w:r w:rsidR="007D289C">
        <w:t xml:space="preserve">and pro forma </w:t>
      </w:r>
      <w:r>
        <w:t xml:space="preserve">basis. </w:t>
      </w:r>
    </w:p>
    <w:p w14:paraId="688632D6" w14:textId="77777777" w:rsidR="00A57C80" w:rsidRDefault="00A57C80" w:rsidP="00A57C80">
      <w:pPr>
        <w:jc w:val="both"/>
      </w:pPr>
      <w:r>
        <w:t>During the quarter the Group continued to focus on cost and cash</w:t>
      </w:r>
      <w:r w:rsidR="009D2933">
        <w:t xml:space="preserve"> </w:t>
      </w:r>
      <w:r>
        <w:t xml:space="preserve">flow mitigants to protect the business, including the renewed use of furlough supports, pay freezes, elimination of discretionary spending, and a reduction in planned capital expenditures. </w:t>
      </w:r>
      <w:r w:rsidR="00171517">
        <w:t xml:space="preserve">These initiatives </w:t>
      </w:r>
      <w:r w:rsidR="00945FC4">
        <w:t xml:space="preserve">supported </w:t>
      </w:r>
      <w:r w:rsidR="00171517">
        <w:t xml:space="preserve">the </w:t>
      </w:r>
      <w:r w:rsidR="00945FC4">
        <w:t>delivery of</w:t>
      </w:r>
      <w:r>
        <w:t xml:space="preserve"> positive</w:t>
      </w:r>
      <w:r w:rsidR="002C6C95">
        <w:t xml:space="preserve"> Adjusted Operating Profit</w:t>
      </w:r>
      <w:r>
        <w:t xml:space="preserve"> </w:t>
      </w:r>
      <w:r w:rsidR="00152248">
        <w:t xml:space="preserve">and </w:t>
      </w:r>
      <w:r w:rsidRPr="00BD1A2B">
        <w:t>Adjusted EBITDA</w:t>
      </w:r>
      <w:r>
        <w:t xml:space="preserve"> in Q1. </w:t>
      </w:r>
    </w:p>
    <w:p w14:paraId="7F591B33" w14:textId="77777777" w:rsidR="00A57C80" w:rsidRDefault="00A57C80" w:rsidP="00A57C80">
      <w:pPr>
        <w:jc w:val="both"/>
      </w:pPr>
      <w:r>
        <w:t xml:space="preserve">The Group’s </w:t>
      </w:r>
      <w:r w:rsidR="00B72A1C">
        <w:t xml:space="preserve">liquidity and </w:t>
      </w:r>
      <w:r>
        <w:t xml:space="preserve">balance sheet was also strengthened in Q1. The Group secured revised </w:t>
      </w:r>
      <w:r w:rsidR="00CB71B8">
        <w:t xml:space="preserve">debt </w:t>
      </w:r>
      <w:r>
        <w:t>financing facilities and amendments on near term covenant conditions, raised gross proceeds of £90m in a</w:t>
      </w:r>
      <w:r w:rsidR="007D289C">
        <w:t>n</w:t>
      </w:r>
      <w:r>
        <w:t xml:space="preserve"> equity placing, and completed the sale of its molasses businesses</w:t>
      </w:r>
      <w:r w:rsidR="00392EC0">
        <w:t xml:space="preserve"> </w:t>
      </w:r>
      <w:r w:rsidR="00AB66BE">
        <w:t xml:space="preserve">for cash consideration of </w:t>
      </w:r>
      <w:r w:rsidR="00BA0E4F">
        <w:t xml:space="preserve">approximately </w:t>
      </w:r>
      <w:r w:rsidR="00AB66BE">
        <w:t>£</w:t>
      </w:r>
      <w:r w:rsidR="00BA0E4F">
        <w:t>15.5</w:t>
      </w:r>
      <w:r w:rsidR="00AB66BE">
        <w:t xml:space="preserve">m. </w:t>
      </w:r>
    </w:p>
    <w:p w14:paraId="18755D1B" w14:textId="77777777" w:rsidR="00493B3B" w:rsidRPr="00BD1A2B" w:rsidRDefault="00493B3B" w:rsidP="00BD1A2B">
      <w:pPr>
        <w:rPr>
          <w:b/>
        </w:rPr>
      </w:pPr>
      <w:r>
        <w:rPr>
          <w:b/>
        </w:rPr>
        <w:t>Outlook</w:t>
      </w:r>
      <w:r w:rsidR="00DF1EA2" w:rsidRPr="00A57C80">
        <w:rPr>
          <w:b/>
          <w:vertAlign w:val="superscript"/>
        </w:rPr>
        <w:t>1,2</w:t>
      </w:r>
    </w:p>
    <w:p w14:paraId="698185BC" w14:textId="77777777" w:rsidR="00373BD5" w:rsidRDefault="0023579D" w:rsidP="00A57C80">
      <w:pPr>
        <w:jc w:val="both"/>
      </w:pPr>
      <w:r>
        <w:t xml:space="preserve">A further national lockdown was introduced on 4 January </w:t>
      </w:r>
      <w:r w:rsidRPr="00EB5405">
        <w:t>2021</w:t>
      </w:r>
      <w:r w:rsidRPr="00AD3008">
        <w:t xml:space="preserve"> and, as a result, </w:t>
      </w:r>
      <w:r>
        <w:t>Group revenue is currently 20% below prior year levels. P</w:t>
      </w:r>
      <w:r w:rsidRPr="00EB5405">
        <w:t xml:space="preserve">ro forma revenue in the Group’s food to go categories </w:t>
      </w:r>
      <w:r w:rsidRPr="00AD3008">
        <w:t xml:space="preserve">is </w:t>
      </w:r>
      <w:r>
        <w:t xml:space="preserve">currently </w:t>
      </w:r>
      <w:r w:rsidRPr="00AD3008">
        <w:t xml:space="preserve">running </w:t>
      </w:r>
      <w:r w:rsidRPr="00EB5405">
        <w:t>approximately 3</w:t>
      </w:r>
      <w:r w:rsidRPr="00AD3008">
        <w:t>5</w:t>
      </w:r>
      <w:r w:rsidRPr="00EB5405">
        <w:t>% below prior year levels</w:t>
      </w:r>
      <w:r>
        <w:t>, while p</w:t>
      </w:r>
      <w:r w:rsidRPr="00EB5405">
        <w:t xml:space="preserve">erformance in the Group’s other convenience categories </w:t>
      </w:r>
      <w:r w:rsidRPr="00AD3008">
        <w:t>is stable</w:t>
      </w:r>
      <w:r>
        <w:t xml:space="preserve"> year on year</w:t>
      </w:r>
      <w:r w:rsidRPr="00EB5405">
        <w:t>.</w:t>
      </w:r>
      <w:r>
        <w:t xml:space="preserve"> </w:t>
      </w:r>
      <w:r w:rsidR="00373BD5">
        <w:t>The Group will continue to proactively manage cost</w:t>
      </w:r>
      <w:r w:rsidR="00392EC0">
        <w:t>s</w:t>
      </w:r>
      <w:r w:rsidR="00373BD5">
        <w:t xml:space="preserve"> </w:t>
      </w:r>
      <w:r w:rsidR="00AB374B">
        <w:t>and cash flow</w:t>
      </w:r>
      <w:r w:rsidR="00373BD5">
        <w:t xml:space="preserve"> through the duration of the current lockdown</w:t>
      </w:r>
      <w:r w:rsidR="0050794E">
        <w:t xml:space="preserve">, while also </w:t>
      </w:r>
      <w:r w:rsidR="00AB374B">
        <w:t>prepar</w:t>
      </w:r>
      <w:r w:rsidR="0050794E">
        <w:t>ing</w:t>
      </w:r>
      <w:r w:rsidR="00AB374B">
        <w:t xml:space="preserve"> for recovery </w:t>
      </w:r>
      <w:r w:rsidR="0050794E">
        <w:t xml:space="preserve">and growth </w:t>
      </w:r>
      <w:r w:rsidR="00171517">
        <w:t>as mobility restrictions begin to ease</w:t>
      </w:r>
      <w:r w:rsidR="00373BD5">
        <w:t>.</w:t>
      </w:r>
    </w:p>
    <w:p w14:paraId="28F46E97" w14:textId="77777777" w:rsidR="00A57C80" w:rsidRDefault="00A57C80" w:rsidP="00A57C80">
      <w:pPr>
        <w:jc w:val="both"/>
      </w:pPr>
      <w:r>
        <w:t>The free trade agreement negotiated between the EU and the UK entered into force on 1 January 2021. The operational impact has been modest to date</w:t>
      </w:r>
      <w:r w:rsidR="00AB66BE">
        <w:t xml:space="preserve"> as the Group had completed extensive Brexit planning and was well prepared for any near term volatility in the supply chain</w:t>
      </w:r>
      <w:r>
        <w:t>.</w:t>
      </w:r>
      <w:r w:rsidR="0023579D" w:rsidDel="0023579D">
        <w:t xml:space="preserve"> </w:t>
      </w:r>
    </w:p>
    <w:p w14:paraId="444362E8" w14:textId="77777777" w:rsidR="00A57C80" w:rsidRDefault="00A57C80" w:rsidP="00A57C80">
      <w:pPr>
        <w:jc w:val="both"/>
      </w:pPr>
      <w:r>
        <w:t xml:space="preserve">The ongoing uncertainty regarding the duration and impact of COVID-19 on the Group’s trading environment, and in particular on demand in its food to go categories, continues to make it difficult to predict FY21 performance. In this context, the Group’s financial guidance remains suspended. </w:t>
      </w:r>
    </w:p>
    <w:p w14:paraId="68364621" w14:textId="77777777" w:rsidR="00A57C80" w:rsidRDefault="00A57C80" w:rsidP="00A57C80">
      <w:pPr>
        <w:jc w:val="both"/>
      </w:pPr>
      <w:r>
        <w:t xml:space="preserve">Greencore will report its H1 21 results on 25 May 2021. </w:t>
      </w:r>
    </w:p>
    <w:p w14:paraId="052D56C1" w14:textId="77777777" w:rsidR="00A57C80" w:rsidRDefault="00A57C80" w:rsidP="00A57C80"/>
    <w:p w14:paraId="3765D9C5" w14:textId="77777777" w:rsidR="00A57C80" w:rsidRDefault="00A57C80" w:rsidP="00A57C80">
      <w:pPr>
        <w:rPr>
          <w:b/>
        </w:rPr>
      </w:pPr>
      <w:r w:rsidRPr="00A57C80">
        <w:rPr>
          <w:b/>
        </w:rPr>
        <w:t xml:space="preserve">Commenting on the performance, Patrick Coveney, </w:t>
      </w:r>
      <w:r>
        <w:rPr>
          <w:b/>
        </w:rPr>
        <w:t xml:space="preserve">Chief Executive Officer, said: </w:t>
      </w:r>
    </w:p>
    <w:p w14:paraId="5960221F" w14:textId="77777777" w:rsidR="00171517" w:rsidRPr="00171517" w:rsidRDefault="00171517" w:rsidP="009E62ED">
      <w:pPr>
        <w:jc w:val="both"/>
        <w:rPr>
          <w:i/>
        </w:rPr>
      </w:pPr>
      <w:r w:rsidRPr="00171517">
        <w:rPr>
          <w:i/>
        </w:rPr>
        <w:lastRenderedPageBreak/>
        <w:t xml:space="preserve">“This has been another challenging </w:t>
      </w:r>
      <w:r w:rsidR="0023579D">
        <w:rPr>
          <w:i/>
        </w:rPr>
        <w:t xml:space="preserve">period </w:t>
      </w:r>
      <w:r w:rsidRPr="00171517">
        <w:rPr>
          <w:i/>
        </w:rPr>
        <w:t xml:space="preserve">for Greencore, and as ever I would like to thank all of our colleagues for the outstanding professionalism and resilience that they are showing.  Although the difficult trading conditions are likely to persist in the near term, we remain confident that demand for our food to go categories will recover strongly as the effects of COVID-19 recede and </w:t>
      </w:r>
      <w:r>
        <w:rPr>
          <w:i/>
        </w:rPr>
        <w:t>mobility restrictions are removed</w:t>
      </w:r>
      <w:r w:rsidRPr="00171517">
        <w:rPr>
          <w:i/>
        </w:rPr>
        <w:t xml:space="preserve">. </w:t>
      </w:r>
    </w:p>
    <w:p w14:paraId="5809EB02" w14:textId="77777777" w:rsidR="00A57C80" w:rsidRPr="00A57C80" w:rsidRDefault="00171517" w:rsidP="00A57C80">
      <w:pPr>
        <w:jc w:val="both"/>
        <w:rPr>
          <w:i/>
        </w:rPr>
      </w:pPr>
      <w:r w:rsidRPr="00171517">
        <w:rPr>
          <w:i/>
        </w:rPr>
        <w:t>We secured a number of new business wins in the quarter and have a healthy commercial pipeline</w:t>
      </w:r>
      <w:r w:rsidR="00CB71B8">
        <w:rPr>
          <w:i/>
        </w:rPr>
        <w:t xml:space="preserve"> as we look forward</w:t>
      </w:r>
      <w:r w:rsidRPr="00171517">
        <w:rPr>
          <w:i/>
        </w:rPr>
        <w:t xml:space="preserve">. In addition, the operational, debt and equity measures that we have taken in recent months provide us with a strong foundation from which to navigate our way through </w:t>
      </w:r>
      <w:r w:rsidR="00281664">
        <w:rPr>
          <w:i/>
        </w:rPr>
        <w:t>all of the</w:t>
      </w:r>
      <w:r w:rsidRPr="00171517">
        <w:rPr>
          <w:i/>
        </w:rPr>
        <w:t xml:space="preserve"> challenges of COVID-19. </w:t>
      </w:r>
      <w:r w:rsidR="00473531">
        <w:rPr>
          <w:i/>
        </w:rPr>
        <w:t>W</w:t>
      </w:r>
      <w:r w:rsidRPr="00171517">
        <w:rPr>
          <w:i/>
        </w:rPr>
        <w:t>e are confident that we have the capability and resources to build back the business rapidly as soon as market conditions allow, and we are optimistic about the medium-term prospects for Greencore.”</w:t>
      </w:r>
    </w:p>
    <w:p w14:paraId="2AFB1028" w14:textId="77777777" w:rsidR="00A57C80" w:rsidRDefault="00A57C80" w:rsidP="00A57C80"/>
    <w:p w14:paraId="7CA7A991" w14:textId="77777777" w:rsidR="00A57C80" w:rsidRPr="00A57C80" w:rsidRDefault="00A57C80" w:rsidP="00A57C80">
      <w:pPr>
        <w:rPr>
          <w:b/>
        </w:rPr>
      </w:pPr>
      <w:r w:rsidRPr="00A57C80">
        <w:rPr>
          <w:b/>
        </w:rPr>
        <w:t>Conference Call</w:t>
      </w:r>
    </w:p>
    <w:p w14:paraId="4721141D" w14:textId="77777777" w:rsidR="00A57C80" w:rsidRDefault="00A57C80" w:rsidP="00A57C80">
      <w:r>
        <w:t>A conference call for investors and analysts will be held at 8.30am on 26 January 2021.  Registration and dial in details are available at www.greencore.com/investor-relations/</w:t>
      </w:r>
    </w:p>
    <w:p w14:paraId="5B0D80DD" w14:textId="77777777" w:rsidR="00A57C80" w:rsidRDefault="00A57C80" w:rsidP="00A57C80"/>
    <w:p w14:paraId="30158071" w14:textId="77777777" w:rsidR="00A57C80" w:rsidRPr="00A57C80" w:rsidRDefault="00A57C80" w:rsidP="00A57C80">
      <w:pPr>
        <w:rPr>
          <w:b/>
        </w:rPr>
      </w:pPr>
      <w:r w:rsidRPr="00A57C80">
        <w:rPr>
          <w:b/>
        </w:rPr>
        <w:t>For further information, please contact:</w:t>
      </w:r>
    </w:p>
    <w:tbl>
      <w:tblPr>
        <w:tblW w:w="88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11"/>
        <w:gridCol w:w="3109"/>
        <w:gridCol w:w="2700"/>
      </w:tblGrid>
      <w:tr w:rsidR="00A57C80" w:rsidRPr="0092779E" w14:paraId="78EDA2C8" w14:textId="77777777" w:rsidTr="00BD1A2B">
        <w:trPr>
          <w:trHeight w:val="180"/>
        </w:trPr>
        <w:tc>
          <w:tcPr>
            <w:tcW w:w="3011" w:type="dxa"/>
            <w:tcBorders>
              <w:top w:val="nil"/>
              <w:left w:val="nil"/>
              <w:bottom w:val="nil"/>
              <w:right w:val="nil"/>
            </w:tcBorders>
            <w:shd w:val="clear" w:color="auto" w:fill="auto"/>
            <w:tcMar>
              <w:top w:w="80" w:type="dxa"/>
              <w:left w:w="80" w:type="dxa"/>
              <w:bottom w:w="80" w:type="dxa"/>
              <w:right w:w="80" w:type="dxa"/>
            </w:tcMar>
          </w:tcPr>
          <w:p w14:paraId="43ED46F1" w14:textId="77777777" w:rsidR="00A57C80" w:rsidRPr="00BD1A2B" w:rsidRDefault="00A57C80" w:rsidP="00DB6274">
            <w:pPr>
              <w:pStyle w:val="Body"/>
              <w:widowControl w:val="0"/>
              <w:spacing w:after="0" w:line="240" w:lineRule="auto"/>
              <w:rPr>
                <w:sz w:val="20"/>
                <w:szCs w:val="20"/>
              </w:rPr>
            </w:pPr>
            <w:r w:rsidRPr="00BD1A2B">
              <w:rPr>
                <w:sz w:val="20"/>
                <w:szCs w:val="20"/>
              </w:rPr>
              <w:t>Patrick Coveney</w:t>
            </w:r>
          </w:p>
        </w:tc>
        <w:tc>
          <w:tcPr>
            <w:tcW w:w="3109" w:type="dxa"/>
            <w:tcBorders>
              <w:top w:val="nil"/>
              <w:left w:val="nil"/>
              <w:bottom w:val="nil"/>
              <w:right w:val="nil"/>
            </w:tcBorders>
            <w:shd w:val="clear" w:color="auto" w:fill="auto"/>
            <w:tcMar>
              <w:top w:w="80" w:type="dxa"/>
              <w:left w:w="80" w:type="dxa"/>
              <w:bottom w:w="80" w:type="dxa"/>
              <w:right w:w="80" w:type="dxa"/>
            </w:tcMar>
          </w:tcPr>
          <w:p w14:paraId="00C767DE" w14:textId="77777777" w:rsidR="00A57C80" w:rsidRPr="00BD1A2B" w:rsidRDefault="00A57C80" w:rsidP="00DB6274">
            <w:pPr>
              <w:pStyle w:val="Body"/>
              <w:widowControl w:val="0"/>
              <w:spacing w:after="0" w:line="240" w:lineRule="auto"/>
              <w:rPr>
                <w:sz w:val="20"/>
                <w:szCs w:val="20"/>
              </w:rPr>
            </w:pPr>
            <w:r w:rsidRPr="00BD1A2B">
              <w:rPr>
                <w:sz w:val="20"/>
                <w:szCs w:val="20"/>
              </w:rPr>
              <w:t>Chief Executive Officer</w:t>
            </w:r>
          </w:p>
        </w:tc>
        <w:tc>
          <w:tcPr>
            <w:tcW w:w="2700" w:type="dxa"/>
            <w:tcBorders>
              <w:top w:val="nil"/>
              <w:left w:val="nil"/>
              <w:bottom w:val="nil"/>
              <w:right w:val="nil"/>
            </w:tcBorders>
            <w:shd w:val="clear" w:color="auto" w:fill="auto"/>
            <w:tcMar>
              <w:top w:w="80" w:type="dxa"/>
              <w:left w:w="80" w:type="dxa"/>
              <w:bottom w:w="80" w:type="dxa"/>
              <w:right w:w="80" w:type="dxa"/>
            </w:tcMar>
          </w:tcPr>
          <w:p w14:paraId="7CE85ABB" w14:textId="77777777" w:rsidR="00A57C80" w:rsidRPr="00BD1A2B" w:rsidRDefault="00A57C80" w:rsidP="00DB6274">
            <w:pPr>
              <w:pStyle w:val="Body"/>
              <w:widowControl w:val="0"/>
              <w:spacing w:after="0" w:line="240" w:lineRule="auto"/>
              <w:rPr>
                <w:sz w:val="20"/>
                <w:szCs w:val="20"/>
              </w:rPr>
            </w:pPr>
            <w:r w:rsidRPr="00BD1A2B">
              <w:rPr>
                <w:sz w:val="20"/>
                <w:szCs w:val="20"/>
              </w:rPr>
              <w:t>Tel: +353 (0) 1 486 3313</w:t>
            </w:r>
          </w:p>
        </w:tc>
      </w:tr>
      <w:tr w:rsidR="00A57C80" w:rsidRPr="0092779E" w14:paraId="667C9D39" w14:textId="77777777" w:rsidTr="00BD1A2B">
        <w:trPr>
          <w:trHeight w:val="180"/>
        </w:trPr>
        <w:tc>
          <w:tcPr>
            <w:tcW w:w="3011" w:type="dxa"/>
            <w:tcBorders>
              <w:top w:val="nil"/>
              <w:left w:val="nil"/>
              <w:bottom w:val="nil"/>
              <w:right w:val="nil"/>
            </w:tcBorders>
            <w:shd w:val="clear" w:color="auto" w:fill="auto"/>
            <w:tcMar>
              <w:top w:w="80" w:type="dxa"/>
              <w:left w:w="80" w:type="dxa"/>
              <w:bottom w:w="80" w:type="dxa"/>
              <w:right w:w="80" w:type="dxa"/>
            </w:tcMar>
          </w:tcPr>
          <w:p w14:paraId="4F8AB8C8" w14:textId="77777777" w:rsidR="00A57C80" w:rsidRPr="00BD1A2B" w:rsidRDefault="00A57C80" w:rsidP="00DB6274">
            <w:pPr>
              <w:pStyle w:val="Body"/>
              <w:widowControl w:val="0"/>
              <w:spacing w:after="0" w:line="240" w:lineRule="auto"/>
              <w:jc w:val="both"/>
              <w:rPr>
                <w:sz w:val="20"/>
                <w:szCs w:val="20"/>
              </w:rPr>
            </w:pPr>
            <w:r w:rsidRPr="00BD1A2B">
              <w:rPr>
                <w:sz w:val="20"/>
                <w:szCs w:val="20"/>
              </w:rPr>
              <w:t>Emma Hynes</w:t>
            </w:r>
          </w:p>
        </w:tc>
        <w:tc>
          <w:tcPr>
            <w:tcW w:w="3109" w:type="dxa"/>
            <w:tcBorders>
              <w:top w:val="nil"/>
              <w:left w:val="nil"/>
              <w:bottom w:val="nil"/>
              <w:right w:val="nil"/>
            </w:tcBorders>
            <w:shd w:val="clear" w:color="auto" w:fill="auto"/>
            <w:tcMar>
              <w:top w:w="80" w:type="dxa"/>
              <w:left w:w="80" w:type="dxa"/>
              <w:bottom w:w="80" w:type="dxa"/>
              <w:right w:w="80" w:type="dxa"/>
            </w:tcMar>
          </w:tcPr>
          <w:p w14:paraId="17DFC0AD" w14:textId="77777777" w:rsidR="00A57C80" w:rsidRPr="00BD1A2B" w:rsidRDefault="00A57C80" w:rsidP="00DB6274">
            <w:pPr>
              <w:pStyle w:val="Body"/>
              <w:widowControl w:val="0"/>
              <w:spacing w:after="0" w:line="240" w:lineRule="auto"/>
              <w:jc w:val="both"/>
              <w:rPr>
                <w:sz w:val="20"/>
                <w:szCs w:val="20"/>
              </w:rPr>
            </w:pPr>
            <w:r w:rsidRPr="00BD1A2B">
              <w:rPr>
                <w:sz w:val="20"/>
                <w:szCs w:val="20"/>
              </w:rPr>
              <w:t xml:space="preserve">Chief Financial Officer </w:t>
            </w:r>
          </w:p>
        </w:tc>
        <w:tc>
          <w:tcPr>
            <w:tcW w:w="2700" w:type="dxa"/>
            <w:tcBorders>
              <w:top w:val="nil"/>
              <w:left w:val="nil"/>
              <w:bottom w:val="nil"/>
              <w:right w:val="nil"/>
            </w:tcBorders>
            <w:shd w:val="clear" w:color="auto" w:fill="auto"/>
            <w:tcMar>
              <w:top w:w="80" w:type="dxa"/>
              <w:left w:w="80" w:type="dxa"/>
              <w:bottom w:w="80" w:type="dxa"/>
              <w:right w:w="80" w:type="dxa"/>
            </w:tcMar>
          </w:tcPr>
          <w:p w14:paraId="7DEF7586" w14:textId="77777777" w:rsidR="00A57C80" w:rsidRPr="00BD1A2B" w:rsidRDefault="00A57C80" w:rsidP="00DB6274">
            <w:pPr>
              <w:pStyle w:val="Body"/>
              <w:widowControl w:val="0"/>
              <w:spacing w:after="0" w:line="240" w:lineRule="auto"/>
              <w:jc w:val="both"/>
              <w:rPr>
                <w:sz w:val="20"/>
                <w:szCs w:val="20"/>
              </w:rPr>
            </w:pPr>
            <w:r w:rsidRPr="00BD1A2B">
              <w:rPr>
                <w:sz w:val="20"/>
                <w:szCs w:val="20"/>
              </w:rPr>
              <w:t>Tel: +353 (0) 1 486 3307</w:t>
            </w:r>
          </w:p>
        </w:tc>
      </w:tr>
      <w:tr w:rsidR="00A57C80" w:rsidRPr="0092779E" w14:paraId="56775C92" w14:textId="77777777" w:rsidTr="00BD1A2B">
        <w:trPr>
          <w:trHeight w:val="180"/>
        </w:trPr>
        <w:tc>
          <w:tcPr>
            <w:tcW w:w="3011" w:type="dxa"/>
            <w:tcBorders>
              <w:top w:val="nil"/>
              <w:left w:val="nil"/>
              <w:bottom w:val="nil"/>
              <w:right w:val="nil"/>
            </w:tcBorders>
            <w:shd w:val="clear" w:color="auto" w:fill="auto"/>
            <w:tcMar>
              <w:top w:w="80" w:type="dxa"/>
              <w:left w:w="80" w:type="dxa"/>
              <w:bottom w:w="80" w:type="dxa"/>
              <w:right w:w="80" w:type="dxa"/>
            </w:tcMar>
          </w:tcPr>
          <w:p w14:paraId="55A8842C" w14:textId="77777777" w:rsidR="00A57C80" w:rsidRPr="00BD1A2B" w:rsidRDefault="00A57C80" w:rsidP="00DB6274">
            <w:pPr>
              <w:pStyle w:val="Body"/>
              <w:widowControl w:val="0"/>
              <w:spacing w:after="0" w:line="240" w:lineRule="auto"/>
              <w:jc w:val="both"/>
              <w:rPr>
                <w:sz w:val="20"/>
                <w:szCs w:val="20"/>
              </w:rPr>
            </w:pPr>
            <w:r w:rsidRPr="00BD1A2B">
              <w:rPr>
                <w:sz w:val="20"/>
                <w:szCs w:val="20"/>
              </w:rPr>
              <w:t>Jack Gorman</w:t>
            </w:r>
          </w:p>
        </w:tc>
        <w:tc>
          <w:tcPr>
            <w:tcW w:w="3109" w:type="dxa"/>
            <w:tcBorders>
              <w:top w:val="nil"/>
              <w:left w:val="nil"/>
              <w:bottom w:val="nil"/>
              <w:right w:val="nil"/>
            </w:tcBorders>
            <w:shd w:val="clear" w:color="auto" w:fill="auto"/>
            <w:tcMar>
              <w:top w:w="80" w:type="dxa"/>
              <w:left w:w="80" w:type="dxa"/>
              <w:bottom w:w="80" w:type="dxa"/>
              <w:right w:w="80" w:type="dxa"/>
            </w:tcMar>
          </w:tcPr>
          <w:p w14:paraId="3CE37E7A" w14:textId="77777777" w:rsidR="00A57C80" w:rsidRPr="00BD1A2B" w:rsidRDefault="00A57C80" w:rsidP="00DB6274">
            <w:pPr>
              <w:pStyle w:val="Body"/>
              <w:widowControl w:val="0"/>
              <w:spacing w:after="0" w:line="240" w:lineRule="auto"/>
              <w:jc w:val="both"/>
              <w:rPr>
                <w:sz w:val="20"/>
                <w:szCs w:val="20"/>
              </w:rPr>
            </w:pPr>
            <w:r w:rsidRPr="00BD1A2B">
              <w:rPr>
                <w:sz w:val="20"/>
                <w:szCs w:val="20"/>
              </w:rPr>
              <w:t>Head of Investor Relations</w:t>
            </w:r>
          </w:p>
        </w:tc>
        <w:tc>
          <w:tcPr>
            <w:tcW w:w="2700" w:type="dxa"/>
            <w:tcBorders>
              <w:top w:val="nil"/>
              <w:left w:val="nil"/>
              <w:bottom w:val="nil"/>
              <w:right w:val="nil"/>
            </w:tcBorders>
            <w:shd w:val="clear" w:color="auto" w:fill="auto"/>
            <w:tcMar>
              <w:top w:w="80" w:type="dxa"/>
              <w:left w:w="80" w:type="dxa"/>
              <w:bottom w:w="80" w:type="dxa"/>
              <w:right w:w="80" w:type="dxa"/>
            </w:tcMar>
          </w:tcPr>
          <w:p w14:paraId="7E77D6C6" w14:textId="77777777" w:rsidR="00A57C80" w:rsidRPr="00BD1A2B" w:rsidRDefault="00A57C80" w:rsidP="00DB6274">
            <w:pPr>
              <w:pStyle w:val="Body"/>
              <w:widowControl w:val="0"/>
              <w:spacing w:after="0" w:line="240" w:lineRule="auto"/>
              <w:jc w:val="both"/>
              <w:rPr>
                <w:sz w:val="20"/>
                <w:szCs w:val="20"/>
              </w:rPr>
            </w:pPr>
            <w:r w:rsidRPr="00BD1A2B">
              <w:rPr>
                <w:sz w:val="20"/>
                <w:szCs w:val="20"/>
              </w:rPr>
              <w:t>Tel: +353 (0) 1 486 3308</w:t>
            </w:r>
          </w:p>
        </w:tc>
      </w:tr>
      <w:tr w:rsidR="00A57C80" w:rsidRPr="0092779E" w14:paraId="1FA5FD13" w14:textId="77777777" w:rsidTr="00BD1A2B">
        <w:trPr>
          <w:trHeight w:val="180"/>
        </w:trPr>
        <w:tc>
          <w:tcPr>
            <w:tcW w:w="3011" w:type="dxa"/>
            <w:tcBorders>
              <w:top w:val="nil"/>
              <w:left w:val="nil"/>
              <w:bottom w:val="nil"/>
              <w:right w:val="nil"/>
            </w:tcBorders>
            <w:shd w:val="clear" w:color="auto" w:fill="auto"/>
            <w:tcMar>
              <w:top w:w="80" w:type="dxa"/>
              <w:left w:w="80" w:type="dxa"/>
              <w:bottom w:w="80" w:type="dxa"/>
              <w:right w:w="80" w:type="dxa"/>
            </w:tcMar>
          </w:tcPr>
          <w:p w14:paraId="3C272395" w14:textId="77777777" w:rsidR="00A57C80" w:rsidRPr="00BD1A2B" w:rsidRDefault="00A57C80" w:rsidP="00DB6274">
            <w:pPr>
              <w:rPr>
                <w:sz w:val="20"/>
                <w:szCs w:val="20"/>
              </w:rPr>
            </w:pPr>
          </w:p>
        </w:tc>
        <w:tc>
          <w:tcPr>
            <w:tcW w:w="3109" w:type="dxa"/>
            <w:tcBorders>
              <w:top w:val="nil"/>
              <w:left w:val="nil"/>
              <w:bottom w:val="nil"/>
              <w:right w:val="nil"/>
            </w:tcBorders>
            <w:shd w:val="clear" w:color="auto" w:fill="auto"/>
            <w:tcMar>
              <w:top w:w="80" w:type="dxa"/>
              <w:left w:w="80" w:type="dxa"/>
              <w:bottom w:w="80" w:type="dxa"/>
              <w:right w:w="80" w:type="dxa"/>
            </w:tcMar>
          </w:tcPr>
          <w:p w14:paraId="448CDD1A" w14:textId="77777777" w:rsidR="00A57C80" w:rsidRPr="00BD1A2B" w:rsidRDefault="00A57C80" w:rsidP="00DB6274">
            <w:pPr>
              <w:rPr>
                <w:sz w:val="20"/>
                <w:szCs w:val="20"/>
              </w:rPr>
            </w:pPr>
          </w:p>
        </w:tc>
        <w:tc>
          <w:tcPr>
            <w:tcW w:w="2700" w:type="dxa"/>
            <w:tcBorders>
              <w:top w:val="nil"/>
              <w:left w:val="nil"/>
              <w:bottom w:val="nil"/>
              <w:right w:val="nil"/>
            </w:tcBorders>
            <w:shd w:val="clear" w:color="auto" w:fill="auto"/>
            <w:tcMar>
              <w:top w:w="80" w:type="dxa"/>
              <w:left w:w="80" w:type="dxa"/>
              <w:bottom w:w="80" w:type="dxa"/>
              <w:right w:w="80" w:type="dxa"/>
            </w:tcMar>
          </w:tcPr>
          <w:p w14:paraId="6B0AFD58" w14:textId="77777777" w:rsidR="00A57C80" w:rsidRPr="00BD1A2B" w:rsidRDefault="00A57C80" w:rsidP="00DB6274">
            <w:pPr>
              <w:rPr>
                <w:sz w:val="20"/>
                <w:szCs w:val="20"/>
              </w:rPr>
            </w:pPr>
          </w:p>
        </w:tc>
      </w:tr>
      <w:tr w:rsidR="00A57C80" w:rsidRPr="0092779E" w14:paraId="70F4143E" w14:textId="77777777" w:rsidTr="00BD1A2B">
        <w:trPr>
          <w:trHeight w:val="180"/>
        </w:trPr>
        <w:tc>
          <w:tcPr>
            <w:tcW w:w="3011" w:type="dxa"/>
            <w:tcBorders>
              <w:top w:val="nil"/>
              <w:left w:val="nil"/>
              <w:bottom w:val="nil"/>
              <w:right w:val="nil"/>
            </w:tcBorders>
            <w:shd w:val="clear" w:color="auto" w:fill="auto"/>
            <w:tcMar>
              <w:top w:w="80" w:type="dxa"/>
              <w:left w:w="80" w:type="dxa"/>
              <w:bottom w:w="80" w:type="dxa"/>
              <w:right w:w="80" w:type="dxa"/>
            </w:tcMar>
          </w:tcPr>
          <w:p w14:paraId="3DEA8F27" w14:textId="77777777" w:rsidR="00A57C80" w:rsidRPr="00BD1A2B" w:rsidRDefault="00A57C80" w:rsidP="00DB6274">
            <w:pPr>
              <w:pStyle w:val="Body"/>
              <w:widowControl w:val="0"/>
              <w:spacing w:after="0" w:line="240" w:lineRule="auto"/>
              <w:jc w:val="both"/>
              <w:rPr>
                <w:sz w:val="20"/>
                <w:szCs w:val="20"/>
              </w:rPr>
            </w:pPr>
            <w:r w:rsidRPr="00BD1A2B">
              <w:rPr>
                <w:sz w:val="20"/>
                <w:szCs w:val="20"/>
              </w:rPr>
              <w:t>Rob Greening or Sam Austrums</w:t>
            </w:r>
          </w:p>
        </w:tc>
        <w:tc>
          <w:tcPr>
            <w:tcW w:w="3109" w:type="dxa"/>
            <w:tcBorders>
              <w:top w:val="nil"/>
              <w:left w:val="nil"/>
              <w:bottom w:val="nil"/>
              <w:right w:val="nil"/>
            </w:tcBorders>
            <w:shd w:val="clear" w:color="auto" w:fill="auto"/>
            <w:tcMar>
              <w:top w:w="80" w:type="dxa"/>
              <w:left w:w="80" w:type="dxa"/>
              <w:bottom w:w="80" w:type="dxa"/>
              <w:right w:w="80" w:type="dxa"/>
            </w:tcMar>
          </w:tcPr>
          <w:p w14:paraId="6A82AF6B" w14:textId="77777777" w:rsidR="00A57C80" w:rsidRPr="00BD1A2B" w:rsidRDefault="00A57C80" w:rsidP="00DB6274">
            <w:pPr>
              <w:pStyle w:val="Body"/>
              <w:widowControl w:val="0"/>
              <w:spacing w:after="0" w:line="240" w:lineRule="auto"/>
              <w:jc w:val="both"/>
              <w:rPr>
                <w:sz w:val="20"/>
                <w:szCs w:val="20"/>
              </w:rPr>
            </w:pPr>
            <w:r w:rsidRPr="00BD1A2B">
              <w:rPr>
                <w:sz w:val="20"/>
                <w:szCs w:val="20"/>
              </w:rPr>
              <w:t>Powerscourt</w:t>
            </w:r>
          </w:p>
        </w:tc>
        <w:tc>
          <w:tcPr>
            <w:tcW w:w="2700" w:type="dxa"/>
            <w:tcBorders>
              <w:top w:val="nil"/>
              <w:left w:val="nil"/>
              <w:bottom w:val="nil"/>
              <w:right w:val="nil"/>
            </w:tcBorders>
            <w:shd w:val="clear" w:color="auto" w:fill="auto"/>
            <w:tcMar>
              <w:top w:w="80" w:type="dxa"/>
              <w:left w:w="80" w:type="dxa"/>
              <w:bottom w:w="80" w:type="dxa"/>
              <w:right w:w="80" w:type="dxa"/>
            </w:tcMar>
          </w:tcPr>
          <w:p w14:paraId="32909D6C" w14:textId="77777777" w:rsidR="00A57C80" w:rsidRPr="00BD1A2B" w:rsidRDefault="00A57C80" w:rsidP="00DB6274">
            <w:pPr>
              <w:pStyle w:val="Body"/>
              <w:widowControl w:val="0"/>
              <w:spacing w:after="0" w:line="240" w:lineRule="auto"/>
              <w:jc w:val="both"/>
              <w:rPr>
                <w:sz w:val="20"/>
                <w:szCs w:val="20"/>
              </w:rPr>
            </w:pPr>
            <w:r w:rsidRPr="00BD1A2B">
              <w:rPr>
                <w:sz w:val="20"/>
                <w:szCs w:val="20"/>
              </w:rPr>
              <w:t>Tel: +44 (0) 20 7250 1446</w:t>
            </w:r>
          </w:p>
        </w:tc>
      </w:tr>
      <w:tr w:rsidR="00A57C80" w:rsidRPr="0092779E" w14:paraId="4D3B84CD" w14:textId="77777777" w:rsidTr="00BD1A2B">
        <w:trPr>
          <w:trHeight w:val="180"/>
        </w:trPr>
        <w:tc>
          <w:tcPr>
            <w:tcW w:w="3011" w:type="dxa"/>
            <w:tcBorders>
              <w:top w:val="nil"/>
              <w:left w:val="nil"/>
              <w:bottom w:val="nil"/>
              <w:right w:val="nil"/>
            </w:tcBorders>
            <w:shd w:val="clear" w:color="auto" w:fill="auto"/>
            <w:tcMar>
              <w:top w:w="80" w:type="dxa"/>
              <w:left w:w="80" w:type="dxa"/>
              <w:bottom w:w="80" w:type="dxa"/>
              <w:right w:w="80" w:type="dxa"/>
            </w:tcMar>
          </w:tcPr>
          <w:p w14:paraId="5EB990D2" w14:textId="77777777" w:rsidR="00A57C80" w:rsidRPr="00BD1A2B" w:rsidRDefault="00A57C80" w:rsidP="00DB6274">
            <w:pPr>
              <w:pStyle w:val="Body"/>
              <w:widowControl w:val="0"/>
              <w:spacing w:after="0" w:line="240" w:lineRule="auto"/>
              <w:jc w:val="both"/>
              <w:rPr>
                <w:sz w:val="20"/>
                <w:szCs w:val="20"/>
              </w:rPr>
            </w:pPr>
            <w:r w:rsidRPr="00BD1A2B">
              <w:rPr>
                <w:sz w:val="20"/>
                <w:szCs w:val="20"/>
              </w:rPr>
              <w:t>Billy Murphy or Louise Walsh</w:t>
            </w:r>
          </w:p>
        </w:tc>
        <w:tc>
          <w:tcPr>
            <w:tcW w:w="3109" w:type="dxa"/>
            <w:tcBorders>
              <w:top w:val="nil"/>
              <w:left w:val="nil"/>
              <w:bottom w:val="nil"/>
              <w:right w:val="nil"/>
            </w:tcBorders>
            <w:shd w:val="clear" w:color="auto" w:fill="auto"/>
            <w:tcMar>
              <w:top w:w="80" w:type="dxa"/>
              <w:left w:w="80" w:type="dxa"/>
              <w:bottom w:w="80" w:type="dxa"/>
              <w:right w:w="80" w:type="dxa"/>
            </w:tcMar>
          </w:tcPr>
          <w:p w14:paraId="0FF5C3B3" w14:textId="77777777" w:rsidR="00A57C80" w:rsidRPr="00BD1A2B" w:rsidRDefault="0023579D" w:rsidP="00DB6274">
            <w:pPr>
              <w:pStyle w:val="Body"/>
              <w:widowControl w:val="0"/>
              <w:spacing w:after="0" w:line="240" w:lineRule="auto"/>
              <w:jc w:val="both"/>
              <w:rPr>
                <w:sz w:val="20"/>
                <w:szCs w:val="20"/>
              </w:rPr>
            </w:pPr>
            <w:r>
              <w:rPr>
                <w:sz w:val="20"/>
                <w:szCs w:val="20"/>
              </w:rPr>
              <w:t>Drury Communications</w:t>
            </w:r>
          </w:p>
        </w:tc>
        <w:tc>
          <w:tcPr>
            <w:tcW w:w="2700" w:type="dxa"/>
            <w:tcBorders>
              <w:top w:val="nil"/>
              <w:left w:val="nil"/>
              <w:bottom w:val="nil"/>
              <w:right w:val="nil"/>
            </w:tcBorders>
            <w:shd w:val="clear" w:color="auto" w:fill="auto"/>
            <w:tcMar>
              <w:top w:w="80" w:type="dxa"/>
              <w:left w:w="80" w:type="dxa"/>
              <w:bottom w:w="80" w:type="dxa"/>
              <w:right w:w="80" w:type="dxa"/>
            </w:tcMar>
          </w:tcPr>
          <w:p w14:paraId="626163B8" w14:textId="77777777" w:rsidR="00A57C80" w:rsidRPr="00BD1A2B" w:rsidRDefault="00A57C80" w:rsidP="00DB6274">
            <w:pPr>
              <w:pStyle w:val="Body"/>
              <w:widowControl w:val="0"/>
              <w:spacing w:after="0" w:line="240" w:lineRule="auto"/>
              <w:jc w:val="both"/>
              <w:rPr>
                <w:sz w:val="20"/>
                <w:szCs w:val="20"/>
              </w:rPr>
            </w:pPr>
            <w:r w:rsidRPr="00BD1A2B">
              <w:rPr>
                <w:sz w:val="20"/>
                <w:szCs w:val="20"/>
              </w:rPr>
              <w:t>Tel: +353 (0) 1 260 5000</w:t>
            </w:r>
          </w:p>
        </w:tc>
      </w:tr>
    </w:tbl>
    <w:p w14:paraId="7F628915" w14:textId="77777777" w:rsidR="00A57C80" w:rsidRDefault="00A57C80" w:rsidP="00A57C80"/>
    <w:p w14:paraId="0231D7F4" w14:textId="77777777" w:rsidR="00A57C80" w:rsidRDefault="00A57C80" w:rsidP="00A57C80"/>
    <w:p w14:paraId="4D365FB7" w14:textId="77777777" w:rsidR="00A57C80" w:rsidRDefault="00A57C80" w:rsidP="00A57C80">
      <w:pPr>
        <w:spacing w:after="0"/>
        <w:rPr>
          <w:sz w:val="16"/>
          <w:szCs w:val="16"/>
        </w:rPr>
      </w:pPr>
      <w:r w:rsidRPr="00A57C80">
        <w:rPr>
          <w:sz w:val="16"/>
          <w:szCs w:val="16"/>
          <w:vertAlign w:val="superscript"/>
        </w:rPr>
        <w:t>1</w:t>
      </w:r>
      <w:r w:rsidRPr="00A57C80">
        <w:rPr>
          <w:sz w:val="16"/>
          <w:szCs w:val="16"/>
        </w:rPr>
        <w:t xml:space="preserve"> Pro forma references throughout this statement are on a constant currency basis. Reported revenue in Q1 21 and Q1 20 is adjusted to exclude the sale of the Group’s molasses businesses that was completed in Q1 21 </w:t>
      </w:r>
    </w:p>
    <w:p w14:paraId="3A02D28A" w14:textId="77777777" w:rsidR="00A57C80" w:rsidRPr="00A57C80" w:rsidRDefault="00A57C80" w:rsidP="00A57C80">
      <w:pPr>
        <w:spacing w:after="0"/>
        <w:rPr>
          <w:sz w:val="16"/>
          <w:szCs w:val="16"/>
        </w:rPr>
      </w:pPr>
      <w:r w:rsidRPr="00EB5405">
        <w:rPr>
          <w:sz w:val="16"/>
          <w:szCs w:val="16"/>
          <w:vertAlign w:val="superscript"/>
        </w:rPr>
        <w:t xml:space="preserve">2 </w:t>
      </w:r>
      <w:r w:rsidR="00EB5405">
        <w:rPr>
          <w:sz w:val="16"/>
          <w:szCs w:val="16"/>
        </w:rPr>
        <w:t xml:space="preserve">Current performance based on trading </w:t>
      </w:r>
      <w:r w:rsidR="00DF1EA2" w:rsidRPr="00EB5405">
        <w:rPr>
          <w:sz w:val="16"/>
          <w:szCs w:val="16"/>
        </w:rPr>
        <w:t xml:space="preserve">week to </w:t>
      </w:r>
      <w:r w:rsidRPr="00EB5405">
        <w:rPr>
          <w:sz w:val="16"/>
          <w:szCs w:val="16"/>
        </w:rPr>
        <w:t>15 January 2021</w:t>
      </w:r>
    </w:p>
    <w:p w14:paraId="42A65147" w14:textId="77777777" w:rsidR="00A57C80" w:rsidRDefault="00A57C80" w:rsidP="00A57C80"/>
    <w:p w14:paraId="0188F9B2" w14:textId="77777777" w:rsidR="00A57C80" w:rsidRPr="00A57C80" w:rsidRDefault="00A57C80" w:rsidP="00A57C80">
      <w:pPr>
        <w:rPr>
          <w:b/>
        </w:rPr>
      </w:pPr>
      <w:r w:rsidRPr="00A57C80">
        <w:rPr>
          <w:b/>
        </w:rPr>
        <w:t xml:space="preserve">About Greencore </w:t>
      </w:r>
    </w:p>
    <w:p w14:paraId="7EDFE087" w14:textId="77777777" w:rsidR="00A57C80" w:rsidRDefault="00A57C80" w:rsidP="00A57C80">
      <w:pPr>
        <w:jc w:val="both"/>
      </w:pPr>
      <w:r>
        <w:t xml:space="preserve">We are a leading manufacturer of convenience food in the UK and our purpose is to make every day taste better. We supply all of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6DB58417" w14:textId="77777777" w:rsidR="00A57C80" w:rsidRDefault="00A57C80" w:rsidP="00A57C80">
      <w:pPr>
        <w:jc w:val="both"/>
      </w:pPr>
      <w:r>
        <w:t xml:space="preserve">In FY20 we manufactured 619m sandwiches and other food to go products, 116m chilled prepared meals, and 264m bottles of cooking sauces, pickles and condiments. We carry out more than 10,000 direct to store deliveries each day. We have 16 world-class manufacturing sites in the UK, with </w:t>
      </w:r>
      <w:r>
        <w:lastRenderedPageBreak/>
        <w:t>industry-leading technology and supply chain capabilities. We generated revenues of £1.3bn in FY20 and employ approximately 12,200 people. We are headquartered in Dublin, Ireland.</w:t>
      </w:r>
    </w:p>
    <w:p w14:paraId="6799650F" w14:textId="77777777" w:rsidR="00A57C80" w:rsidRDefault="00A57C80" w:rsidP="00A57C80">
      <w:r>
        <w:t>For further information go to www.greencore.com or follow Greencore on social media.</w:t>
      </w:r>
    </w:p>
    <w:p w14:paraId="6CF02644" w14:textId="77777777" w:rsidR="00A57C80" w:rsidRDefault="00A57C80" w:rsidP="00A57C80"/>
    <w:p w14:paraId="53F900ED" w14:textId="77777777" w:rsidR="00A57C80" w:rsidRDefault="00A57C80" w:rsidP="00A57C80">
      <w:r>
        <w:t>This announcement is based on information sourced from unaudited management accounts.</w:t>
      </w:r>
    </w:p>
    <w:p w14:paraId="12A5789D" w14:textId="77777777" w:rsidR="00A57C80" w:rsidRDefault="00A57C80" w:rsidP="00A57C80">
      <w:pPr>
        <w:jc w:val="both"/>
      </w:pPr>
      <w:r>
        <w:t xml:space="preserve">Certain statements made in this Trading Update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‘will’, ‘aims’, ‘anticipates’, ‘continue’, ‘could’, ‘should’, ‘expects’, ‘is expected to’, ‘may’, ‘estimates’, ‘believes’, ‘intends’, ‘projects’, ‘targets’, or the negative thereof, or similar expressions. </w:t>
      </w:r>
    </w:p>
    <w:p w14:paraId="7110E3D1" w14:textId="77777777" w:rsidR="00A57C80" w:rsidRDefault="00A57C80" w:rsidP="00A57C80">
      <w:pPr>
        <w:jc w:val="both"/>
      </w:pPr>
      <w:r>
        <w:t>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You should not place undue reliance on any forward-looking statements. These forward-looking statements are made as of the date of this Trading Update. The Group expressly disclaims any obligation to publicly update or review these forward-looking statements other than as required by law.</w:t>
      </w:r>
    </w:p>
    <w:p w14:paraId="3000BF64" w14:textId="77777777" w:rsidR="00455AC8" w:rsidRDefault="00E034AD"/>
    <w:sectPr w:rsidR="00455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B30E0"/>
    <w:multiLevelType w:val="hybridMultilevel"/>
    <w:tmpl w:val="878A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2117F"/>
    <w:multiLevelType w:val="hybridMultilevel"/>
    <w:tmpl w:val="C01A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80"/>
    <w:rsid w:val="00072406"/>
    <w:rsid w:val="00095B30"/>
    <w:rsid w:val="0010440D"/>
    <w:rsid w:val="00152248"/>
    <w:rsid w:val="00171517"/>
    <w:rsid w:val="00176564"/>
    <w:rsid w:val="001B28E6"/>
    <w:rsid w:val="002042C4"/>
    <w:rsid w:val="00232BA1"/>
    <w:rsid w:val="0023579D"/>
    <w:rsid w:val="0026568E"/>
    <w:rsid w:val="00271376"/>
    <w:rsid w:val="00281664"/>
    <w:rsid w:val="00292440"/>
    <w:rsid w:val="002C6C95"/>
    <w:rsid w:val="002D3CC4"/>
    <w:rsid w:val="00342D1F"/>
    <w:rsid w:val="003517AB"/>
    <w:rsid w:val="0035187C"/>
    <w:rsid w:val="00373BD5"/>
    <w:rsid w:val="00392EC0"/>
    <w:rsid w:val="00393058"/>
    <w:rsid w:val="003947C8"/>
    <w:rsid w:val="00473531"/>
    <w:rsid w:val="00493B3B"/>
    <w:rsid w:val="004F14EB"/>
    <w:rsid w:val="0050794E"/>
    <w:rsid w:val="005A5655"/>
    <w:rsid w:val="005F498C"/>
    <w:rsid w:val="00643B0D"/>
    <w:rsid w:val="00661609"/>
    <w:rsid w:val="006B052E"/>
    <w:rsid w:val="00753330"/>
    <w:rsid w:val="0076474D"/>
    <w:rsid w:val="00792C0F"/>
    <w:rsid w:val="007B0913"/>
    <w:rsid w:val="007D289C"/>
    <w:rsid w:val="007D47E0"/>
    <w:rsid w:val="007E7337"/>
    <w:rsid w:val="008046FD"/>
    <w:rsid w:val="00886FDB"/>
    <w:rsid w:val="0092779E"/>
    <w:rsid w:val="00945FC4"/>
    <w:rsid w:val="009A44F7"/>
    <w:rsid w:val="009D2933"/>
    <w:rsid w:val="009E62ED"/>
    <w:rsid w:val="00A142CB"/>
    <w:rsid w:val="00A352A9"/>
    <w:rsid w:val="00A5439F"/>
    <w:rsid w:val="00A57C80"/>
    <w:rsid w:val="00A76D9C"/>
    <w:rsid w:val="00AB374B"/>
    <w:rsid w:val="00AB3F24"/>
    <w:rsid w:val="00AB66BE"/>
    <w:rsid w:val="00AD3008"/>
    <w:rsid w:val="00B437A2"/>
    <w:rsid w:val="00B72A1C"/>
    <w:rsid w:val="00B773A9"/>
    <w:rsid w:val="00BA0E4F"/>
    <w:rsid w:val="00BD1A2B"/>
    <w:rsid w:val="00BF2E7E"/>
    <w:rsid w:val="00BF7481"/>
    <w:rsid w:val="00C0467C"/>
    <w:rsid w:val="00C2036B"/>
    <w:rsid w:val="00C6638D"/>
    <w:rsid w:val="00C7470B"/>
    <w:rsid w:val="00C81E55"/>
    <w:rsid w:val="00CA202A"/>
    <w:rsid w:val="00CB2688"/>
    <w:rsid w:val="00CB71B8"/>
    <w:rsid w:val="00CB7C6C"/>
    <w:rsid w:val="00D034AB"/>
    <w:rsid w:val="00D16EC9"/>
    <w:rsid w:val="00D32542"/>
    <w:rsid w:val="00D36A1F"/>
    <w:rsid w:val="00D94169"/>
    <w:rsid w:val="00DF1EA2"/>
    <w:rsid w:val="00E034AD"/>
    <w:rsid w:val="00E14CA1"/>
    <w:rsid w:val="00E16317"/>
    <w:rsid w:val="00E71303"/>
    <w:rsid w:val="00E94944"/>
    <w:rsid w:val="00E96C3D"/>
    <w:rsid w:val="00EB5405"/>
    <w:rsid w:val="00EF0319"/>
    <w:rsid w:val="00F56AD0"/>
    <w:rsid w:val="00F6585D"/>
    <w:rsid w:val="00FB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EEDE"/>
  <w15:chartTrackingRefBased/>
  <w15:docId w15:val="{214A9C7D-683E-42EB-AB52-70233462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57C80"/>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styleId="ListParagraph">
    <w:name w:val="List Paragraph"/>
    <w:basedOn w:val="Normal"/>
    <w:uiPriority w:val="34"/>
    <w:qFormat/>
    <w:rsid w:val="00A57C80"/>
    <w:pPr>
      <w:ind w:left="720"/>
      <w:contextualSpacing/>
    </w:pPr>
  </w:style>
  <w:style w:type="paragraph" w:styleId="BalloonText">
    <w:name w:val="Balloon Text"/>
    <w:basedOn w:val="Normal"/>
    <w:link w:val="BalloonTextChar"/>
    <w:uiPriority w:val="99"/>
    <w:semiHidden/>
    <w:unhideWhenUsed/>
    <w:rsid w:val="00F65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5D"/>
    <w:rPr>
      <w:rFonts w:ascii="Segoe UI" w:hAnsi="Segoe UI" w:cs="Segoe UI"/>
      <w:sz w:val="18"/>
      <w:szCs w:val="18"/>
    </w:rPr>
  </w:style>
  <w:style w:type="paragraph" w:styleId="Revision">
    <w:name w:val="Revision"/>
    <w:hidden/>
    <w:uiPriority w:val="99"/>
    <w:semiHidden/>
    <w:rsid w:val="00BD1A2B"/>
    <w:pPr>
      <w:spacing w:after="0" w:line="240" w:lineRule="auto"/>
    </w:pPr>
  </w:style>
  <w:style w:type="character" w:styleId="CommentReference">
    <w:name w:val="annotation reference"/>
    <w:basedOn w:val="DefaultParagraphFont"/>
    <w:uiPriority w:val="99"/>
    <w:semiHidden/>
    <w:unhideWhenUsed/>
    <w:rsid w:val="00AB374B"/>
    <w:rPr>
      <w:sz w:val="16"/>
      <w:szCs w:val="16"/>
    </w:rPr>
  </w:style>
  <w:style w:type="paragraph" w:styleId="CommentText">
    <w:name w:val="annotation text"/>
    <w:basedOn w:val="Normal"/>
    <w:link w:val="CommentTextChar"/>
    <w:uiPriority w:val="99"/>
    <w:semiHidden/>
    <w:unhideWhenUsed/>
    <w:rsid w:val="00AB374B"/>
    <w:pPr>
      <w:spacing w:line="240" w:lineRule="auto"/>
    </w:pPr>
    <w:rPr>
      <w:sz w:val="20"/>
      <w:szCs w:val="20"/>
    </w:rPr>
  </w:style>
  <w:style w:type="character" w:customStyle="1" w:styleId="CommentTextChar">
    <w:name w:val="Comment Text Char"/>
    <w:basedOn w:val="DefaultParagraphFont"/>
    <w:link w:val="CommentText"/>
    <w:uiPriority w:val="99"/>
    <w:semiHidden/>
    <w:rsid w:val="00AB374B"/>
    <w:rPr>
      <w:sz w:val="20"/>
      <w:szCs w:val="20"/>
    </w:rPr>
  </w:style>
  <w:style w:type="paragraph" w:styleId="CommentSubject">
    <w:name w:val="annotation subject"/>
    <w:basedOn w:val="CommentText"/>
    <w:next w:val="CommentText"/>
    <w:link w:val="CommentSubjectChar"/>
    <w:uiPriority w:val="99"/>
    <w:semiHidden/>
    <w:unhideWhenUsed/>
    <w:rsid w:val="00AB374B"/>
    <w:rPr>
      <w:b/>
      <w:bCs/>
    </w:rPr>
  </w:style>
  <w:style w:type="character" w:customStyle="1" w:styleId="CommentSubjectChar">
    <w:name w:val="Comment Subject Char"/>
    <w:basedOn w:val="CommentTextChar"/>
    <w:link w:val="CommentSubject"/>
    <w:uiPriority w:val="99"/>
    <w:semiHidden/>
    <w:rsid w:val="00AB3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9C21-4234-4691-BB1E-59B8CAB5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Gorman</dc:creator>
  <cp:keywords/>
  <dc:description/>
  <cp:lastModifiedBy>Natasha Short</cp:lastModifiedBy>
  <cp:revision>3</cp:revision>
  <cp:lastPrinted>2021-01-20T11:35:00Z</cp:lastPrinted>
  <dcterms:created xsi:type="dcterms:W3CDTF">2021-01-25T19:42:00Z</dcterms:created>
  <dcterms:modified xsi:type="dcterms:W3CDTF">2021-01-25T19:43:00Z</dcterms:modified>
</cp:coreProperties>
</file>