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1E958" w14:textId="50C56A02" w:rsidR="00DF6060" w:rsidRPr="00BD1A2B" w:rsidRDefault="004177DD" w:rsidP="00DF6060">
      <w:pPr>
        <w:rPr>
          <w:b/>
        </w:rPr>
      </w:pPr>
      <w:r>
        <w:t>27 July</w:t>
      </w:r>
      <w:r w:rsidR="00DF6060">
        <w:t xml:space="preserve"> 2021 </w:t>
      </w:r>
    </w:p>
    <w:p w14:paraId="4EC196AE" w14:textId="77777777" w:rsidR="00DF6060" w:rsidRPr="00A57C80" w:rsidRDefault="00DF6060" w:rsidP="00DF6060">
      <w:pPr>
        <w:jc w:val="center"/>
        <w:rPr>
          <w:b/>
        </w:rPr>
      </w:pPr>
      <w:r w:rsidRPr="00A57C80">
        <w:rPr>
          <w:b/>
        </w:rPr>
        <w:t>Greencore Group plc</w:t>
      </w:r>
    </w:p>
    <w:p w14:paraId="73BE7683" w14:textId="0D881910" w:rsidR="00DF6060" w:rsidRPr="00A57C80" w:rsidRDefault="004B4389" w:rsidP="00DF6060">
      <w:pPr>
        <w:jc w:val="center"/>
        <w:rPr>
          <w:b/>
        </w:rPr>
      </w:pPr>
      <w:r>
        <w:rPr>
          <w:b/>
        </w:rPr>
        <w:t>S</w:t>
      </w:r>
      <w:r w:rsidR="003C567E">
        <w:rPr>
          <w:b/>
        </w:rPr>
        <w:t xml:space="preserve">trong improvement in trading </w:t>
      </w:r>
      <w:r w:rsidR="00DA28D7">
        <w:rPr>
          <w:b/>
        </w:rPr>
        <w:t xml:space="preserve">and cashflow momentum </w:t>
      </w:r>
      <w:r w:rsidR="00951741">
        <w:rPr>
          <w:b/>
        </w:rPr>
        <w:t>in Q3</w:t>
      </w:r>
    </w:p>
    <w:p w14:paraId="6CD56F9B" w14:textId="04FCD23C" w:rsidR="00DF6060" w:rsidRDefault="001E0443" w:rsidP="001E0443">
      <w:pPr>
        <w:jc w:val="both"/>
        <w:rPr>
          <w:sz w:val="20"/>
          <w:szCs w:val="20"/>
        </w:rPr>
      </w:pPr>
      <w:r w:rsidRPr="001E0443">
        <w:rPr>
          <w:sz w:val="20"/>
          <w:szCs w:val="20"/>
        </w:rPr>
        <w:t>Greencore Group plc (“Greencore” or the “Group”) a leading manufacturer of convenience foods in</w:t>
      </w:r>
      <w:r>
        <w:rPr>
          <w:sz w:val="20"/>
          <w:szCs w:val="20"/>
        </w:rPr>
        <w:t xml:space="preserve"> </w:t>
      </w:r>
      <w:r w:rsidRPr="001E0443">
        <w:rPr>
          <w:sz w:val="20"/>
          <w:szCs w:val="20"/>
        </w:rPr>
        <w:t>the UK, today issues a trading update covering the 13 weeks from 2</w:t>
      </w:r>
      <w:r>
        <w:rPr>
          <w:sz w:val="20"/>
          <w:szCs w:val="20"/>
        </w:rPr>
        <w:t>6</w:t>
      </w:r>
      <w:r w:rsidRPr="001E0443">
        <w:rPr>
          <w:sz w:val="20"/>
          <w:szCs w:val="20"/>
        </w:rPr>
        <w:t xml:space="preserve"> March </w:t>
      </w:r>
      <w:r>
        <w:rPr>
          <w:sz w:val="20"/>
          <w:szCs w:val="20"/>
        </w:rPr>
        <w:t xml:space="preserve">2021 </w:t>
      </w:r>
      <w:r w:rsidRPr="001E0443">
        <w:rPr>
          <w:sz w:val="20"/>
          <w:szCs w:val="20"/>
        </w:rPr>
        <w:t>to 2</w:t>
      </w:r>
      <w:r>
        <w:rPr>
          <w:sz w:val="20"/>
          <w:szCs w:val="20"/>
        </w:rPr>
        <w:t xml:space="preserve">5 </w:t>
      </w:r>
      <w:r w:rsidRPr="001E0443">
        <w:rPr>
          <w:sz w:val="20"/>
          <w:szCs w:val="20"/>
        </w:rPr>
        <w:t>June 202</w:t>
      </w:r>
      <w:r>
        <w:rPr>
          <w:sz w:val="20"/>
          <w:szCs w:val="20"/>
        </w:rPr>
        <w:t>1</w:t>
      </w:r>
      <w:r w:rsidRPr="001E0443">
        <w:rPr>
          <w:sz w:val="20"/>
          <w:szCs w:val="20"/>
        </w:rPr>
        <w:t xml:space="preserve"> (“Q3”</w:t>
      </w:r>
      <w:r>
        <w:rPr>
          <w:sz w:val="20"/>
          <w:szCs w:val="20"/>
        </w:rPr>
        <w:t xml:space="preserve"> </w:t>
      </w:r>
      <w:r w:rsidRPr="001E0443">
        <w:rPr>
          <w:sz w:val="20"/>
          <w:szCs w:val="20"/>
        </w:rPr>
        <w:t>or “the quarter”).</w:t>
      </w:r>
    </w:p>
    <w:p w14:paraId="4D4966C8" w14:textId="77777777" w:rsidR="00EF6848" w:rsidRDefault="00EF6848" w:rsidP="00DF6060">
      <w:pPr>
        <w:rPr>
          <w:b/>
          <w:sz w:val="20"/>
          <w:szCs w:val="20"/>
        </w:rPr>
      </w:pPr>
    </w:p>
    <w:p w14:paraId="53277C6D" w14:textId="22C3D183" w:rsidR="00DF6060" w:rsidRPr="004177DD" w:rsidRDefault="00F11118" w:rsidP="00DF6060">
      <w:pPr>
        <w:rPr>
          <w:b/>
          <w:sz w:val="20"/>
          <w:szCs w:val="20"/>
        </w:rPr>
      </w:pPr>
      <w:r>
        <w:rPr>
          <w:b/>
          <w:sz w:val="20"/>
          <w:szCs w:val="20"/>
        </w:rPr>
        <w:t>PERFORMANCE</w:t>
      </w:r>
      <w:r w:rsidR="00DF6060" w:rsidRPr="004177DD">
        <w:rPr>
          <w:b/>
          <w:sz w:val="20"/>
          <w:szCs w:val="20"/>
          <w:vertAlign w:val="superscript"/>
        </w:rPr>
        <w:t>1</w:t>
      </w:r>
    </w:p>
    <w:p w14:paraId="0089E109" w14:textId="393632A3" w:rsidR="00F11118" w:rsidRPr="00BC2183" w:rsidRDefault="004B7B3F" w:rsidP="00663424">
      <w:pPr>
        <w:pStyle w:val="ListParagraph"/>
        <w:numPr>
          <w:ilvl w:val="0"/>
          <w:numId w:val="1"/>
        </w:numPr>
        <w:jc w:val="both"/>
        <w:rPr>
          <w:sz w:val="20"/>
          <w:szCs w:val="20"/>
        </w:rPr>
      </w:pPr>
      <w:r>
        <w:rPr>
          <w:sz w:val="20"/>
          <w:szCs w:val="20"/>
        </w:rPr>
        <w:t>Strong</w:t>
      </w:r>
      <w:r w:rsidR="00ED2E8D" w:rsidRPr="00663424">
        <w:rPr>
          <w:sz w:val="20"/>
          <w:szCs w:val="20"/>
        </w:rPr>
        <w:t xml:space="preserve"> revenue momentum </w:t>
      </w:r>
      <w:r w:rsidR="001F6F28">
        <w:rPr>
          <w:sz w:val="20"/>
          <w:szCs w:val="20"/>
        </w:rPr>
        <w:t xml:space="preserve">in Q3 </w:t>
      </w:r>
      <w:r w:rsidR="00ED2E8D" w:rsidRPr="00663424">
        <w:rPr>
          <w:sz w:val="20"/>
          <w:szCs w:val="20"/>
        </w:rPr>
        <w:t xml:space="preserve">with Group pro forma revenue </w:t>
      </w:r>
      <w:r w:rsidR="004968A2" w:rsidRPr="00BC2183">
        <w:rPr>
          <w:sz w:val="20"/>
          <w:szCs w:val="20"/>
        </w:rPr>
        <w:t>53.</w:t>
      </w:r>
      <w:r w:rsidR="00913883" w:rsidRPr="00BC2183">
        <w:rPr>
          <w:sz w:val="20"/>
          <w:szCs w:val="20"/>
        </w:rPr>
        <w:t>1</w:t>
      </w:r>
      <w:r w:rsidR="00ED2E8D" w:rsidRPr="00663424">
        <w:rPr>
          <w:sz w:val="20"/>
          <w:szCs w:val="20"/>
        </w:rPr>
        <w:t xml:space="preserve">% above prior year levels and </w:t>
      </w:r>
      <w:r w:rsidR="001F6F28">
        <w:rPr>
          <w:sz w:val="20"/>
          <w:szCs w:val="20"/>
        </w:rPr>
        <w:t xml:space="preserve">only </w:t>
      </w:r>
      <w:r w:rsidR="004968A2">
        <w:rPr>
          <w:sz w:val="20"/>
          <w:szCs w:val="20"/>
        </w:rPr>
        <w:t>2.8</w:t>
      </w:r>
      <w:r w:rsidR="00ED2E8D" w:rsidRPr="00663424">
        <w:rPr>
          <w:sz w:val="20"/>
          <w:szCs w:val="20"/>
        </w:rPr>
        <w:t>% below equivalent pre-COVID levels in Q3 19</w:t>
      </w:r>
      <w:r w:rsidR="00274AF9">
        <w:rPr>
          <w:sz w:val="20"/>
          <w:szCs w:val="20"/>
        </w:rPr>
        <w:t xml:space="preserve">. </w:t>
      </w:r>
      <w:r w:rsidR="00274AF9" w:rsidRPr="00BC2183">
        <w:rPr>
          <w:sz w:val="20"/>
          <w:szCs w:val="20"/>
        </w:rPr>
        <w:t xml:space="preserve">Progressive improvement in monthly trading with Group pro forma revenue in June 1% above comparative pre-COVID levels </w:t>
      </w:r>
      <w:r w:rsidR="00B57783">
        <w:rPr>
          <w:sz w:val="20"/>
          <w:szCs w:val="20"/>
        </w:rPr>
        <w:t>in FY19</w:t>
      </w:r>
    </w:p>
    <w:p w14:paraId="4065F087" w14:textId="6F41570D" w:rsidR="00DF6060" w:rsidRPr="00BC2183" w:rsidRDefault="00663424" w:rsidP="00663424">
      <w:pPr>
        <w:pStyle w:val="ListParagraph"/>
        <w:numPr>
          <w:ilvl w:val="0"/>
          <w:numId w:val="1"/>
        </w:numPr>
        <w:jc w:val="both"/>
        <w:rPr>
          <w:sz w:val="20"/>
          <w:szCs w:val="20"/>
        </w:rPr>
      </w:pPr>
      <w:r w:rsidRPr="00BC2183">
        <w:rPr>
          <w:sz w:val="20"/>
          <w:szCs w:val="20"/>
        </w:rPr>
        <w:t>Pro forma r</w:t>
      </w:r>
      <w:r w:rsidR="00ED2E8D" w:rsidRPr="00BC2183">
        <w:rPr>
          <w:sz w:val="20"/>
          <w:szCs w:val="20"/>
        </w:rPr>
        <w:t xml:space="preserve">evenue growth in food to go categories </w:t>
      </w:r>
      <w:r w:rsidR="004968A2" w:rsidRPr="00BC2183">
        <w:rPr>
          <w:sz w:val="20"/>
          <w:szCs w:val="20"/>
        </w:rPr>
        <w:t>91.</w:t>
      </w:r>
      <w:r w:rsidR="00913883" w:rsidRPr="00BC2183">
        <w:rPr>
          <w:sz w:val="20"/>
          <w:szCs w:val="20"/>
        </w:rPr>
        <w:t>1</w:t>
      </w:r>
      <w:r w:rsidRPr="00BC2183">
        <w:rPr>
          <w:sz w:val="20"/>
          <w:szCs w:val="20"/>
        </w:rPr>
        <w:t>%</w:t>
      </w:r>
      <w:r w:rsidR="00ED2E8D" w:rsidRPr="00BC2183">
        <w:rPr>
          <w:sz w:val="20"/>
          <w:szCs w:val="20"/>
        </w:rPr>
        <w:t xml:space="preserve"> above prior year levels and </w:t>
      </w:r>
      <w:bookmarkStart w:id="0" w:name="_Hlk75769010"/>
      <w:r w:rsidR="004968A2" w:rsidRPr="00BC2183">
        <w:rPr>
          <w:sz w:val="20"/>
          <w:szCs w:val="20"/>
        </w:rPr>
        <w:t>9.3</w:t>
      </w:r>
      <w:r w:rsidR="00ED2E8D" w:rsidRPr="00BC2183">
        <w:rPr>
          <w:sz w:val="20"/>
          <w:szCs w:val="20"/>
        </w:rPr>
        <w:t xml:space="preserve">% below the equivalent pre-COVID levels in </w:t>
      </w:r>
      <w:r w:rsidRPr="00BC2183">
        <w:rPr>
          <w:sz w:val="20"/>
          <w:szCs w:val="20"/>
        </w:rPr>
        <w:t>Q3 19</w:t>
      </w:r>
      <w:bookmarkEnd w:id="0"/>
    </w:p>
    <w:p w14:paraId="21C952D2" w14:textId="2D8921CE" w:rsidR="00DF6060" w:rsidRPr="00BC2183" w:rsidRDefault="00320275" w:rsidP="00DF6060">
      <w:pPr>
        <w:pStyle w:val="ListParagraph"/>
        <w:numPr>
          <w:ilvl w:val="0"/>
          <w:numId w:val="1"/>
        </w:numPr>
        <w:jc w:val="both"/>
        <w:rPr>
          <w:sz w:val="20"/>
          <w:szCs w:val="20"/>
        </w:rPr>
      </w:pPr>
      <w:r w:rsidRPr="00BC2183">
        <w:rPr>
          <w:sz w:val="20"/>
          <w:szCs w:val="20"/>
        </w:rPr>
        <w:t xml:space="preserve">Positive Adjusted Operating Profit for the quarter, in line with management expectations </w:t>
      </w:r>
    </w:p>
    <w:p w14:paraId="11B0F76F" w14:textId="2CD23C5A" w:rsidR="00F11118" w:rsidRPr="00BC2183" w:rsidRDefault="00F11118" w:rsidP="00F11118">
      <w:pPr>
        <w:rPr>
          <w:b/>
          <w:sz w:val="20"/>
          <w:szCs w:val="20"/>
        </w:rPr>
      </w:pPr>
      <w:r w:rsidRPr="00BC2183">
        <w:rPr>
          <w:b/>
          <w:sz w:val="20"/>
          <w:szCs w:val="20"/>
        </w:rPr>
        <w:t>STRATEGIC DEVELOPMENTS</w:t>
      </w:r>
    </w:p>
    <w:p w14:paraId="2418095C" w14:textId="38B584A2" w:rsidR="00F11118" w:rsidRPr="00BC2183" w:rsidRDefault="00C1529A" w:rsidP="00F11118">
      <w:pPr>
        <w:pStyle w:val="ListParagraph"/>
        <w:numPr>
          <w:ilvl w:val="0"/>
          <w:numId w:val="1"/>
        </w:numPr>
        <w:jc w:val="both"/>
        <w:rPr>
          <w:sz w:val="20"/>
          <w:szCs w:val="20"/>
        </w:rPr>
      </w:pPr>
      <w:r>
        <w:rPr>
          <w:sz w:val="20"/>
          <w:szCs w:val="20"/>
        </w:rPr>
        <w:t xml:space="preserve">Strong </w:t>
      </w:r>
      <w:r w:rsidR="00653286" w:rsidRPr="00BC2183">
        <w:rPr>
          <w:sz w:val="20"/>
          <w:szCs w:val="20"/>
        </w:rPr>
        <w:t>execution on n</w:t>
      </w:r>
      <w:r w:rsidR="00F11118" w:rsidRPr="00BC2183">
        <w:rPr>
          <w:sz w:val="20"/>
          <w:szCs w:val="20"/>
        </w:rPr>
        <w:t>ew business wins</w:t>
      </w:r>
      <w:r w:rsidR="00AE71EA" w:rsidRPr="00BC2183">
        <w:rPr>
          <w:sz w:val="20"/>
          <w:szCs w:val="20"/>
        </w:rPr>
        <w:t xml:space="preserve"> and extending customer relationships</w:t>
      </w:r>
      <w:r w:rsidR="00653286" w:rsidRPr="00BC2183">
        <w:rPr>
          <w:sz w:val="20"/>
          <w:szCs w:val="20"/>
        </w:rPr>
        <w:t xml:space="preserve">, </w:t>
      </w:r>
      <w:r w:rsidR="00F11118" w:rsidRPr="00BC2183">
        <w:rPr>
          <w:sz w:val="20"/>
          <w:szCs w:val="20"/>
        </w:rPr>
        <w:t>supplement</w:t>
      </w:r>
      <w:r w:rsidR="00653286" w:rsidRPr="00BC2183">
        <w:rPr>
          <w:sz w:val="20"/>
          <w:szCs w:val="20"/>
        </w:rPr>
        <w:t>ing</w:t>
      </w:r>
      <w:r w:rsidR="00F11118" w:rsidRPr="00BC2183">
        <w:rPr>
          <w:sz w:val="20"/>
          <w:szCs w:val="20"/>
        </w:rPr>
        <w:t xml:space="preserve"> underlying revenue growth in Q3</w:t>
      </w:r>
    </w:p>
    <w:p w14:paraId="492BC186" w14:textId="0A006092" w:rsidR="00F11118" w:rsidRPr="00BC2183" w:rsidRDefault="00D65B1C" w:rsidP="00F11118">
      <w:pPr>
        <w:pStyle w:val="ListParagraph"/>
        <w:numPr>
          <w:ilvl w:val="0"/>
          <w:numId w:val="1"/>
        </w:numPr>
        <w:jc w:val="both"/>
        <w:rPr>
          <w:sz w:val="20"/>
          <w:szCs w:val="20"/>
        </w:rPr>
      </w:pPr>
      <w:r w:rsidRPr="00BC2183">
        <w:rPr>
          <w:sz w:val="20"/>
          <w:szCs w:val="20"/>
        </w:rPr>
        <w:t>Significant progress i</w:t>
      </w:r>
      <w:r w:rsidR="00653286" w:rsidRPr="00BC2183">
        <w:rPr>
          <w:sz w:val="20"/>
          <w:szCs w:val="20"/>
        </w:rPr>
        <w:t xml:space="preserve">n driving improved cash generation and balance sheet strength, with debt reduction, improved </w:t>
      </w:r>
      <w:r w:rsidR="00F11118" w:rsidRPr="00BC2183">
        <w:rPr>
          <w:sz w:val="20"/>
          <w:szCs w:val="20"/>
        </w:rPr>
        <w:t xml:space="preserve">leverage metrics, </w:t>
      </w:r>
      <w:r w:rsidR="00951741">
        <w:rPr>
          <w:sz w:val="20"/>
          <w:szCs w:val="20"/>
        </w:rPr>
        <w:t>lower annual cash contributions agreed for pension scheme funding</w:t>
      </w:r>
      <w:r w:rsidR="001F6F28">
        <w:rPr>
          <w:sz w:val="20"/>
          <w:szCs w:val="20"/>
        </w:rPr>
        <w:t xml:space="preserve"> from FY22</w:t>
      </w:r>
      <w:r w:rsidR="00951741">
        <w:rPr>
          <w:sz w:val="20"/>
          <w:szCs w:val="20"/>
        </w:rPr>
        <w:t xml:space="preserve">, </w:t>
      </w:r>
      <w:r w:rsidR="00F11118" w:rsidRPr="00BC2183">
        <w:rPr>
          <w:sz w:val="20"/>
          <w:szCs w:val="20"/>
        </w:rPr>
        <w:t xml:space="preserve">and the </w:t>
      </w:r>
      <w:r w:rsidR="00951741">
        <w:rPr>
          <w:sz w:val="20"/>
          <w:szCs w:val="20"/>
        </w:rPr>
        <w:t xml:space="preserve">successful </w:t>
      </w:r>
      <w:r w:rsidR="00F11118" w:rsidRPr="00BC2183">
        <w:rPr>
          <w:sz w:val="20"/>
          <w:szCs w:val="20"/>
        </w:rPr>
        <w:t xml:space="preserve">refinancing of </w:t>
      </w:r>
      <w:r w:rsidR="00653286" w:rsidRPr="00BC2183">
        <w:rPr>
          <w:sz w:val="20"/>
          <w:szCs w:val="20"/>
        </w:rPr>
        <w:t xml:space="preserve">the Group’s </w:t>
      </w:r>
      <w:r w:rsidR="00F11118" w:rsidRPr="00BC2183">
        <w:rPr>
          <w:sz w:val="20"/>
          <w:szCs w:val="20"/>
        </w:rPr>
        <w:t xml:space="preserve">Private Placement Notes due </w:t>
      </w:r>
      <w:r w:rsidR="004B4AE2" w:rsidRPr="00BC2183">
        <w:rPr>
          <w:sz w:val="20"/>
          <w:szCs w:val="20"/>
        </w:rPr>
        <w:t xml:space="preserve">in </w:t>
      </w:r>
      <w:r w:rsidR="00F11118" w:rsidRPr="00BC2183">
        <w:rPr>
          <w:sz w:val="20"/>
          <w:szCs w:val="20"/>
        </w:rPr>
        <w:t>October 2021</w:t>
      </w:r>
    </w:p>
    <w:p w14:paraId="30C74430" w14:textId="322B86A3" w:rsidR="00C1529A" w:rsidRPr="00466ABE" w:rsidRDefault="00C1529A" w:rsidP="00F11118">
      <w:pPr>
        <w:pStyle w:val="ListParagraph"/>
        <w:numPr>
          <w:ilvl w:val="0"/>
          <w:numId w:val="1"/>
        </w:numPr>
        <w:jc w:val="both"/>
        <w:rPr>
          <w:b/>
          <w:sz w:val="20"/>
          <w:szCs w:val="20"/>
        </w:rPr>
      </w:pPr>
      <w:r w:rsidRPr="00C1529A">
        <w:rPr>
          <w:sz w:val="20"/>
          <w:szCs w:val="20"/>
        </w:rPr>
        <w:t xml:space="preserve">Good </w:t>
      </w:r>
      <w:r w:rsidR="00800141" w:rsidRPr="00C1529A">
        <w:rPr>
          <w:sz w:val="20"/>
          <w:szCs w:val="20"/>
        </w:rPr>
        <w:t>progress on the Group’s sustainability objectives</w:t>
      </w:r>
      <w:r w:rsidRPr="00C1529A">
        <w:rPr>
          <w:sz w:val="20"/>
          <w:szCs w:val="20"/>
        </w:rPr>
        <w:t xml:space="preserve">, </w:t>
      </w:r>
      <w:r>
        <w:rPr>
          <w:sz w:val="20"/>
          <w:szCs w:val="20"/>
        </w:rPr>
        <w:t>in particular</w:t>
      </w:r>
      <w:r w:rsidRPr="00C1529A">
        <w:rPr>
          <w:sz w:val="20"/>
          <w:szCs w:val="20"/>
        </w:rPr>
        <w:t xml:space="preserve"> the launch of </w:t>
      </w:r>
      <w:r w:rsidR="00800141" w:rsidRPr="00C1529A">
        <w:rPr>
          <w:sz w:val="20"/>
          <w:szCs w:val="20"/>
        </w:rPr>
        <w:t xml:space="preserve">fully recyclable sandwich skillet </w:t>
      </w:r>
      <w:r w:rsidR="00F105EC">
        <w:rPr>
          <w:sz w:val="20"/>
          <w:szCs w:val="20"/>
        </w:rPr>
        <w:t xml:space="preserve">trials </w:t>
      </w:r>
      <w:r w:rsidR="004B4389">
        <w:rPr>
          <w:sz w:val="20"/>
          <w:szCs w:val="20"/>
        </w:rPr>
        <w:t>for</w:t>
      </w:r>
      <w:r w:rsidR="00800141" w:rsidRPr="00C1529A">
        <w:rPr>
          <w:sz w:val="20"/>
          <w:szCs w:val="20"/>
        </w:rPr>
        <w:t xml:space="preserve"> customers in </w:t>
      </w:r>
      <w:r w:rsidR="0016731E">
        <w:rPr>
          <w:sz w:val="20"/>
          <w:szCs w:val="20"/>
        </w:rPr>
        <w:t>September</w:t>
      </w:r>
      <w:r w:rsidR="00F105EC">
        <w:rPr>
          <w:sz w:val="20"/>
          <w:szCs w:val="20"/>
        </w:rPr>
        <w:t xml:space="preserve"> 2021</w:t>
      </w:r>
      <w:r w:rsidRPr="00C1529A">
        <w:rPr>
          <w:sz w:val="20"/>
          <w:szCs w:val="20"/>
        </w:rPr>
        <w:t xml:space="preserve"> </w:t>
      </w:r>
    </w:p>
    <w:p w14:paraId="394266DE" w14:textId="2A9F4FC2" w:rsidR="00F11118" w:rsidRPr="00466ABE" w:rsidRDefault="00F11118" w:rsidP="00466ABE">
      <w:pPr>
        <w:jc w:val="both"/>
        <w:rPr>
          <w:b/>
          <w:sz w:val="20"/>
          <w:szCs w:val="20"/>
        </w:rPr>
      </w:pPr>
      <w:r w:rsidRPr="00466ABE">
        <w:rPr>
          <w:b/>
          <w:sz w:val="20"/>
          <w:szCs w:val="20"/>
        </w:rPr>
        <w:t>OUTLOOK</w:t>
      </w:r>
      <w:r w:rsidR="001F6F28">
        <w:rPr>
          <w:b/>
          <w:sz w:val="20"/>
          <w:szCs w:val="20"/>
          <w:vertAlign w:val="superscript"/>
        </w:rPr>
        <w:t>2</w:t>
      </w:r>
    </w:p>
    <w:p w14:paraId="2CF6AEAC" w14:textId="4AD8DFE3" w:rsidR="00EF75FA" w:rsidRDefault="001F6F28" w:rsidP="001F6F28">
      <w:pPr>
        <w:pStyle w:val="ListParagraph"/>
        <w:numPr>
          <w:ilvl w:val="0"/>
          <w:numId w:val="1"/>
        </w:numPr>
        <w:jc w:val="both"/>
        <w:rPr>
          <w:sz w:val="20"/>
          <w:szCs w:val="20"/>
        </w:rPr>
      </w:pPr>
      <w:bookmarkStart w:id="1" w:name="_Hlk75773078"/>
      <w:r w:rsidRPr="001F6F28">
        <w:rPr>
          <w:sz w:val="20"/>
          <w:szCs w:val="20"/>
        </w:rPr>
        <w:t>Revenue momentum has remained encouraging in the first three trading weeks of July</w:t>
      </w:r>
    </w:p>
    <w:p w14:paraId="5DEB8056" w14:textId="6B467FC6" w:rsidR="001F6F28" w:rsidRDefault="00EF75FA" w:rsidP="001F6F28">
      <w:pPr>
        <w:pStyle w:val="ListParagraph"/>
        <w:numPr>
          <w:ilvl w:val="0"/>
          <w:numId w:val="1"/>
        </w:numPr>
        <w:jc w:val="both"/>
        <w:rPr>
          <w:sz w:val="20"/>
          <w:szCs w:val="20"/>
        </w:rPr>
      </w:pPr>
      <w:r>
        <w:rPr>
          <w:sz w:val="20"/>
          <w:szCs w:val="20"/>
        </w:rPr>
        <w:t xml:space="preserve">Notwithstanding the supply chain and labour challenges impacting the broader UK food industry at present, </w:t>
      </w:r>
      <w:r w:rsidR="00F105EC">
        <w:rPr>
          <w:sz w:val="20"/>
          <w:szCs w:val="20"/>
        </w:rPr>
        <w:t>t</w:t>
      </w:r>
      <w:r w:rsidR="00F105EC" w:rsidRPr="001F6F28">
        <w:rPr>
          <w:sz w:val="20"/>
          <w:szCs w:val="20"/>
        </w:rPr>
        <w:t>he Group is confident in its ability to deliver strong year on year profit and cashflow progression in the second half of the year</w:t>
      </w:r>
      <w:r w:rsidR="00F105EC">
        <w:rPr>
          <w:sz w:val="20"/>
          <w:szCs w:val="20"/>
        </w:rPr>
        <w:t xml:space="preserve"> </w:t>
      </w:r>
    </w:p>
    <w:p w14:paraId="61FBB37F" w14:textId="0AA0B3F0" w:rsidR="001F6F28" w:rsidRDefault="002A0201" w:rsidP="001F6F28">
      <w:pPr>
        <w:pStyle w:val="ListParagraph"/>
        <w:numPr>
          <w:ilvl w:val="0"/>
          <w:numId w:val="1"/>
        </w:numPr>
        <w:jc w:val="both"/>
        <w:rPr>
          <w:sz w:val="20"/>
          <w:szCs w:val="20"/>
        </w:rPr>
      </w:pPr>
      <w:r w:rsidRPr="001F6F28">
        <w:rPr>
          <w:sz w:val="20"/>
          <w:szCs w:val="20"/>
        </w:rPr>
        <w:t xml:space="preserve">The Group </w:t>
      </w:r>
      <w:r w:rsidR="00D35213" w:rsidRPr="001F6F28">
        <w:rPr>
          <w:sz w:val="20"/>
          <w:szCs w:val="20"/>
        </w:rPr>
        <w:t xml:space="preserve">now </w:t>
      </w:r>
      <w:r w:rsidRPr="001F6F28">
        <w:rPr>
          <w:sz w:val="20"/>
          <w:szCs w:val="20"/>
        </w:rPr>
        <w:t>expects to generate a</w:t>
      </w:r>
      <w:r w:rsidR="00D575B6">
        <w:rPr>
          <w:sz w:val="20"/>
          <w:szCs w:val="20"/>
        </w:rPr>
        <w:t>n</w:t>
      </w:r>
      <w:r w:rsidRPr="001F6F28">
        <w:rPr>
          <w:sz w:val="20"/>
          <w:szCs w:val="20"/>
        </w:rPr>
        <w:t xml:space="preserve"> FY21 Adjusted Operating Profit outturn </w:t>
      </w:r>
      <w:r w:rsidR="006F6DC9" w:rsidRPr="001F6F28">
        <w:rPr>
          <w:sz w:val="20"/>
          <w:szCs w:val="20"/>
        </w:rPr>
        <w:t>of</w:t>
      </w:r>
      <w:r w:rsidR="00EA6378" w:rsidRPr="001F6F28">
        <w:rPr>
          <w:sz w:val="20"/>
          <w:szCs w:val="20"/>
        </w:rPr>
        <w:t xml:space="preserve"> between £</w:t>
      </w:r>
      <w:r w:rsidR="00EA2DC7" w:rsidRPr="001F6F28">
        <w:rPr>
          <w:sz w:val="20"/>
          <w:szCs w:val="20"/>
        </w:rPr>
        <w:t>3</w:t>
      </w:r>
      <w:r w:rsidR="00A27316">
        <w:rPr>
          <w:sz w:val="20"/>
          <w:szCs w:val="20"/>
        </w:rPr>
        <w:t>6</w:t>
      </w:r>
      <w:r w:rsidR="00EA2DC7" w:rsidRPr="001F6F28">
        <w:rPr>
          <w:sz w:val="20"/>
          <w:szCs w:val="20"/>
        </w:rPr>
        <w:t xml:space="preserve">m </w:t>
      </w:r>
      <w:r w:rsidR="00EA6378" w:rsidRPr="001F6F28">
        <w:rPr>
          <w:sz w:val="20"/>
          <w:szCs w:val="20"/>
        </w:rPr>
        <w:t>and £40m</w:t>
      </w:r>
      <w:r w:rsidR="00D35213" w:rsidRPr="001F6F28">
        <w:rPr>
          <w:sz w:val="20"/>
          <w:szCs w:val="20"/>
        </w:rPr>
        <w:t>, versus previous guidance of above FY20 levels of £32.5m</w:t>
      </w:r>
      <w:r w:rsidRPr="001F6F28">
        <w:rPr>
          <w:sz w:val="20"/>
          <w:szCs w:val="20"/>
        </w:rPr>
        <w:t xml:space="preserve"> </w:t>
      </w:r>
    </w:p>
    <w:p w14:paraId="0C8E5253" w14:textId="05D527B3" w:rsidR="002A0201" w:rsidRDefault="00D65B1C" w:rsidP="001F6F28">
      <w:pPr>
        <w:pStyle w:val="ListParagraph"/>
        <w:numPr>
          <w:ilvl w:val="0"/>
          <w:numId w:val="1"/>
        </w:numPr>
        <w:jc w:val="both"/>
        <w:rPr>
          <w:sz w:val="20"/>
          <w:szCs w:val="20"/>
        </w:rPr>
      </w:pPr>
      <w:r w:rsidRPr="001F6F28">
        <w:rPr>
          <w:sz w:val="20"/>
          <w:szCs w:val="20"/>
        </w:rPr>
        <w:t xml:space="preserve">Given strong cashflow momentum, </w:t>
      </w:r>
      <w:r w:rsidR="00D35213" w:rsidRPr="001F6F28">
        <w:rPr>
          <w:sz w:val="20"/>
          <w:szCs w:val="20"/>
        </w:rPr>
        <w:t xml:space="preserve">Net Debt (excluding lease liabilities) at the end of FY21 is </w:t>
      </w:r>
      <w:bookmarkStart w:id="2" w:name="_Hlk76632800"/>
      <w:r w:rsidR="00D35213" w:rsidRPr="001F6F28">
        <w:rPr>
          <w:sz w:val="20"/>
          <w:szCs w:val="20"/>
        </w:rPr>
        <w:t xml:space="preserve">anticipated to be </w:t>
      </w:r>
      <w:r w:rsidR="006F6DC9" w:rsidRPr="001F6F28">
        <w:rPr>
          <w:sz w:val="20"/>
          <w:szCs w:val="20"/>
        </w:rPr>
        <w:t xml:space="preserve">below </w:t>
      </w:r>
      <w:r w:rsidR="00466ABE" w:rsidRPr="001F6F28">
        <w:rPr>
          <w:sz w:val="20"/>
          <w:szCs w:val="20"/>
        </w:rPr>
        <w:t xml:space="preserve">£240m </w:t>
      </w:r>
      <w:r w:rsidR="00D35213" w:rsidRPr="001F6F28">
        <w:rPr>
          <w:sz w:val="20"/>
          <w:szCs w:val="20"/>
        </w:rPr>
        <w:t>with Net Debt:EBITDA comfortably below 3x</w:t>
      </w:r>
      <w:bookmarkEnd w:id="2"/>
      <w:r w:rsidR="00F80078">
        <w:rPr>
          <w:sz w:val="20"/>
          <w:szCs w:val="20"/>
        </w:rPr>
        <w:t>, as measured under financing agreements</w:t>
      </w:r>
    </w:p>
    <w:p w14:paraId="3EC4C727" w14:textId="30E68985" w:rsidR="00615E47" w:rsidRPr="00615E47" w:rsidRDefault="00615E47">
      <w:pPr>
        <w:pStyle w:val="ListParagraph"/>
        <w:numPr>
          <w:ilvl w:val="0"/>
          <w:numId w:val="1"/>
        </w:numPr>
        <w:jc w:val="both"/>
        <w:rPr>
          <w:sz w:val="20"/>
          <w:szCs w:val="20"/>
        </w:rPr>
      </w:pPr>
      <w:r w:rsidRPr="00615E47">
        <w:rPr>
          <w:sz w:val="20"/>
          <w:szCs w:val="20"/>
        </w:rPr>
        <w:t xml:space="preserve">Greencore will report its FY21 results on 30 November 2021 </w:t>
      </w:r>
    </w:p>
    <w:bookmarkEnd w:id="1"/>
    <w:p w14:paraId="24D7BC43" w14:textId="77777777" w:rsidR="00ED6035" w:rsidRDefault="00ED6035" w:rsidP="00DB13ED">
      <w:pPr>
        <w:rPr>
          <w:b/>
          <w:sz w:val="20"/>
          <w:szCs w:val="20"/>
        </w:rPr>
      </w:pPr>
    </w:p>
    <w:p w14:paraId="6F10A404" w14:textId="2D440099" w:rsidR="00DB13ED" w:rsidRPr="004177DD" w:rsidRDefault="00DB13ED" w:rsidP="00DB13ED">
      <w:pPr>
        <w:rPr>
          <w:b/>
          <w:sz w:val="20"/>
          <w:szCs w:val="20"/>
        </w:rPr>
      </w:pPr>
      <w:r w:rsidRPr="004177DD">
        <w:rPr>
          <w:b/>
          <w:sz w:val="20"/>
          <w:szCs w:val="20"/>
        </w:rPr>
        <w:t xml:space="preserve">Commenting on the performance, Patrick Coveney, Chief Executive Officer, said: </w:t>
      </w:r>
    </w:p>
    <w:p w14:paraId="0331EC54" w14:textId="1B20A5A7" w:rsidR="00ED6035" w:rsidRPr="00536CE5" w:rsidRDefault="00DB13ED" w:rsidP="00536CE5">
      <w:pPr>
        <w:jc w:val="both"/>
        <w:rPr>
          <w:i/>
          <w:sz w:val="20"/>
          <w:szCs w:val="20"/>
        </w:rPr>
      </w:pPr>
      <w:r w:rsidRPr="004177DD">
        <w:rPr>
          <w:i/>
          <w:sz w:val="20"/>
          <w:szCs w:val="20"/>
        </w:rPr>
        <w:t>“</w:t>
      </w:r>
      <w:r>
        <w:rPr>
          <w:i/>
          <w:sz w:val="20"/>
          <w:szCs w:val="20"/>
        </w:rPr>
        <w:t xml:space="preserve">We are encouraged by the </w:t>
      </w:r>
      <w:r w:rsidR="00E81EDD">
        <w:rPr>
          <w:i/>
          <w:sz w:val="20"/>
          <w:szCs w:val="20"/>
        </w:rPr>
        <w:t>improvement</w:t>
      </w:r>
      <w:r>
        <w:rPr>
          <w:i/>
          <w:sz w:val="20"/>
          <w:szCs w:val="20"/>
        </w:rPr>
        <w:t xml:space="preserve"> in revenue, profitability and cash flow momentum in Q3 and the early weeks </w:t>
      </w:r>
      <w:r w:rsidRPr="00BE3EAF">
        <w:rPr>
          <w:i/>
          <w:sz w:val="20"/>
          <w:szCs w:val="20"/>
        </w:rPr>
        <w:t xml:space="preserve">of Q4. </w:t>
      </w:r>
      <w:r w:rsidRPr="00B21A04">
        <w:rPr>
          <w:i/>
          <w:sz w:val="20"/>
          <w:szCs w:val="20"/>
        </w:rPr>
        <w:t>Against the backdrop of the UK economy reopening fully</w:t>
      </w:r>
      <w:r>
        <w:rPr>
          <w:i/>
          <w:sz w:val="20"/>
          <w:szCs w:val="20"/>
        </w:rPr>
        <w:t>, w</w:t>
      </w:r>
      <w:r w:rsidRPr="00BE3EAF">
        <w:rPr>
          <w:i/>
          <w:sz w:val="20"/>
          <w:szCs w:val="20"/>
        </w:rPr>
        <w:t>e are rebuilding our economic model effectively and sustainably</w:t>
      </w:r>
      <w:r>
        <w:rPr>
          <w:i/>
          <w:sz w:val="20"/>
          <w:szCs w:val="20"/>
        </w:rPr>
        <w:t xml:space="preserve"> with all stakeholders</w:t>
      </w:r>
      <w:r w:rsidRPr="00BE3EAF">
        <w:rPr>
          <w:i/>
          <w:sz w:val="20"/>
          <w:szCs w:val="20"/>
        </w:rPr>
        <w:t xml:space="preserve">, supported by our long-standing customer relationships </w:t>
      </w:r>
      <w:r w:rsidRPr="00B21A04">
        <w:rPr>
          <w:i/>
          <w:sz w:val="20"/>
          <w:szCs w:val="20"/>
        </w:rPr>
        <w:t xml:space="preserve">and further enhanced by the new business wins we have secured </w:t>
      </w:r>
      <w:r>
        <w:rPr>
          <w:i/>
          <w:sz w:val="20"/>
          <w:szCs w:val="20"/>
        </w:rPr>
        <w:t>this year</w:t>
      </w:r>
      <w:r w:rsidRPr="00B21A04">
        <w:rPr>
          <w:i/>
          <w:sz w:val="20"/>
          <w:szCs w:val="20"/>
        </w:rPr>
        <w:t xml:space="preserve">. </w:t>
      </w:r>
      <w:r>
        <w:rPr>
          <w:i/>
          <w:sz w:val="20"/>
          <w:szCs w:val="20"/>
        </w:rPr>
        <w:t xml:space="preserve">The performance is underpinned in particular by the energy and dedication of our people. </w:t>
      </w:r>
      <w:r w:rsidR="001F6F28">
        <w:rPr>
          <w:i/>
          <w:sz w:val="20"/>
          <w:szCs w:val="20"/>
        </w:rPr>
        <w:t xml:space="preserve">We are also delighted to have made progress in creating a fully recyclable sandwich skillet, a key commitment of our sustainability strategy. </w:t>
      </w:r>
      <w:r>
        <w:rPr>
          <w:i/>
          <w:sz w:val="20"/>
          <w:szCs w:val="20"/>
        </w:rPr>
        <w:t xml:space="preserve">We have a strong position </w:t>
      </w:r>
      <w:r w:rsidRPr="00B21A04">
        <w:rPr>
          <w:i/>
          <w:sz w:val="20"/>
          <w:szCs w:val="20"/>
        </w:rPr>
        <w:t>in th</w:t>
      </w:r>
      <w:r w:rsidR="001F6F28">
        <w:rPr>
          <w:i/>
          <w:sz w:val="20"/>
          <w:szCs w:val="20"/>
        </w:rPr>
        <w:t>e</w:t>
      </w:r>
      <w:r w:rsidRPr="00B21A04">
        <w:rPr>
          <w:i/>
          <w:sz w:val="20"/>
          <w:szCs w:val="20"/>
        </w:rPr>
        <w:t xml:space="preserve"> dynamic UK convenience food market </w:t>
      </w:r>
      <w:r>
        <w:rPr>
          <w:i/>
          <w:sz w:val="20"/>
          <w:szCs w:val="20"/>
        </w:rPr>
        <w:t xml:space="preserve">and are </w:t>
      </w:r>
      <w:r w:rsidRPr="00B21A04">
        <w:rPr>
          <w:i/>
          <w:sz w:val="20"/>
          <w:szCs w:val="20"/>
        </w:rPr>
        <w:t xml:space="preserve">confident about </w:t>
      </w:r>
      <w:r>
        <w:rPr>
          <w:i/>
          <w:sz w:val="20"/>
          <w:szCs w:val="20"/>
        </w:rPr>
        <w:t xml:space="preserve">our </w:t>
      </w:r>
      <w:r w:rsidRPr="00B21A04">
        <w:rPr>
          <w:i/>
          <w:sz w:val="20"/>
          <w:szCs w:val="20"/>
        </w:rPr>
        <w:t>medium-term prospects</w:t>
      </w:r>
      <w:r w:rsidRPr="00BE3EAF">
        <w:rPr>
          <w:i/>
          <w:sz w:val="20"/>
          <w:szCs w:val="20"/>
        </w:rPr>
        <w:t>.”</w:t>
      </w:r>
    </w:p>
    <w:p w14:paraId="4EF00A82" w14:textId="45CB9899" w:rsidR="00DF6060" w:rsidRPr="004177DD" w:rsidRDefault="00DF6060" w:rsidP="00DF6060">
      <w:pPr>
        <w:rPr>
          <w:b/>
          <w:sz w:val="20"/>
          <w:szCs w:val="20"/>
        </w:rPr>
      </w:pPr>
      <w:r w:rsidRPr="004177DD">
        <w:rPr>
          <w:b/>
          <w:sz w:val="20"/>
          <w:szCs w:val="20"/>
        </w:rPr>
        <w:lastRenderedPageBreak/>
        <w:t>Q</w:t>
      </w:r>
      <w:r w:rsidR="004177DD" w:rsidRPr="004177DD">
        <w:rPr>
          <w:b/>
          <w:sz w:val="20"/>
          <w:szCs w:val="20"/>
        </w:rPr>
        <w:t>3</w:t>
      </w:r>
      <w:r w:rsidRPr="004177DD">
        <w:rPr>
          <w:b/>
          <w:sz w:val="20"/>
          <w:szCs w:val="20"/>
        </w:rPr>
        <w:t xml:space="preserve"> Trading </w:t>
      </w:r>
      <w:r w:rsidRPr="004177DD">
        <w:rPr>
          <w:b/>
          <w:sz w:val="20"/>
          <w:szCs w:val="20"/>
          <w:vertAlign w:val="superscript"/>
        </w:rPr>
        <w:t>1,</w:t>
      </w:r>
      <w:r w:rsidR="001F6F28">
        <w:rPr>
          <w:b/>
          <w:sz w:val="20"/>
          <w:szCs w:val="20"/>
          <w:vertAlign w:val="superscript"/>
        </w:rPr>
        <w:t>2</w:t>
      </w:r>
    </w:p>
    <w:tbl>
      <w:tblPr>
        <w:tblW w:w="9794"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61"/>
        <w:gridCol w:w="1356"/>
        <w:gridCol w:w="1308"/>
        <w:gridCol w:w="1310"/>
        <w:gridCol w:w="1309"/>
        <w:gridCol w:w="1250"/>
      </w:tblGrid>
      <w:tr w:rsidR="00973D3F" w:rsidRPr="00F83316" w14:paraId="2B43483B" w14:textId="77777777" w:rsidTr="00D8031E">
        <w:trPr>
          <w:trHeight w:val="264"/>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0E14E" w14:textId="77777777" w:rsidR="00973D3F" w:rsidRPr="00F83316" w:rsidRDefault="00973D3F" w:rsidP="00637146">
            <w:pPr>
              <w:rPr>
                <w:sz w:val="20"/>
                <w:szCs w:val="20"/>
              </w:rPr>
            </w:pPr>
          </w:p>
        </w:tc>
        <w:tc>
          <w:tcPr>
            <w:tcW w:w="1356" w:type="dxa"/>
            <w:tcBorders>
              <w:top w:val="single" w:sz="4" w:space="0" w:color="000000"/>
              <w:left w:val="single" w:sz="4" w:space="0" w:color="000000"/>
              <w:bottom w:val="single" w:sz="4" w:space="0" w:color="000000"/>
              <w:right w:val="single" w:sz="4" w:space="0" w:color="000000"/>
            </w:tcBorders>
          </w:tcPr>
          <w:p w14:paraId="24387E6E" w14:textId="7C0C1DE3" w:rsidR="00973D3F" w:rsidRPr="00F83316" w:rsidRDefault="00973D3F" w:rsidP="00637146">
            <w:pPr>
              <w:pStyle w:val="Body"/>
              <w:spacing w:after="0" w:line="240" w:lineRule="auto"/>
              <w:jc w:val="center"/>
              <w:rPr>
                <w:b/>
                <w:bCs/>
                <w:sz w:val="20"/>
                <w:szCs w:val="20"/>
              </w:rPr>
            </w:pPr>
            <w:r>
              <w:rPr>
                <w:b/>
                <w:bCs/>
                <w:sz w:val="20"/>
                <w:szCs w:val="20"/>
              </w:rPr>
              <w:t>Revenue</w:t>
            </w:r>
          </w:p>
        </w:tc>
        <w:tc>
          <w:tcPr>
            <w:tcW w:w="517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01A71" w14:textId="33782BE3" w:rsidR="00973D3F" w:rsidRPr="00F83316" w:rsidRDefault="00973D3F" w:rsidP="00637146">
            <w:pPr>
              <w:pStyle w:val="Body"/>
              <w:spacing w:after="0" w:line="240" w:lineRule="auto"/>
              <w:jc w:val="center"/>
              <w:rPr>
                <w:sz w:val="20"/>
                <w:szCs w:val="20"/>
              </w:rPr>
            </w:pPr>
            <w:r w:rsidRPr="00F83316">
              <w:rPr>
                <w:b/>
                <w:bCs/>
                <w:sz w:val="20"/>
                <w:szCs w:val="20"/>
              </w:rPr>
              <w:t>Revenue Growth</w:t>
            </w:r>
            <w:r>
              <w:rPr>
                <w:b/>
                <w:bCs/>
                <w:sz w:val="20"/>
                <w:szCs w:val="20"/>
              </w:rPr>
              <w:t xml:space="preserve"> (versus FY20)</w:t>
            </w:r>
          </w:p>
        </w:tc>
      </w:tr>
      <w:tr w:rsidR="00973D3F" w:rsidRPr="00F83316" w14:paraId="4C8B2EB9" w14:textId="77777777" w:rsidTr="00D8031E">
        <w:trPr>
          <w:trHeight w:val="54"/>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14:paraId="4F36B78E" w14:textId="77777777" w:rsidR="00973D3F" w:rsidRPr="00F83316" w:rsidRDefault="00973D3F" w:rsidP="00637146">
            <w:pPr>
              <w:rPr>
                <w:sz w:val="20"/>
                <w:szCs w:val="20"/>
              </w:rPr>
            </w:pPr>
          </w:p>
        </w:tc>
        <w:tc>
          <w:tcPr>
            <w:tcW w:w="1356" w:type="dxa"/>
            <w:tcBorders>
              <w:top w:val="single" w:sz="4" w:space="0" w:color="000000"/>
              <w:left w:val="single" w:sz="4" w:space="0" w:color="000000"/>
              <w:bottom w:val="single" w:sz="4" w:space="0" w:color="000000"/>
              <w:right w:val="single" w:sz="4" w:space="0" w:color="000000"/>
            </w:tcBorders>
          </w:tcPr>
          <w:p w14:paraId="7403B979" w14:textId="71BB7F70" w:rsidR="00973D3F" w:rsidRPr="00F83316" w:rsidRDefault="00973D3F" w:rsidP="00637146">
            <w:pPr>
              <w:pStyle w:val="Body"/>
              <w:spacing w:after="0" w:line="240" w:lineRule="auto"/>
              <w:jc w:val="center"/>
              <w:rPr>
                <w:b/>
                <w:bCs/>
                <w:sz w:val="20"/>
                <w:szCs w:val="20"/>
              </w:rPr>
            </w:pPr>
            <w:r>
              <w:rPr>
                <w:b/>
                <w:bCs/>
                <w:sz w:val="20"/>
                <w:szCs w:val="20"/>
              </w:rPr>
              <w:t>£m</w:t>
            </w: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C9E4D" w14:textId="26570912" w:rsidR="00973D3F" w:rsidRPr="00F83316" w:rsidRDefault="00973D3F" w:rsidP="00637146">
            <w:pPr>
              <w:pStyle w:val="Body"/>
              <w:spacing w:after="0" w:line="240" w:lineRule="auto"/>
              <w:jc w:val="center"/>
              <w:rPr>
                <w:sz w:val="20"/>
                <w:szCs w:val="20"/>
              </w:rPr>
            </w:pPr>
            <w:r w:rsidRPr="00F83316">
              <w:rPr>
                <w:b/>
                <w:bCs/>
                <w:sz w:val="20"/>
                <w:szCs w:val="20"/>
              </w:rPr>
              <w:t>Q3</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1B00A" w14:textId="77777777" w:rsidR="00973D3F" w:rsidRPr="00F83316" w:rsidRDefault="00973D3F" w:rsidP="00637146">
            <w:pPr>
              <w:pStyle w:val="Body"/>
              <w:spacing w:after="0" w:line="240" w:lineRule="auto"/>
              <w:jc w:val="center"/>
              <w:rPr>
                <w:sz w:val="20"/>
                <w:szCs w:val="20"/>
              </w:rPr>
            </w:pPr>
            <w:r w:rsidRPr="00F83316">
              <w:rPr>
                <w:b/>
                <w:bCs/>
                <w:sz w:val="20"/>
                <w:szCs w:val="20"/>
              </w:rPr>
              <w:t>9 months</w:t>
            </w:r>
          </w:p>
        </w:tc>
      </w:tr>
      <w:tr w:rsidR="00973D3F" w:rsidRPr="00F83316" w14:paraId="31AE17BF" w14:textId="77777777" w:rsidTr="00D8031E">
        <w:trPr>
          <w:trHeight w:val="54"/>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14:paraId="128C524E" w14:textId="77777777" w:rsidR="00973D3F" w:rsidRPr="00F83316" w:rsidRDefault="00973D3F" w:rsidP="00637146">
            <w:pPr>
              <w:rPr>
                <w:sz w:val="20"/>
                <w:szCs w:val="20"/>
              </w:rPr>
            </w:pPr>
          </w:p>
        </w:tc>
        <w:tc>
          <w:tcPr>
            <w:tcW w:w="1356" w:type="dxa"/>
            <w:tcBorders>
              <w:top w:val="single" w:sz="4" w:space="0" w:color="000000"/>
              <w:left w:val="single" w:sz="4" w:space="0" w:color="000000"/>
              <w:bottom w:val="single" w:sz="4" w:space="0" w:color="000000"/>
              <w:right w:val="single" w:sz="4" w:space="0" w:color="000000"/>
            </w:tcBorders>
          </w:tcPr>
          <w:p w14:paraId="71099BFC" w14:textId="77777777" w:rsidR="00973D3F" w:rsidRPr="00F83316" w:rsidRDefault="00973D3F" w:rsidP="00637146">
            <w:pPr>
              <w:pStyle w:val="Body"/>
              <w:spacing w:after="0" w:line="240" w:lineRule="auto"/>
              <w:jc w:val="center"/>
              <w:rPr>
                <w:b/>
                <w:bCs/>
                <w:sz w:val="20"/>
                <w:szCs w:val="20"/>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E2319" w14:textId="4DEF512A" w:rsidR="00973D3F" w:rsidRPr="00F83316" w:rsidRDefault="00973D3F" w:rsidP="00637146">
            <w:pPr>
              <w:pStyle w:val="Body"/>
              <w:spacing w:after="0" w:line="240" w:lineRule="auto"/>
              <w:jc w:val="center"/>
              <w:rPr>
                <w:sz w:val="20"/>
                <w:szCs w:val="20"/>
              </w:rPr>
            </w:pPr>
            <w:r w:rsidRPr="00F83316">
              <w:rPr>
                <w:b/>
                <w:bCs/>
                <w:sz w:val="20"/>
                <w:szCs w:val="20"/>
              </w:rPr>
              <w:t>Reported</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548BA" w14:textId="77777777" w:rsidR="00973D3F" w:rsidRPr="00F83316" w:rsidRDefault="00973D3F" w:rsidP="00637146">
            <w:pPr>
              <w:pStyle w:val="Body"/>
              <w:spacing w:after="0" w:line="240" w:lineRule="auto"/>
              <w:jc w:val="center"/>
              <w:rPr>
                <w:sz w:val="20"/>
                <w:szCs w:val="20"/>
              </w:rPr>
            </w:pPr>
            <w:r w:rsidRPr="00F83316">
              <w:rPr>
                <w:b/>
                <w:bCs/>
                <w:sz w:val="20"/>
                <w:szCs w:val="20"/>
              </w:rPr>
              <w:t>Pro forma</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3EED3" w14:textId="77777777" w:rsidR="00973D3F" w:rsidRPr="00F83316" w:rsidRDefault="00973D3F" w:rsidP="00637146">
            <w:pPr>
              <w:pStyle w:val="Body"/>
              <w:spacing w:after="0" w:line="240" w:lineRule="auto"/>
              <w:jc w:val="center"/>
              <w:rPr>
                <w:sz w:val="20"/>
                <w:szCs w:val="20"/>
              </w:rPr>
            </w:pPr>
            <w:r w:rsidRPr="00F83316">
              <w:rPr>
                <w:b/>
                <w:bCs/>
                <w:sz w:val="20"/>
                <w:szCs w:val="20"/>
              </w:rPr>
              <w:t>Reported</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DD3AA" w14:textId="77777777" w:rsidR="00973D3F" w:rsidRPr="00F83316" w:rsidRDefault="00973D3F" w:rsidP="00637146">
            <w:pPr>
              <w:pStyle w:val="Body"/>
              <w:spacing w:after="0" w:line="240" w:lineRule="auto"/>
              <w:jc w:val="center"/>
              <w:rPr>
                <w:sz w:val="20"/>
                <w:szCs w:val="20"/>
              </w:rPr>
            </w:pPr>
            <w:r w:rsidRPr="00F83316">
              <w:rPr>
                <w:b/>
                <w:bCs/>
                <w:sz w:val="20"/>
                <w:szCs w:val="20"/>
              </w:rPr>
              <w:t>Pro forma</w:t>
            </w:r>
          </w:p>
        </w:tc>
      </w:tr>
      <w:tr w:rsidR="00973D3F" w:rsidRPr="00F83316" w14:paraId="0C102D6C" w14:textId="77777777" w:rsidTr="00D8031E">
        <w:trPr>
          <w:trHeight w:val="54"/>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1BEF1" w14:textId="77777777" w:rsidR="00973D3F" w:rsidRPr="00F83316" w:rsidRDefault="00973D3F" w:rsidP="00F83316">
            <w:pPr>
              <w:pStyle w:val="Body"/>
              <w:spacing w:after="0" w:line="240" w:lineRule="auto"/>
              <w:rPr>
                <w:sz w:val="20"/>
                <w:szCs w:val="20"/>
              </w:rPr>
            </w:pPr>
            <w:r w:rsidRPr="00F83316">
              <w:rPr>
                <w:sz w:val="20"/>
                <w:szCs w:val="20"/>
              </w:rPr>
              <w:t xml:space="preserve">Group </w:t>
            </w:r>
          </w:p>
        </w:tc>
        <w:tc>
          <w:tcPr>
            <w:tcW w:w="1356" w:type="dxa"/>
            <w:tcBorders>
              <w:top w:val="single" w:sz="4" w:space="0" w:color="000000"/>
              <w:left w:val="single" w:sz="4" w:space="0" w:color="000000"/>
              <w:bottom w:val="single" w:sz="4" w:space="0" w:color="000000"/>
              <w:right w:val="single" w:sz="4" w:space="0" w:color="000000"/>
            </w:tcBorders>
          </w:tcPr>
          <w:p w14:paraId="012A5139" w14:textId="01D3BC3B" w:rsidR="00973D3F" w:rsidRPr="00BC2183" w:rsidRDefault="00973D3F" w:rsidP="00F83316">
            <w:pPr>
              <w:pStyle w:val="Body"/>
              <w:spacing w:after="0" w:line="240" w:lineRule="auto"/>
              <w:jc w:val="center"/>
              <w:rPr>
                <w:sz w:val="20"/>
                <w:szCs w:val="20"/>
              </w:rPr>
            </w:pPr>
            <w:r w:rsidRPr="00BC2183">
              <w:rPr>
                <w:sz w:val="20"/>
                <w:szCs w:val="20"/>
              </w:rPr>
              <w:t>360.</w:t>
            </w:r>
            <w:r w:rsidR="00913883" w:rsidRPr="00BC2183">
              <w:rPr>
                <w:sz w:val="20"/>
                <w:szCs w:val="20"/>
              </w:rPr>
              <w:t>2</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72B78" w14:textId="32E8CDEB" w:rsidR="00973D3F" w:rsidRPr="00BC2183" w:rsidRDefault="00973D3F" w:rsidP="00F83316">
            <w:pPr>
              <w:pStyle w:val="Body"/>
              <w:spacing w:after="0" w:line="240" w:lineRule="auto"/>
              <w:jc w:val="center"/>
              <w:rPr>
                <w:sz w:val="20"/>
                <w:szCs w:val="20"/>
              </w:rPr>
            </w:pPr>
            <w:r w:rsidRPr="00BC2183">
              <w:rPr>
                <w:sz w:val="20"/>
                <w:szCs w:val="20"/>
              </w:rPr>
              <w:t>+49.</w:t>
            </w:r>
            <w:r w:rsidR="00913883" w:rsidRPr="00BC2183">
              <w:rPr>
                <w:sz w:val="20"/>
                <w:szCs w:val="20"/>
              </w:rPr>
              <w:t>7</w:t>
            </w:r>
            <w:r w:rsidRPr="00BC2183">
              <w:rPr>
                <w:sz w:val="20"/>
                <w:szCs w:val="20"/>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B879D" w14:textId="283089D7" w:rsidR="00973D3F" w:rsidRPr="00BC2183" w:rsidRDefault="00973D3F" w:rsidP="00F83316">
            <w:pPr>
              <w:pStyle w:val="Body"/>
              <w:spacing w:after="0" w:line="240" w:lineRule="auto"/>
              <w:jc w:val="center"/>
              <w:rPr>
                <w:sz w:val="20"/>
                <w:szCs w:val="20"/>
              </w:rPr>
            </w:pPr>
            <w:r w:rsidRPr="00BC2183">
              <w:rPr>
                <w:sz w:val="20"/>
                <w:szCs w:val="20"/>
              </w:rPr>
              <w:t>+53.</w:t>
            </w:r>
            <w:r w:rsidR="00913883" w:rsidRPr="00BC2183">
              <w:rPr>
                <w:sz w:val="20"/>
                <w:szCs w:val="20"/>
              </w:rPr>
              <w:t>1</w:t>
            </w:r>
            <w:r w:rsidRPr="00BC2183">
              <w:rPr>
                <w:sz w:val="20"/>
                <w:szCs w:val="20"/>
              </w:rPr>
              <w:t>%</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E76E4" w14:textId="4012100E" w:rsidR="00973D3F" w:rsidRPr="00F83316" w:rsidRDefault="00973D3F" w:rsidP="00F83316">
            <w:pPr>
              <w:pStyle w:val="Body"/>
              <w:spacing w:after="0" w:line="240" w:lineRule="auto"/>
              <w:jc w:val="center"/>
              <w:rPr>
                <w:sz w:val="20"/>
                <w:szCs w:val="20"/>
              </w:rPr>
            </w:pPr>
            <w:r>
              <w:rPr>
                <w:sz w:val="20"/>
                <w:szCs w:val="20"/>
              </w:rPr>
              <w:t>-1.7</w:t>
            </w:r>
            <w:r w:rsidRPr="00F83316">
              <w:rPr>
                <w:sz w:val="20"/>
                <w:szCs w:val="20"/>
              </w:rPr>
              <w:t>%</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3CF30" w14:textId="060E4E6A" w:rsidR="00973D3F" w:rsidRPr="00F83316" w:rsidRDefault="00973D3F" w:rsidP="00F83316">
            <w:pPr>
              <w:pStyle w:val="Body"/>
              <w:spacing w:after="0" w:line="240" w:lineRule="auto"/>
              <w:jc w:val="center"/>
              <w:rPr>
                <w:sz w:val="20"/>
                <w:szCs w:val="20"/>
              </w:rPr>
            </w:pPr>
            <w:r>
              <w:rPr>
                <w:sz w:val="20"/>
                <w:szCs w:val="20"/>
              </w:rPr>
              <w:t>-0.6</w:t>
            </w:r>
            <w:r w:rsidRPr="00F83316">
              <w:rPr>
                <w:sz w:val="20"/>
                <w:szCs w:val="20"/>
              </w:rPr>
              <w:t>%</w:t>
            </w:r>
          </w:p>
        </w:tc>
      </w:tr>
      <w:tr w:rsidR="00973D3F" w:rsidRPr="00F83316" w14:paraId="4DA8EA6D" w14:textId="77777777" w:rsidTr="00D8031E">
        <w:trPr>
          <w:trHeight w:val="54"/>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B3890" w14:textId="77777777" w:rsidR="00973D3F" w:rsidRPr="00F83316" w:rsidRDefault="00973D3F" w:rsidP="00F83316">
            <w:pPr>
              <w:pStyle w:val="Body"/>
              <w:spacing w:after="0" w:line="240" w:lineRule="auto"/>
              <w:rPr>
                <w:sz w:val="20"/>
                <w:szCs w:val="20"/>
              </w:rPr>
            </w:pPr>
            <w:r w:rsidRPr="00F83316">
              <w:rPr>
                <w:sz w:val="20"/>
                <w:szCs w:val="20"/>
              </w:rPr>
              <w:t>Food to go categories</w:t>
            </w:r>
          </w:p>
        </w:tc>
        <w:tc>
          <w:tcPr>
            <w:tcW w:w="1356" w:type="dxa"/>
            <w:tcBorders>
              <w:top w:val="single" w:sz="4" w:space="0" w:color="000000"/>
              <w:left w:val="single" w:sz="4" w:space="0" w:color="000000"/>
              <w:bottom w:val="single" w:sz="4" w:space="0" w:color="000000"/>
              <w:right w:val="single" w:sz="4" w:space="0" w:color="000000"/>
            </w:tcBorders>
          </w:tcPr>
          <w:p w14:paraId="32088499" w14:textId="6924C2F0" w:rsidR="00973D3F" w:rsidRPr="00BC2183" w:rsidRDefault="00973D3F" w:rsidP="00F83316">
            <w:pPr>
              <w:pStyle w:val="Body"/>
              <w:spacing w:after="0" w:line="240" w:lineRule="auto"/>
              <w:jc w:val="center"/>
              <w:rPr>
                <w:sz w:val="20"/>
                <w:szCs w:val="20"/>
              </w:rPr>
            </w:pPr>
            <w:r w:rsidRPr="00BC2183">
              <w:rPr>
                <w:sz w:val="20"/>
                <w:szCs w:val="20"/>
              </w:rPr>
              <w:t>236.</w:t>
            </w:r>
            <w:r w:rsidR="00913883" w:rsidRPr="00BC2183">
              <w:rPr>
                <w:sz w:val="20"/>
                <w:szCs w:val="20"/>
              </w:rPr>
              <w:t>5</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5CC39" w14:textId="4257561E" w:rsidR="00973D3F" w:rsidRPr="00BC2183" w:rsidRDefault="00973D3F" w:rsidP="00F83316">
            <w:pPr>
              <w:pStyle w:val="Body"/>
              <w:spacing w:after="0" w:line="240" w:lineRule="auto"/>
              <w:jc w:val="center"/>
              <w:rPr>
                <w:sz w:val="20"/>
                <w:szCs w:val="20"/>
              </w:rPr>
            </w:pPr>
            <w:r w:rsidRPr="00BC2183">
              <w:rPr>
                <w:sz w:val="20"/>
                <w:szCs w:val="20"/>
              </w:rPr>
              <w:t>+91.</w:t>
            </w:r>
            <w:r w:rsidR="00913883" w:rsidRPr="00BC2183">
              <w:rPr>
                <w:sz w:val="20"/>
                <w:szCs w:val="20"/>
              </w:rPr>
              <w:t>1</w:t>
            </w:r>
            <w:r w:rsidRPr="00BC2183">
              <w:rPr>
                <w:sz w:val="20"/>
                <w:szCs w:val="20"/>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86D5E" w14:textId="2B8F8A13" w:rsidR="00973D3F" w:rsidRPr="00BC2183" w:rsidRDefault="00973D3F" w:rsidP="00F83316">
            <w:pPr>
              <w:pStyle w:val="Body"/>
              <w:spacing w:after="0" w:line="240" w:lineRule="auto"/>
              <w:jc w:val="center"/>
              <w:rPr>
                <w:sz w:val="20"/>
                <w:szCs w:val="20"/>
              </w:rPr>
            </w:pPr>
            <w:r w:rsidRPr="00BC2183">
              <w:rPr>
                <w:sz w:val="20"/>
                <w:szCs w:val="20"/>
              </w:rPr>
              <w:t>+91.</w:t>
            </w:r>
            <w:r w:rsidR="00913883" w:rsidRPr="00BC2183">
              <w:rPr>
                <w:sz w:val="20"/>
                <w:szCs w:val="20"/>
              </w:rPr>
              <w:t>1</w:t>
            </w:r>
            <w:r w:rsidRPr="00BC2183">
              <w:rPr>
                <w:sz w:val="20"/>
                <w:szCs w:val="20"/>
              </w:rPr>
              <w:t>%</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86DA4" w14:textId="4151375F" w:rsidR="00973D3F" w:rsidRPr="00F83316" w:rsidRDefault="00973D3F" w:rsidP="00F83316">
            <w:pPr>
              <w:pStyle w:val="Body"/>
              <w:spacing w:after="0" w:line="240" w:lineRule="auto"/>
              <w:jc w:val="center"/>
              <w:rPr>
                <w:sz w:val="20"/>
                <w:szCs w:val="20"/>
              </w:rPr>
            </w:pPr>
            <w:r>
              <w:rPr>
                <w:sz w:val="20"/>
                <w:szCs w:val="20"/>
              </w:rPr>
              <w:t>-0.7</w:t>
            </w:r>
            <w:r w:rsidRPr="00F83316">
              <w:rPr>
                <w:sz w:val="20"/>
                <w:szCs w:val="20"/>
              </w:rPr>
              <w:t>%</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2F2CA" w14:textId="43324B6E" w:rsidR="00973D3F" w:rsidRPr="00F83316" w:rsidRDefault="00973D3F" w:rsidP="00F83316">
            <w:pPr>
              <w:pStyle w:val="Body"/>
              <w:spacing w:after="0" w:line="240" w:lineRule="auto"/>
              <w:jc w:val="center"/>
              <w:rPr>
                <w:sz w:val="20"/>
                <w:szCs w:val="20"/>
              </w:rPr>
            </w:pPr>
            <w:r>
              <w:rPr>
                <w:sz w:val="20"/>
                <w:szCs w:val="20"/>
              </w:rPr>
              <w:t>-0.7</w:t>
            </w:r>
            <w:r w:rsidRPr="00F83316">
              <w:rPr>
                <w:sz w:val="20"/>
                <w:szCs w:val="20"/>
              </w:rPr>
              <w:t>%</w:t>
            </w:r>
          </w:p>
        </w:tc>
      </w:tr>
      <w:tr w:rsidR="00973D3F" w:rsidRPr="00F83316" w14:paraId="351FBF55" w14:textId="77777777" w:rsidTr="00D8031E">
        <w:trPr>
          <w:trHeight w:val="54"/>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63688" w14:textId="77777777" w:rsidR="00973D3F" w:rsidRPr="00F83316" w:rsidRDefault="00973D3F" w:rsidP="00F83316">
            <w:pPr>
              <w:pStyle w:val="Body"/>
              <w:spacing w:after="0" w:line="240" w:lineRule="auto"/>
              <w:rPr>
                <w:sz w:val="20"/>
                <w:szCs w:val="20"/>
              </w:rPr>
            </w:pPr>
            <w:r w:rsidRPr="00F83316">
              <w:rPr>
                <w:sz w:val="20"/>
                <w:szCs w:val="20"/>
              </w:rPr>
              <w:t>Other convenience food categories</w:t>
            </w:r>
          </w:p>
        </w:tc>
        <w:tc>
          <w:tcPr>
            <w:tcW w:w="1356" w:type="dxa"/>
            <w:tcBorders>
              <w:top w:val="single" w:sz="4" w:space="0" w:color="000000"/>
              <w:left w:val="single" w:sz="4" w:space="0" w:color="000000"/>
              <w:bottom w:val="single" w:sz="4" w:space="0" w:color="000000"/>
              <w:right w:val="single" w:sz="4" w:space="0" w:color="000000"/>
            </w:tcBorders>
          </w:tcPr>
          <w:p w14:paraId="55202C07" w14:textId="66340DDE" w:rsidR="00973D3F" w:rsidRDefault="00973D3F" w:rsidP="00F83316">
            <w:pPr>
              <w:pStyle w:val="Body"/>
              <w:spacing w:after="0" w:line="240" w:lineRule="auto"/>
              <w:jc w:val="center"/>
              <w:rPr>
                <w:sz w:val="20"/>
                <w:szCs w:val="20"/>
              </w:rPr>
            </w:pPr>
            <w:r>
              <w:rPr>
                <w:sz w:val="20"/>
                <w:szCs w:val="20"/>
              </w:rPr>
              <w:t>123.7</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6DE92" w14:textId="0BD3BDAC" w:rsidR="00973D3F" w:rsidRPr="00F83316" w:rsidRDefault="00973D3F" w:rsidP="00F83316">
            <w:pPr>
              <w:pStyle w:val="Body"/>
              <w:spacing w:after="0" w:line="240" w:lineRule="auto"/>
              <w:jc w:val="center"/>
              <w:rPr>
                <w:sz w:val="20"/>
                <w:szCs w:val="20"/>
              </w:rPr>
            </w:pPr>
            <w:r>
              <w:rPr>
                <w:sz w:val="20"/>
                <w:szCs w:val="20"/>
              </w:rPr>
              <w:t>+5.9</w:t>
            </w:r>
            <w:r w:rsidRPr="00F83316">
              <w:rPr>
                <w:sz w:val="20"/>
                <w:szCs w:val="20"/>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52E60" w14:textId="154E86F7" w:rsidR="00973D3F" w:rsidRPr="00F83316" w:rsidRDefault="00973D3F" w:rsidP="00F83316">
            <w:pPr>
              <w:pStyle w:val="Body"/>
              <w:spacing w:after="0" w:line="240" w:lineRule="auto"/>
              <w:jc w:val="center"/>
              <w:rPr>
                <w:sz w:val="20"/>
                <w:szCs w:val="20"/>
              </w:rPr>
            </w:pPr>
            <w:r>
              <w:rPr>
                <w:sz w:val="20"/>
                <w:szCs w:val="20"/>
              </w:rPr>
              <w:t>+11.1</w:t>
            </w:r>
            <w:r w:rsidRPr="00F83316">
              <w:rPr>
                <w:sz w:val="20"/>
                <w:szCs w:val="20"/>
              </w:rPr>
              <w:t>%</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10094" w14:textId="24F3DB0E" w:rsidR="00973D3F" w:rsidRPr="00F83316" w:rsidRDefault="00973D3F" w:rsidP="00F83316">
            <w:pPr>
              <w:pStyle w:val="Body"/>
              <w:spacing w:after="0" w:line="240" w:lineRule="auto"/>
              <w:jc w:val="center"/>
              <w:rPr>
                <w:sz w:val="20"/>
                <w:szCs w:val="20"/>
              </w:rPr>
            </w:pPr>
            <w:r>
              <w:rPr>
                <w:sz w:val="20"/>
                <w:szCs w:val="20"/>
              </w:rPr>
              <w:t>-3.2</w:t>
            </w:r>
            <w:r w:rsidRPr="00F83316">
              <w:rPr>
                <w:sz w:val="20"/>
                <w:szCs w:val="20"/>
              </w:rPr>
              <w:t>%</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FF03A" w14:textId="73C6AAF6" w:rsidR="00973D3F" w:rsidRPr="00F83316" w:rsidRDefault="00973D3F" w:rsidP="00F83316">
            <w:pPr>
              <w:pStyle w:val="Body"/>
              <w:spacing w:after="0" w:line="240" w:lineRule="auto"/>
              <w:jc w:val="center"/>
              <w:rPr>
                <w:sz w:val="20"/>
                <w:szCs w:val="20"/>
              </w:rPr>
            </w:pPr>
            <w:r>
              <w:rPr>
                <w:sz w:val="20"/>
                <w:szCs w:val="20"/>
              </w:rPr>
              <w:t>-0.4</w:t>
            </w:r>
            <w:r w:rsidRPr="00F83316">
              <w:rPr>
                <w:sz w:val="20"/>
                <w:szCs w:val="20"/>
              </w:rPr>
              <w:t>%</w:t>
            </w:r>
          </w:p>
        </w:tc>
      </w:tr>
    </w:tbl>
    <w:p w14:paraId="1DFBF227" w14:textId="373F232B" w:rsidR="00F83316" w:rsidRDefault="00F83316" w:rsidP="00F83316">
      <w:pPr>
        <w:pStyle w:val="Body"/>
        <w:widowControl w:val="0"/>
        <w:spacing w:line="240" w:lineRule="auto"/>
        <w:jc w:val="center"/>
        <w:rPr>
          <w:b/>
          <w:bCs/>
        </w:rPr>
      </w:pPr>
    </w:p>
    <w:tbl>
      <w:tblPr>
        <w:tblW w:w="978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61"/>
        <w:gridCol w:w="1305"/>
        <w:gridCol w:w="1305"/>
        <w:gridCol w:w="1305"/>
        <w:gridCol w:w="1305"/>
        <w:gridCol w:w="1305"/>
      </w:tblGrid>
      <w:tr w:rsidR="004968A2" w:rsidRPr="00F83316" w14:paraId="6CBD37B6" w14:textId="77777777" w:rsidTr="00D8031E">
        <w:trPr>
          <w:trHeight w:val="221"/>
          <w:jc w:val="center"/>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58693" w14:textId="77777777" w:rsidR="004968A2" w:rsidRPr="00F83316" w:rsidRDefault="004968A2" w:rsidP="00637146">
            <w:pPr>
              <w:rPr>
                <w:sz w:val="20"/>
                <w:szCs w:val="20"/>
              </w:rPr>
            </w:pPr>
          </w:p>
        </w:tc>
        <w:tc>
          <w:tcPr>
            <w:tcW w:w="652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8AF63" w14:textId="221D4E6F" w:rsidR="004968A2" w:rsidRPr="00F83316" w:rsidRDefault="004968A2" w:rsidP="00637146">
            <w:pPr>
              <w:pStyle w:val="Body"/>
              <w:spacing w:after="0" w:line="240" w:lineRule="auto"/>
              <w:jc w:val="center"/>
              <w:rPr>
                <w:sz w:val="20"/>
                <w:szCs w:val="20"/>
              </w:rPr>
            </w:pPr>
            <w:r w:rsidRPr="00F83316">
              <w:rPr>
                <w:b/>
                <w:bCs/>
                <w:sz w:val="20"/>
                <w:szCs w:val="20"/>
              </w:rPr>
              <w:t xml:space="preserve"> Pro Forma Revenue Growth</w:t>
            </w:r>
            <w:r>
              <w:rPr>
                <w:b/>
                <w:bCs/>
                <w:sz w:val="20"/>
                <w:szCs w:val="20"/>
              </w:rPr>
              <w:t xml:space="preserve"> (versus FY20)</w:t>
            </w:r>
          </w:p>
        </w:tc>
      </w:tr>
      <w:tr w:rsidR="004968A2" w:rsidRPr="00F83316" w14:paraId="52DE863E" w14:textId="77777777" w:rsidTr="00D8031E">
        <w:trPr>
          <w:trHeight w:val="221"/>
          <w:jc w:val="center"/>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14:paraId="320F3DA6" w14:textId="77777777" w:rsidR="004968A2" w:rsidRPr="00F83316" w:rsidRDefault="004968A2" w:rsidP="00637146">
            <w:pPr>
              <w:rPr>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CDEF3" w14:textId="47C4B980" w:rsidR="004968A2" w:rsidRPr="00F83316" w:rsidRDefault="004968A2" w:rsidP="00637146">
            <w:pPr>
              <w:pStyle w:val="Body"/>
              <w:spacing w:after="0" w:line="240" w:lineRule="auto"/>
              <w:jc w:val="center"/>
              <w:rPr>
                <w:sz w:val="20"/>
                <w:szCs w:val="20"/>
              </w:rPr>
            </w:pPr>
            <w:r w:rsidRPr="00F83316">
              <w:rPr>
                <w:b/>
                <w:bCs/>
                <w:sz w:val="20"/>
                <w:szCs w:val="20"/>
              </w:rPr>
              <w:t>April 202</w:t>
            </w:r>
            <w:r>
              <w:rPr>
                <w:b/>
                <w:bCs/>
                <w:sz w:val="20"/>
                <w:szCs w:val="20"/>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1DB5C" w14:textId="530E2EC0" w:rsidR="004968A2" w:rsidRPr="00F83316" w:rsidRDefault="004968A2" w:rsidP="00637146">
            <w:pPr>
              <w:pStyle w:val="Body"/>
              <w:spacing w:after="0" w:line="240" w:lineRule="auto"/>
              <w:jc w:val="center"/>
              <w:rPr>
                <w:sz w:val="20"/>
                <w:szCs w:val="20"/>
              </w:rPr>
            </w:pPr>
            <w:r w:rsidRPr="00F83316">
              <w:rPr>
                <w:b/>
                <w:bCs/>
                <w:sz w:val="20"/>
                <w:szCs w:val="20"/>
              </w:rPr>
              <w:t>May 202</w:t>
            </w:r>
            <w:r>
              <w:rPr>
                <w:b/>
                <w:bCs/>
                <w:sz w:val="20"/>
                <w:szCs w:val="20"/>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90C0D" w14:textId="2AEB05E0" w:rsidR="004968A2" w:rsidRPr="00F83316" w:rsidRDefault="004968A2" w:rsidP="00637146">
            <w:pPr>
              <w:pStyle w:val="Body"/>
              <w:spacing w:after="0" w:line="240" w:lineRule="auto"/>
              <w:jc w:val="center"/>
              <w:rPr>
                <w:sz w:val="20"/>
                <w:szCs w:val="20"/>
              </w:rPr>
            </w:pPr>
            <w:r w:rsidRPr="00F83316">
              <w:rPr>
                <w:b/>
                <w:bCs/>
                <w:sz w:val="20"/>
                <w:szCs w:val="20"/>
              </w:rPr>
              <w:t>June 202</w:t>
            </w:r>
            <w:r>
              <w:rPr>
                <w:b/>
                <w:bCs/>
                <w:sz w:val="20"/>
                <w:szCs w:val="20"/>
              </w:rPr>
              <w:t>1</w:t>
            </w:r>
          </w:p>
        </w:tc>
        <w:tc>
          <w:tcPr>
            <w:tcW w:w="1305" w:type="dxa"/>
            <w:tcBorders>
              <w:top w:val="single" w:sz="4" w:space="0" w:color="000000"/>
              <w:left w:val="single" w:sz="4" w:space="0" w:color="000000"/>
              <w:bottom w:val="single" w:sz="4" w:space="0" w:color="000000"/>
              <w:right w:val="single" w:sz="4" w:space="0" w:color="000000"/>
            </w:tcBorders>
          </w:tcPr>
          <w:p w14:paraId="2DA19072" w14:textId="72F7DFA8" w:rsidR="004968A2" w:rsidRPr="00F83316" w:rsidRDefault="004968A2" w:rsidP="00637146">
            <w:pPr>
              <w:pStyle w:val="Body"/>
              <w:spacing w:after="0" w:line="240" w:lineRule="auto"/>
              <w:jc w:val="center"/>
              <w:rPr>
                <w:b/>
                <w:bCs/>
                <w:sz w:val="20"/>
                <w:szCs w:val="20"/>
              </w:rPr>
            </w:pPr>
            <w:r>
              <w:rPr>
                <w:b/>
                <w:bCs/>
                <w:sz w:val="20"/>
                <w:szCs w:val="20"/>
              </w:rPr>
              <w:t>Q3 2021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007F7" w14:textId="1AA77600" w:rsidR="004968A2" w:rsidRPr="00F83316" w:rsidRDefault="004968A2" w:rsidP="00637146">
            <w:pPr>
              <w:pStyle w:val="Body"/>
              <w:spacing w:after="0" w:line="240" w:lineRule="auto"/>
              <w:jc w:val="center"/>
              <w:rPr>
                <w:sz w:val="20"/>
                <w:szCs w:val="20"/>
              </w:rPr>
            </w:pPr>
            <w:r w:rsidRPr="00F83316">
              <w:rPr>
                <w:b/>
                <w:bCs/>
                <w:sz w:val="20"/>
                <w:szCs w:val="20"/>
              </w:rPr>
              <w:t>July 202</w:t>
            </w:r>
            <w:r>
              <w:rPr>
                <w:b/>
                <w:bCs/>
                <w:sz w:val="20"/>
                <w:szCs w:val="20"/>
              </w:rPr>
              <w:t>1</w:t>
            </w:r>
            <w:r w:rsidR="001F6F28">
              <w:rPr>
                <w:b/>
                <w:bCs/>
                <w:sz w:val="20"/>
                <w:szCs w:val="20"/>
                <w:vertAlign w:val="superscript"/>
              </w:rPr>
              <w:t>2</w:t>
            </w:r>
          </w:p>
        </w:tc>
      </w:tr>
      <w:tr w:rsidR="004968A2" w:rsidRPr="00F83316" w14:paraId="08751BAC" w14:textId="77777777" w:rsidTr="00D8031E">
        <w:trPr>
          <w:trHeight w:val="22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0C780" w14:textId="77777777" w:rsidR="004968A2" w:rsidRPr="00F83316" w:rsidRDefault="004968A2" w:rsidP="00F83316">
            <w:pPr>
              <w:pStyle w:val="Body"/>
              <w:spacing w:after="0" w:line="240" w:lineRule="auto"/>
              <w:rPr>
                <w:sz w:val="20"/>
                <w:szCs w:val="20"/>
              </w:rPr>
            </w:pPr>
            <w:r w:rsidRPr="00F83316">
              <w:rPr>
                <w:sz w:val="20"/>
                <w:szCs w:val="20"/>
              </w:rPr>
              <w:t>Group</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23E36" w14:textId="5351B5A2" w:rsidR="004968A2" w:rsidRPr="00F83316" w:rsidRDefault="004968A2" w:rsidP="00F83316">
            <w:pPr>
              <w:pStyle w:val="Body"/>
              <w:spacing w:after="0" w:line="240" w:lineRule="auto"/>
              <w:jc w:val="center"/>
              <w:rPr>
                <w:sz w:val="20"/>
                <w:szCs w:val="20"/>
              </w:rPr>
            </w:pPr>
            <w:r>
              <w:rPr>
                <w:sz w:val="20"/>
                <w:szCs w:val="20"/>
              </w:rPr>
              <w:t>+66</w:t>
            </w:r>
            <w:r w:rsidRPr="00F83316">
              <w:rPr>
                <w:sz w:val="20"/>
                <w:szCs w:val="20"/>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966BF" w14:textId="50F41DA9" w:rsidR="004968A2" w:rsidRPr="00F83316" w:rsidRDefault="004968A2" w:rsidP="00F83316">
            <w:pPr>
              <w:pStyle w:val="Body"/>
              <w:spacing w:after="0" w:line="240" w:lineRule="auto"/>
              <w:jc w:val="center"/>
              <w:rPr>
                <w:sz w:val="20"/>
                <w:szCs w:val="20"/>
              </w:rPr>
            </w:pPr>
            <w:r>
              <w:rPr>
                <w:sz w:val="20"/>
                <w:szCs w:val="20"/>
              </w:rPr>
              <w:t>+6</w:t>
            </w:r>
            <w:r w:rsidR="00FB706B">
              <w:rPr>
                <w:sz w:val="20"/>
                <w:szCs w:val="20"/>
              </w:rPr>
              <w:t>0</w:t>
            </w:r>
            <w:r w:rsidRPr="00F83316">
              <w:rPr>
                <w:sz w:val="20"/>
                <w:szCs w:val="20"/>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79205" w14:textId="4022B483" w:rsidR="004968A2" w:rsidRPr="00F83316" w:rsidRDefault="004968A2" w:rsidP="00F83316">
            <w:pPr>
              <w:pStyle w:val="Body"/>
              <w:spacing w:after="0" w:line="240" w:lineRule="auto"/>
              <w:jc w:val="center"/>
              <w:rPr>
                <w:sz w:val="20"/>
                <w:szCs w:val="20"/>
              </w:rPr>
            </w:pPr>
            <w:r>
              <w:rPr>
                <w:sz w:val="20"/>
                <w:szCs w:val="20"/>
              </w:rPr>
              <w:t>+4</w:t>
            </w:r>
            <w:r w:rsidR="00FB706B">
              <w:rPr>
                <w:sz w:val="20"/>
                <w:szCs w:val="20"/>
              </w:rPr>
              <w:t>0</w:t>
            </w:r>
            <w:r w:rsidRPr="00F83316">
              <w:rPr>
                <w:sz w:val="20"/>
                <w:szCs w:val="20"/>
              </w:rPr>
              <w:t>%</w:t>
            </w:r>
          </w:p>
        </w:tc>
        <w:tc>
          <w:tcPr>
            <w:tcW w:w="1305" w:type="dxa"/>
            <w:tcBorders>
              <w:top w:val="single" w:sz="4" w:space="0" w:color="000000"/>
              <w:left w:val="single" w:sz="4" w:space="0" w:color="000000"/>
              <w:bottom w:val="single" w:sz="4" w:space="0" w:color="000000"/>
              <w:right w:val="single" w:sz="4" w:space="0" w:color="000000"/>
            </w:tcBorders>
          </w:tcPr>
          <w:p w14:paraId="71A03206" w14:textId="7A63C241" w:rsidR="004968A2" w:rsidRDefault="004968A2" w:rsidP="00F83316">
            <w:pPr>
              <w:pStyle w:val="Body"/>
              <w:spacing w:after="0" w:line="240" w:lineRule="auto"/>
              <w:jc w:val="center"/>
              <w:rPr>
                <w:sz w:val="20"/>
                <w:szCs w:val="20"/>
              </w:rPr>
            </w:pPr>
            <w:r>
              <w:rPr>
                <w:sz w:val="20"/>
                <w:szCs w:val="20"/>
              </w:rPr>
              <w:t>+53%</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97B1F" w14:textId="6CD2761B" w:rsidR="004968A2" w:rsidRPr="00F83316" w:rsidRDefault="00FB706B" w:rsidP="00F83316">
            <w:pPr>
              <w:pStyle w:val="Body"/>
              <w:spacing w:after="0" w:line="240" w:lineRule="auto"/>
              <w:jc w:val="center"/>
              <w:rPr>
                <w:sz w:val="20"/>
                <w:szCs w:val="20"/>
              </w:rPr>
            </w:pPr>
            <w:r>
              <w:rPr>
                <w:sz w:val="20"/>
                <w:szCs w:val="20"/>
              </w:rPr>
              <w:t>+28</w:t>
            </w:r>
            <w:r w:rsidR="004968A2" w:rsidRPr="00F83316">
              <w:rPr>
                <w:sz w:val="20"/>
                <w:szCs w:val="20"/>
              </w:rPr>
              <w:t>%</w:t>
            </w:r>
          </w:p>
        </w:tc>
      </w:tr>
      <w:tr w:rsidR="004968A2" w:rsidRPr="00F83316" w14:paraId="76D7D691" w14:textId="77777777" w:rsidTr="00D8031E">
        <w:trPr>
          <w:trHeight w:val="22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34CEF" w14:textId="77777777" w:rsidR="004968A2" w:rsidRPr="00F83316" w:rsidRDefault="004968A2" w:rsidP="00F83316">
            <w:pPr>
              <w:pStyle w:val="Body"/>
              <w:spacing w:after="0" w:line="240" w:lineRule="auto"/>
              <w:rPr>
                <w:sz w:val="20"/>
                <w:szCs w:val="20"/>
              </w:rPr>
            </w:pPr>
            <w:r w:rsidRPr="00F83316">
              <w:rPr>
                <w:sz w:val="20"/>
                <w:szCs w:val="20"/>
              </w:rPr>
              <w:t>Food to go categories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B302F" w14:textId="0BF5144A" w:rsidR="004968A2" w:rsidRPr="00F83316" w:rsidRDefault="004968A2" w:rsidP="00F83316">
            <w:pPr>
              <w:pStyle w:val="Body"/>
              <w:spacing w:after="0" w:line="240" w:lineRule="auto"/>
              <w:jc w:val="center"/>
              <w:rPr>
                <w:sz w:val="20"/>
                <w:szCs w:val="20"/>
              </w:rPr>
            </w:pPr>
            <w:r>
              <w:rPr>
                <w:sz w:val="20"/>
                <w:szCs w:val="20"/>
              </w:rPr>
              <w:t>+129</w:t>
            </w:r>
            <w:r w:rsidRPr="00F83316">
              <w:rPr>
                <w:sz w:val="20"/>
                <w:szCs w:val="20"/>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4603B" w14:textId="760E1089" w:rsidR="004968A2" w:rsidRPr="00F83316" w:rsidRDefault="004968A2" w:rsidP="00F83316">
            <w:pPr>
              <w:pStyle w:val="Body"/>
              <w:spacing w:after="0" w:line="240" w:lineRule="auto"/>
              <w:jc w:val="center"/>
              <w:rPr>
                <w:sz w:val="20"/>
                <w:szCs w:val="20"/>
              </w:rPr>
            </w:pPr>
            <w:r>
              <w:rPr>
                <w:sz w:val="20"/>
                <w:szCs w:val="20"/>
              </w:rPr>
              <w:t>+111</w:t>
            </w:r>
            <w:r w:rsidRPr="00F83316">
              <w:rPr>
                <w:sz w:val="20"/>
                <w:szCs w:val="20"/>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C734E" w14:textId="676288BF" w:rsidR="004968A2" w:rsidRPr="00F83316" w:rsidRDefault="004968A2" w:rsidP="00F83316">
            <w:pPr>
              <w:pStyle w:val="Body"/>
              <w:spacing w:after="0" w:line="240" w:lineRule="auto"/>
              <w:jc w:val="center"/>
              <w:rPr>
                <w:sz w:val="20"/>
                <w:szCs w:val="20"/>
              </w:rPr>
            </w:pPr>
            <w:r>
              <w:rPr>
                <w:sz w:val="20"/>
                <w:szCs w:val="20"/>
              </w:rPr>
              <w:t>+</w:t>
            </w:r>
            <w:r w:rsidRPr="00BC2183">
              <w:rPr>
                <w:sz w:val="20"/>
                <w:szCs w:val="20"/>
              </w:rPr>
              <w:t>6</w:t>
            </w:r>
            <w:r w:rsidR="00913883" w:rsidRPr="00BC2183">
              <w:rPr>
                <w:sz w:val="20"/>
                <w:szCs w:val="20"/>
              </w:rPr>
              <w:t>2</w:t>
            </w:r>
            <w:r w:rsidRPr="00F83316">
              <w:rPr>
                <w:sz w:val="20"/>
                <w:szCs w:val="20"/>
              </w:rPr>
              <w:t>%</w:t>
            </w:r>
          </w:p>
        </w:tc>
        <w:tc>
          <w:tcPr>
            <w:tcW w:w="1305" w:type="dxa"/>
            <w:tcBorders>
              <w:top w:val="single" w:sz="4" w:space="0" w:color="000000"/>
              <w:left w:val="single" w:sz="4" w:space="0" w:color="000000"/>
              <w:bottom w:val="single" w:sz="4" w:space="0" w:color="000000"/>
              <w:right w:val="single" w:sz="4" w:space="0" w:color="000000"/>
            </w:tcBorders>
          </w:tcPr>
          <w:p w14:paraId="47AFE05A" w14:textId="7E38525C" w:rsidR="004968A2" w:rsidRDefault="004968A2" w:rsidP="00F83316">
            <w:pPr>
              <w:pStyle w:val="Body"/>
              <w:spacing w:after="0" w:line="240" w:lineRule="auto"/>
              <w:jc w:val="center"/>
              <w:rPr>
                <w:sz w:val="20"/>
                <w:szCs w:val="20"/>
              </w:rPr>
            </w:pPr>
            <w:r>
              <w:rPr>
                <w:sz w:val="20"/>
                <w:szCs w:val="20"/>
              </w:rPr>
              <w:t>+91%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02FD6" w14:textId="1196508E" w:rsidR="004968A2" w:rsidRPr="00F83316" w:rsidRDefault="00FB706B" w:rsidP="00F83316">
            <w:pPr>
              <w:pStyle w:val="Body"/>
              <w:spacing w:after="0" w:line="240" w:lineRule="auto"/>
              <w:jc w:val="center"/>
              <w:rPr>
                <w:sz w:val="20"/>
                <w:szCs w:val="20"/>
              </w:rPr>
            </w:pPr>
            <w:r>
              <w:rPr>
                <w:sz w:val="20"/>
                <w:szCs w:val="20"/>
              </w:rPr>
              <w:t>+42</w:t>
            </w:r>
            <w:r w:rsidR="004968A2" w:rsidRPr="00F83316">
              <w:rPr>
                <w:sz w:val="20"/>
                <w:szCs w:val="20"/>
              </w:rPr>
              <w:t>%</w:t>
            </w:r>
          </w:p>
        </w:tc>
      </w:tr>
      <w:tr w:rsidR="004968A2" w:rsidRPr="00F83316" w14:paraId="6470F618" w14:textId="77777777" w:rsidTr="00D8031E">
        <w:trPr>
          <w:trHeight w:val="22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F70DC" w14:textId="77777777" w:rsidR="004968A2" w:rsidRPr="00F83316" w:rsidRDefault="004968A2" w:rsidP="00F83316">
            <w:pPr>
              <w:pStyle w:val="Body"/>
              <w:spacing w:after="0" w:line="240" w:lineRule="auto"/>
              <w:rPr>
                <w:sz w:val="20"/>
                <w:szCs w:val="20"/>
              </w:rPr>
            </w:pPr>
            <w:r w:rsidRPr="00F83316">
              <w:rPr>
                <w:sz w:val="20"/>
                <w:szCs w:val="20"/>
              </w:rPr>
              <w:t>Other convenience food categories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98F3F" w14:textId="4E9D1B19" w:rsidR="004968A2" w:rsidRPr="00F83316" w:rsidRDefault="004968A2" w:rsidP="00F83316">
            <w:pPr>
              <w:pStyle w:val="Body"/>
              <w:spacing w:after="0" w:line="240" w:lineRule="auto"/>
              <w:jc w:val="center"/>
              <w:rPr>
                <w:sz w:val="20"/>
                <w:szCs w:val="20"/>
              </w:rPr>
            </w:pPr>
            <w:r>
              <w:rPr>
                <w:sz w:val="20"/>
                <w:szCs w:val="20"/>
              </w:rPr>
              <w:t>+1</w:t>
            </w:r>
            <w:r w:rsidR="00FB706B">
              <w:rPr>
                <w:sz w:val="20"/>
                <w:szCs w:val="20"/>
              </w:rPr>
              <w:t>3</w:t>
            </w:r>
            <w:r w:rsidRPr="00F83316">
              <w:rPr>
                <w:sz w:val="20"/>
                <w:szCs w:val="20"/>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9503B" w14:textId="3D62FA31" w:rsidR="004968A2" w:rsidRPr="00F83316" w:rsidRDefault="004968A2" w:rsidP="00F83316">
            <w:pPr>
              <w:pStyle w:val="Body"/>
              <w:spacing w:after="0" w:line="240" w:lineRule="auto"/>
              <w:jc w:val="center"/>
              <w:rPr>
                <w:sz w:val="20"/>
                <w:szCs w:val="20"/>
              </w:rPr>
            </w:pPr>
            <w:r>
              <w:rPr>
                <w:sz w:val="20"/>
                <w:szCs w:val="20"/>
              </w:rPr>
              <w:t>+10</w:t>
            </w:r>
            <w:r w:rsidRPr="00F83316">
              <w:rPr>
                <w:sz w:val="20"/>
                <w:szCs w:val="20"/>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7DA73" w14:textId="14C8C12E" w:rsidR="004968A2" w:rsidRPr="00F83316" w:rsidRDefault="004968A2" w:rsidP="00F83316">
            <w:pPr>
              <w:pStyle w:val="Body"/>
              <w:spacing w:after="0" w:line="240" w:lineRule="auto"/>
              <w:jc w:val="center"/>
              <w:rPr>
                <w:sz w:val="20"/>
                <w:szCs w:val="20"/>
              </w:rPr>
            </w:pPr>
            <w:r>
              <w:rPr>
                <w:sz w:val="20"/>
                <w:szCs w:val="20"/>
              </w:rPr>
              <w:t>+10</w:t>
            </w:r>
            <w:r w:rsidRPr="00F83316">
              <w:rPr>
                <w:sz w:val="20"/>
                <w:szCs w:val="20"/>
              </w:rPr>
              <w:t>%</w:t>
            </w:r>
          </w:p>
        </w:tc>
        <w:tc>
          <w:tcPr>
            <w:tcW w:w="1305" w:type="dxa"/>
            <w:tcBorders>
              <w:top w:val="single" w:sz="4" w:space="0" w:color="000000"/>
              <w:left w:val="single" w:sz="4" w:space="0" w:color="000000"/>
              <w:bottom w:val="single" w:sz="4" w:space="0" w:color="000000"/>
              <w:right w:val="single" w:sz="4" w:space="0" w:color="000000"/>
            </w:tcBorders>
          </w:tcPr>
          <w:p w14:paraId="1BCE2FE3" w14:textId="7A8CEF79" w:rsidR="004968A2" w:rsidRDefault="004968A2" w:rsidP="00F83316">
            <w:pPr>
              <w:pStyle w:val="Body"/>
              <w:spacing w:after="0" w:line="240" w:lineRule="auto"/>
              <w:jc w:val="center"/>
              <w:rPr>
                <w:sz w:val="20"/>
                <w:szCs w:val="20"/>
              </w:rPr>
            </w:pPr>
            <w:r>
              <w:rPr>
                <w:sz w:val="20"/>
                <w:szCs w:val="20"/>
              </w:rPr>
              <w:t>+11%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440A6" w14:textId="2FDDFE62" w:rsidR="004968A2" w:rsidRPr="00F83316" w:rsidRDefault="00FB706B" w:rsidP="00F83316">
            <w:pPr>
              <w:pStyle w:val="Body"/>
              <w:spacing w:after="0" w:line="240" w:lineRule="auto"/>
              <w:jc w:val="center"/>
              <w:rPr>
                <w:sz w:val="20"/>
                <w:szCs w:val="20"/>
              </w:rPr>
            </w:pPr>
            <w:r>
              <w:rPr>
                <w:sz w:val="20"/>
                <w:szCs w:val="20"/>
              </w:rPr>
              <w:t>+6</w:t>
            </w:r>
            <w:r w:rsidR="004968A2" w:rsidRPr="00F83316">
              <w:rPr>
                <w:sz w:val="20"/>
                <w:szCs w:val="20"/>
              </w:rPr>
              <w:t>%</w:t>
            </w:r>
          </w:p>
        </w:tc>
      </w:tr>
    </w:tbl>
    <w:p w14:paraId="5C9DF618" w14:textId="77777777" w:rsidR="00F83316" w:rsidRDefault="00F83316" w:rsidP="00F83316">
      <w:pPr>
        <w:pStyle w:val="Body"/>
      </w:pPr>
    </w:p>
    <w:tbl>
      <w:tblPr>
        <w:tblW w:w="98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6"/>
        <w:gridCol w:w="1325"/>
        <w:gridCol w:w="1326"/>
        <w:gridCol w:w="1325"/>
        <w:gridCol w:w="1326"/>
        <w:gridCol w:w="1326"/>
      </w:tblGrid>
      <w:tr w:rsidR="004968A2" w:rsidRPr="00F83316" w14:paraId="22ECE282" w14:textId="77777777" w:rsidTr="00D8031E">
        <w:trPr>
          <w:trHeight w:val="234"/>
          <w:jc w:val="center"/>
        </w:trPr>
        <w:tc>
          <w:tcPr>
            <w:tcW w:w="32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132BA" w14:textId="77777777" w:rsidR="004968A2" w:rsidRPr="00F83316" w:rsidRDefault="004968A2" w:rsidP="00637146">
            <w:pPr>
              <w:rPr>
                <w:sz w:val="20"/>
                <w:szCs w:val="20"/>
              </w:rPr>
            </w:pPr>
          </w:p>
        </w:tc>
        <w:tc>
          <w:tcPr>
            <w:tcW w:w="66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3BFAB" w14:textId="406D7CA4" w:rsidR="004968A2" w:rsidRPr="00F83316" w:rsidRDefault="004968A2" w:rsidP="00637146">
            <w:pPr>
              <w:pStyle w:val="Body"/>
              <w:spacing w:after="0" w:line="240" w:lineRule="auto"/>
              <w:jc w:val="center"/>
              <w:rPr>
                <w:sz w:val="20"/>
                <w:szCs w:val="20"/>
              </w:rPr>
            </w:pPr>
            <w:r w:rsidRPr="00F83316">
              <w:rPr>
                <w:b/>
                <w:bCs/>
                <w:sz w:val="20"/>
                <w:szCs w:val="20"/>
              </w:rPr>
              <w:t xml:space="preserve"> Pro Forma Revenue Growth</w:t>
            </w:r>
            <w:r>
              <w:rPr>
                <w:b/>
                <w:bCs/>
                <w:sz w:val="20"/>
                <w:szCs w:val="20"/>
              </w:rPr>
              <w:t xml:space="preserve"> (versus FY19)</w:t>
            </w:r>
          </w:p>
        </w:tc>
      </w:tr>
      <w:tr w:rsidR="004968A2" w:rsidRPr="00F83316" w14:paraId="739657E6" w14:textId="77777777" w:rsidTr="00D8031E">
        <w:trPr>
          <w:trHeight w:val="234"/>
          <w:jc w:val="center"/>
        </w:trPr>
        <w:tc>
          <w:tcPr>
            <w:tcW w:w="3256" w:type="dxa"/>
            <w:vMerge/>
            <w:tcBorders>
              <w:top w:val="single" w:sz="4" w:space="0" w:color="000000"/>
              <w:left w:val="single" w:sz="4" w:space="0" w:color="000000"/>
              <w:bottom w:val="single" w:sz="4" w:space="0" w:color="000000"/>
              <w:right w:val="single" w:sz="4" w:space="0" w:color="000000"/>
            </w:tcBorders>
            <w:shd w:val="clear" w:color="auto" w:fill="auto"/>
          </w:tcPr>
          <w:p w14:paraId="74BA5177" w14:textId="77777777" w:rsidR="004968A2" w:rsidRPr="00F83316" w:rsidRDefault="004968A2" w:rsidP="00637146">
            <w:pPr>
              <w:rPr>
                <w:sz w:val="20"/>
                <w:szCs w:val="20"/>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443EF" w14:textId="77777777" w:rsidR="004968A2" w:rsidRPr="00F83316" w:rsidRDefault="004968A2" w:rsidP="00637146">
            <w:pPr>
              <w:pStyle w:val="Body"/>
              <w:spacing w:after="0" w:line="240" w:lineRule="auto"/>
              <w:jc w:val="center"/>
              <w:rPr>
                <w:sz w:val="20"/>
                <w:szCs w:val="20"/>
              </w:rPr>
            </w:pPr>
            <w:r w:rsidRPr="00F83316">
              <w:rPr>
                <w:b/>
                <w:bCs/>
                <w:sz w:val="20"/>
                <w:szCs w:val="20"/>
              </w:rPr>
              <w:t>April 202</w:t>
            </w:r>
            <w:r>
              <w:rPr>
                <w:b/>
                <w:bCs/>
                <w:sz w:val="20"/>
                <w:szCs w:val="20"/>
              </w:rPr>
              <w:t>1</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EEB7C" w14:textId="77777777" w:rsidR="004968A2" w:rsidRPr="00F83316" w:rsidRDefault="004968A2" w:rsidP="00637146">
            <w:pPr>
              <w:pStyle w:val="Body"/>
              <w:spacing w:after="0" w:line="240" w:lineRule="auto"/>
              <w:jc w:val="center"/>
              <w:rPr>
                <w:sz w:val="20"/>
                <w:szCs w:val="20"/>
              </w:rPr>
            </w:pPr>
            <w:r w:rsidRPr="00F83316">
              <w:rPr>
                <w:b/>
                <w:bCs/>
                <w:sz w:val="20"/>
                <w:szCs w:val="20"/>
              </w:rPr>
              <w:t>May 202</w:t>
            </w:r>
            <w:r>
              <w:rPr>
                <w:b/>
                <w:bCs/>
                <w:sz w:val="20"/>
                <w:szCs w:val="20"/>
              </w:rPr>
              <w:t>1</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CCEB7" w14:textId="77777777" w:rsidR="004968A2" w:rsidRPr="00F83316" w:rsidRDefault="004968A2" w:rsidP="00637146">
            <w:pPr>
              <w:pStyle w:val="Body"/>
              <w:spacing w:after="0" w:line="240" w:lineRule="auto"/>
              <w:jc w:val="center"/>
              <w:rPr>
                <w:sz w:val="20"/>
                <w:szCs w:val="20"/>
              </w:rPr>
            </w:pPr>
            <w:r w:rsidRPr="00F83316">
              <w:rPr>
                <w:b/>
                <w:bCs/>
                <w:sz w:val="20"/>
                <w:szCs w:val="20"/>
              </w:rPr>
              <w:t>June 202</w:t>
            </w:r>
            <w:r>
              <w:rPr>
                <w:b/>
                <w:bCs/>
                <w:sz w:val="20"/>
                <w:szCs w:val="20"/>
              </w:rPr>
              <w:t>1</w:t>
            </w:r>
          </w:p>
        </w:tc>
        <w:tc>
          <w:tcPr>
            <w:tcW w:w="1326" w:type="dxa"/>
            <w:tcBorders>
              <w:top w:val="single" w:sz="4" w:space="0" w:color="000000"/>
              <w:left w:val="single" w:sz="4" w:space="0" w:color="000000"/>
              <w:bottom w:val="single" w:sz="4" w:space="0" w:color="000000"/>
              <w:right w:val="single" w:sz="4" w:space="0" w:color="000000"/>
            </w:tcBorders>
          </w:tcPr>
          <w:p w14:paraId="4DB8E693" w14:textId="453280FE" w:rsidR="004968A2" w:rsidRPr="00F83316" w:rsidRDefault="004968A2" w:rsidP="00637146">
            <w:pPr>
              <w:pStyle w:val="Body"/>
              <w:spacing w:after="0" w:line="240" w:lineRule="auto"/>
              <w:jc w:val="center"/>
              <w:rPr>
                <w:b/>
                <w:bCs/>
                <w:sz w:val="20"/>
                <w:szCs w:val="20"/>
              </w:rPr>
            </w:pPr>
            <w:r>
              <w:rPr>
                <w:b/>
                <w:bCs/>
                <w:sz w:val="20"/>
                <w:szCs w:val="20"/>
              </w:rPr>
              <w:t>Q3 2021</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2EDB7" w14:textId="56C3D67E" w:rsidR="004968A2" w:rsidRPr="00F83316" w:rsidRDefault="004968A2" w:rsidP="00637146">
            <w:pPr>
              <w:pStyle w:val="Body"/>
              <w:spacing w:after="0" w:line="240" w:lineRule="auto"/>
              <w:jc w:val="center"/>
              <w:rPr>
                <w:sz w:val="20"/>
                <w:szCs w:val="20"/>
              </w:rPr>
            </w:pPr>
            <w:r w:rsidRPr="00F83316">
              <w:rPr>
                <w:b/>
                <w:bCs/>
                <w:sz w:val="20"/>
                <w:szCs w:val="20"/>
              </w:rPr>
              <w:t>July 202</w:t>
            </w:r>
            <w:r>
              <w:rPr>
                <w:b/>
                <w:bCs/>
                <w:sz w:val="20"/>
                <w:szCs w:val="20"/>
              </w:rPr>
              <w:t>1</w:t>
            </w:r>
            <w:r w:rsidR="001F6F28">
              <w:rPr>
                <w:b/>
                <w:bCs/>
                <w:sz w:val="20"/>
                <w:szCs w:val="20"/>
                <w:vertAlign w:val="superscript"/>
              </w:rPr>
              <w:t>2</w:t>
            </w:r>
          </w:p>
        </w:tc>
      </w:tr>
      <w:tr w:rsidR="004968A2" w:rsidRPr="00F83316" w14:paraId="6E297F54" w14:textId="77777777" w:rsidTr="00D8031E">
        <w:trPr>
          <w:trHeight w:val="234"/>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70B43" w14:textId="77777777" w:rsidR="004968A2" w:rsidRPr="00F83316" w:rsidRDefault="004968A2" w:rsidP="00637146">
            <w:pPr>
              <w:pStyle w:val="Body"/>
              <w:spacing w:after="0" w:line="240" w:lineRule="auto"/>
              <w:rPr>
                <w:sz w:val="20"/>
                <w:szCs w:val="20"/>
              </w:rPr>
            </w:pPr>
            <w:r w:rsidRPr="00F83316">
              <w:rPr>
                <w:sz w:val="20"/>
                <w:szCs w:val="20"/>
              </w:rPr>
              <w:t>Group</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7FB28" w14:textId="065D3528" w:rsidR="004968A2" w:rsidRPr="00F83316" w:rsidRDefault="004968A2" w:rsidP="00637146">
            <w:pPr>
              <w:pStyle w:val="Body"/>
              <w:spacing w:after="0" w:line="240" w:lineRule="auto"/>
              <w:jc w:val="center"/>
              <w:rPr>
                <w:sz w:val="20"/>
                <w:szCs w:val="20"/>
              </w:rPr>
            </w:pPr>
            <w:r>
              <w:rPr>
                <w:sz w:val="20"/>
                <w:szCs w:val="20"/>
              </w:rPr>
              <w:t>-7</w:t>
            </w:r>
            <w:r w:rsidRPr="00F83316">
              <w:rPr>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B0400" w14:textId="77FAF9CE" w:rsidR="004968A2" w:rsidRPr="00F83316" w:rsidRDefault="004968A2" w:rsidP="00637146">
            <w:pPr>
              <w:pStyle w:val="Body"/>
              <w:spacing w:after="0" w:line="240" w:lineRule="auto"/>
              <w:jc w:val="center"/>
              <w:rPr>
                <w:sz w:val="20"/>
                <w:szCs w:val="20"/>
              </w:rPr>
            </w:pPr>
            <w:r>
              <w:rPr>
                <w:sz w:val="20"/>
                <w:szCs w:val="20"/>
              </w:rPr>
              <w:t>-4</w:t>
            </w:r>
            <w:r w:rsidRPr="00F83316">
              <w:rPr>
                <w:sz w:val="20"/>
                <w:szCs w:val="20"/>
              </w:rPr>
              <w:t>%</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53F01" w14:textId="7C0CA56B" w:rsidR="004968A2" w:rsidRPr="00F83316" w:rsidRDefault="004968A2" w:rsidP="00637146">
            <w:pPr>
              <w:pStyle w:val="Body"/>
              <w:spacing w:after="0" w:line="240" w:lineRule="auto"/>
              <w:jc w:val="center"/>
              <w:rPr>
                <w:sz w:val="20"/>
                <w:szCs w:val="20"/>
              </w:rPr>
            </w:pPr>
            <w:r>
              <w:rPr>
                <w:sz w:val="20"/>
                <w:szCs w:val="20"/>
              </w:rPr>
              <w:t>+1</w:t>
            </w:r>
            <w:r w:rsidRPr="00F83316">
              <w:rPr>
                <w:sz w:val="20"/>
                <w:szCs w:val="20"/>
              </w:rPr>
              <w:t>%</w:t>
            </w:r>
          </w:p>
        </w:tc>
        <w:tc>
          <w:tcPr>
            <w:tcW w:w="1326" w:type="dxa"/>
            <w:tcBorders>
              <w:top w:val="single" w:sz="4" w:space="0" w:color="000000"/>
              <w:left w:val="single" w:sz="4" w:space="0" w:color="000000"/>
              <w:bottom w:val="single" w:sz="4" w:space="0" w:color="000000"/>
              <w:right w:val="single" w:sz="4" w:space="0" w:color="000000"/>
            </w:tcBorders>
          </w:tcPr>
          <w:p w14:paraId="46B7E878" w14:textId="776D0373" w:rsidR="004968A2" w:rsidRDefault="004968A2" w:rsidP="00637146">
            <w:pPr>
              <w:pStyle w:val="Body"/>
              <w:spacing w:after="0" w:line="240" w:lineRule="auto"/>
              <w:jc w:val="center"/>
              <w:rPr>
                <w:sz w:val="20"/>
                <w:szCs w:val="20"/>
              </w:rPr>
            </w:pPr>
            <w:r>
              <w:rPr>
                <w:sz w:val="20"/>
                <w:szCs w:val="20"/>
              </w:rPr>
              <w:t>-3%</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EDC62" w14:textId="581B0E23" w:rsidR="004968A2" w:rsidRPr="00F83316" w:rsidRDefault="00FB706B" w:rsidP="00637146">
            <w:pPr>
              <w:pStyle w:val="Body"/>
              <w:spacing w:after="0" w:line="240" w:lineRule="auto"/>
              <w:jc w:val="center"/>
              <w:rPr>
                <w:sz w:val="20"/>
                <w:szCs w:val="20"/>
              </w:rPr>
            </w:pPr>
            <w:r>
              <w:rPr>
                <w:sz w:val="20"/>
                <w:szCs w:val="20"/>
              </w:rPr>
              <w:t>-2</w:t>
            </w:r>
            <w:r w:rsidR="004968A2" w:rsidRPr="00F83316">
              <w:rPr>
                <w:sz w:val="20"/>
                <w:szCs w:val="20"/>
              </w:rPr>
              <w:t>%</w:t>
            </w:r>
          </w:p>
        </w:tc>
      </w:tr>
      <w:tr w:rsidR="004968A2" w:rsidRPr="00F83316" w14:paraId="72BA7EF1" w14:textId="77777777" w:rsidTr="00D8031E">
        <w:trPr>
          <w:trHeight w:val="234"/>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6B0BA" w14:textId="77777777" w:rsidR="004968A2" w:rsidRPr="00F83316" w:rsidRDefault="004968A2" w:rsidP="00637146">
            <w:pPr>
              <w:pStyle w:val="Body"/>
              <w:spacing w:after="0" w:line="240" w:lineRule="auto"/>
              <w:rPr>
                <w:sz w:val="20"/>
                <w:szCs w:val="20"/>
              </w:rPr>
            </w:pPr>
            <w:r w:rsidRPr="00F83316">
              <w:rPr>
                <w:sz w:val="20"/>
                <w:szCs w:val="20"/>
              </w:rPr>
              <w:t>Food to go categories</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6A91D" w14:textId="5A6B52B1" w:rsidR="004968A2" w:rsidRPr="00F83316" w:rsidRDefault="004968A2" w:rsidP="00637146">
            <w:pPr>
              <w:pStyle w:val="Body"/>
              <w:spacing w:after="0" w:line="240" w:lineRule="auto"/>
              <w:jc w:val="center"/>
              <w:rPr>
                <w:sz w:val="20"/>
                <w:szCs w:val="20"/>
              </w:rPr>
            </w:pPr>
            <w:r>
              <w:rPr>
                <w:sz w:val="20"/>
                <w:szCs w:val="20"/>
              </w:rPr>
              <w:t>-16</w:t>
            </w:r>
            <w:r w:rsidRPr="00F83316">
              <w:rPr>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27356" w14:textId="33C87405" w:rsidR="004968A2" w:rsidRPr="00F83316" w:rsidRDefault="004968A2" w:rsidP="00637146">
            <w:pPr>
              <w:pStyle w:val="Body"/>
              <w:spacing w:after="0" w:line="240" w:lineRule="auto"/>
              <w:jc w:val="center"/>
              <w:rPr>
                <w:sz w:val="20"/>
                <w:szCs w:val="20"/>
              </w:rPr>
            </w:pPr>
            <w:r>
              <w:rPr>
                <w:sz w:val="20"/>
                <w:szCs w:val="20"/>
              </w:rPr>
              <w:t>-10</w:t>
            </w:r>
            <w:r w:rsidRPr="00F83316">
              <w:rPr>
                <w:sz w:val="20"/>
                <w:szCs w:val="20"/>
              </w:rPr>
              <w:t>%</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F6DC1" w14:textId="4638D645" w:rsidR="004968A2" w:rsidRPr="00F83316" w:rsidRDefault="004968A2" w:rsidP="00637146">
            <w:pPr>
              <w:pStyle w:val="Body"/>
              <w:spacing w:after="0" w:line="240" w:lineRule="auto"/>
              <w:jc w:val="center"/>
              <w:rPr>
                <w:sz w:val="20"/>
                <w:szCs w:val="20"/>
              </w:rPr>
            </w:pPr>
            <w:r>
              <w:rPr>
                <w:sz w:val="20"/>
                <w:szCs w:val="20"/>
              </w:rPr>
              <w:t>-4</w:t>
            </w:r>
            <w:r w:rsidRPr="00F83316">
              <w:rPr>
                <w:sz w:val="20"/>
                <w:szCs w:val="20"/>
              </w:rPr>
              <w:t>%</w:t>
            </w:r>
          </w:p>
        </w:tc>
        <w:tc>
          <w:tcPr>
            <w:tcW w:w="1326" w:type="dxa"/>
            <w:tcBorders>
              <w:top w:val="single" w:sz="4" w:space="0" w:color="000000"/>
              <w:left w:val="single" w:sz="4" w:space="0" w:color="000000"/>
              <w:bottom w:val="single" w:sz="4" w:space="0" w:color="000000"/>
              <w:right w:val="single" w:sz="4" w:space="0" w:color="000000"/>
            </w:tcBorders>
          </w:tcPr>
          <w:p w14:paraId="6FEC225A" w14:textId="0F1E9A5C" w:rsidR="004968A2" w:rsidRDefault="00F36E42" w:rsidP="00637146">
            <w:pPr>
              <w:pStyle w:val="Body"/>
              <w:spacing w:after="0" w:line="240" w:lineRule="auto"/>
              <w:jc w:val="center"/>
              <w:rPr>
                <w:sz w:val="20"/>
                <w:szCs w:val="20"/>
              </w:rPr>
            </w:pPr>
            <w:r>
              <w:rPr>
                <w:sz w:val="20"/>
                <w:szCs w:val="20"/>
              </w:rPr>
              <w:t>-9%</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251D7" w14:textId="1EE405CD" w:rsidR="004968A2" w:rsidRPr="00F83316" w:rsidRDefault="00FB706B" w:rsidP="00637146">
            <w:pPr>
              <w:pStyle w:val="Body"/>
              <w:spacing w:after="0" w:line="240" w:lineRule="auto"/>
              <w:jc w:val="center"/>
              <w:rPr>
                <w:sz w:val="20"/>
                <w:szCs w:val="20"/>
              </w:rPr>
            </w:pPr>
            <w:r>
              <w:rPr>
                <w:sz w:val="20"/>
                <w:szCs w:val="20"/>
              </w:rPr>
              <w:t>-7</w:t>
            </w:r>
            <w:r w:rsidR="004968A2" w:rsidRPr="00F83316">
              <w:rPr>
                <w:sz w:val="20"/>
                <w:szCs w:val="20"/>
              </w:rPr>
              <w:t>%</w:t>
            </w:r>
          </w:p>
        </w:tc>
      </w:tr>
      <w:tr w:rsidR="004968A2" w:rsidRPr="00F83316" w14:paraId="43760CD2" w14:textId="77777777" w:rsidTr="00D8031E">
        <w:trPr>
          <w:trHeight w:val="234"/>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4DB95" w14:textId="77777777" w:rsidR="004968A2" w:rsidRPr="00F83316" w:rsidRDefault="004968A2" w:rsidP="00637146">
            <w:pPr>
              <w:pStyle w:val="Body"/>
              <w:spacing w:after="0" w:line="240" w:lineRule="auto"/>
              <w:rPr>
                <w:sz w:val="20"/>
                <w:szCs w:val="20"/>
              </w:rPr>
            </w:pPr>
            <w:r w:rsidRPr="00F83316">
              <w:rPr>
                <w:sz w:val="20"/>
                <w:szCs w:val="20"/>
              </w:rPr>
              <w:t>Other convenience food categories</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8E309" w14:textId="7A5CEB0D" w:rsidR="004968A2" w:rsidRPr="00F83316" w:rsidRDefault="004968A2" w:rsidP="00637146">
            <w:pPr>
              <w:pStyle w:val="Body"/>
              <w:spacing w:after="0" w:line="240" w:lineRule="auto"/>
              <w:jc w:val="center"/>
              <w:rPr>
                <w:sz w:val="20"/>
                <w:szCs w:val="20"/>
              </w:rPr>
            </w:pPr>
            <w:r>
              <w:rPr>
                <w:sz w:val="20"/>
                <w:szCs w:val="20"/>
              </w:rPr>
              <w:t>+14</w:t>
            </w:r>
            <w:r w:rsidRPr="00F83316">
              <w:rPr>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A8625" w14:textId="6238AB5E" w:rsidR="004968A2" w:rsidRPr="00F83316" w:rsidRDefault="004968A2" w:rsidP="00637146">
            <w:pPr>
              <w:pStyle w:val="Body"/>
              <w:spacing w:after="0" w:line="240" w:lineRule="auto"/>
              <w:jc w:val="center"/>
              <w:rPr>
                <w:sz w:val="20"/>
                <w:szCs w:val="20"/>
              </w:rPr>
            </w:pPr>
            <w:r>
              <w:rPr>
                <w:sz w:val="20"/>
                <w:szCs w:val="20"/>
              </w:rPr>
              <w:t>+11</w:t>
            </w:r>
            <w:r w:rsidRPr="00F83316">
              <w:rPr>
                <w:sz w:val="20"/>
                <w:szCs w:val="20"/>
              </w:rPr>
              <w:t>%</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903EC" w14:textId="311F3AD7" w:rsidR="004968A2" w:rsidRPr="00F83316" w:rsidRDefault="004968A2" w:rsidP="00637146">
            <w:pPr>
              <w:pStyle w:val="Body"/>
              <w:spacing w:after="0" w:line="240" w:lineRule="auto"/>
              <w:jc w:val="center"/>
              <w:rPr>
                <w:sz w:val="20"/>
                <w:szCs w:val="20"/>
              </w:rPr>
            </w:pPr>
            <w:r>
              <w:rPr>
                <w:sz w:val="20"/>
                <w:szCs w:val="20"/>
              </w:rPr>
              <w:t>+13</w:t>
            </w:r>
            <w:r w:rsidRPr="00F83316">
              <w:rPr>
                <w:sz w:val="20"/>
                <w:szCs w:val="20"/>
              </w:rPr>
              <w:t>%</w:t>
            </w:r>
          </w:p>
        </w:tc>
        <w:tc>
          <w:tcPr>
            <w:tcW w:w="1326" w:type="dxa"/>
            <w:tcBorders>
              <w:top w:val="single" w:sz="4" w:space="0" w:color="000000"/>
              <w:left w:val="single" w:sz="4" w:space="0" w:color="000000"/>
              <w:bottom w:val="single" w:sz="4" w:space="0" w:color="000000"/>
              <w:right w:val="single" w:sz="4" w:space="0" w:color="000000"/>
            </w:tcBorders>
          </w:tcPr>
          <w:p w14:paraId="74E8109C" w14:textId="599D4857" w:rsidR="004968A2" w:rsidRDefault="00F36E42" w:rsidP="00637146">
            <w:pPr>
              <w:pStyle w:val="Body"/>
              <w:spacing w:after="0" w:line="240" w:lineRule="auto"/>
              <w:jc w:val="center"/>
              <w:rPr>
                <w:sz w:val="20"/>
                <w:szCs w:val="20"/>
              </w:rPr>
            </w:pPr>
            <w:r>
              <w:rPr>
                <w:sz w:val="20"/>
                <w:szCs w:val="20"/>
              </w:rPr>
              <w:t>+13%</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83D57" w14:textId="44CD8A06" w:rsidR="004968A2" w:rsidRPr="00F83316" w:rsidRDefault="00FB706B" w:rsidP="00637146">
            <w:pPr>
              <w:pStyle w:val="Body"/>
              <w:spacing w:after="0" w:line="240" w:lineRule="auto"/>
              <w:jc w:val="center"/>
              <w:rPr>
                <w:sz w:val="20"/>
                <w:szCs w:val="20"/>
              </w:rPr>
            </w:pPr>
            <w:r>
              <w:rPr>
                <w:sz w:val="20"/>
                <w:szCs w:val="20"/>
              </w:rPr>
              <w:t>+14</w:t>
            </w:r>
            <w:r w:rsidR="004968A2" w:rsidRPr="00F83316">
              <w:rPr>
                <w:sz w:val="20"/>
                <w:szCs w:val="20"/>
              </w:rPr>
              <w:t>%</w:t>
            </w:r>
          </w:p>
        </w:tc>
      </w:tr>
    </w:tbl>
    <w:p w14:paraId="39360182" w14:textId="77777777" w:rsidR="00DF6060" w:rsidRPr="004177DD" w:rsidRDefault="00DF6060" w:rsidP="00DF6060">
      <w:pPr>
        <w:rPr>
          <w:sz w:val="20"/>
          <w:szCs w:val="20"/>
        </w:rPr>
      </w:pPr>
    </w:p>
    <w:p w14:paraId="3B01B039" w14:textId="3B34A305" w:rsidR="003A0D6B" w:rsidRPr="00A16FBB" w:rsidRDefault="003A0D6B" w:rsidP="003A0D6B">
      <w:pPr>
        <w:jc w:val="both"/>
        <w:rPr>
          <w:sz w:val="20"/>
          <w:szCs w:val="20"/>
        </w:rPr>
      </w:pPr>
      <w:r w:rsidRPr="00EB5C47">
        <w:rPr>
          <w:sz w:val="20"/>
          <w:szCs w:val="20"/>
        </w:rPr>
        <w:t>The UK trading environment improved markedly in Q3</w:t>
      </w:r>
      <w:r w:rsidRPr="003B78FE">
        <w:rPr>
          <w:sz w:val="20"/>
          <w:szCs w:val="20"/>
        </w:rPr>
        <w:t xml:space="preserve"> </w:t>
      </w:r>
      <w:r w:rsidRPr="00A16FBB">
        <w:rPr>
          <w:sz w:val="20"/>
          <w:szCs w:val="20"/>
        </w:rPr>
        <w:t xml:space="preserve">as the economy reopened and mobility restrictions were eased, supporting </w:t>
      </w:r>
      <w:r>
        <w:rPr>
          <w:sz w:val="20"/>
          <w:szCs w:val="20"/>
        </w:rPr>
        <w:t xml:space="preserve">demand </w:t>
      </w:r>
      <w:r w:rsidRPr="00A16FBB">
        <w:rPr>
          <w:sz w:val="20"/>
          <w:szCs w:val="20"/>
        </w:rPr>
        <w:t xml:space="preserve">growth in food to go categories </w:t>
      </w:r>
      <w:r>
        <w:rPr>
          <w:sz w:val="20"/>
          <w:szCs w:val="20"/>
        </w:rPr>
        <w:t>in particular</w:t>
      </w:r>
      <w:r w:rsidRPr="00A16FBB">
        <w:rPr>
          <w:sz w:val="20"/>
          <w:szCs w:val="20"/>
        </w:rPr>
        <w:t xml:space="preserve">. </w:t>
      </w:r>
      <w:r>
        <w:rPr>
          <w:sz w:val="20"/>
          <w:szCs w:val="20"/>
        </w:rPr>
        <w:t xml:space="preserve">In addition to the underlying market recovery, the Group benefitted from its </w:t>
      </w:r>
      <w:r w:rsidRPr="006B56A8">
        <w:rPr>
          <w:sz w:val="20"/>
          <w:szCs w:val="20"/>
        </w:rPr>
        <w:t xml:space="preserve">strong market position in </w:t>
      </w:r>
      <w:r>
        <w:rPr>
          <w:sz w:val="20"/>
          <w:szCs w:val="20"/>
        </w:rPr>
        <w:t xml:space="preserve">the </w:t>
      </w:r>
      <w:r w:rsidRPr="006B56A8">
        <w:rPr>
          <w:sz w:val="20"/>
          <w:szCs w:val="20"/>
        </w:rPr>
        <w:t>grocery retail</w:t>
      </w:r>
      <w:r>
        <w:rPr>
          <w:sz w:val="20"/>
          <w:szCs w:val="20"/>
        </w:rPr>
        <w:t xml:space="preserve"> channel, its customer and format mix, and its portfolio across food to go and other convenience categories</w:t>
      </w:r>
      <w:r w:rsidRPr="006B56A8">
        <w:rPr>
          <w:sz w:val="20"/>
          <w:szCs w:val="20"/>
        </w:rPr>
        <w:t>.</w:t>
      </w:r>
      <w:r>
        <w:rPr>
          <w:sz w:val="20"/>
          <w:szCs w:val="20"/>
        </w:rPr>
        <w:t xml:space="preserve"> </w:t>
      </w:r>
      <w:r w:rsidRPr="006B56A8">
        <w:rPr>
          <w:sz w:val="20"/>
          <w:szCs w:val="20"/>
        </w:rPr>
        <w:t xml:space="preserve">The Group </w:t>
      </w:r>
      <w:r>
        <w:rPr>
          <w:sz w:val="20"/>
          <w:szCs w:val="20"/>
        </w:rPr>
        <w:t xml:space="preserve">worked closely with customers </w:t>
      </w:r>
      <w:r w:rsidRPr="006B56A8">
        <w:rPr>
          <w:sz w:val="20"/>
          <w:szCs w:val="20"/>
        </w:rPr>
        <w:t xml:space="preserve">to reactivate product ranges and formats </w:t>
      </w:r>
      <w:r>
        <w:rPr>
          <w:sz w:val="20"/>
          <w:szCs w:val="20"/>
        </w:rPr>
        <w:t xml:space="preserve">during the period. Group revenue growth in Q3 was also </w:t>
      </w:r>
      <w:r w:rsidR="001F6F28">
        <w:rPr>
          <w:sz w:val="20"/>
          <w:szCs w:val="20"/>
        </w:rPr>
        <w:t xml:space="preserve">supported </w:t>
      </w:r>
      <w:r>
        <w:rPr>
          <w:sz w:val="20"/>
          <w:szCs w:val="20"/>
        </w:rPr>
        <w:t xml:space="preserve">by an increasing contribution from new business wins. </w:t>
      </w:r>
    </w:p>
    <w:p w14:paraId="1D7B94C9" w14:textId="1C34EA6A" w:rsidR="003D643D" w:rsidRPr="00BC2183" w:rsidRDefault="003D643D" w:rsidP="003D643D">
      <w:pPr>
        <w:jc w:val="both"/>
        <w:rPr>
          <w:sz w:val="20"/>
          <w:szCs w:val="20"/>
        </w:rPr>
      </w:pPr>
      <w:r w:rsidRPr="00BC2183">
        <w:rPr>
          <w:sz w:val="20"/>
          <w:szCs w:val="20"/>
        </w:rPr>
        <w:t xml:space="preserve">Reported Group revenue </w:t>
      </w:r>
      <w:r w:rsidR="00A16FBB" w:rsidRPr="00BC2183">
        <w:rPr>
          <w:sz w:val="20"/>
          <w:szCs w:val="20"/>
        </w:rPr>
        <w:t xml:space="preserve">in Q3 </w:t>
      </w:r>
      <w:r w:rsidRPr="00BC2183">
        <w:rPr>
          <w:sz w:val="20"/>
          <w:szCs w:val="20"/>
        </w:rPr>
        <w:t>was £</w:t>
      </w:r>
      <w:r w:rsidR="00973D3F" w:rsidRPr="00BC2183">
        <w:rPr>
          <w:sz w:val="20"/>
          <w:szCs w:val="20"/>
        </w:rPr>
        <w:t>360.</w:t>
      </w:r>
      <w:r w:rsidR="00913883" w:rsidRPr="00BC2183">
        <w:rPr>
          <w:sz w:val="20"/>
          <w:szCs w:val="20"/>
        </w:rPr>
        <w:t>2</w:t>
      </w:r>
      <w:r w:rsidRPr="00BC2183">
        <w:rPr>
          <w:sz w:val="20"/>
          <w:szCs w:val="20"/>
        </w:rPr>
        <w:t>m, a</w:t>
      </w:r>
      <w:r w:rsidR="00A16FBB" w:rsidRPr="00BC2183">
        <w:rPr>
          <w:sz w:val="20"/>
          <w:szCs w:val="20"/>
        </w:rPr>
        <w:t xml:space="preserve">n increase </w:t>
      </w:r>
      <w:r w:rsidRPr="00BC2183">
        <w:rPr>
          <w:sz w:val="20"/>
          <w:szCs w:val="20"/>
        </w:rPr>
        <w:t xml:space="preserve">of </w:t>
      </w:r>
      <w:r w:rsidR="00973D3F" w:rsidRPr="00BC2183">
        <w:rPr>
          <w:sz w:val="20"/>
          <w:szCs w:val="20"/>
        </w:rPr>
        <w:t>49.</w:t>
      </w:r>
      <w:r w:rsidR="00913883" w:rsidRPr="00BC2183">
        <w:rPr>
          <w:sz w:val="20"/>
          <w:szCs w:val="20"/>
        </w:rPr>
        <w:t>7</w:t>
      </w:r>
      <w:r w:rsidRPr="00BC2183">
        <w:rPr>
          <w:sz w:val="20"/>
          <w:szCs w:val="20"/>
        </w:rPr>
        <w:t>% on the prior year</w:t>
      </w:r>
      <w:r w:rsidR="003B78FE" w:rsidRPr="00BC2183">
        <w:rPr>
          <w:sz w:val="20"/>
          <w:szCs w:val="20"/>
        </w:rPr>
        <w:t xml:space="preserve">. </w:t>
      </w:r>
      <w:r w:rsidRPr="00BC2183">
        <w:rPr>
          <w:sz w:val="20"/>
          <w:szCs w:val="20"/>
        </w:rPr>
        <w:t xml:space="preserve">On a pro forma basis revenue </w:t>
      </w:r>
      <w:r w:rsidR="00A16FBB" w:rsidRPr="00BC2183">
        <w:rPr>
          <w:sz w:val="20"/>
          <w:szCs w:val="20"/>
        </w:rPr>
        <w:t xml:space="preserve">increased </w:t>
      </w:r>
      <w:r w:rsidRPr="00BC2183">
        <w:rPr>
          <w:sz w:val="20"/>
          <w:szCs w:val="20"/>
        </w:rPr>
        <w:t xml:space="preserve">by </w:t>
      </w:r>
      <w:r w:rsidR="00973D3F" w:rsidRPr="00BC2183">
        <w:rPr>
          <w:sz w:val="20"/>
          <w:szCs w:val="20"/>
        </w:rPr>
        <w:t>53.</w:t>
      </w:r>
      <w:r w:rsidR="00913883" w:rsidRPr="00BC2183">
        <w:rPr>
          <w:sz w:val="20"/>
          <w:szCs w:val="20"/>
        </w:rPr>
        <w:t>1</w:t>
      </w:r>
      <w:r w:rsidRPr="00BC2183">
        <w:rPr>
          <w:sz w:val="20"/>
          <w:szCs w:val="20"/>
        </w:rPr>
        <w:t>% in the quarter</w:t>
      </w:r>
      <w:r w:rsidR="00A16FBB" w:rsidRPr="00BC2183">
        <w:rPr>
          <w:sz w:val="20"/>
          <w:szCs w:val="20"/>
        </w:rPr>
        <w:t xml:space="preserve">, and was only </w:t>
      </w:r>
      <w:r w:rsidR="00973D3F" w:rsidRPr="00BC2183">
        <w:rPr>
          <w:sz w:val="20"/>
          <w:szCs w:val="20"/>
        </w:rPr>
        <w:t>2.8</w:t>
      </w:r>
      <w:r w:rsidR="00A16FBB" w:rsidRPr="00BC2183">
        <w:rPr>
          <w:sz w:val="20"/>
          <w:szCs w:val="20"/>
        </w:rPr>
        <w:t>% below the equivalent pre-COVID levels in Q3 19</w:t>
      </w:r>
      <w:r w:rsidR="001F6F28">
        <w:rPr>
          <w:sz w:val="20"/>
          <w:szCs w:val="20"/>
        </w:rPr>
        <w:t>. In June 2021, pro forma revenues were</w:t>
      </w:r>
      <w:r w:rsidR="00274AF9" w:rsidRPr="00BC2183">
        <w:rPr>
          <w:sz w:val="20"/>
          <w:szCs w:val="20"/>
        </w:rPr>
        <w:t xml:space="preserve"> approximately 1% above equivalent pre-COVID levels.</w:t>
      </w:r>
      <w:r w:rsidR="00DC4E56">
        <w:rPr>
          <w:sz w:val="20"/>
          <w:szCs w:val="20"/>
        </w:rPr>
        <w:t xml:space="preserve"> In the first three trading weeks of July, pro forma revenues were approximately 2% below equivalent pre-COVID levels.</w:t>
      </w:r>
    </w:p>
    <w:p w14:paraId="08924C02" w14:textId="2261EA35" w:rsidR="003D643D" w:rsidRPr="00AB7787" w:rsidRDefault="00045D7F" w:rsidP="003D643D">
      <w:pPr>
        <w:jc w:val="both"/>
        <w:rPr>
          <w:sz w:val="20"/>
          <w:szCs w:val="20"/>
        </w:rPr>
      </w:pPr>
      <w:r>
        <w:rPr>
          <w:sz w:val="20"/>
          <w:szCs w:val="20"/>
        </w:rPr>
        <w:t>Revenue i</w:t>
      </w:r>
      <w:r w:rsidR="003D643D" w:rsidRPr="00BC2183">
        <w:rPr>
          <w:sz w:val="20"/>
          <w:szCs w:val="20"/>
        </w:rPr>
        <w:t>n the Group’s food to go categories</w:t>
      </w:r>
      <w:r>
        <w:rPr>
          <w:sz w:val="20"/>
          <w:szCs w:val="20"/>
        </w:rPr>
        <w:t xml:space="preserve"> </w:t>
      </w:r>
      <w:r w:rsidR="003D643D" w:rsidRPr="00BC2183">
        <w:rPr>
          <w:sz w:val="20"/>
          <w:szCs w:val="20"/>
        </w:rPr>
        <w:t>was £</w:t>
      </w:r>
      <w:r w:rsidR="00B307D7" w:rsidRPr="00BC2183">
        <w:rPr>
          <w:sz w:val="20"/>
          <w:szCs w:val="20"/>
        </w:rPr>
        <w:t>236.</w:t>
      </w:r>
      <w:r w:rsidR="00913883" w:rsidRPr="00BC2183">
        <w:rPr>
          <w:sz w:val="20"/>
          <w:szCs w:val="20"/>
        </w:rPr>
        <w:t>5</w:t>
      </w:r>
      <w:r w:rsidR="003D643D" w:rsidRPr="00BC2183">
        <w:rPr>
          <w:sz w:val="20"/>
          <w:szCs w:val="20"/>
        </w:rPr>
        <w:t xml:space="preserve">m in Q3, </w:t>
      </w:r>
      <w:r w:rsidR="00A16FBB" w:rsidRPr="00BC2183">
        <w:rPr>
          <w:sz w:val="20"/>
          <w:szCs w:val="20"/>
        </w:rPr>
        <w:t xml:space="preserve">representing growth of </w:t>
      </w:r>
      <w:r w:rsidR="00B307D7" w:rsidRPr="00BC2183">
        <w:rPr>
          <w:sz w:val="20"/>
          <w:szCs w:val="20"/>
        </w:rPr>
        <w:t>91.</w:t>
      </w:r>
      <w:r w:rsidR="00913883" w:rsidRPr="00BC2183">
        <w:rPr>
          <w:sz w:val="20"/>
          <w:szCs w:val="20"/>
        </w:rPr>
        <w:t>1</w:t>
      </w:r>
      <w:r w:rsidR="00A16FBB" w:rsidRPr="00BC2183">
        <w:rPr>
          <w:sz w:val="20"/>
          <w:szCs w:val="20"/>
        </w:rPr>
        <w:t xml:space="preserve">% on </w:t>
      </w:r>
      <w:r>
        <w:rPr>
          <w:sz w:val="20"/>
          <w:szCs w:val="20"/>
        </w:rPr>
        <w:t xml:space="preserve">a reported and pro forma basis. </w:t>
      </w:r>
      <w:r w:rsidR="003D643D" w:rsidRPr="00BC2183">
        <w:rPr>
          <w:sz w:val="20"/>
          <w:szCs w:val="20"/>
        </w:rPr>
        <w:t xml:space="preserve">Pro forma Q3 revenue </w:t>
      </w:r>
      <w:r w:rsidR="00A16FBB" w:rsidRPr="00B21A04">
        <w:rPr>
          <w:sz w:val="20"/>
          <w:szCs w:val="20"/>
        </w:rPr>
        <w:t xml:space="preserve">was </w:t>
      </w:r>
      <w:r w:rsidR="00B307D7" w:rsidRPr="00B21A04">
        <w:rPr>
          <w:sz w:val="20"/>
          <w:szCs w:val="20"/>
        </w:rPr>
        <w:t>9.3</w:t>
      </w:r>
      <w:r w:rsidR="00A16FBB" w:rsidRPr="00B21A04">
        <w:rPr>
          <w:sz w:val="20"/>
          <w:szCs w:val="20"/>
        </w:rPr>
        <w:t xml:space="preserve">% below equivalent pre-COVID levels in Q3 19. </w:t>
      </w:r>
      <w:r w:rsidR="003D643D" w:rsidRPr="00B21A04">
        <w:rPr>
          <w:sz w:val="20"/>
          <w:szCs w:val="20"/>
        </w:rPr>
        <w:t xml:space="preserve">Revenues recovered progressively </w:t>
      </w:r>
      <w:r w:rsidR="00A16FBB" w:rsidRPr="00B21A04">
        <w:rPr>
          <w:sz w:val="20"/>
          <w:szCs w:val="20"/>
        </w:rPr>
        <w:t>through the quarter</w:t>
      </w:r>
      <w:r w:rsidR="00B307D7" w:rsidRPr="00B21A04">
        <w:rPr>
          <w:sz w:val="20"/>
          <w:szCs w:val="20"/>
        </w:rPr>
        <w:t xml:space="preserve"> against improving prior year comparatives</w:t>
      </w:r>
      <w:r w:rsidR="00B83B04" w:rsidRPr="00B21A04">
        <w:rPr>
          <w:sz w:val="20"/>
          <w:szCs w:val="20"/>
        </w:rPr>
        <w:t xml:space="preserve">. </w:t>
      </w:r>
      <w:r w:rsidR="00B012AB" w:rsidRPr="00B21A04">
        <w:rPr>
          <w:sz w:val="20"/>
          <w:szCs w:val="20"/>
        </w:rPr>
        <w:t>I</w:t>
      </w:r>
      <w:r w:rsidR="003D643D" w:rsidRPr="00B21A04">
        <w:rPr>
          <w:sz w:val="20"/>
          <w:szCs w:val="20"/>
        </w:rPr>
        <w:t>n</w:t>
      </w:r>
      <w:r w:rsidR="00AB7787" w:rsidRPr="00B21A04">
        <w:rPr>
          <w:sz w:val="20"/>
          <w:szCs w:val="20"/>
        </w:rPr>
        <w:t xml:space="preserve"> the first three trading weeks of </w:t>
      </w:r>
      <w:r w:rsidR="003D643D" w:rsidRPr="00B21A04">
        <w:rPr>
          <w:sz w:val="20"/>
          <w:szCs w:val="20"/>
        </w:rPr>
        <w:t>July</w:t>
      </w:r>
      <w:r w:rsidR="00AE71EA" w:rsidRPr="00B21A04">
        <w:rPr>
          <w:sz w:val="20"/>
          <w:szCs w:val="20"/>
        </w:rPr>
        <w:t>,</w:t>
      </w:r>
      <w:r w:rsidR="003D643D" w:rsidRPr="00B21A04">
        <w:rPr>
          <w:sz w:val="20"/>
          <w:szCs w:val="20"/>
        </w:rPr>
        <w:t xml:space="preserve"> revenues from the Group’s food to go categories were </w:t>
      </w:r>
      <w:r w:rsidR="00FB706B">
        <w:rPr>
          <w:sz w:val="20"/>
          <w:szCs w:val="20"/>
        </w:rPr>
        <w:t>7</w:t>
      </w:r>
      <w:r w:rsidR="003D643D" w:rsidRPr="00B21A04">
        <w:rPr>
          <w:sz w:val="20"/>
          <w:szCs w:val="20"/>
        </w:rPr>
        <w:t xml:space="preserve">% </w:t>
      </w:r>
      <w:r w:rsidR="00DC4E56">
        <w:rPr>
          <w:sz w:val="20"/>
          <w:szCs w:val="20"/>
        </w:rPr>
        <w:t xml:space="preserve">below </w:t>
      </w:r>
      <w:r w:rsidR="00AB7787" w:rsidRPr="00B21A04">
        <w:rPr>
          <w:sz w:val="20"/>
          <w:szCs w:val="20"/>
        </w:rPr>
        <w:t xml:space="preserve">the equivalent pre-COVID </w:t>
      </w:r>
      <w:r w:rsidR="003D643D" w:rsidRPr="00B21A04">
        <w:rPr>
          <w:sz w:val="20"/>
          <w:szCs w:val="20"/>
        </w:rPr>
        <w:t>levels</w:t>
      </w:r>
      <w:r w:rsidR="00AB7787" w:rsidRPr="00B21A04">
        <w:rPr>
          <w:sz w:val="20"/>
          <w:szCs w:val="20"/>
        </w:rPr>
        <w:t xml:space="preserve"> in FY19</w:t>
      </w:r>
      <w:r w:rsidR="003D643D" w:rsidRPr="00B21A04">
        <w:rPr>
          <w:sz w:val="20"/>
          <w:szCs w:val="20"/>
        </w:rPr>
        <w:t xml:space="preserve">. </w:t>
      </w:r>
    </w:p>
    <w:p w14:paraId="485D0940" w14:textId="4B56B133" w:rsidR="00DF6060" w:rsidRPr="004177DD" w:rsidRDefault="003D643D" w:rsidP="003D643D">
      <w:pPr>
        <w:jc w:val="both"/>
        <w:rPr>
          <w:sz w:val="20"/>
          <w:szCs w:val="20"/>
        </w:rPr>
      </w:pPr>
      <w:r w:rsidRPr="00F11118">
        <w:rPr>
          <w:sz w:val="20"/>
          <w:szCs w:val="20"/>
        </w:rPr>
        <w:t>Reported revenue in the Group’s other convenience food categories totalled £</w:t>
      </w:r>
      <w:r w:rsidR="00F11118">
        <w:rPr>
          <w:sz w:val="20"/>
          <w:szCs w:val="20"/>
        </w:rPr>
        <w:t>123.7</w:t>
      </w:r>
      <w:r w:rsidRPr="00F11118">
        <w:rPr>
          <w:sz w:val="20"/>
          <w:szCs w:val="20"/>
        </w:rPr>
        <w:t xml:space="preserve">m in Q3, an increase of </w:t>
      </w:r>
      <w:r w:rsidR="00F11118">
        <w:rPr>
          <w:sz w:val="20"/>
          <w:szCs w:val="20"/>
        </w:rPr>
        <w:t>5.9</w:t>
      </w:r>
      <w:r w:rsidRPr="00F11118">
        <w:rPr>
          <w:sz w:val="20"/>
          <w:szCs w:val="20"/>
        </w:rPr>
        <w:t>%</w:t>
      </w:r>
      <w:r w:rsidRPr="00C8679D">
        <w:rPr>
          <w:sz w:val="20"/>
          <w:szCs w:val="20"/>
        </w:rPr>
        <w:t xml:space="preserve"> on a reported basis, and a </w:t>
      </w:r>
      <w:r w:rsidR="00F11118">
        <w:rPr>
          <w:sz w:val="20"/>
          <w:szCs w:val="20"/>
        </w:rPr>
        <w:t>11.1</w:t>
      </w:r>
      <w:r w:rsidRPr="00C8679D">
        <w:rPr>
          <w:sz w:val="20"/>
          <w:szCs w:val="20"/>
        </w:rPr>
        <w:t xml:space="preserve">% increase on a pro forma basis. </w:t>
      </w:r>
    </w:p>
    <w:p w14:paraId="6ECFC0EE" w14:textId="61441E5D" w:rsidR="00B83B04" w:rsidRDefault="00F11118" w:rsidP="009B0716">
      <w:pPr>
        <w:jc w:val="both"/>
        <w:rPr>
          <w:sz w:val="20"/>
          <w:szCs w:val="20"/>
        </w:rPr>
      </w:pPr>
      <w:r>
        <w:rPr>
          <w:sz w:val="20"/>
          <w:szCs w:val="20"/>
        </w:rPr>
        <w:lastRenderedPageBreak/>
        <w:t>Q3 i</w:t>
      </w:r>
      <w:r w:rsidR="00B83B04" w:rsidRPr="00B83B04">
        <w:rPr>
          <w:sz w:val="20"/>
          <w:szCs w:val="20"/>
        </w:rPr>
        <w:t xml:space="preserve">nflation trends in the Group’s main UK cost components were </w:t>
      </w:r>
      <w:r w:rsidR="00B83B04">
        <w:rPr>
          <w:sz w:val="20"/>
          <w:szCs w:val="20"/>
        </w:rPr>
        <w:t xml:space="preserve">broadly </w:t>
      </w:r>
      <w:r w:rsidR="00B83B04" w:rsidRPr="00B83B04">
        <w:rPr>
          <w:sz w:val="20"/>
          <w:szCs w:val="20"/>
        </w:rPr>
        <w:t>as anticipated</w:t>
      </w:r>
      <w:r w:rsidR="00C219C7">
        <w:rPr>
          <w:sz w:val="20"/>
          <w:szCs w:val="20"/>
        </w:rPr>
        <w:t xml:space="preserve">. </w:t>
      </w:r>
      <w:r w:rsidR="00EF75FA">
        <w:rPr>
          <w:sz w:val="20"/>
          <w:szCs w:val="20"/>
        </w:rPr>
        <w:t xml:space="preserve">Supply chain and labour </w:t>
      </w:r>
      <w:r w:rsidR="00C219C7">
        <w:rPr>
          <w:sz w:val="20"/>
          <w:szCs w:val="20"/>
        </w:rPr>
        <w:t xml:space="preserve">challenges </w:t>
      </w:r>
      <w:r w:rsidR="005A5A6E">
        <w:rPr>
          <w:sz w:val="20"/>
          <w:szCs w:val="20"/>
        </w:rPr>
        <w:t xml:space="preserve">are increasing </w:t>
      </w:r>
      <w:r w:rsidR="00C219C7">
        <w:rPr>
          <w:sz w:val="20"/>
          <w:szCs w:val="20"/>
        </w:rPr>
        <w:t xml:space="preserve">across the UK food system and the Group is working closely with customers and suppliers to mitigate these challenges and to maintain strong operational service levels. </w:t>
      </w:r>
    </w:p>
    <w:p w14:paraId="67836F53" w14:textId="6CCC3BF0" w:rsidR="00DF2EC5" w:rsidRDefault="00C8679D" w:rsidP="009B0716">
      <w:pPr>
        <w:jc w:val="both"/>
        <w:rPr>
          <w:sz w:val="20"/>
          <w:szCs w:val="20"/>
        </w:rPr>
      </w:pPr>
      <w:r>
        <w:rPr>
          <w:sz w:val="20"/>
          <w:szCs w:val="20"/>
        </w:rPr>
        <w:t xml:space="preserve">The Group’s </w:t>
      </w:r>
      <w:r w:rsidR="004B6477">
        <w:rPr>
          <w:sz w:val="20"/>
          <w:szCs w:val="20"/>
        </w:rPr>
        <w:t xml:space="preserve">improving profitability and </w:t>
      </w:r>
      <w:r w:rsidR="00BC6E95">
        <w:rPr>
          <w:sz w:val="20"/>
          <w:szCs w:val="20"/>
        </w:rPr>
        <w:t xml:space="preserve">strong </w:t>
      </w:r>
      <w:r w:rsidR="004B6477">
        <w:rPr>
          <w:sz w:val="20"/>
          <w:szCs w:val="20"/>
        </w:rPr>
        <w:t xml:space="preserve">cashflows </w:t>
      </w:r>
      <w:r w:rsidR="00AE71EA">
        <w:rPr>
          <w:sz w:val="20"/>
          <w:szCs w:val="20"/>
        </w:rPr>
        <w:t xml:space="preserve">supported a reduction in </w:t>
      </w:r>
      <w:bookmarkStart w:id="3" w:name="_Hlk75774155"/>
      <w:r>
        <w:rPr>
          <w:sz w:val="20"/>
          <w:szCs w:val="20"/>
        </w:rPr>
        <w:t xml:space="preserve">Net Debt (excluding lease liabilities) </w:t>
      </w:r>
      <w:r w:rsidR="00AE71EA">
        <w:rPr>
          <w:sz w:val="20"/>
          <w:szCs w:val="20"/>
        </w:rPr>
        <w:t xml:space="preserve">and an improvement in </w:t>
      </w:r>
      <w:r>
        <w:rPr>
          <w:sz w:val="20"/>
          <w:szCs w:val="20"/>
        </w:rPr>
        <w:t xml:space="preserve">leverage metrics </w:t>
      </w:r>
      <w:bookmarkEnd w:id="3"/>
      <w:r w:rsidR="0016002E">
        <w:rPr>
          <w:sz w:val="20"/>
          <w:szCs w:val="20"/>
        </w:rPr>
        <w:t>during Q3</w:t>
      </w:r>
      <w:r>
        <w:rPr>
          <w:sz w:val="20"/>
          <w:szCs w:val="20"/>
        </w:rPr>
        <w:t xml:space="preserve">. </w:t>
      </w:r>
      <w:r w:rsidR="004B6477">
        <w:rPr>
          <w:sz w:val="20"/>
          <w:szCs w:val="20"/>
        </w:rPr>
        <w:t xml:space="preserve">As such the Group </w:t>
      </w:r>
      <w:r w:rsidR="00F11118">
        <w:rPr>
          <w:sz w:val="20"/>
          <w:szCs w:val="20"/>
        </w:rPr>
        <w:t xml:space="preserve">comfortably met </w:t>
      </w:r>
      <w:r w:rsidR="004B6477">
        <w:rPr>
          <w:sz w:val="20"/>
          <w:szCs w:val="20"/>
        </w:rPr>
        <w:t xml:space="preserve">with the </w:t>
      </w:r>
      <w:r w:rsidR="004B6477" w:rsidRPr="004B6477">
        <w:rPr>
          <w:sz w:val="20"/>
          <w:szCs w:val="20"/>
        </w:rPr>
        <w:t xml:space="preserve">Net Debt: EBITDA covenant test at June 2021 </w:t>
      </w:r>
      <w:r w:rsidR="004B6477">
        <w:rPr>
          <w:sz w:val="20"/>
          <w:szCs w:val="20"/>
        </w:rPr>
        <w:t xml:space="preserve">of </w:t>
      </w:r>
      <w:r w:rsidR="004B6477" w:rsidRPr="004B6477">
        <w:rPr>
          <w:sz w:val="20"/>
          <w:szCs w:val="20"/>
        </w:rPr>
        <w:t>5.0x</w:t>
      </w:r>
      <w:r w:rsidR="004B6477">
        <w:rPr>
          <w:sz w:val="20"/>
          <w:szCs w:val="20"/>
        </w:rPr>
        <w:t>.</w:t>
      </w:r>
      <w:r w:rsidR="009B0716">
        <w:rPr>
          <w:sz w:val="20"/>
          <w:szCs w:val="20"/>
        </w:rPr>
        <w:t xml:space="preserve"> </w:t>
      </w:r>
      <w:r w:rsidR="00E6141C" w:rsidRPr="00D8031E">
        <w:rPr>
          <w:sz w:val="20"/>
          <w:szCs w:val="20"/>
        </w:rPr>
        <w:t>As at the end of Q3, the Group had committed debt facilities of £570.1m with a weighted average maturity of 3.0 years.</w:t>
      </w:r>
    </w:p>
    <w:p w14:paraId="7EAE6206" w14:textId="3AD2B1DB" w:rsidR="00DF6060" w:rsidRDefault="0016002E" w:rsidP="0063011F">
      <w:pPr>
        <w:jc w:val="both"/>
        <w:rPr>
          <w:sz w:val="20"/>
          <w:szCs w:val="20"/>
        </w:rPr>
      </w:pPr>
      <w:r>
        <w:rPr>
          <w:sz w:val="20"/>
          <w:szCs w:val="20"/>
        </w:rPr>
        <w:t>In July 2021</w:t>
      </w:r>
      <w:r w:rsidR="006C2449">
        <w:rPr>
          <w:sz w:val="20"/>
          <w:szCs w:val="20"/>
        </w:rPr>
        <w:t>,</w:t>
      </w:r>
      <w:r>
        <w:rPr>
          <w:sz w:val="20"/>
          <w:szCs w:val="20"/>
        </w:rPr>
        <w:t xml:space="preserve"> t</w:t>
      </w:r>
      <w:r w:rsidR="0063011F" w:rsidRPr="0063011F">
        <w:rPr>
          <w:sz w:val="20"/>
          <w:szCs w:val="20"/>
        </w:rPr>
        <w:t xml:space="preserve">he </w:t>
      </w:r>
      <w:r w:rsidR="0063011F">
        <w:rPr>
          <w:sz w:val="20"/>
          <w:szCs w:val="20"/>
        </w:rPr>
        <w:t>G</w:t>
      </w:r>
      <w:r w:rsidR="0063011F" w:rsidRPr="0063011F">
        <w:rPr>
          <w:sz w:val="20"/>
          <w:szCs w:val="20"/>
        </w:rPr>
        <w:t xml:space="preserve">roup </w:t>
      </w:r>
      <w:r w:rsidR="00DA28D7">
        <w:rPr>
          <w:sz w:val="20"/>
          <w:szCs w:val="20"/>
        </w:rPr>
        <w:t xml:space="preserve">successfully completed </w:t>
      </w:r>
      <w:r w:rsidR="0063011F" w:rsidRPr="0063011F">
        <w:rPr>
          <w:sz w:val="20"/>
          <w:szCs w:val="20"/>
        </w:rPr>
        <w:t>a</w:t>
      </w:r>
      <w:r w:rsidR="0063011F">
        <w:rPr>
          <w:sz w:val="20"/>
          <w:szCs w:val="20"/>
        </w:rPr>
        <w:t xml:space="preserve"> refinancing of its </w:t>
      </w:r>
      <w:r w:rsidR="00FD3051">
        <w:rPr>
          <w:sz w:val="20"/>
          <w:szCs w:val="20"/>
        </w:rPr>
        <w:t>near-term</w:t>
      </w:r>
      <w:r w:rsidR="0063011F">
        <w:rPr>
          <w:sz w:val="20"/>
          <w:szCs w:val="20"/>
        </w:rPr>
        <w:t xml:space="preserve"> debt with its lending syndicate that </w:t>
      </w:r>
      <w:r w:rsidR="0063011F" w:rsidRPr="00080BE8">
        <w:rPr>
          <w:sz w:val="20"/>
          <w:szCs w:val="20"/>
        </w:rPr>
        <w:t>improve</w:t>
      </w:r>
      <w:r w:rsidR="0063011F">
        <w:rPr>
          <w:sz w:val="20"/>
          <w:szCs w:val="20"/>
        </w:rPr>
        <w:t>s</w:t>
      </w:r>
      <w:r w:rsidR="0063011F" w:rsidRPr="00080BE8">
        <w:rPr>
          <w:sz w:val="20"/>
          <w:szCs w:val="20"/>
        </w:rPr>
        <w:t xml:space="preserve"> the maturity profile of the Group's debt</w:t>
      </w:r>
      <w:r w:rsidR="00DA28D7">
        <w:rPr>
          <w:sz w:val="20"/>
          <w:szCs w:val="20"/>
        </w:rPr>
        <w:t xml:space="preserve"> and lowers annual interest costs</w:t>
      </w:r>
      <w:r w:rsidR="0063011F" w:rsidRPr="00080BE8">
        <w:rPr>
          <w:sz w:val="20"/>
          <w:szCs w:val="20"/>
        </w:rPr>
        <w:t>.</w:t>
      </w:r>
      <w:r w:rsidR="0063011F">
        <w:rPr>
          <w:sz w:val="20"/>
          <w:szCs w:val="20"/>
        </w:rPr>
        <w:t xml:space="preserve"> </w:t>
      </w:r>
      <w:r w:rsidR="0063011F" w:rsidRPr="0063011F">
        <w:rPr>
          <w:sz w:val="20"/>
          <w:szCs w:val="20"/>
        </w:rPr>
        <w:t xml:space="preserve">The </w:t>
      </w:r>
      <w:r w:rsidR="0063011F">
        <w:rPr>
          <w:sz w:val="20"/>
          <w:szCs w:val="20"/>
        </w:rPr>
        <w:t xml:space="preserve">Private Placement Notes </w:t>
      </w:r>
      <w:r w:rsidR="0063011F" w:rsidRPr="0063011F">
        <w:rPr>
          <w:sz w:val="20"/>
          <w:szCs w:val="20"/>
        </w:rPr>
        <w:t xml:space="preserve">of </w:t>
      </w:r>
      <w:r w:rsidR="0063011F">
        <w:rPr>
          <w:sz w:val="20"/>
          <w:szCs w:val="20"/>
        </w:rPr>
        <w:t>$65</w:t>
      </w:r>
      <w:r w:rsidR="0063011F" w:rsidRPr="0063011F">
        <w:rPr>
          <w:sz w:val="20"/>
          <w:szCs w:val="20"/>
        </w:rPr>
        <w:t>m, which mature</w:t>
      </w:r>
      <w:r w:rsidR="0063011F">
        <w:rPr>
          <w:sz w:val="20"/>
          <w:szCs w:val="20"/>
        </w:rPr>
        <w:t xml:space="preserve"> in October 2021,</w:t>
      </w:r>
      <w:r w:rsidR="0063011F" w:rsidRPr="0063011F">
        <w:rPr>
          <w:sz w:val="20"/>
          <w:szCs w:val="20"/>
        </w:rPr>
        <w:t xml:space="preserve"> are being replaced by a new </w:t>
      </w:r>
      <w:r w:rsidR="0063011F">
        <w:rPr>
          <w:sz w:val="20"/>
          <w:szCs w:val="20"/>
        </w:rPr>
        <w:t xml:space="preserve">three-year term loan </w:t>
      </w:r>
      <w:r w:rsidR="0063011F" w:rsidRPr="0063011F">
        <w:rPr>
          <w:sz w:val="20"/>
          <w:szCs w:val="20"/>
        </w:rPr>
        <w:t>facility of £</w:t>
      </w:r>
      <w:r w:rsidR="0063011F">
        <w:rPr>
          <w:sz w:val="20"/>
          <w:szCs w:val="20"/>
        </w:rPr>
        <w:t>45</w:t>
      </w:r>
      <w:r w:rsidR="0063011F" w:rsidRPr="0063011F">
        <w:rPr>
          <w:sz w:val="20"/>
          <w:szCs w:val="20"/>
        </w:rPr>
        <w:t xml:space="preserve">m, maturing in </w:t>
      </w:r>
      <w:r w:rsidR="0063011F">
        <w:rPr>
          <w:sz w:val="20"/>
          <w:szCs w:val="20"/>
        </w:rPr>
        <w:t xml:space="preserve">June </w:t>
      </w:r>
      <w:r w:rsidR="0063011F" w:rsidRPr="0063011F">
        <w:rPr>
          <w:sz w:val="20"/>
          <w:szCs w:val="20"/>
        </w:rPr>
        <w:t>202</w:t>
      </w:r>
      <w:r w:rsidR="0063011F">
        <w:rPr>
          <w:sz w:val="20"/>
          <w:szCs w:val="20"/>
        </w:rPr>
        <w:t>4</w:t>
      </w:r>
      <w:r w:rsidR="0063011F" w:rsidRPr="0063011F">
        <w:rPr>
          <w:sz w:val="20"/>
          <w:szCs w:val="20"/>
        </w:rPr>
        <w:t>.</w:t>
      </w:r>
      <w:r w:rsidR="0063011F">
        <w:rPr>
          <w:sz w:val="20"/>
          <w:szCs w:val="20"/>
        </w:rPr>
        <w:t xml:space="preserve"> </w:t>
      </w:r>
    </w:p>
    <w:p w14:paraId="57C766A1" w14:textId="5C9A46F6" w:rsidR="00DF2EC5" w:rsidRDefault="00AE71EA" w:rsidP="001B31C2">
      <w:pPr>
        <w:jc w:val="both"/>
        <w:rPr>
          <w:sz w:val="20"/>
          <w:szCs w:val="20"/>
        </w:rPr>
      </w:pPr>
      <w:r>
        <w:rPr>
          <w:sz w:val="20"/>
          <w:szCs w:val="20"/>
        </w:rPr>
        <w:t>During the quarter</w:t>
      </w:r>
      <w:r w:rsidR="007608D1">
        <w:rPr>
          <w:sz w:val="20"/>
          <w:szCs w:val="20"/>
        </w:rPr>
        <w:t xml:space="preserve"> the Group also concluded the latest triennial assessment of t</w:t>
      </w:r>
      <w:r w:rsidR="007608D1" w:rsidRPr="007608D1">
        <w:rPr>
          <w:sz w:val="20"/>
          <w:szCs w:val="20"/>
        </w:rPr>
        <w:t xml:space="preserve">he valuation and funding </w:t>
      </w:r>
      <w:r w:rsidR="006C2449">
        <w:rPr>
          <w:sz w:val="20"/>
          <w:szCs w:val="20"/>
        </w:rPr>
        <w:t>plan</w:t>
      </w:r>
      <w:r w:rsidR="006C2449" w:rsidRPr="007608D1">
        <w:rPr>
          <w:sz w:val="20"/>
          <w:szCs w:val="20"/>
        </w:rPr>
        <w:t xml:space="preserve"> </w:t>
      </w:r>
      <w:r w:rsidR="007608D1" w:rsidRPr="007608D1">
        <w:rPr>
          <w:sz w:val="20"/>
          <w:szCs w:val="20"/>
        </w:rPr>
        <w:t xml:space="preserve">for </w:t>
      </w:r>
      <w:r w:rsidR="007608D1">
        <w:rPr>
          <w:sz w:val="20"/>
          <w:szCs w:val="20"/>
        </w:rPr>
        <w:t xml:space="preserve">its </w:t>
      </w:r>
      <w:r w:rsidR="007608D1" w:rsidRPr="007608D1">
        <w:rPr>
          <w:sz w:val="20"/>
          <w:szCs w:val="20"/>
        </w:rPr>
        <w:t xml:space="preserve">principal UK </w:t>
      </w:r>
      <w:r w:rsidR="007608D1">
        <w:rPr>
          <w:sz w:val="20"/>
          <w:szCs w:val="20"/>
        </w:rPr>
        <w:t xml:space="preserve">legacy </w:t>
      </w:r>
      <w:r w:rsidR="007608D1" w:rsidRPr="007608D1">
        <w:rPr>
          <w:sz w:val="20"/>
          <w:szCs w:val="20"/>
        </w:rPr>
        <w:t>defined benefit pension scheme</w:t>
      </w:r>
      <w:r w:rsidR="007608D1">
        <w:rPr>
          <w:sz w:val="20"/>
          <w:szCs w:val="20"/>
        </w:rPr>
        <w:t xml:space="preserve">. </w:t>
      </w:r>
      <w:r w:rsidR="00D525B0">
        <w:rPr>
          <w:sz w:val="20"/>
          <w:szCs w:val="20"/>
        </w:rPr>
        <w:t xml:space="preserve">The Group </w:t>
      </w:r>
      <w:r w:rsidR="001B31C2" w:rsidRPr="001B31C2">
        <w:rPr>
          <w:sz w:val="20"/>
          <w:szCs w:val="20"/>
        </w:rPr>
        <w:t xml:space="preserve">expects the annual cash funding requirement for </w:t>
      </w:r>
      <w:r w:rsidR="00D525B0">
        <w:rPr>
          <w:sz w:val="20"/>
          <w:szCs w:val="20"/>
        </w:rPr>
        <w:t xml:space="preserve">all </w:t>
      </w:r>
      <w:r w:rsidR="001B31C2" w:rsidRPr="001B31C2">
        <w:rPr>
          <w:sz w:val="20"/>
          <w:szCs w:val="20"/>
        </w:rPr>
        <w:t>scheme</w:t>
      </w:r>
      <w:r w:rsidR="00D525B0">
        <w:rPr>
          <w:sz w:val="20"/>
          <w:szCs w:val="20"/>
        </w:rPr>
        <w:t>s</w:t>
      </w:r>
      <w:r w:rsidR="001B31C2" w:rsidRPr="001B31C2">
        <w:rPr>
          <w:sz w:val="20"/>
          <w:szCs w:val="20"/>
        </w:rPr>
        <w:t xml:space="preserve"> to </w:t>
      </w:r>
      <w:r w:rsidR="00DA28D7">
        <w:rPr>
          <w:sz w:val="20"/>
          <w:szCs w:val="20"/>
        </w:rPr>
        <w:t>be modestly below</w:t>
      </w:r>
      <w:r w:rsidR="001B31C2" w:rsidRPr="001B31C2">
        <w:rPr>
          <w:sz w:val="20"/>
          <w:szCs w:val="20"/>
        </w:rPr>
        <w:t xml:space="preserve"> </w:t>
      </w:r>
      <w:r w:rsidR="00FB706B">
        <w:rPr>
          <w:sz w:val="20"/>
          <w:szCs w:val="20"/>
        </w:rPr>
        <w:t xml:space="preserve">previously guided levels of </w:t>
      </w:r>
      <w:r w:rsidR="001B31C2" w:rsidRPr="001B31C2">
        <w:rPr>
          <w:sz w:val="20"/>
          <w:szCs w:val="20"/>
        </w:rPr>
        <w:t>£15m</w:t>
      </w:r>
      <w:r w:rsidR="00D525B0">
        <w:rPr>
          <w:sz w:val="20"/>
          <w:szCs w:val="20"/>
        </w:rPr>
        <w:t>,</w:t>
      </w:r>
      <w:r w:rsidR="00FB706B">
        <w:rPr>
          <w:sz w:val="20"/>
          <w:szCs w:val="20"/>
        </w:rPr>
        <w:t xml:space="preserve"> </w:t>
      </w:r>
      <w:r w:rsidR="00F80C57" w:rsidRPr="00F80C57">
        <w:rPr>
          <w:sz w:val="20"/>
          <w:szCs w:val="20"/>
        </w:rPr>
        <w:t>inclusive of</w:t>
      </w:r>
      <w:r w:rsidR="00D525B0" w:rsidRPr="00F80C57">
        <w:rPr>
          <w:sz w:val="20"/>
          <w:szCs w:val="20"/>
        </w:rPr>
        <w:t xml:space="preserve"> </w:t>
      </w:r>
      <w:r w:rsidR="00F80C57" w:rsidRPr="00F80C57">
        <w:rPr>
          <w:sz w:val="20"/>
          <w:szCs w:val="20"/>
        </w:rPr>
        <w:t xml:space="preserve">the </w:t>
      </w:r>
      <w:r w:rsidR="00D525B0" w:rsidRPr="00F80C57">
        <w:rPr>
          <w:sz w:val="20"/>
          <w:szCs w:val="20"/>
        </w:rPr>
        <w:t>cash contributions</w:t>
      </w:r>
      <w:r w:rsidR="00F80C57">
        <w:rPr>
          <w:sz w:val="20"/>
          <w:szCs w:val="20"/>
        </w:rPr>
        <w:t xml:space="preserve"> that were deferred over the course of the pandemic.</w:t>
      </w:r>
    </w:p>
    <w:p w14:paraId="72CA617E" w14:textId="77777777" w:rsidR="00F80078" w:rsidRDefault="00F80078" w:rsidP="001B31C2">
      <w:pPr>
        <w:jc w:val="both"/>
        <w:rPr>
          <w:sz w:val="20"/>
          <w:szCs w:val="20"/>
        </w:rPr>
      </w:pPr>
    </w:p>
    <w:p w14:paraId="38F48D97" w14:textId="2EB5B3CD" w:rsidR="00F80078" w:rsidRPr="00A60C52" w:rsidRDefault="00F80078" w:rsidP="004B4389">
      <w:pPr>
        <w:spacing w:after="0"/>
        <w:jc w:val="both"/>
        <w:rPr>
          <w:sz w:val="16"/>
          <w:szCs w:val="16"/>
          <w:highlight w:val="yellow"/>
        </w:rPr>
      </w:pPr>
      <w:r w:rsidRPr="0043328B">
        <w:rPr>
          <w:sz w:val="16"/>
          <w:szCs w:val="16"/>
          <w:vertAlign w:val="superscript"/>
        </w:rPr>
        <w:t>1</w:t>
      </w:r>
      <w:r w:rsidRPr="0043328B">
        <w:rPr>
          <w:sz w:val="16"/>
          <w:szCs w:val="16"/>
        </w:rPr>
        <w:t xml:space="preserve"> Pro forma references throughout this </w:t>
      </w:r>
      <w:r>
        <w:rPr>
          <w:sz w:val="16"/>
          <w:szCs w:val="16"/>
        </w:rPr>
        <w:t>Trading Update</w:t>
      </w:r>
      <w:r w:rsidRPr="0043328B">
        <w:rPr>
          <w:sz w:val="16"/>
          <w:szCs w:val="16"/>
        </w:rPr>
        <w:t xml:space="preserve"> are on a constant currency basis. </w:t>
      </w:r>
      <w:r w:rsidR="00DC4E56" w:rsidRPr="00DC4E56">
        <w:rPr>
          <w:sz w:val="16"/>
          <w:szCs w:val="16"/>
        </w:rPr>
        <w:t xml:space="preserve">Reported revenue has been adjusted to reflect the disposal of Premier Molasses Company Limited (Premier Molasses) in Q1 2021. The adjustment excludes from reported revenue, the revenue generated by Premier Molasses for the nine month period to 26 June 2020 and the revenue generated in FY21 up to the date of its disposal </w:t>
      </w:r>
    </w:p>
    <w:p w14:paraId="18E89B1F" w14:textId="77777777" w:rsidR="00F80078" w:rsidRPr="00A57C80" w:rsidRDefault="00F80078" w:rsidP="00F80078">
      <w:pPr>
        <w:spacing w:after="0"/>
        <w:rPr>
          <w:sz w:val="16"/>
          <w:szCs w:val="16"/>
        </w:rPr>
      </w:pPr>
      <w:r>
        <w:rPr>
          <w:sz w:val="16"/>
          <w:szCs w:val="16"/>
          <w:vertAlign w:val="superscript"/>
        </w:rPr>
        <w:t>2</w:t>
      </w:r>
      <w:r w:rsidRPr="0043328B">
        <w:rPr>
          <w:sz w:val="16"/>
          <w:szCs w:val="16"/>
          <w:vertAlign w:val="superscript"/>
        </w:rPr>
        <w:t xml:space="preserve"> </w:t>
      </w:r>
      <w:r w:rsidRPr="0043328B">
        <w:rPr>
          <w:sz w:val="16"/>
          <w:szCs w:val="16"/>
        </w:rPr>
        <w:t>July</w:t>
      </w:r>
      <w:r>
        <w:rPr>
          <w:sz w:val="16"/>
          <w:szCs w:val="16"/>
        </w:rPr>
        <w:t xml:space="preserve"> 2021</w:t>
      </w:r>
      <w:r w:rsidRPr="0043328B">
        <w:rPr>
          <w:sz w:val="16"/>
          <w:szCs w:val="16"/>
        </w:rPr>
        <w:t xml:space="preserve"> performance based on three trading weeks to </w:t>
      </w:r>
      <w:r>
        <w:rPr>
          <w:sz w:val="16"/>
          <w:szCs w:val="16"/>
        </w:rPr>
        <w:t>16</w:t>
      </w:r>
      <w:r w:rsidRPr="0043328B">
        <w:rPr>
          <w:sz w:val="16"/>
          <w:szCs w:val="16"/>
        </w:rPr>
        <w:t xml:space="preserve"> July 2021</w:t>
      </w:r>
    </w:p>
    <w:p w14:paraId="1690E2A6" w14:textId="77777777" w:rsidR="00DF6060" w:rsidRPr="004177DD" w:rsidRDefault="00DF6060" w:rsidP="00DF6060">
      <w:pPr>
        <w:rPr>
          <w:sz w:val="20"/>
          <w:szCs w:val="20"/>
        </w:rPr>
      </w:pPr>
    </w:p>
    <w:p w14:paraId="4F53ACF5" w14:textId="5541CA93" w:rsidR="00DF6060" w:rsidRPr="004177DD" w:rsidRDefault="002A0201" w:rsidP="00DF6060">
      <w:pPr>
        <w:rPr>
          <w:b/>
          <w:sz w:val="20"/>
          <w:szCs w:val="20"/>
        </w:rPr>
      </w:pPr>
      <w:r>
        <w:rPr>
          <w:b/>
          <w:sz w:val="20"/>
          <w:szCs w:val="20"/>
        </w:rPr>
        <w:t>CONFERENCE CALL</w:t>
      </w:r>
    </w:p>
    <w:p w14:paraId="581F04C0" w14:textId="6A499702" w:rsidR="00DF6060" w:rsidRPr="004177DD" w:rsidRDefault="00DF6060" w:rsidP="004B4389">
      <w:pPr>
        <w:jc w:val="both"/>
        <w:rPr>
          <w:sz w:val="20"/>
          <w:szCs w:val="20"/>
        </w:rPr>
      </w:pPr>
      <w:r w:rsidRPr="004177DD">
        <w:rPr>
          <w:sz w:val="20"/>
          <w:szCs w:val="20"/>
        </w:rPr>
        <w:t xml:space="preserve">A conference call for investors and analysts will be held at 8.30am on </w:t>
      </w:r>
      <w:r w:rsidR="004177DD" w:rsidRPr="004177DD">
        <w:rPr>
          <w:sz w:val="20"/>
          <w:szCs w:val="20"/>
        </w:rPr>
        <w:t xml:space="preserve">27 July </w:t>
      </w:r>
      <w:r w:rsidRPr="004177DD">
        <w:rPr>
          <w:sz w:val="20"/>
          <w:szCs w:val="20"/>
        </w:rPr>
        <w:t>2021.  Registration and dial in details are available at www.greencore.com/investor-relations/</w:t>
      </w:r>
    </w:p>
    <w:p w14:paraId="39061A1C" w14:textId="77777777" w:rsidR="00DF6060" w:rsidRPr="004177DD" w:rsidRDefault="00DF6060" w:rsidP="00DF6060">
      <w:pPr>
        <w:rPr>
          <w:sz w:val="20"/>
          <w:szCs w:val="20"/>
        </w:rPr>
      </w:pPr>
    </w:p>
    <w:p w14:paraId="3A246E47" w14:textId="77777777" w:rsidR="00DF6060" w:rsidRPr="004177DD" w:rsidRDefault="00DF6060" w:rsidP="00DF6060">
      <w:pPr>
        <w:rPr>
          <w:b/>
          <w:sz w:val="20"/>
          <w:szCs w:val="20"/>
        </w:rPr>
      </w:pPr>
      <w:r w:rsidRPr="004177DD">
        <w:rPr>
          <w:b/>
          <w:sz w:val="20"/>
          <w:szCs w:val="20"/>
        </w:rPr>
        <w:t>For further information, please contact:</w:t>
      </w:r>
    </w:p>
    <w:tbl>
      <w:tblPr>
        <w:tblW w:w="8820" w:type="dxa"/>
        <w:jc w:val="center"/>
        <w:tblLayout w:type="fixed"/>
        <w:tblCellMar>
          <w:left w:w="0" w:type="dxa"/>
        </w:tblCellMar>
        <w:tblLook w:val="04A0" w:firstRow="1" w:lastRow="0" w:firstColumn="1" w:lastColumn="0" w:noHBand="0" w:noVBand="1"/>
      </w:tblPr>
      <w:tblGrid>
        <w:gridCol w:w="3402"/>
        <w:gridCol w:w="3119"/>
        <w:gridCol w:w="2299"/>
      </w:tblGrid>
      <w:tr w:rsidR="004177DD" w14:paraId="121BEBCA" w14:textId="77777777" w:rsidTr="00637146">
        <w:trPr>
          <w:jc w:val="center"/>
        </w:trPr>
        <w:tc>
          <w:tcPr>
            <w:tcW w:w="3402" w:type="dxa"/>
            <w:shd w:val="clear" w:color="auto" w:fill="auto"/>
            <w:hideMark/>
          </w:tcPr>
          <w:p w14:paraId="5A25D487"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Patrick Coveney</w:t>
            </w:r>
          </w:p>
        </w:tc>
        <w:tc>
          <w:tcPr>
            <w:tcW w:w="3119" w:type="dxa"/>
            <w:shd w:val="clear" w:color="auto" w:fill="auto"/>
            <w:hideMark/>
          </w:tcPr>
          <w:p w14:paraId="78572192"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Chief Executive Officer</w:t>
            </w:r>
          </w:p>
        </w:tc>
        <w:tc>
          <w:tcPr>
            <w:tcW w:w="2299" w:type="dxa"/>
            <w:shd w:val="clear" w:color="auto" w:fill="auto"/>
            <w:hideMark/>
          </w:tcPr>
          <w:p w14:paraId="41AFD8C6"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Tel: +353 (0) 1 486 3313</w:t>
            </w:r>
          </w:p>
        </w:tc>
      </w:tr>
      <w:tr w:rsidR="004177DD" w14:paraId="089ED6F9" w14:textId="77777777" w:rsidTr="00637146">
        <w:trPr>
          <w:jc w:val="center"/>
        </w:trPr>
        <w:tc>
          <w:tcPr>
            <w:tcW w:w="3402" w:type="dxa"/>
            <w:shd w:val="clear" w:color="auto" w:fill="auto"/>
            <w:hideMark/>
          </w:tcPr>
          <w:p w14:paraId="54315F47"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Emma Hynes</w:t>
            </w:r>
          </w:p>
        </w:tc>
        <w:tc>
          <w:tcPr>
            <w:tcW w:w="3119" w:type="dxa"/>
            <w:shd w:val="clear" w:color="auto" w:fill="auto"/>
            <w:hideMark/>
          </w:tcPr>
          <w:p w14:paraId="0520F7CB"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Chief Financial Officer</w:t>
            </w:r>
          </w:p>
        </w:tc>
        <w:tc>
          <w:tcPr>
            <w:tcW w:w="2299" w:type="dxa"/>
            <w:shd w:val="clear" w:color="auto" w:fill="auto"/>
            <w:hideMark/>
          </w:tcPr>
          <w:p w14:paraId="5CCEE7C8"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Tel: +353 (0) 1 486 3307</w:t>
            </w:r>
          </w:p>
        </w:tc>
      </w:tr>
      <w:tr w:rsidR="004177DD" w14:paraId="2D2925D7" w14:textId="77777777" w:rsidTr="00637146">
        <w:trPr>
          <w:jc w:val="center"/>
        </w:trPr>
        <w:tc>
          <w:tcPr>
            <w:tcW w:w="3402" w:type="dxa"/>
            <w:shd w:val="clear" w:color="auto" w:fill="auto"/>
            <w:hideMark/>
          </w:tcPr>
          <w:p w14:paraId="50A9D6D6"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Jack Gorman</w:t>
            </w:r>
          </w:p>
        </w:tc>
        <w:tc>
          <w:tcPr>
            <w:tcW w:w="3119" w:type="dxa"/>
            <w:shd w:val="clear" w:color="auto" w:fill="auto"/>
            <w:hideMark/>
          </w:tcPr>
          <w:p w14:paraId="1EA3BB6B"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 xml:space="preserve">Head of </w:t>
            </w:r>
            <w:r>
              <w:rPr>
                <w:rFonts w:cs="Arial"/>
                <w:bCs/>
                <w:sz w:val="18"/>
                <w:szCs w:val="18"/>
                <w:lang w:val="en-US"/>
              </w:rPr>
              <w:t>Investor Relations</w:t>
            </w:r>
          </w:p>
        </w:tc>
        <w:tc>
          <w:tcPr>
            <w:tcW w:w="2299" w:type="dxa"/>
            <w:shd w:val="clear" w:color="auto" w:fill="auto"/>
            <w:hideMark/>
          </w:tcPr>
          <w:p w14:paraId="0A59AC06"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Tel: +353 (0) 1 486 3308</w:t>
            </w:r>
          </w:p>
        </w:tc>
      </w:tr>
      <w:tr w:rsidR="004177DD" w14:paraId="674B4C8E" w14:textId="77777777" w:rsidTr="00637146">
        <w:trPr>
          <w:jc w:val="center"/>
        </w:trPr>
        <w:tc>
          <w:tcPr>
            <w:tcW w:w="3402" w:type="dxa"/>
            <w:shd w:val="clear" w:color="auto" w:fill="auto"/>
          </w:tcPr>
          <w:p w14:paraId="1E9D83C5" w14:textId="77777777" w:rsidR="004177DD" w:rsidRPr="00E509A4" w:rsidRDefault="004177DD" w:rsidP="00637146">
            <w:pPr>
              <w:spacing w:after="0" w:line="240" w:lineRule="auto"/>
              <w:jc w:val="both"/>
              <w:rPr>
                <w:rFonts w:cs="Arial"/>
                <w:bCs/>
                <w:sz w:val="18"/>
                <w:szCs w:val="18"/>
                <w:lang w:val="en-US"/>
              </w:rPr>
            </w:pPr>
          </w:p>
        </w:tc>
        <w:tc>
          <w:tcPr>
            <w:tcW w:w="3119" w:type="dxa"/>
            <w:shd w:val="clear" w:color="auto" w:fill="auto"/>
          </w:tcPr>
          <w:p w14:paraId="1BD4EE2A" w14:textId="77777777" w:rsidR="004177DD" w:rsidRPr="00E509A4" w:rsidRDefault="004177DD" w:rsidP="00637146">
            <w:pPr>
              <w:spacing w:after="0" w:line="240" w:lineRule="auto"/>
              <w:jc w:val="both"/>
              <w:rPr>
                <w:rFonts w:cs="Arial"/>
                <w:bCs/>
                <w:sz w:val="18"/>
                <w:szCs w:val="18"/>
                <w:lang w:val="en-US"/>
              </w:rPr>
            </w:pPr>
          </w:p>
        </w:tc>
        <w:tc>
          <w:tcPr>
            <w:tcW w:w="2299" w:type="dxa"/>
            <w:shd w:val="clear" w:color="auto" w:fill="auto"/>
          </w:tcPr>
          <w:p w14:paraId="52C193AE" w14:textId="77777777" w:rsidR="004177DD" w:rsidRPr="00E509A4" w:rsidRDefault="004177DD" w:rsidP="00637146">
            <w:pPr>
              <w:spacing w:after="0" w:line="240" w:lineRule="auto"/>
              <w:jc w:val="both"/>
              <w:rPr>
                <w:rFonts w:cs="Arial"/>
                <w:bCs/>
                <w:sz w:val="18"/>
                <w:szCs w:val="18"/>
                <w:lang w:val="en-US"/>
              </w:rPr>
            </w:pPr>
          </w:p>
        </w:tc>
      </w:tr>
      <w:tr w:rsidR="004177DD" w14:paraId="6CF10769" w14:textId="77777777" w:rsidTr="00637146">
        <w:trPr>
          <w:jc w:val="center"/>
        </w:trPr>
        <w:tc>
          <w:tcPr>
            <w:tcW w:w="3402" w:type="dxa"/>
            <w:shd w:val="clear" w:color="auto" w:fill="auto"/>
            <w:hideMark/>
          </w:tcPr>
          <w:p w14:paraId="4EC4D554" w14:textId="77777777" w:rsidR="004177DD" w:rsidRPr="00E509A4" w:rsidRDefault="004177DD" w:rsidP="00637146">
            <w:pPr>
              <w:spacing w:after="0" w:line="240" w:lineRule="auto"/>
              <w:jc w:val="both"/>
              <w:rPr>
                <w:rFonts w:cs="Arial"/>
                <w:bCs/>
                <w:sz w:val="18"/>
                <w:szCs w:val="18"/>
                <w:lang w:val="en-US"/>
              </w:rPr>
            </w:pPr>
          </w:p>
        </w:tc>
        <w:tc>
          <w:tcPr>
            <w:tcW w:w="3119" w:type="dxa"/>
            <w:shd w:val="clear" w:color="auto" w:fill="auto"/>
            <w:hideMark/>
          </w:tcPr>
          <w:p w14:paraId="7038C703" w14:textId="77777777" w:rsidR="004177DD" w:rsidRPr="00E509A4" w:rsidRDefault="004177DD" w:rsidP="00637146">
            <w:pPr>
              <w:spacing w:after="0" w:line="240" w:lineRule="auto"/>
              <w:jc w:val="both"/>
              <w:rPr>
                <w:rFonts w:cs="Arial"/>
                <w:bCs/>
                <w:sz w:val="18"/>
                <w:szCs w:val="18"/>
                <w:lang w:val="en-US"/>
              </w:rPr>
            </w:pPr>
          </w:p>
        </w:tc>
        <w:tc>
          <w:tcPr>
            <w:tcW w:w="2299" w:type="dxa"/>
            <w:shd w:val="clear" w:color="auto" w:fill="auto"/>
            <w:hideMark/>
          </w:tcPr>
          <w:p w14:paraId="4D37B394" w14:textId="77777777" w:rsidR="004177DD" w:rsidRPr="00E509A4" w:rsidRDefault="004177DD" w:rsidP="00637146">
            <w:pPr>
              <w:spacing w:after="0" w:line="240" w:lineRule="auto"/>
              <w:jc w:val="both"/>
              <w:rPr>
                <w:rFonts w:cs="Arial"/>
                <w:bCs/>
                <w:sz w:val="18"/>
                <w:szCs w:val="18"/>
                <w:lang w:val="en-US"/>
              </w:rPr>
            </w:pPr>
          </w:p>
        </w:tc>
      </w:tr>
      <w:tr w:rsidR="004177DD" w14:paraId="17208879" w14:textId="77777777" w:rsidTr="00637146">
        <w:trPr>
          <w:jc w:val="center"/>
        </w:trPr>
        <w:tc>
          <w:tcPr>
            <w:tcW w:w="3402" w:type="dxa"/>
            <w:shd w:val="clear" w:color="auto" w:fill="auto"/>
            <w:hideMark/>
          </w:tcPr>
          <w:p w14:paraId="75B62E65"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Rob Greening</w:t>
            </w:r>
            <w:r>
              <w:rPr>
                <w:rFonts w:cs="Arial"/>
                <w:bCs/>
                <w:sz w:val="18"/>
                <w:szCs w:val="18"/>
                <w:lang w:val="en-US"/>
              </w:rPr>
              <w:t>/ Nick Hayns/</w:t>
            </w:r>
            <w:r w:rsidRPr="00E509A4">
              <w:rPr>
                <w:rFonts w:cs="Arial"/>
                <w:bCs/>
                <w:sz w:val="18"/>
                <w:szCs w:val="18"/>
                <w:lang w:val="en-US"/>
              </w:rPr>
              <w:t xml:space="preserve"> Sam Austrums</w:t>
            </w:r>
          </w:p>
        </w:tc>
        <w:tc>
          <w:tcPr>
            <w:tcW w:w="3119" w:type="dxa"/>
            <w:shd w:val="clear" w:color="auto" w:fill="auto"/>
            <w:hideMark/>
          </w:tcPr>
          <w:p w14:paraId="691EBE38"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Powerscourt</w:t>
            </w:r>
          </w:p>
        </w:tc>
        <w:tc>
          <w:tcPr>
            <w:tcW w:w="2299" w:type="dxa"/>
            <w:shd w:val="clear" w:color="auto" w:fill="auto"/>
            <w:hideMark/>
          </w:tcPr>
          <w:p w14:paraId="5B7448FA"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Tel: +44 (0) 20 7250 1446</w:t>
            </w:r>
          </w:p>
        </w:tc>
      </w:tr>
      <w:tr w:rsidR="004177DD" w14:paraId="4A945287" w14:textId="77777777" w:rsidTr="00637146">
        <w:trPr>
          <w:jc w:val="center"/>
        </w:trPr>
        <w:tc>
          <w:tcPr>
            <w:tcW w:w="3402" w:type="dxa"/>
            <w:shd w:val="clear" w:color="auto" w:fill="auto"/>
            <w:hideMark/>
          </w:tcPr>
          <w:p w14:paraId="562041C7"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Billy Murphy or Louise Walsh</w:t>
            </w:r>
          </w:p>
        </w:tc>
        <w:tc>
          <w:tcPr>
            <w:tcW w:w="3119" w:type="dxa"/>
            <w:shd w:val="clear" w:color="auto" w:fill="auto"/>
            <w:hideMark/>
          </w:tcPr>
          <w:p w14:paraId="2E88557F"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 xml:space="preserve">Drury </w:t>
            </w:r>
            <w:r>
              <w:rPr>
                <w:rFonts w:cs="Arial"/>
                <w:bCs/>
                <w:sz w:val="18"/>
                <w:szCs w:val="18"/>
                <w:lang w:val="en-US"/>
              </w:rPr>
              <w:t>Communications</w:t>
            </w:r>
          </w:p>
        </w:tc>
        <w:tc>
          <w:tcPr>
            <w:tcW w:w="2299" w:type="dxa"/>
            <w:shd w:val="clear" w:color="auto" w:fill="auto"/>
            <w:hideMark/>
          </w:tcPr>
          <w:p w14:paraId="3F44B9AF" w14:textId="77777777" w:rsidR="004177DD" w:rsidRPr="00E509A4" w:rsidRDefault="004177DD" w:rsidP="00637146">
            <w:pPr>
              <w:spacing w:after="0" w:line="240" w:lineRule="auto"/>
              <w:jc w:val="both"/>
              <w:rPr>
                <w:rFonts w:cs="Arial"/>
                <w:bCs/>
                <w:sz w:val="18"/>
                <w:szCs w:val="18"/>
                <w:lang w:val="en-US"/>
              </w:rPr>
            </w:pPr>
            <w:r w:rsidRPr="00E509A4">
              <w:rPr>
                <w:rFonts w:cs="Arial"/>
                <w:bCs/>
                <w:sz w:val="18"/>
                <w:szCs w:val="18"/>
                <w:lang w:val="en-US"/>
              </w:rPr>
              <w:t>Tel: +353 (0) 1 260 5000</w:t>
            </w:r>
          </w:p>
        </w:tc>
      </w:tr>
    </w:tbl>
    <w:p w14:paraId="1265A5F6" w14:textId="77777777" w:rsidR="00DF6060" w:rsidRDefault="00DF6060" w:rsidP="00DF6060"/>
    <w:p w14:paraId="609C7B53" w14:textId="77777777" w:rsidR="00DF6060" w:rsidRPr="004177DD" w:rsidRDefault="00DF6060" w:rsidP="00DF6060">
      <w:pPr>
        <w:rPr>
          <w:b/>
          <w:sz w:val="20"/>
          <w:szCs w:val="20"/>
        </w:rPr>
      </w:pPr>
      <w:r w:rsidRPr="004177DD">
        <w:rPr>
          <w:b/>
          <w:sz w:val="20"/>
          <w:szCs w:val="20"/>
        </w:rPr>
        <w:t xml:space="preserve">About Greencore </w:t>
      </w:r>
    </w:p>
    <w:p w14:paraId="205CBE40" w14:textId="77777777" w:rsidR="00A60C52" w:rsidRPr="00A60C52" w:rsidRDefault="00A60C52" w:rsidP="00A60C52">
      <w:pPr>
        <w:jc w:val="both"/>
        <w:rPr>
          <w:sz w:val="20"/>
          <w:szCs w:val="20"/>
        </w:rPr>
      </w:pPr>
      <w:r w:rsidRPr="00A60C52">
        <w:rPr>
          <w:sz w:val="20"/>
          <w:szCs w:val="20"/>
        </w:rPr>
        <w:t xml:space="preserve">We are a leading manufacturer of convenience food in the UK and our purpose is to make every day taste better. We supply foodservice, grocery and other retailers, including all of the major UK supermarkets. We have strong market positions in a range of categories including sandwiches, salads, sushi, chilled ready meals, chilled soups and sauces, chilled quiche, ambient sauces and pickles, and frozen Yorkshire Puddings. </w:t>
      </w:r>
    </w:p>
    <w:p w14:paraId="64F899DE" w14:textId="77777777" w:rsidR="00A60C52" w:rsidRPr="00A60C52" w:rsidRDefault="00A60C52" w:rsidP="00A60C52">
      <w:pPr>
        <w:jc w:val="both"/>
        <w:rPr>
          <w:sz w:val="20"/>
          <w:szCs w:val="20"/>
        </w:rPr>
      </w:pPr>
      <w:r w:rsidRPr="00A60C52">
        <w:rPr>
          <w:sz w:val="20"/>
          <w:szCs w:val="20"/>
        </w:rPr>
        <w:t>In FY20 we manufactured 619m sandwiches and other food to go products, 116m chilled prepared meals, and 264m bottles of cooking sauces, pickles and condiments. We carry out more than 10,000 direct to store deliveries each day. We have 16 world-class manufacturing sites in the UK, with industry-leading technology and supply chain capabilities. We generated revenues of £1.3bn in FY20 and employ approximately 12,200 people. We are headquartered in Dublin, Ireland.</w:t>
      </w:r>
    </w:p>
    <w:p w14:paraId="21C6668E" w14:textId="4E7FBA47" w:rsidR="00DF6060" w:rsidRPr="004177DD" w:rsidRDefault="00A60C52" w:rsidP="00536CE5">
      <w:pPr>
        <w:jc w:val="both"/>
        <w:rPr>
          <w:sz w:val="20"/>
          <w:szCs w:val="20"/>
        </w:rPr>
      </w:pPr>
      <w:r w:rsidRPr="00A60C52">
        <w:rPr>
          <w:sz w:val="20"/>
          <w:szCs w:val="20"/>
        </w:rPr>
        <w:t>For further information go to www.greencore.com or follow Greencore on social media.</w:t>
      </w:r>
    </w:p>
    <w:p w14:paraId="53591AAB" w14:textId="5E183DD8" w:rsidR="00DF6060" w:rsidRPr="00052F8D" w:rsidRDefault="00DF6060" w:rsidP="00DF6060">
      <w:pPr>
        <w:rPr>
          <w:sz w:val="20"/>
          <w:szCs w:val="20"/>
        </w:rPr>
      </w:pPr>
      <w:bookmarkStart w:id="4" w:name="_Hlk75958548"/>
      <w:r w:rsidRPr="00052F8D">
        <w:rPr>
          <w:sz w:val="20"/>
          <w:szCs w:val="20"/>
        </w:rPr>
        <w:lastRenderedPageBreak/>
        <w:t>This announcement is based on information sourced from unaudited management accounts.</w:t>
      </w:r>
    </w:p>
    <w:p w14:paraId="1C60FE18" w14:textId="77777777" w:rsidR="00DF6060" w:rsidRPr="00052F8D" w:rsidRDefault="00DF6060" w:rsidP="00DF6060">
      <w:pPr>
        <w:jc w:val="both"/>
        <w:rPr>
          <w:sz w:val="20"/>
          <w:szCs w:val="20"/>
        </w:rPr>
      </w:pPr>
      <w:r w:rsidRPr="00052F8D">
        <w:rPr>
          <w:sz w:val="20"/>
          <w:szCs w:val="20"/>
        </w:rPr>
        <w:t xml:space="preserve">Certain statements made in this Trading Update are forward‐looking. These represent expectations for the Group’s business, and involve known and unknown risks and uncertainties, many of which are beyond the Group’s control. The Group has based these forward‐looking statements on current expectations and projections about future events. These forward-looking statements may generally, but not always, be identified by the use of words such as ‘will’, ‘aims’, ‘anticipates’, ‘continue’, ‘could’, ‘should’, ‘expects’, ‘is expected to’, ‘may’, ‘estimates’, ‘believes’, ‘intends’, ‘projects’, ‘targets’, or the negative thereof, or similar expressions. </w:t>
      </w:r>
    </w:p>
    <w:p w14:paraId="5000AEBE" w14:textId="630964D4" w:rsidR="00DF6060" w:rsidRPr="004177DD" w:rsidRDefault="00DF6060" w:rsidP="00DF6060">
      <w:pPr>
        <w:jc w:val="both"/>
        <w:rPr>
          <w:sz w:val="20"/>
          <w:szCs w:val="20"/>
        </w:rPr>
      </w:pPr>
      <w:r w:rsidRPr="00052F8D">
        <w:rPr>
          <w:sz w:val="20"/>
          <w:szCs w:val="20"/>
        </w:rPr>
        <w:t>By their nature, forward-looking statements involve risk and uncertainty because they relate to events and depend on circumstances that may or may not occur in the future and reflect the Group's current expectations and assumptions as to such future events and circumstances that may not prove accurate. A number of material factors could cause actual results and developments to differ materially from those expressed or implied by forward-looking statements. You should not place undue reliance on any forward-looking statements. These forward-looking statements are made as of the date of this Trading Update. The Group expressly disclaims any obligation to publicly update or review these forward-looking statements other than as required by law.</w:t>
      </w:r>
    </w:p>
    <w:bookmarkEnd w:id="4"/>
    <w:p w14:paraId="453C8890" w14:textId="77777777" w:rsidR="00DF6060" w:rsidRPr="004177DD" w:rsidRDefault="00DF6060" w:rsidP="00DF6060">
      <w:pPr>
        <w:rPr>
          <w:sz w:val="20"/>
          <w:szCs w:val="20"/>
        </w:rPr>
      </w:pPr>
    </w:p>
    <w:p w14:paraId="14318119" w14:textId="77777777" w:rsidR="00DF6060" w:rsidRDefault="00DF6060"/>
    <w:sectPr w:rsidR="00DF606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B6095" w14:textId="77777777" w:rsidR="00E60CA7" w:rsidRDefault="00E60CA7" w:rsidP="007824F0">
      <w:pPr>
        <w:spacing w:after="0" w:line="240" w:lineRule="auto"/>
      </w:pPr>
      <w:r>
        <w:separator/>
      </w:r>
    </w:p>
  </w:endnote>
  <w:endnote w:type="continuationSeparator" w:id="0">
    <w:p w14:paraId="3F495DA2" w14:textId="77777777" w:rsidR="00E60CA7" w:rsidRDefault="00E60CA7" w:rsidP="0078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AB004" w14:textId="77777777" w:rsidR="007824F0" w:rsidRDefault="00782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FEDF4" w14:textId="77777777" w:rsidR="007824F0" w:rsidRDefault="00782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062B3" w14:textId="77777777" w:rsidR="007824F0" w:rsidRDefault="00782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694FD" w14:textId="77777777" w:rsidR="00E60CA7" w:rsidRDefault="00E60CA7" w:rsidP="007824F0">
      <w:pPr>
        <w:spacing w:after="0" w:line="240" w:lineRule="auto"/>
      </w:pPr>
      <w:r>
        <w:separator/>
      </w:r>
    </w:p>
  </w:footnote>
  <w:footnote w:type="continuationSeparator" w:id="0">
    <w:p w14:paraId="123AF532" w14:textId="77777777" w:rsidR="00E60CA7" w:rsidRDefault="00E60CA7" w:rsidP="0078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9D884" w14:textId="428C6D12" w:rsidR="007824F0" w:rsidRDefault="00782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FA858" w14:textId="204113FF" w:rsidR="007824F0" w:rsidRDefault="00782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3431F" w14:textId="6EBC22B5" w:rsidR="007824F0" w:rsidRDefault="0078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B30E0"/>
    <w:multiLevelType w:val="hybridMultilevel"/>
    <w:tmpl w:val="878A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60"/>
    <w:rsid w:val="00015545"/>
    <w:rsid w:val="000306B8"/>
    <w:rsid w:val="00045D7F"/>
    <w:rsid w:val="00052F8D"/>
    <w:rsid w:val="00080BE8"/>
    <w:rsid w:val="0016002E"/>
    <w:rsid w:val="0016731E"/>
    <w:rsid w:val="001A09D7"/>
    <w:rsid w:val="001B31C2"/>
    <w:rsid w:val="001E0443"/>
    <w:rsid w:val="001F6F28"/>
    <w:rsid w:val="002222B3"/>
    <w:rsid w:val="00247C8B"/>
    <w:rsid w:val="00274AF9"/>
    <w:rsid w:val="002A0201"/>
    <w:rsid w:val="002B0141"/>
    <w:rsid w:val="00320275"/>
    <w:rsid w:val="003314D2"/>
    <w:rsid w:val="003335F9"/>
    <w:rsid w:val="003554C7"/>
    <w:rsid w:val="00362068"/>
    <w:rsid w:val="00391E80"/>
    <w:rsid w:val="003A0D6B"/>
    <w:rsid w:val="003B78FE"/>
    <w:rsid w:val="003C2847"/>
    <w:rsid w:val="003C567E"/>
    <w:rsid w:val="003D643D"/>
    <w:rsid w:val="004177DD"/>
    <w:rsid w:val="0043328B"/>
    <w:rsid w:val="00466ABE"/>
    <w:rsid w:val="004968A2"/>
    <w:rsid w:val="004B4389"/>
    <w:rsid w:val="004B4AE2"/>
    <w:rsid w:val="004B6477"/>
    <w:rsid w:val="004B7B3F"/>
    <w:rsid w:val="004E11C4"/>
    <w:rsid w:val="004F08FC"/>
    <w:rsid w:val="00536CE5"/>
    <w:rsid w:val="00562D35"/>
    <w:rsid w:val="00582DFB"/>
    <w:rsid w:val="005A5A6E"/>
    <w:rsid w:val="005C26D4"/>
    <w:rsid w:val="006148FE"/>
    <w:rsid w:val="00615E47"/>
    <w:rsid w:val="0063011F"/>
    <w:rsid w:val="00653286"/>
    <w:rsid w:val="00663424"/>
    <w:rsid w:val="00692BE0"/>
    <w:rsid w:val="00697171"/>
    <w:rsid w:val="006B2356"/>
    <w:rsid w:val="006B56A8"/>
    <w:rsid w:val="006C2449"/>
    <w:rsid w:val="006F6DC9"/>
    <w:rsid w:val="00704BCA"/>
    <w:rsid w:val="007608D1"/>
    <w:rsid w:val="007824F0"/>
    <w:rsid w:val="00800141"/>
    <w:rsid w:val="008E1E9B"/>
    <w:rsid w:val="00913883"/>
    <w:rsid w:val="00951741"/>
    <w:rsid w:val="00973D3F"/>
    <w:rsid w:val="009B0716"/>
    <w:rsid w:val="009B421C"/>
    <w:rsid w:val="009E04B3"/>
    <w:rsid w:val="00A00EA7"/>
    <w:rsid w:val="00A16FBB"/>
    <w:rsid w:val="00A27316"/>
    <w:rsid w:val="00A60C52"/>
    <w:rsid w:val="00A90371"/>
    <w:rsid w:val="00AB7787"/>
    <w:rsid w:val="00AC3244"/>
    <w:rsid w:val="00AE71EA"/>
    <w:rsid w:val="00B012AB"/>
    <w:rsid w:val="00B1328B"/>
    <w:rsid w:val="00B21A04"/>
    <w:rsid w:val="00B25ABA"/>
    <w:rsid w:val="00B307D7"/>
    <w:rsid w:val="00B40AF8"/>
    <w:rsid w:val="00B57783"/>
    <w:rsid w:val="00B60A0E"/>
    <w:rsid w:val="00B62D70"/>
    <w:rsid w:val="00B83B04"/>
    <w:rsid w:val="00B8799D"/>
    <w:rsid w:val="00BC2183"/>
    <w:rsid w:val="00BC6D8D"/>
    <w:rsid w:val="00BC6E95"/>
    <w:rsid w:val="00BE3EAF"/>
    <w:rsid w:val="00BF5032"/>
    <w:rsid w:val="00C1529A"/>
    <w:rsid w:val="00C219C7"/>
    <w:rsid w:val="00C25728"/>
    <w:rsid w:val="00C825DB"/>
    <w:rsid w:val="00C8679D"/>
    <w:rsid w:val="00C90816"/>
    <w:rsid w:val="00CD13AC"/>
    <w:rsid w:val="00D0092F"/>
    <w:rsid w:val="00D35213"/>
    <w:rsid w:val="00D525B0"/>
    <w:rsid w:val="00D575B6"/>
    <w:rsid w:val="00D65B1C"/>
    <w:rsid w:val="00D8031E"/>
    <w:rsid w:val="00D816D1"/>
    <w:rsid w:val="00DA28D7"/>
    <w:rsid w:val="00DB13ED"/>
    <w:rsid w:val="00DC4E56"/>
    <w:rsid w:val="00DF2EC5"/>
    <w:rsid w:val="00DF4768"/>
    <w:rsid w:val="00DF6060"/>
    <w:rsid w:val="00E60CA7"/>
    <w:rsid w:val="00E6141C"/>
    <w:rsid w:val="00E81EDD"/>
    <w:rsid w:val="00E86108"/>
    <w:rsid w:val="00EA1BD3"/>
    <w:rsid w:val="00EA2DC7"/>
    <w:rsid w:val="00EA6378"/>
    <w:rsid w:val="00EB5C47"/>
    <w:rsid w:val="00ED2E8D"/>
    <w:rsid w:val="00ED6035"/>
    <w:rsid w:val="00EF6848"/>
    <w:rsid w:val="00EF75FA"/>
    <w:rsid w:val="00F105EC"/>
    <w:rsid w:val="00F11118"/>
    <w:rsid w:val="00F36E42"/>
    <w:rsid w:val="00F72C8C"/>
    <w:rsid w:val="00F80078"/>
    <w:rsid w:val="00F80C57"/>
    <w:rsid w:val="00F83316"/>
    <w:rsid w:val="00FB3302"/>
    <w:rsid w:val="00FB706B"/>
    <w:rsid w:val="00FD3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4D62A5"/>
  <w15:chartTrackingRefBased/>
  <w15:docId w15:val="{B63C90E2-D574-4D21-8375-17FBA77D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F6060"/>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paragraph" w:styleId="ListParagraph">
    <w:name w:val="List Paragraph"/>
    <w:basedOn w:val="Normal"/>
    <w:uiPriority w:val="34"/>
    <w:qFormat/>
    <w:rsid w:val="00DF6060"/>
    <w:pPr>
      <w:ind w:left="720"/>
      <w:contextualSpacing/>
    </w:pPr>
  </w:style>
  <w:style w:type="paragraph" w:styleId="Header">
    <w:name w:val="header"/>
    <w:basedOn w:val="Normal"/>
    <w:link w:val="HeaderChar"/>
    <w:uiPriority w:val="99"/>
    <w:unhideWhenUsed/>
    <w:rsid w:val="00782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4F0"/>
  </w:style>
  <w:style w:type="paragraph" w:styleId="Footer">
    <w:name w:val="footer"/>
    <w:basedOn w:val="Normal"/>
    <w:link w:val="FooterChar"/>
    <w:uiPriority w:val="99"/>
    <w:unhideWhenUsed/>
    <w:rsid w:val="00782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4F0"/>
  </w:style>
  <w:style w:type="character" w:styleId="CommentReference">
    <w:name w:val="annotation reference"/>
    <w:basedOn w:val="DefaultParagraphFont"/>
    <w:uiPriority w:val="99"/>
    <w:semiHidden/>
    <w:unhideWhenUsed/>
    <w:rsid w:val="002B0141"/>
    <w:rPr>
      <w:sz w:val="16"/>
      <w:szCs w:val="16"/>
    </w:rPr>
  </w:style>
  <w:style w:type="paragraph" w:styleId="CommentText">
    <w:name w:val="annotation text"/>
    <w:basedOn w:val="Normal"/>
    <w:link w:val="CommentTextChar"/>
    <w:uiPriority w:val="99"/>
    <w:semiHidden/>
    <w:unhideWhenUsed/>
    <w:rsid w:val="002B0141"/>
    <w:pPr>
      <w:spacing w:line="240" w:lineRule="auto"/>
    </w:pPr>
    <w:rPr>
      <w:sz w:val="20"/>
      <w:szCs w:val="20"/>
    </w:rPr>
  </w:style>
  <w:style w:type="character" w:customStyle="1" w:styleId="CommentTextChar">
    <w:name w:val="Comment Text Char"/>
    <w:basedOn w:val="DefaultParagraphFont"/>
    <w:link w:val="CommentText"/>
    <w:uiPriority w:val="99"/>
    <w:semiHidden/>
    <w:rsid w:val="002B0141"/>
    <w:rPr>
      <w:sz w:val="20"/>
      <w:szCs w:val="20"/>
    </w:rPr>
  </w:style>
  <w:style w:type="paragraph" w:styleId="CommentSubject">
    <w:name w:val="annotation subject"/>
    <w:basedOn w:val="CommentText"/>
    <w:next w:val="CommentText"/>
    <w:link w:val="CommentSubjectChar"/>
    <w:uiPriority w:val="99"/>
    <w:semiHidden/>
    <w:unhideWhenUsed/>
    <w:rsid w:val="002B0141"/>
    <w:rPr>
      <w:b/>
      <w:bCs/>
    </w:rPr>
  </w:style>
  <w:style w:type="character" w:customStyle="1" w:styleId="CommentSubjectChar">
    <w:name w:val="Comment Subject Char"/>
    <w:basedOn w:val="CommentTextChar"/>
    <w:link w:val="CommentSubject"/>
    <w:uiPriority w:val="99"/>
    <w:semiHidden/>
    <w:rsid w:val="002B0141"/>
    <w:rPr>
      <w:b/>
      <w:bCs/>
      <w:sz w:val="20"/>
      <w:szCs w:val="20"/>
    </w:rPr>
  </w:style>
  <w:style w:type="paragraph" w:styleId="BalloonText">
    <w:name w:val="Balloon Text"/>
    <w:basedOn w:val="Normal"/>
    <w:link w:val="BalloonTextChar"/>
    <w:uiPriority w:val="99"/>
    <w:semiHidden/>
    <w:unhideWhenUsed/>
    <w:rsid w:val="002B0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141"/>
    <w:rPr>
      <w:rFonts w:ascii="Segoe UI" w:hAnsi="Segoe UI" w:cs="Segoe UI"/>
      <w:sz w:val="18"/>
      <w:szCs w:val="18"/>
    </w:rPr>
  </w:style>
  <w:style w:type="character" w:styleId="Hyperlink">
    <w:name w:val="Hyperlink"/>
    <w:basedOn w:val="DefaultParagraphFont"/>
    <w:uiPriority w:val="99"/>
    <w:semiHidden/>
    <w:unhideWhenUsed/>
    <w:rsid w:val="00653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620FA-2A89-446F-B203-D2E7995E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Gorman</dc:creator>
  <cp:keywords/>
  <dc:description/>
  <cp:lastModifiedBy>Natasha Short</cp:lastModifiedBy>
  <cp:revision>3</cp:revision>
  <cp:lastPrinted>2021-07-21T08:36:00Z</cp:lastPrinted>
  <dcterms:created xsi:type="dcterms:W3CDTF">2021-07-26T16:41:00Z</dcterms:created>
  <dcterms:modified xsi:type="dcterms:W3CDTF">2021-07-26T17:44:00Z</dcterms:modified>
</cp:coreProperties>
</file>