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44D51" w14:textId="77777777" w:rsidR="00DE46EC" w:rsidRPr="009F683F" w:rsidRDefault="00DE46EC" w:rsidP="00DE46EC">
      <w:pPr>
        <w:rPr>
          <w:rFonts w:asciiTheme="minorHAnsi" w:hAnsiTheme="minorHAnsi" w:cstheme="minorHAnsi"/>
          <w:bCs/>
          <w:lang w:val="en-GB" w:eastAsia="en-US"/>
        </w:rPr>
      </w:pPr>
      <w:r w:rsidRPr="009F683F">
        <w:rPr>
          <w:rFonts w:asciiTheme="minorHAnsi" w:hAnsiTheme="minorHAnsi" w:cstheme="minorHAnsi"/>
          <w:bCs/>
          <w:lang w:val="en-GB" w:eastAsia="en-US"/>
        </w:rPr>
        <w:t>26 January 2021</w:t>
      </w:r>
    </w:p>
    <w:p w14:paraId="35A9D623" w14:textId="77777777" w:rsidR="004E4BC5" w:rsidRPr="00902698" w:rsidRDefault="004E4BC5" w:rsidP="00902698">
      <w:pPr>
        <w:autoSpaceDE w:val="0"/>
        <w:autoSpaceDN w:val="0"/>
        <w:jc w:val="center"/>
        <w:rPr>
          <w:rFonts w:asciiTheme="minorHAnsi" w:hAnsiTheme="minorHAnsi" w:cstheme="minorHAnsi"/>
          <w:b/>
          <w:bCs/>
          <w:lang w:val="en-GB" w:eastAsia="en-US"/>
        </w:rPr>
      </w:pPr>
    </w:p>
    <w:p w14:paraId="4F88BE47" w14:textId="77777777" w:rsidR="004E4BC5" w:rsidRPr="00902698" w:rsidRDefault="004E4BC5" w:rsidP="00902698">
      <w:pPr>
        <w:autoSpaceDE w:val="0"/>
        <w:autoSpaceDN w:val="0"/>
        <w:jc w:val="center"/>
        <w:rPr>
          <w:rFonts w:asciiTheme="minorHAnsi" w:hAnsiTheme="minorHAnsi" w:cstheme="minorHAnsi"/>
          <w:b/>
          <w:bCs/>
          <w:lang w:val="en-GB" w:eastAsia="en-US"/>
        </w:rPr>
      </w:pPr>
      <w:r w:rsidRPr="00902698">
        <w:rPr>
          <w:rFonts w:asciiTheme="minorHAnsi" w:hAnsiTheme="minorHAnsi" w:cstheme="minorHAnsi"/>
          <w:b/>
          <w:bCs/>
          <w:lang w:val="en-GB" w:eastAsia="en-US"/>
        </w:rPr>
        <w:t>GREENCORE GROUP PLC</w:t>
      </w:r>
    </w:p>
    <w:p w14:paraId="4BF88129" w14:textId="77777777" w:rsidR="004E4BC5" w:rsidRPr="00902698" w:rsidRDefault="004E4BC5" w:rsidP="00902698">
      <w:pPr>
        <w:autoSpaceDE w:val="0"/>
        <w:autoSpaceDN w:val="0"/>
        <w:jc w:val="center"/>
        <w:rPr>
          <w:rFonts w:asciiTheme="minorHAnsi" w:hAnsiTheme="minorHAnsi" w:cstheme="minorHAnsi"/>
          <w:b/>
          <w:bCs/>
          <w:lang w:val="en-GB" w:eastAsia="en-US"/>
        </w:rPr>
      </w:pPr>
    </w:p>
    <w:p w14:paraId="177FD3CB" w14:textId="7732A5E3" w:rsidR="004E4BC5" w:rsidRPr="00902698" w:rsidRDefault="004E4BC5" w:rsidP="00902698">
      <w:pPr>
        <w:autoSpaceDE w:val="0"/>
        <w:autoSpaceDN w:val="0"/>
        <w:jc w:val="center"/>
        <w:rPr>
          <w:rFonts w:asciiTheme="minorHAnsi" w:hAnsiTheme="minorHAnsi" w:cstheme="minorHAnsi"/>
          <w:b/>
          <w:bCs/>
          <w:lang w:val="en-GB" w:eastAsia="en-US"/>
        </w:rPr>
      </w:pPr>
      <w:r w:rsidRPr="00902698">
        <w:rPr>
          <w:rFonts w:asciiTheme="minorHAnsi" w:hAnsiTheme="minorHAnsi" w:cstheme="minorHAnsi"/>
          <w:b/>
          <w:bCs/>
          <w:lang w:val="en-GB" w:eastAsia="en-US"/>
        </w:rPr>
        <w:t>Results of Extraordinary General Meeting</w:t>
      </w:r>
    </w:p>
    <w:p w14:paraId="3DB230C7" w14:textId="77777777" w:rsidR="004E4BC5" w:rsidRPr="00902698" w:rsidRDefault="004E4BC5" w:rsidP="00902698">
      <w:pPr>
        <w:rPr>
          <w:rFonts w:asciiTheme="minorHAnsi" w:hAnsiTheme="minorHAnsi" w:cstheme="minorHAnsi"/>
          <w:lang w:val="en-GB" w:eastAsia="en-US"/>
        </w:rPr>
      </w:pPr>
    </w:p>
    <w:p w14:paraId="78062A11" w14:textId="35678A01" w:rsidR="004E4BC5" w:rsidRPr="00902698" w:rsidRDefault="004E4BC5" w:rsidP="00902698">
      <w:pPr>
        <w:rPr>
          <w:rFonts w:asciiTheme="minorHAnsi" w:hAnsiTheme="minorHAnsi" w:cstheme="minorHAnsi"/>
        </w:rPr>
      </w:pPr>
      <w:r w:rsidRPr="00902698">
        <w:rPr>
          <w:rFonts w:asciiTheme="minorHAnsi" w:hAnsiTheme="minorHAnsi" w:cstheme="minorHAnsi"/>
        </w:rPr>
        <w:t xml:space="preserve">Greencore Group plc (the </w:t>
      </w:r>
      <w:r w:rsidR="00902698" w:rsidRPr="00902698">
        <w:rPr>
          <w:rFonts w:asciiTheme="minorHAnsi" w:hAnsiTheme="minorHAnsi" w:cstheme="minorHAnsi"/>
        </w:rPr>
        <w:t>“</w:t>
      </w:r>
      <w:r w:rsidRPr="00902698">
        <w:rPr>
          <w:rFonts w:asciiTheme="minorHAnsi" w:hAnsiTheme="minorHAnsi" w:cstheme="minorHAnsi"/>
          <w:b/>
        </w:rPr>
        <w:t>Company</w:t>
      </w:r>
      <w:r w:rsidR="00902698" w:rsidRPr="00902698">
        <w:rPr>
          <w:rFonts w:asciiTheme="minorHAnsi" w:hAnsiTheme="minorHAnsi" w:cstheme="minorHAnsi"/>
        </w:rPr>
        <w:t>”</w:t>
      </w:r>
      <w:r w:rsidRPr="00902698">
        <w:rPr>
          <w:rFonts w:asciiTheme="minorHAnsi" w:hAnsiTheme="minorHAnsi" w:cstheme="minorHAnsi"/>
        </w:rPr>
        <w:t>) announces that each resolution proposed at the Extraordinary General Meeting (</w:t>
      </w:r>
      <w:r w:rsidR="00902698" w:rsidRPr="00902698">
        <w:rPr>
          <w:rFonts w:asciiTheme="minorHAnsi" w:hAnsiTheme="minorHAnsi" w:cstheme="minorHAnsi"/>
        </w:rPr>
        <w:t>“</w:t>
      </w:r>
      <w:r w:rsidRPr="00902698">
        <w:rPr>
          <w:rFonts w:asciiTheme="minorHAnsi" w:hAnsiTheme="minorHAnsi" w:cstheme="minorHAnsi"/>
          <w:b/>
          <w:bCs/>
        </w:rPr>
        <w:t>EGM</w:t>
      </w:r>
      <w:r w:rsidR="00902698" w:rsidRPr="00902698">
        <w:rPr>
          <w:rFonts w:asciiTheme="minorHAnsi" w:hAnsiTheme="minorHAnsi" w:cstheme="minorHAnsi"/>
        </w:rPr>
        <w:t>”</w:t>
      </w:r>
      <w:r w:rsidRPr="00902698">
        <w:rPr>
          <w:rFonts w:asciiTheme="minorHAnsi" w:hAnsiTheme="minorHAnsi" w:cstheme="minorHAnsi"/>
        </w:rPr>
        <w:t xml:space="preserve">) of the Company held today, Tuesday 26 January 2021, was passed. </w:t>
      </w:r>
    </w:p>
    <w:p w14:paraId="5BECAD3B" w14:textId="77777777" w:rsidR="004E4BC5" w:rsidRPr="00902698" w:rsidRDefault="004E4BC5" w:rsidP="00902698">
      <w:pPr>
        <w:rPr>
          <w:rFonts w:asciiTheme="minorHAnsi" w:hAnsiTheme="minorHAnsi" w:cstheme="minorHAnsi"/>
        </w:rPr>
      </w:pPr>
    </w:p>
    <w:p w14:paraId="21BE9DFB" w14:textId="13731475" w:rsidR="004E4BC5" w:rsidRPr="00902698" w:rsidRDefault="004E4BC5" w:rsidP="00902698">
      <w:pPr>
        <w:rPr>
          <w:rFonts w:asciiTheme="minorHAnsi" w:hAnsiTheme="minorHAnsi" w:cstheme="minorHAnsi"/>
        </w:rPr>
      </w:pPr>
      <w:r w:rsidRPr="00902698">
        <w:rPr>
          <w:rFonts w:asciiTheme="minorHAnsi" w:hAnsiTheme="minorHAnsi" w:cstheme="minorHAnsi"/>
        </w:rPr>
        <w:t xml:space="preserve">The full text of each resolution was included in the Notice of the Extraordinary General Meeting of the Company contained in the circular published by the Company on 21 December 2020 (the </w:t>
      </w:r>
      <w:r w:rsidR="00902698" w:rsidRPr="00902698">
        <w:rPr>
          <w:rFonts w:asciiTheme="minorHAnsi" w:hAnsiTheme="minorHAnsi" w:cstheme="minorHAnsi"/>
        </w:rPr>
        <w:t>“</w:t>
      </w:r>
      <w:r w:rsidRPr="00902698">
        <w:rPr>
          <w:rFonts w:asciiTheme="minorHAnsi" w:hAnsiTheme="minorHAnsi" w:cstheme="minorHAnsi"/>
          <w:b/>
        </w:rPr>
        <w:t>Circular</w:t>
      </w:r>
      <w:r w:rsidR="00902698" w:rsidRPr="00902698">
        <w:rPr>
          <w:rFonts w:asciiTheme="minorHAnsi" w:hAnsiTheme="minorHAnsi" w:cstheme="minorHAnsi"/>
        </w:rPr>
        <w:t>”</w:t>
      </w:r>
      <w:r w:rsidRPr="00902698">
        <w:rPr>
          <w:rFonts w:asciiTheme="minorHAnsi" w:hAnsiTheme="minorHAnsi" w:cstheme="minorHAnsi"/>
        </w:rPr>
        <w:t>) and made available on the Company’s website</w:t>
      </w:r>
      <w:r w:rsidR="00EA0CB3">
        <w:rPr>
          <w:rFonts w:asciiTheme="minorHAnsi" w:hAnsiTheme="minorHAnsi" w:cstheme="minorHAnsi"/>
        </w:rPr>
        <w:t>,</w:t>
      </w:r>
      <w:r w:rsidRPr="00902698">
        <w:rPr>
          <w:rFonts w:asciiTheme="minorHAnsi" w:hAnsiTheme="minorHAnsi" w:cstheme="minorHAnsi"/>
        </w:rPr>
        <w:t xml:space="preserve"> </w:t>
      </w:r>
      <w:hyperlink r:id="rId7" w:history="1">
        <w:r w:rsidRPr="00902698">
          <w:rPr>
            <w:rStyle w:val="Hyperlink"/>
            <w:rFonts w:asciiTheme="minorHAnsi" w:hAnsiTheme="minorHAnsi" w:cstheme="minorHAnsi"/>
          </w:rPr>
          <w:t>www.greencore.com</w:t>
        </w:r>
      </w:hyperlink>
      <w:r w:rsidRPr="00902698">
        <w:rPr>
          <w:rFonts w:asciiTheme="minorHAnsi" w:hAnsiTheme="minorHAnsi" w:cstheme="minorHAnsi"/>
        </w:rPr>
        <w:t xml:space="preserve">. </w:t>
      </w:r>
    </w:p>
    <w:p w14:paraId="28BF6F17" w14:textId="77777777" w:rsidR="004E4BC5" w:rsidRPr="00902698" w:rsidRDefault="004E4BC5" w:rsidP="00902698">
      <w:pPr>
        <w:rPr>
          <w:rFonts w:asciiTheme="minorHAnsi" w:hAnsiTheme="minorHAnsi" w:cstheme="minorHAnsi"/>
        </w:rPr>
      </w:pPr>
    </w:p>
    <w:p w14:paraId="53159514" w14:textId="5E74F4F9" w:rsidR="004E4BC5" w:rsidRPr="00902698" w:rsidRDefault="004E4BC5" w:rsidP="00902698">
      <w:pPr>
        <w:rPr>
          <w:rFonts w:asciiTheme="minorHAnsi" w:hAnsiTheme="minorHAnsi" w:cstheme="minorHAnsi"/>
        </w:rPr>
      </w:pPr>
      <w:r w:rsidRPr="00902698">
        <w:rPr>
          <w:rFonts w:asciiTheme="minorHAnsi" w:hAnsiTheme="minorHAnsi" w:cstheme="minorHAnsi"/>
        </w:rPr>
        <w:t xml:space="preserve">In accordance with the Listing Rules, a copy of each of the resolutions passed at the Extraordinary General Meeting has been forwarded to the UK Listing Authority and will shortly be available for inspection at the following location: </w:t>
      </w:r>
      <w:hyperlink r:id="rId8" w:anchor="/nsm/nationalstoragemechanism" w:history="1">
        <w:r w:rsidRPr="00BB1C31">
          <w:rPr>
            <w:rStyle w:val="Hyperlink"/>
            <w:rFonts w:asciiTheme="minorHAnsi" w:hAnsiTheme="minorHAnsi" w:cstheme="minorHAnsi"/>
          </w:rPr>
          <w:t>https://data.fca.org.uk/#/nsm/nation</w:t>
        </w:r>
        <w:r w:rsidRPr="00BB1C31">
          <w:rPr>
            <w:rStyle w:val="Hyperlink"/>
            <w:rFonts w:asciiTheme="minorHAnsi" w:hAnsiTheme="minorHAnsi" w:cstheme="minorHAnsi"/>
          </w:rPr>
          <w:t>a</w:t>
        </w:r>
        <w:r w:rsidRPr="00BB1C31">
          <w:rPr>
            <w:rStyle w:val="Hyperlink"/>
            <w:rFonts w:asciiTheme="minorHAnsi" w:hAnsiTheme="minorHAnsi" w:cstheme="minorHAnsi"/>
          </w:rPr>
          <w:t>lstoragemechanism</w:t>
        </w:r>
      </w:hyperlink>
      <w:r w:rsidRPr="00902698">
        <w:rPr>
          <w:rFonts w:asciiTheme="minorHAnsi" w:hAnsiTheme="minorHAnsi" w:cstheme="minorHAnsi"/>
          <w:sz w:val="20"/>
          <w:szCs w:val="20"/>
        </w:rPr>
        <w:t xml:space="preserve">. </w:t>
      </w:r>
    </w:p>
    <w:p w14:paraId="7E05044B" w14:textId="77777777" w:rsidR="004E4BC5" w:rsidRPr="00902698" w:rsidRDefault="004E4BC5" w:rsidP="00902698">
      <w:pPr>
        <w:rPr>
          <w:rFonts w:asciiTheme="minorHAnsi" w:hAnsiTheme="minorHAnsi" w:cstheme="minorHAnsi"/>
        </w:rPr>
      </w:pPr>
    </w:p>
    <w:p w14:paraId="21829DE5" w14:textId="77777777" w:rsidR="004E4BC5" w:rsidRPr="00902698" w:rsidRDefault="004E4BC5" w:rsidP="00902698">
      <w:pPr>
        <w:rPr>
          <w:rFonts w:asciiTheme="minorHAnsi" w:hAnsiTheme="minorHAnsi" w:cstheme="minorHAnsi"/>
        </w:rPr>
      </w:pPr>
      <w:r w:rsidRPr="00902698">
        <w:rPr>
          <w:rFonts w:asciiTheme="minorHAnsi" w:hAnsiTheme="minorHAnsi" w:cstheme="minorHAnsi"/>
        </w:rPr>
        <w:t xml:space="preserve">A full list of the votes received will shortly be available for inspection on the Company's website, </w:t>
      </w:r>
      <w:hyperlink r:id="rId9" w:history="1">
        <w:r w:rsidRPr="00902698">
          <w:rPr>
            <w:rStyle w:val="Hyperlink"/>
            <w:rFonts w:asciiTheme="minorHAnsi" w:hAnsiTheme="minorHAnsi" w:cstheme="minorHAnsi"/>
          </w:rPr>
          <w:t>www.greencore.com</w:t>
        </w:r>
      </w:hyperlink>
      <w:r w:rsidRPr="00902698">
        <w:rPr>
          <w:rFonts w:asciiTheme="minorHAnsi" w:hAnsiTheme="minorHAnsi" w:cstheme="minorHAnsi"/>
        </w:rPr>
        <w:t xml:space="preserve">. </w:t>
      </w:r>
    </w:p>
    <w:p w14:paraId="2AF01C5B" w14:textId="77777777" w:rsidR="004E4BC5" w:rsidRPr="00902698" w:rsidRDefault="004E4BC5" w:rsidP="00902698">
      <w:pPr>
        <w:rPr>
          <w:rFonts w:asciiTheme="minorHAnsi" w:hAnsiTheme="minorHAnsi" w:cstheme="minorHAnsi"/>
        </w:rPr>
      </w:pPr>
    </w:p>
    <w:p w14:paraId="587C9172" w14:textId="77777777" w:rsidR="004E4BC5" w:rsidRPr="00902698" w:rsidRDefault="004E4BC5" w:rsidP="00902698">
      <w:pPr>
        <w:rPr>
          <w:rFonts w:asciiTheme="minorHAnsi" w:hAnsiTheme="minorHAnsi" w:cstheme="minorHAnsi"/>
          <w:lang w:val="en-GB" w:eastAsia="en-US"/>
        </w:rPr>
      </w:pPr>
      <w:r w:rsidRPr="00902698">
        <w:rPr>
          <w:rFonts w:asciiTheme="minorHAnsi" w:hAnsiTheme="minorHAnsi" w:cstheme="minorHAnsi"/>
          <w:lang w:val="en-GB" w:eastAsia="en-US"/>
        </w:rPr>
        <w:t>Capitalised words and expressions in this announcement shall, unless the context provides otherwise, have the same meanings as in the Circular.</w:t>
      </w:r>
    </w:p>
    <w:p w14:paraId="3DE499B5" w14:textId="77777777" w:rsidR="004E4BC5" w:rsidRPr="00902698" w:rsidRDefault="004E4BC5" w:rsidP="00902698">
      <w:pPr>
        <w:rPr>
          <w:rFonts w:asciiTheme="minorHAnsi" w:hAnsiTheme="minorHAnsi" w:cstheme="minorHAnsi"/>
          <w:lang w:val="en-GB" w:eastAsia="en-US"/>
        </w:rPr>
      </w:pPr>
    </w:p>
    <w:p w14:paraId="05E97FB0" w14:textId="50762BCC" w:rsidR="004E4BC5" w:rsidRPr="00902698" w:rsidRDefault="004E4BC5" w:rsidP="00902698">
      <w:pPr>
        <w:rPr>
          <w:rFonts w:asciiTheme="minorHAnsi" w:hAnsiTheme="minorHAnsi" w:cstheme="minorHAnsi"/>
          <w:b/>
        </w:rPr>
      </w:pPr>
      <w:r w:rsidRPr="00902698">
        <w:rPr>
          <w:rFonts w:asciiTheme="minorHAnsi" w:hAnsiTheme="minorHAnsi" w:cstheme="minorHAnsi"/>
          <w:b/>
        </w:rPr>
        <w:t xml:space="preserve">Special Business considered at the Extraordinary General Meeting </w:t>
      </w:r>
    </w:p>
    <w:p w14:paraId="69D428A0" w14:textId="77777777" w:rsidR="004E4BC5" w:rsidRPr="00902698" w:rsidRDefault="004E4BC5" w:rsidP="00902698">
      <w:pPr>
        <w:rPr>
          <w:rFonts w:asciiTheme="minorHAnsi" w:hAnsiTheme="minorHAnsi" w:cstheme="minorHAnsi"/>
        </w:rPr>
      </w:pPr>
    </w:p>
    <w:p w14:paraId="0B2769FB" w14:textId="77777777" w:rsidR="004E4BC5" w:rsidRPr="00902698" w:rsidRDefault="004E4BC5" w:rsidP="00902698">
      <w:pPr>
        <w:rPr>
          <w:rFonts w:asciiTheme="minorHAnsi" w:hAnsiTheme="minorHAnsi" w:cstheme="minorHAnsi"/>
        </w:rPr>
      </w:pPr>
      <w:r w:rsidRPr="00902698">
        <w:rPr>
          <w:rFonts w:asciiTheme="minorHAnsi" w:hAnsiTheme="minorHAnsi" w:cstheme="minorHAnsi"/>
        </w:rPr>
        <w:t xml:space="preserve">For the purposes of Listing Rule 9.6.3, the resolutions approved by shareholders included the following items of special business: </w:t>
      </w:r>
    </w:p>
    <w:p w14:paraId="02196C39" w14:textId="77777777" w:rsidR="004E4BC5" w:rsidRPr="00902698" w:rsidRDefault="004E4BC5" w:rsidP="00902698">
      <w:pPr>
        <w:rPr>
          <w:rFonts w:asciiTheme="minorHAnsi" w:hAnsiTheme="minorHAnsi" w:cstheme="minorHAnsi"/>
        </w:rPr>
      </w:pPr>
    </w:p>
    <w:p w14:paraId="2122D47E" w14:textId="77777777" w:rsidR="000A6D33" w:rsidRPr="00902698" w:rsidRDefault="004E4BC5" w:rsidP="00902698">
      <w:pPr>
        <w:autoSpaceDE w:val="0"/>
        <w:autoSpaceDN w:val="0"/>
        <w:rPr>
          <w:rFonts w:asciiTheme="minorHAnsi" w:eastAsiaTheme="minorHAnsi" w:hAnsiTheme="minorHAnsi" w:cstheme="minorHAnsi"/>
          <w:b/>
          <w:bCs/>
          <w:sz w:val="21"/>
          <w:szCs w:val="21"/>
          <w:lang w:val="en-GB" w:eastAsia="en-US"/>
        </w:rPr>
      </w:pPr>
      <w:r w:rsidRPr="00902698">
        <w:rPr>
          <w:rFonts w:asciiTheme="minorHAnsi" w:eastAsiaTheme="minorHAnsi" w:hAnsiTheme="minorHAnsi" w:cstheme="minorHAnsi"/>
          <w:lang w:val="en-GB" w:eastAsia="en-US"/>
        </w:rPr>
        <w:t>Resolution 1:</w:t>
      </w:r>
      <w:r w:rsidR="000A6D33" w:rsidRPr="00902698">
        <w:rPr>
          <w:rFonts w:asciiTheme="minorHAnsi" w:eastAsiaTheme="minorHAnsi" w:hAnsiTheme="minorHAnsi" w:cstheme="minorHAnsi"/>
          <w:lang w:val="en-GB" w:eastAsia="en-US"/>
        </w:rPr>
        <w:t xml:space="preserve"> </w:t>
      </w:r>
      <w:r w:rsidR="000A6D33" w:rsidRPr="00902698">
        <w:rPr>
          <w:rFonts w:asciiTheme="minorHAnsi" w:eastAsiaTheme="minorHAnsi" w:hAnsiTheme="minorHAnsi" w:cstheme="minorHAnsi"/>
          <w:b/>
          <w:bCs/>
          <w:sz w:val="21"/>
          <w:szCs w:val="21"/>
          <w:lang w:val="en-GB" w:eastAsia="en-US"/>
        </w:rPr>
        <w:t>Special resolution within the meaning of sections 4, 5 and 8 of the Migration of</w:t>
      </w:r>
    </w:p>
    <w:p w14:paraId="2459765D" w14:textId="503EA5FC" w:rsidR="004E4BC5" w:rsidRPr="00902698" w:rsidRDefault="000A6D33" w:rsidP="00902698">
      <w:pPr>
        <w:autoSpaceDE w:val="0"/>
        <w:autoSpaceDN w:val="0"/>
        <w:rPr>
          <w:rFonts w:asciiTheme="minorHAnsi" w:eastAsiaTheme="minorHAnsi" w:hAnsiTheme="minorHAnsi" w:cstheme="minorHAnsi"/>
          <w:lang w:val="en-GB" w:eastAsia="en-US"/>
        </w:rPr>
      </w:pPr>
      <w:r w:rsidRPr="00902698">
        <w:rPr>
          <w:rFonts w:asciiTheme="minorHAnsi" w:eastAsiaTheme="minorHAnsi" w:hAnsiTheme="minorHAnsi" w:cstheme="minorHAnsi"/>
          <w:b/>
          <w:bCs/>
          <w:sz w:val="21"/>
          <w:szCs w:val="21"/>
          <w:lang w:val="en-GB" w:eastAsia="en-US"/>
        </w:rPr>
        <w:t>Participating Securities Act 2019</w:t>
      </w:r>
    </w:p>
    <w:p w14:paraId="171E9559" w14:textId="77777777" w:rsidR="004E4BC5" w:rsidRPr="00902698" w:rsidRDefault="004E4BC5" w:rsidP="00902698">
      <w:pPr>
        <w:autoSpaceDE w:val="0"/>
        <w:autoSpaceDN w:val="0"/>
        <w:rPr>
          <w:rFonts w:asciiTheme="minorHAnsi" w:eastAsiaTheme="minorHAnsi" w:hAnsiTheme="minorHAnsi" w:cstheme="minorHAnsi"/>
          <w:sz w:val="18"/>
          <w:szCs w:val="18"/>
          <w:lang w:val="en-GB" w:eastAsia="en-US"/>
        </w:rPr>
      </w:pPr>
    </w:p>
    <w:p w14:paraId="74BE8373" w14:textId="4E78026D" w:rsidR="000A6D33" w:rsidRPr="00902698" w:rsidRDefault="00902698" w:rsidP="00902698">
      <w:pPr>
        <w:autoSpaceDE w:val="0"/>
        <w:autoSpaceDN w:val="0"/>
        <w:rPr>
          <w:rFonts w:asciiTheme="minorHAnsi" w:eastAsiaTheme="minorHAnsi" w:hAnsiTheme="minorHAnsi" w:cstheme="minorHAnsi"/>
          <w:b/>
          <w:bCs/>
          <w:sz w:val="21"/>
          <w:szCs w:val="21"/>
          <w:lang w:val="en-GB" w:eastAsia="en-US"/>
        </w:rPr>
      </w:pPr>
      <w:r w:rsidRPr="00902698">
        <w:rPr>
          <w:rFonts w:asciiTheme="minorHAnsi" w:eastAsiaTheme="minorHAnsi" w:hAnsiTheme="minorHAnsi" w:cstheme="minorHAnsi"/>
          <w:b/>
          <w:bCs/>
          <w:sz w:val="21"/>
          <w:szCs w:val="21"/>
          <w:lang w:val="en-GB" w:eastAsia="en-US"/>
        </w:rPr>
        <w:t>“</w:t>
      </w:r>
      <w:r w:rsidR="000A6D33" w:rsidRPr="00902698">
        <w:rPr>
          <w:rFonts w:asciiTheme="minorHAnsi" w:eastAsiaTheme="minorHAnsi" w:hAnsiTheme="minorHAnsi" w:cstheme="minorHAnsi"/>
          <w:b/>
          <w:bCs/>
          <w:sz w:val="21"/>
          <w:szCs w:val="21"/>
          <w:lang w:val="en-GB" w:eastAsia="en-US"/>
        </w:rPr>
        <w:t>WHEREAS:</w:t>
      </w:r>
    </w:p>
    <w:p w14:paraId="375FE9C6" w14:textId="77777777" w:rsidR="00C93AD1" w:rsidRPr="00902698" w:rsidRDefault="00C93AD1" w:rsidP="00902698">
      <w:pPr>
        <w:autoSpaceDE w:val="0"/>
        <w:autoSpaceDN w:val="0"/>
        <w:rPr>
          <w:rFonts w:asciiTheme="minorHAnsi" w:eastAsiaTheme="minorHAnsi" w:hAnsiTheme="minorHAnsi" w:cstheme="minorHAnsi"/>
          <w:b/>
          <w:bCs/>
          <w:sz w:val="21"/>
          <w:szCs w:val="21"/>
          <w:lang w:val="en-GB" w:eastAsia="en-US"/>
        </w:rPr>
      </w:pPr>
    </w:p>
    <w:p w14:paraId="78C9A30A" w14:textId="3D8A9BDE" w:rsidR="00C93AD1" w:rsidRPr="00902698" w:rsidRDefault="000A6D33" w:rsidP="00902698">
      <w:pPr>
        <w:pStyle w:val="ListParagraph"/>
        <w:numPr>
          <w:ilvl w:val="0"/>
          <w:numId w:val="3"/>
        </w:num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the Company has notified Euroclear Bank SA/NV (“</w:t>
      </w:r>
      <w:r w:rsidRPr="00902698">
        <w:rPr>
          <w:rFonts w:asciiTheme="minorHAnsi" w:eastAsiaTheme="minorHAnsi" w:hAnsiTheme="minorHAnsi" w:cstheme="minorHAnsi"/>
          <w:b/>
          <w:bCs/>
          <w:sz w:val="21"/>
          <w:szCs w:val="21"/>
          <w:lang w:val="en-GB" w:eastAsia="en-US"/>
        </w:rPr>
        <w:t>Euroclear Bank</w:t>
      </w:r>
      <w:r w:rsidRPr="00902698">
        <w:rPr>
          <w:rFonts w:asciiTheme="minorHAnsi" w:eastAsiaTheme="minorHAnsi" w:hAnsiTheme="minorHAnsi" w:cstheme="minorHAnsi"/>
          <w:sz w:val="21"/>
          <w:szCs w:val="21"/>
          <w:lang w:val="en-GB" w:eastAsia="en-US"/>
        </w:rPr>
        <w:t>”) by a letter dated</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26 November 2020 of the proposal that the relevant Participating Securities in the</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Company are to be the subject of the Migration, in accordance with the Migration of</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Participating Securities Act 2019 (the “</w:t>
      </w:r>
      <w:r w:rsidRPr="00902698">
        <w:rPr>
          <w:rFonts w:asciiTheme="minorHAnsi" w:eastAsiaTheme="minorHAnsi" w:hAnsiTheme="minorHAnsi" w:cstheme="minorHAnsi"/>
          <w:b/>
          <w:bCs/>
          <w:sz w:val="21"/>
          <w:szCs w:val="21"/>
          <w:lang w:val="en-GB" w:eastAsia="en-US"/>
        </w:rPr>
        <w:t>Migration Act</w:t>
      </w:r>
      <w:r w:rsidRPr="00902698">
        <w:rPr>
          <w:rFonts w:asciiTheme="minorHAnsi" w:eastAsiaTheme="minorHAnsi" w:hAnsiTheme="minorHAnsi" w:cstheme="minorHAnsi"/>
          <w:sz w:val="21"/>
          <w:szCs w:val="21"/>
          <w:lang w:val="en-GB" w:eastAsia="en-US"/>
        </w:rPr>
        <w:t>”);</w:t>
      </w:r>
      <w:r w:rsidR="00C93AD1" w:rsidRPr="00902698">
        <w:rPr>
          <w:rFonts w:asciiTheme="minorHAnsi" w:eastAsiaTheme="minorHAnsi" w:hAnsiTheme="minorHAnsi" w:cstheme="minorHAnsi"/>
          <w:sz w:val="21"/>
          <w:szCs w:val="21"/>
          <w:lang w:val="en-GB" w:eastAsia="en-US"/>
        </w:rPr>
        <w:t xml:space="preserve"> </w:t>
      </w:r>
    </w:p>
    <w:p w14:paraId="766C8DD8" w14:textId="77777777" w:rsidR="00902698" w:rsidRPr="00902698" w:rsidRDefault="00902698" w:rsidP="00902698">
      <w:pPr>
        <w:pStyle w:val="ListParagraph"/>
        <w:autoSpaceDE w:val="0"/>
        <w:autoSpaceDN w:val="0"/>
        <w:ind w:left="1485"/>
        <w:rPr>
          <w:rFonts w:asciiTheme="minorHAnsi" w:eastAsiaTheme="minorHAnsi" w:hAnsiTheme="minorHAnsi" w:cstheme="minorHAnsi"/>
          <w:sz w:val="21"/>
          <w:szCs w:val="21"/>
          <w:lang w:val="en-GB" w:eastAsia="en-US"/>
        </w:rPr>
      </w:pPr>
    </w:p>
    <w:p w14:paraId="0C6BA3DB" w14:textId="4A602139" w:rsidR="000A6D33" w:rsidRPr="00902698" w:rsidRDefault="000A6D33" w:rsidP="00902698">
      <w:pPr>
        <w:pStyle w:val="ListParagraph"/>
        <w:numPr>
          <w:ilvl w:val="0"/>
          <w:numId w:val="3"/>
        </w:num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the Company has received a statement in writing from Euroclear Bank dated</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30 November</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2020 (as required by section 5(6)(a) of the Migration Act) to the effect that</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the provision of the services of Euroclear Bank’s settlement system to the Company will,</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on and from the Live Date, be in compliance with Article 23 of Regulation (EU) No</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909/2014 of the European Parliament and of the Council of 23 July 2014 (“</w:t>
      </w:r>
      <w:r w:rsidRPr="00902698">
        <w:rPr>
          <w:rFonts w:asciiTheme="minorHAnsi" w:eastAsiaTheme="minorHAnsi" w:hAnsiTheme="minorHAnsi" w:cstheme="minorHAnsi"/>
          <w:b/>
          <w:bCs/>
          <w:sz w:val="21"/>
          <w:szCs w:val="21"/>
          <w:lang w:val="en-GB" w:eastAsia="en-US"/>
        </w:rPr>
        <w:t>CSDR</w:t>
      </w:r>
      <w:r w:rsidRPr="00902698">
        <w:rPr>
          <w:rFonts w:asciiTheme="minorHAnsi" w:eastAsiaTheme="minorHAnsi" w:hAnsiTheme="minorHAnsi" w:cstheme="minorHAnsi"/>
          <w:sz w:val="21"/>
          <w:szCs w:val="21"/>
          <w:lang w:val="en-GB" w:eastAsia="en-US"/>
        </w:rPr>
        <w:t>”); and</w:t>
      </w:r>
    </w:p>
    <w:p w14:paraId="0119806A" w14:textId="77777777" w:rsidR="00902698" w:rsidRPr="00902698" w:rsidRDefault="00902698" w:rsidP="00902698">
      <w:pPr>
        <w:autoSpaceDE w:val="0"/>
        <w:autoSpaceDN w:val="0"/>
        <w:rPr>
          <w:rFonts w:asciiTheme="minorHAnsi" w:eastAsiaTheme="minorHAnsi" w:hAnsiTheme="minorHAnsi" w:cstheme="minorHAnsi"/>
          <w:sz w:val="21"/>
          <w:szCs w:val="21"/>
          <w:lang w:val="en-GB" w:eastAsia="en-US"/>
        </w:rPr>
      </w:pPr>
    </w:p>
    <w:p w14:paraId="7F3C0804" w14:textId="51168DD6" w:rsidR="00C93AD1" w:rsidRPr="00902698" w:rsidRDefault="000A6D33" w:rsidP="00902698">
      <w:pPr>
        <w:autoSpaceDE w:val="0"/>
        <w:autoSpaceDN w:val="0"/>
        <w:ind w:left="1440" w:hanging="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(c)</w:t>
      </w:r>
      <w:r w:rsidR="00902698" w:rsidRPr="00902698">
        <w:rPr>
          <w:rFonts w:asciiTheme="minorHAnsi" w:eastAsiaTheme="minorHAnsi" w:hAnsiTheme="minorHAnsi" w:cstheme="minorHAnsi"/>
          <w:sz w:val="21"/>
          <w:szCs w:val="21"/>
          <w:lang w:val="en-GB" w:eastAsia="en-US"/>
        </w:rPr>
        <w:tab/>
      </w:r>
      <w:r w:rsidRPr="00902698">
        <w:rPr>
          <w:rFonts w:asciiTheme="minorHAnsi" w:eastAsiaTheme="minorHAnsi" w:hAnsiTheme="minorHAnsi" w:cstheme="minorHAnsi"/>
          <w:sz w:val="21"/>
          <w:szCs w:val="21"/>
          <w:lang w:val="en-GB" w:eastAsia="en-US"/>
        </w:rPr>
        <w:t xml:space="preserve"> the Company has received the statement from Euroclear Bank dated 30 November 2020</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(as</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required by section 5(6)(b) of the Migration Act) to the effect that following:</w:t>
      </w:r>
      <w:r w:rsidR="00C93AD1" w:rsidRPr="00902698">
        <w:rPr>
          <w:rFonts w:asciiTheme="minorHAnsi" w:eastAsiaTheme="minorHAnsi" w:hAnsiTheme="minorHAnsi" w:cstheme="minorHAnsi"/>
          <w:sz w:val="21"/>
          <w:szCs w:val="21"/>
          <w:lang w:val="en-GB" w:eastAsia="en-US"/>
        </w:rPr>
        <w:t xml:space="preserve"> </w:t>
      </w:r>
    </w:p>
    <w:p w14:paraId="694C3523" w14:textId="77777777" w:rsidR="00902698" w:rsidRPr="00902698" w:rsidRDefault="00902698" w:rsidP="00902698">
      <w:pPr>
        <w:autoSpaceDE w:val="0"/>
        <w:autoSpaceDN w:val="0"/>
        <w:ind w:left="1440" w:hanging="720"/>
        <w:rPr>
          <w:rFonts w:asciiTheme="minorHAnsi" w:eastAsiaTheme="minorHAnsi" w:hAnsiTheme="minorHAnsi" w:cstheme="minorHAnsi"/>
          <w:sz w:val="21"/>
          <w:szCs w:val="21"/>
          <w:lang w:val="en-GB" w:eastAsia="en-US"/>
        </w:rPr>
      </w:pPr>
    </w:p>
    <w:p w14:paraId="1AF73BDF" w14:textId="77777777" w:rsidR="00EA0CB3" w:rsidRDefault="000A6D33" w:rsidP="00902698">
      <w:pPr>
        <w:autoSpaceDE w:val="0"/>
        <w:autoSpaceDN w:val="0"/>
        <w:ind w:left="720" w:firstLine="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w:t>
      </w:r>
      <w:proofErr w:type="spellStart"/>
      <w:r w:rsidRPr="00902698">
        <w:rPr>
          <w:rFonts w:asciiTheme="minorHAnsi" w:eastAsiaTheme="minorHAnsi" w:hAnsiTheme="minorHAnsi" w:cstheme="minorHAnsi"/>
          <w:sz w:val="21"/>
          <w:szCs w:val="21"/>
          <w:lang w:val="en-GB" w:eastAsia="en-US"/>
        </w:rPr>
        <w:t>i</w:t>
      </w:r>
      <w:proofErr w:type="spellEnd"/>
      <w:r w:rsidRPr="00902698">
        <w:rPr>
          <w:rFonts w:asciiTheme="minorHAnsi" w:eastAsiaTheme="minorHAnsi" w:hAnsiTheme="minorHAnsi" w:cstheme="minorHAnsi"/>
          <w:sz w:val="21"/>
          <w:szCs w:val="21"/>
          <w:lang w:val="en-GB" w:eastAsia="en-US"/>
        </w:rPr>
        <w:t xml:space="preserve">) </w:t>
      </w:r>
      <w:r w:rsidR="00902698" w:rsidRPr="00902698">
        <w:rPr>
          <w:rFonts w:asciiTheme="minorHAnsi" w:eastAsiaTheme="minorHAnsi" w:hAnsiTheme="minorHAnsi" w:cstheme="minorHAnsi"/>
          <w:sz w:val="21"/>
          <w:szCs w:val="21"/>
          <w:lang w:val="en-GB" w:eastAsia="en-US"/>
        </w:rPr>
        <w:tab/>
      </w:r>
      <w:r w:rsidRPr="00902698">
        <w:rPr>
          <w:rFonts w:asciiTheme="minorHAnsi" w:eastAsiaTheme="minorHAnsi" w:hAnsiTheme="minorHAnsi" w:cstheme="minorHAnsi"/>
          <w:sz w:val="21"/>
          <w:szCs w:val="21"/>
          <w:lang w:val="en-GB" w:eastAsia="en-US"/>
        </w:rPr>
        <w:t>such inquiries as have been made of the Company by Euroclear Bank; and</w:t>
      </w:r>
    </w:p>
    <w:p w14:paraId="1BF16F6F" w14:textId="40E48CB8" w:rsidR="00C93AD1" w:rsidRPr="00902698" w:rsidRDefault="00C93AD1" w:rsidP="00902698">
      <w:pPr>
        <w:autoSpaceDE w:val="0"/>
        <w:autoSpaceDN w:val="0"/>
        <w:ind w:left="720" w:firstLine="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 xml:space="preserve"> </w:t>
      </w:r>
    </w:p>
    <w:p w14:paraId="0F2E15FA" w14:textId="77777777" w:rsidR="00EA0CB3" w:rsidRDefault="000A6D33" w:rsidP="00902698">
      <w:pPr>
        <w:autoSpaceDE w:val="0"/>
        <w:autoSpaceDN w:val="0"/>
        <w:ind w:left="2160" w:hanging="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(ii)</w:t>
      </w:r>
      <w:r w:rsidR="00902698" w:rsidRPr="00902698">
        <w:rPr>
          <w:rFonts w:asciiTheme="minorHAnsi" w:eastAsiaTheme="minorHAnsi" w:hAnsiTheme="minorHAnsi" w:cstheme="minorHAnsi"/>
          <w:sz w:val="21"/>
          <w:szCs w:val="21"/>
          <w:lang w:val="en-GB" w:eastAsia="en-US"/>
        </w:rPr>
        <w:tab/>
      </w:r>
      <w:r w:rsidRPr="00902698">
        <w:rPr>
          <w:rFonts w:asciiTheme="minorHAnsi" w:eastAsiaTheme="minorHAnsi" w:hAnsiTheme="minorHAnsi" w:cstheme="minorHAnsi"/>
          <w:sz w:val="21"/>
          <w:szCs w:val="21"/>
          <w:lang w:val="en-GB" w:eastAsia="en-US"/>
        </w:rPr>
        <w:t xml:space="preserve"> the provision of such information by or on behalf of the Company, in writing, to</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Euroclear Bank as specified by Euroclear Bank,</w:t>
      </w:r>
      <w:r w:rsidR="00C93AD1" w:rsidRPr="00902698">
        <w:rPr>
          <w:rFonts w:asciiTheme="minorHAnsi" w:eastAsiaTheme="minorHAnsi" w:hAnsiTheme="minorHAnsi" w:cstheme="minorHAnsi"/>
          <w:sz w:val="21"/>
          <w:szCs w:val="21"/>
          <w:lang w:val="en-GB" w:eastAsia="en-US"/>
        </w:rPr>
        <w:t xml:space="preserve"> </w:t>
      </w:r>
    </w:p>
    <w:p w14:paraId="4A9DB4D8" w14:textId="00483477" w:rsidR="000A6D33" w:rsidRPr="00902698" w:rsidRDefault="000A6D33" w:rsidP="00BB1C31">
      <w:pPr>
        <w:autoSpaceDE w:val="0"/>
        <w:autoSpaceDN w:val="0"/>
        <w:ind w:left="1418" w:firstLine="22"/>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lastRenderedPageBreak/>
        <w:t>Euroclear Bank is satisfied that the relevant Participating Securities in the Company meet</w:t>
      </w:r>
      <w:r w:rsidR="00BB1C31">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the criteria stipulated by Euroclear Bank for the entry of the Participating Securities into</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 xml:space="preserve">the settlement system operated by Euroclear </w:t>
      </w:r>
      <w:proofErr w:type="gramStart"/>
      <w:r w:rsidRPr="00902698">
        <w:rPr>
          <w:rFonts w:asciiTheme="minorHAnsi" w:eastAsiaTheme="minorHAnsi" w:hAnsiTheme="minorHAnsi" w:cstheme="minorHAnsi"/>
          <w:sz w:val="21"/>
          <w:szCs w:val="21"/>
          <w:lang w:val="en-GB" w:eastAsia="en-US"/>
        </w:rPr>
        <w:t>Bank;</w:t>
      </w:r>
      <w:proofErr w:type="gramEnd"/>
    </w:p>
    <w:p w14:paraId="0E0FCF56" w14:textId="77777777" w:rsidR="00C93AD1" w:rsidRPr="00902698" w:rsidRDefault="00C93AD1" w:rsidP="00902698">
      <w:pPr>
        <w:autoSpaceDE w:val="0"/>
        <w:autoSpaceDN w:val="0"/>
        <w:rPr>
          <w:rFonts w:asciiTheme="minorHAnsi" w:eastAsiaTheme="minorHAnsi" w:hAnsiTheme="minorHAnsi" w:cstheme="minorHAnsi"/>
          <w:b/>
          <w:bCs/>
          <w:sz w:val="21"/>
          <w:szCs w:val="21"/>
          <w:lang w:val="en-GB" w:eastAsia="en-US"/>
        </w:rPr>
      </w:pPr>
    </w:p>
    <w:p w14:paraId="3730A0E0" w14:textId="02945CA1" w:rsidR="000A6D33" w:rsidRPr="00902698" w:rsidRDefault="000A6D33" w:rsidP="00EA0CB3">
      <w:p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b/>
          <w:bCs/>
          <w:sz w:val="21"/>
          <w:szCs w:val="21"/>
          <w:lang w:val="en-GB" w:eastAsia="en-US"/>
        </w:rPr>
        <w:t xml:space="preserve">IT IS HEREBY RESOLVED </w:t>
      </w:r>
      <w:r w:rsidRPr="00902698">
        <w:rPr>
          <w:rFonts w:asciiTheme="minorHAnsi" w:eastAsiaTheme="minorHAnsi" w:hAnsiTheme="minorHAnsi" w:cstheme="minorHAnsi"/>
          <w:sz w:val="21"/>
          <w:szCs w:val="21"/>
          <w:lang w:val="en-GB" w:eastAsia="en-US"/>
        </w:rPr>
        <w:t>that this meeting approves of the Company giving its consent to the</w:t>
      </w:r>
      <w:r w:rsidR="00D40E0F">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Migration of the Migrating Shares to Euroclear Bank’s central securities depository (which is</w:t>
      </w:r>
      <w:r w:rsidR="00EA0CB3">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authorised in Belgium for the purposes of CSDR) provided that as part of the Migration the title</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to the Migrating Shares will become and be vested in Euroclear Nominees Limited, being a</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company incorporated under the laws of England and Wales with registration number</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02369969 (“</w:t>
      </w:r>
      <w:r w:rsidRPr="00902698">
        <w:rPr>
          <w:rFonts w:asciiTheme="minorHAnsi" w:eastAsiaTheme="minorHAnsi" w:hAnsiTheme="minorHAnsi" w:cstheme="minorHAnsi"/>
          <w:b/>
          <w:bCs/>
          <w:sz w:val="21"/>
          <w:szCs w:val="21"/>
          <w:lang w:val="en-GB" w:eastAsia="en-US"/>
        </w:rPr>
        <w:t>Euroclear Nominees</w:t>
      </w:r>
      <w:r w:rsidRPr="00902698">
        <w:rPr>
          <w:rFonts w:asciiTheme="minorHAnsi" w:eastAsiaTheme="minorHAnsi" w:hAnsiTheme="minorHAnsi" w:cstheme="minorHAnsi"/>
          <w:sz w:val="21"/>
          <w:szCs w:val="21"/>
          <w:lang w:val="en-GB" w:eastAsia="en-US"/>
        </w:rPr>
        <w:t>”), as part of the Migration and acting in its capacity as the</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trustee for, and/or nominee of, Euroclear Bank for the purposes of the Migrating Shares being</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admitted to the Euroclear System, and that the directors of the Company be and are hereby</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authorised to take all actions necessary or desirable in connection with the foregoing or the</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Migration (including, without limitation, determining not to proceed with the Migration); it</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being understood that:</w:t>
      </w:r>
    </w:p>
    <w:p w14:paraId="36FB95EA" w14:textId="77777777" w:rsidR="00C93AD1" w:rsidRPr="00902698" w:rsidRDefault="00C93AD1" w:rsidP="00902698">
      <w:pPr>
        <w:autoSpaceDE w:val="0"/>
        <w:autoSpaceDN w:val="0"/>
        <w:rPr>
          <w:rFonts w:asciiTheme="minorHAnsi" w:eastAsiaTheme="minorHAnsi" w:hAnsiTheme="minorHAnsi" w:cstheme="minorHAnsi"/>
          <w:sz w:val="21"/>
          <w:szCs w:val="21"/>
          <w:lang w:val="en-GB" w:eastAsia="en-US"/>
        </w:rPr>
      </w:pPr>
    </w:p>
    <w:p w14:paraId="7B63802A" w14:textId="10654455" w:rsidR="000A6D33" w:rsidRDefault="000A6D33" w:rsidP="00902698">
      <w:p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w:t>
      </w:r>
      <w:r w:rsidRPr="00902698">
        <w:rPr>
          <w:rFonts w:asciiTheme="minorHAnsi" w:eastAsiaTheme="minorHAnsi" w:hAnsiTheme="minorHAnsi" w:cstheme="minorHAnsi"/>
          <w:b/>
          <w:bCs/>
          <w:sz w:val="21"/>
          <w:szCs w:val="21"/>
          <w:lang w:val="en-GB" w:eastAsia="en-US"/>
        </w:rPr>
        <w:t>Circular</w:t>
      </w:r>
      <w:r w:rsidRPr="00902698">
        <w:rPr>
          <w:rFonts w:asciiTheme="minorHAnsi" w:eastAsiaTheme="minorHAnsi" w:hAnsiTheme="minorHAnsi" w:cstheme="minorHAnsi"/>
          <w:sz w:val="21"/>
          <w:szCs w:val="21"/>
          <w:lang w:val="en-GB" w:eastAsia="en-US"/>
        </w:rPr>
        <w:t>” means the circular issued by the Company to its shareholders dated 21 December</w:t>
      </w:r>
      <w:r w:rsidR="00C93AD1" w:rsidRPr="00902698">
        <w:rPr>
          <w:rFonts w:asciiTheme="minorHAnsi" w:eastAsiaTheme="minorHAnsi" w:hAnsiTheme="minorHAnsi" w:cstheme="minorHAnsi"/>
          <w:sz w:val="21"/>
          <w:szCs w:val="21"/>
          <w:lang w:val="en-GB" w:eastAsia="en-US"/>
        </w:rPr>
        <w:t xml:space="preserve"> </w:t>
      </w:r>
      <w:proofErr w:type="gramStart"/>
      <w:r w:rsidRPr="00902698">
        <w:rPr>
          <w:rFonts w:asciiTheme="minorHAnsi" w:eastAsiaTheme="minorHAnsi" w:hAnsiTheme="minorHAnsi" w:cstheme="minorHAnsi"/>
          <w:sz w:val="21"/>
          <w:szCs w:val="21"/>
          <w:lang w:val="en-GB" w:eastAsia="en-US"/>
        </w:rPr>
        <w:t>2020;</w:t>
      </w:r>
      <w:proofErr w:type="gramEnd"/>
    </w:p>
    <w:p w14:paraId="17FB2C3A" w14:textId="77777777" w:rsidR="00D40E0F" w:rsidRPr="00902698" w:rsidRDefault="00D40E0F" w:rsidP="00902698">
      <w:pPr>
        <w:autoSpaceDE w:val="0"/>
        <w:autoSpaceDN w:val="0"/>
        <w:rPr>
          <w:rFonts w:asciiTheme="minorHAnsi" w:eastAsiaTheme="minorHAnsi" w:hAnsiTheme="minorHAnsi" w:cstheme="minorHAnsi"/>
          <w:sz w:val="21"/>
          <w:szCs w:val="21"/>
          <w:lang w:val="en-GB" w:eastAsia="en-US"/>
        </w:rPr>
      </w:pPr>
    </w:p>
    <w:p w14:paraId="0C6610AD" w14:textId="10B23840" w:rsidR="000A6D33" w:rsidRDefault="000A6D33" w:rsidP="00902698">
      <w:pPr>
        <w:autoSpaceDE w:val="0"/>
        <w:autoSpaceDN w:val="0"/>
        <w:rPr>
          <w:rFonts w:asciiTheme="minorHAnsi" w:eastAsiaTheme="minorHAnsi" w:hAnsiTheme="minorHAnsi" w:cstheme="minorHAnsi"/>
          <w:lang w:val="en-GB" w:eastAsia="en-US"/>
        </w:rPr>
      </w:pPr>
      <w:r w:rsidRPr="00902698">
        <w:rPr>
          <w:rFonts w:asciiTheme="minorHAnsi" w:eastAsiaTheme="minorHAnsi" w:hAnsiTheme="minorHAnsi" w:cstheme="minorHAnsi"/>
          <w:sz w:val="21"/>
          <w:szCs w:val="21"/>
          <w:lang w:val="en-GB" w:eastAsia="en-US"/>
        </w:rPr>
        <w:t>“</w:t>
      </w:r>
      <w:r w:rsidRPr="00902698">
        <w:rPr>
          <w:rFonts w:asciiTheme="minorHAnsi" w:eastAsiaTheme="minorHAnsi" w:hAnsiTheme="minorHAnsi" w:cstheme="minorHAnsi"/>
          <w:b/>
          <w:bCs/>
          <w:sz w:val="21"/>
          <w:szCs w:val="21"/>
          <w:lang w:val="en-GB" w:eastAsia="en-US"/>
        </w:rPr>
        <w:t>Euroclear System</w:t>
      </w:r>
      <w:r w:rsidRPr="00902698">
        <w:rPr>
          <w:rFonts w:asciiTheme="minorHAnsi" w:eastAsiaTheme="minorHAnsi" w:hAnsiTheme="minorHAnsi" w:cstheme="minorHAnsi"/>
          <w:sz w:val="21"/>
          <w:szCs w:val="21"/>
          <w:lang w:val="en-GB" w:eastAsia="en-US"/>
        </w:rPr>
        <w:t xml:space="preserve">” has the same meaning as defined in the </w:t>
      </w:r>
      <w:proofErr w:type="gramStart"/>
      <w:r w:rsidRPr="00902698">
        <w:rPr>
          <w:rFonts w:asciiTheme="minorHAnsi" w:eastAsiaTheme="minorHAnsi" w:hAnsiTheme="minorHAnsi" w:cstheme="minorHAnsi"/>
          <w:sz w:val="21"/>
          <w:szCs w:val="21"/>
          <w:lang w:val="en-GB" w:eastAsia="en-US"/>
        </w:rPr>
        <w:t>Circular;</w:t>
      </w:r>
      <w:proofErr w:type="gramEnd"/>
      <w:r w:rsidRPr="00902698">
        <w:rPr>
          <w:rFonts w:asciiTheme="minorHAnsi" w:eastAsiaTheme="minorHAnsi" w:hAnsiTheme="minorHAnsi" w:cstheme="minorHAnsi"/>
          <w:lang w:val="en-GB" w:eastAsia="en-US"/>
        </w:rPr>
        <w:t xml:space="preserve"> </w:t>
      </w:r>
    </w:p>
    <w:p w14:paraId="17C9EEAC" w14:textId="77777777" w:rsidR="00D40E0F" w:rsidRPr="00902698" w:rsidRDefault="00D40E0F" w:rsidP="00902698">
      <w:pPr>
        <w:autoSpaceDE w:val="0"/>
        <w:autoSpaceDN w:val="0"/>
        <w:rPr>
          <w:rFonts w:asciiTheme="minorHAnsi" w:eastAsiaTheme="minorHAnsi" w:hAnsiTheme="minorHAnsi" w:cstheme="minorHAnsi"/>
          <w:lang w:val="en-GB" w:eastAsia="en-US"/>
        </w:rPr>
      </w:pPr>
    </w:p>
    <w:p w14:paraId="347C702F" w14:textId="38D5EFBC" w:rsidR="000A6D33" w:rsidRDefault="000A6D33" w:rsidP="00902698">
      <w:p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w:t>
      </w:r>
      <w:r w:rsidRPr="00902698">
        <w:rPr>
          <w:rFonts w:asciiTheme="minorHAnsi" w:eastAsiaTheme="minorHAnsi" w:hAnsiTheme="minorHAnsi" w:cstheme="minorHAnsi"/>
          <w:b/>
          <w:bCs/>
          <w:sz w:val="21"/>
          <w:szCs w:val="21"/>
          <w:lang w:val="en-GB" w:eastAsia="en-US"/>
        </w:rPr>
        <w:t>Live Date</w:t>
      </w:r>
      <w:r w:rsidRPr="00902698">
        <w:rPr>
          <w:rFonts w:asciiTheme="minorHAnsi" w:eastAsiaTheme="minorHAnsi" w:hAnsiTheme="minorHAnsi" w:cstheme="minorHAnsi"/>
          <w:sz w:val="21"/>
          <w:szCs w:val="21"/>
          <w:lang w:val="en-GB" w:eastAsia="en-US"/>
        </w:rPr>
        <w:t xml:space="preserve">” has the same meaning as defined in the </w:t>
      </w:r>
      <w:proofErr w:type="gramStart"/>
      <w:r w:rsidRPr="00902698">
        <w:rPr>
          <w:rFonts w:asciiTheme="minorHAnsi" w:eastAsiaTheme="minorHAnsi" w:hAnsiTheme="minorHAnsi" w:cstheme="minorHAnsi"/>
          <w:sz w:val="21"/>
          <w:szCs w:val="21"/>
          <w:lang w:val="en-GB" w:eastAsia="en-US"/>
        </w:rPr>
        <w:t>Circular;</w:t>
      </w:r>
      <w:proofErr w:type="gramEnd"/>
    </w:p>
    <w:p w14:paraId="025AE26E" w14:textId="77777777" w:rsidR="00D40E0F" w:rsidRPr="00902698" w:rsidRDefault="00D40E0F" w:rsidP="00902698">
      <w:pPr>
        <w:autoSpaceDE w:val="0"/>
        <w:autoSpaceDN w:val="0"/>
        <w:rPr>
          <w:rFonts w:asciiTheme="minorHAnsi" w:eastAsiaTheme="minorHAnsi" w:hAnsiTheme="minorHAnsi" w:cstheme="minorHAnsi"/>
          <w:sz w:val="21"/>
          <w:szCs w:val="21"/>
          <w:lang w:val="en-GB" w:eastAsia="en-US"/>
        </w:rPr>
      </w:pPr>
    </w:p>
    <w:p w14:paraId="24E887C4" w14:textId="73AD5559" w:rsidR="000A6D33" w:rsidRDefault="000A6D33" w:rsidP="00902698">
      <w:p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w:t>
      </w:r>
      <w:r w:rsidRPr="00902698">
        <w:rPr>
          <w:rFonts w:asciiTheme="minorHAnsi" w:eastAsiaTheme="minorHAnsi" w:hAnsiTheme="minorHAnsi" w:cstheme="minorHAnsi"/>
          <w:b/>
          <w:bCs/>
          <w:sz w:val="21"/>
          <w:szCs w:val="21"/>
          <w:lang w:val="en-GB" w:eastAsia="en-US"/>
        </w:rPr>
        <w:t>Migration</w:t>
      </w:r>
      <w:r w:rsidRPr="00902698">
        <w:rPr>
          <w:rFonts w:asciiTheme="minorHAnsi" w:eastAsiaTheme="minorHAnsi" w:hAnsiTheme="minorHAnsi" w:cstheme="minorHAnsi"/>
          <w:sz w:val="21"/>
          <w:szCs w:val="21"/>
          <w:lang w:val="en-GB" w:eastAsia="en-US"/>
        </w:rPr>
        <w:t xml:space="preserve">” has the same meaning as defined in the </w:t>
      </w:r>
      <w:proofErr w:type="gramStart"/>
      <w:r w:rsidRPr="00902698">
        <w:rPr>
          <w:rFonts w:asciiTheme="minorHAnsi" w:eastAsiaTheme="minorHAnsi" w:hAnsiTheme="minorHAnsi" w:cstheme="minorHAnsi"/>
          <w:sz w:val="21"/>
          <w:szCs w:val="21"/>
          <w:lang w:val="en-GB" w:eastAsia="en-US"/>
        </w:rPr>
        <w:t>Circular;</w:t>
      </w:r>
      <w:proofErr w:type="gramEnd"/>
    </w:p>
    <w:p w14:paraId="5BB02ACC" w14:textId="77777777" w:rsidR="00D40E0F" w:rsidRPr="00902698" w:rsidRDefault="00D40E0F" w:rsidP="00902698">
      <w:pPr>
        <w:autoSpaceDE w:val="0"/>
        <w:autoSpaceDN w:val="0"/>
        <w:rPr>
          <w:rFonts w:asciiTheme="minorHAnsi" w:eastAsiaTheme="minorHAnsi" w:hAnsiTheme="minorHAnsi" w:cstheme="minorHAnsi"/>
          <w:sz w:val="21"/>
          <w:szCs w:val="21"/>
          <w:lang w:val="en-GB" w:eastAsia="en-US"/>
        </w:rPr>
      </w:pPr>
    </w:p>
    <w:p w14:paraId="07AD2D61" w14:textId="1066C16F" w:rsidR="000A6D33" w:rsidRDefault="000A6D33" w:rsidP="00902698">
      <w:p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w:t>
      </w:r>
      <w:r w:rsidRPr="00902698">
        <w:rPr>
          <w:rFonts w:asciiTheme="minorHAnsi" w:eastAsiaTheme="minorHAnsi" w:hAnsiTheme="minorHAnsi" w:cstheme="minorHAnsi"/>
          <w:b/>
          <w:bCs/>
          <w:sz w:val="21"/>
          <w:szCs w:val="21"/>
          <w:lang w:val="en-GB" w:eastAsia="en-US"/>
        </w:rPr>
        <w:t>Migrating Shares</w:t>
      </w:r>
      <w:r w:rsidRPr="00902698">
        <w:rPr>
          <w:rFonts w:asciiTheme="minorHAnsi" w:eastAsiaTheme="minorHAnsi" w:hAnsiTheme="minorHAnsi" w:cstheme="minorHAnsi"/>
          <w:sz w:val="21"/>
          <w:szCs w:val="21"/>
          <w:lang w:val="en-GB" w:eastAsia="en-US"/>
        </w:rPr>
        <w:t xml:space="preserve">” has the same meaning as defined in the </w:t>
      </w:r>
      <w:proofErr w:type="gramStart"/>
      <w:r w:rsidRPr="00902698">
        <w:rPr>
          <w:rFonts w:asciiTheme="minorHAnsi" w:eastAsiaTheme="minorHAnsi" w:hAnsiTheme="minorHAnsi" w:cstheme="minorHAnsi"/>
          <w:sz w:val="21"/>
          <w:szCs w:val="21"/>
          <w:lang w:val="en-GB" w:eastAsia="en-US"/>
        </w:rPr>
        <w:t>Circular;</w:t>
      </w:r>
      <w:proofErr w:type="gramEnd"/>
    </w:p>
    <w:p w14:paraId="51177353" w14:textId="77777777" w:rsidR="00D40E0F" w:rsidRPr="00902698" w:rsidRDefault="00D40E0F" w:rsidP="00902698">
      <w:pPr>
        <w:autoSpaceDE w:val="0"/>
        <w:autoSpaceDN w:val="0"/>
        <w:rPr>
          <w:rFonts w:asciiTheme="minorHAnsi" w:eastAsiaTheme="minorHAnsi" w:hAnsiTheme="minorHAnsi" w:cstheme="minorHAnsi"/>
          <w:sz w:val="21"/>
          <w:szCs w:val="21"/>
          <w:lang w:val="en-GB" w:eastAsia="en-US"/>
        </w:rPr>
      </w:pPr>
    </w:p>
    <w:p w14:paraId="19B2A2CB" w14:textId="0BB0133E" w:rsidR="000A6D33" w:rsidRDefault="000A6D33" w:rsidP="00902698">
      <w:p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w:t>
      </w:r>
      <w:r w:rsidRPr="00902698">
        <w:rPr>
          <w:rFonts w:asciiTheme="minorHAnsi" w:eastAsiaTheme="minorHAnsi" w:hAnsiTheme="minorHAnsi" w:cstheme="minorHAnsi"/>
          <w:b/>
          <w:bCs/>
          <w:sz w:val="21"/>
          <w:szCs w:val="21"/>
          <w:lang w:val="en-GB" w:eastAsia="en-US"/>
        </w:rPr>
        <w:t>Participating Securities</w:t>
      </w:r>
      <w:r w:rsidRPr="00902698">
        <w:rPr>
          <w:rFonts w:asciiTheme="minorHAnsi" w:eastAsiaTheme="minorHAnsi" w:hAnsiTheme="minorHAnsi" w:cstheme="minorHAnsi"/>
          <w:sz w:val="21"/>
          <w:szCs w:val="21"/>
          <w:lang w:val="en-GB" w:eastAsia="en-US"/>
        </w:rPr>
        <w:t>” has the same meaning as defined in the Circular; and</w:t>
      </w:r>
    </w:p>
    <w:p w14:paraId="7CDEEE10" w14:textId="77777777" w:rsidR="00D40E0F" w:rsidRPr="00902698" w:rsidRDefault="00D40E0F" w:rsidP="00902698">
      <w:pPr>
        <w:autoSpaceDE w:val="0"/>
        <w:autoSpaceDN w:val="0"/>
        <w:rPr>
          <w:rFonts w:asciiTheme="minorHAnsi" w:eastAsiaTheme="minorHAnsi" w:hAnsiTheme="minorHAnsi" w:cstheme="minorHAnsi"/>
          <w:sz w:val="21"/>
          <w:szCs w:val="21"/>
          <w:lang w:val="en-GB" w:eastAsia="en-US"/>
        </w:rPr>
      </w:pPr>
    </w:p>
    <w:p w14:paraId="78FAF975" w14:textId="48300BE4" w:rsidR="004E4BC5" w:rsidRPr="00902698" w:rsidRDefault="000A6D33" w:rsidP="00902698">
      <w:p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w:t>
      </w:r>
      <w:r w:rsidRPr="00902698">
        <w:rPr>
          <w:rFonts w:asciiTheme="minorHAnsi" w:eastAsiaTheme="minorHAnsi" w:hAnsiTheme="minorHAnsi" w:cstheme="minorHAnsi"/>
          <w:b/>
          <w:bCs/>
          <w:sz w:val="21"/>
          <w:szCs w:val="21"/>
          <w:lang w:val="en-GB" w:eastAsia="en-US"/>
        </w:rPr>
        <w:t>relevant Participating Securities</w:t>
      </w:r>
      <w:r w:rsidRPr="00902698">
        <w:rPr>
          <w:rFonts w:asciiTheme="minorHAnsi" w:eastAsiaTheme="minorHAnsi" w:hAnsiTheme="minorHAnsi" w:cstheme="minorHAnsi"/>
          <w:sz w:val="21"/>
          <w:szCs w:val="21"/>
          <w:lang w:val="en-GB" w:eastAsia="en-US"/>
        </w:rPr>
        <w:t>” means all Participating Securities recorded in the register of</w:t>
      </w:r>
      <w:r w:rsidR="00C93AD1"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members of the Company on the Live Date.”</w:t>
      </w:r>
    </w:p>
    <w:p w14:paraId="76450144" w14:textId="77777777" w:rsidR="00902698" w:rsidRPr="00902698" w:rsidRDefault="00902698" w:rsidP="00902698">
      <w:pPr>
        <w:autoSpaceDE w:val="0"/>
        <w:autoSpaceDN w:val="0"/>
        <w:rPr>
          <w:rFonts w:asciiTheme="minorHAnsi" w:eastAsiaTheme="minorHAnsi" w:hAnsiTheme="minorHAnsi" w:cstheme="minorHAnsi"/>
          <w:sz w:val="21"/>
          <w:szCs w:val="21"/>
          <w:lang w:val="en-GB" w:eastAsia="en-US"/>
        </w:rPr>
      </w:pPr>
    </w:p>
    <w:p w14:paraId="711F5A27" w14:textId="3AAFAB37" w:rsidR="00C93AD1" w:rsidRPr="00902698" w:rsidRDefault="004E4BC5" w:rsidP="00902698">
      <w:pPr>
        <w:pStyle w:val="Body"/>
        <w:keepNext/>
        <w:rPr>
          <w:rFonts w:asciiTheme="minorHAnsi" w:hAnsiTheme="minorHAnsi" w:cstheme="minorHAnsi"/>
          <w:lang w:eastAsia="en-US"/>
        </w:rPr>
      </w:pPr>
      <w:r w:rsidRPr="00902698">
        <w:rPr>
          <w:rFonts w:asciiTheme="minorHAnsi" w:hAnsiTheme="minorHAnsi" w:cstheme="minorHAnsi"/>
          <w:lang w:eastAsia="en-US"/>
        </w:rPr>
        <w:t xml:space="preserve">Resolution </w:t>
      </w:r>
      <w:r w:rsidR="00C93AD1" w:rsidRPr="00902698">
        <w:rPr>
          <w:rFonts w:asciiTheme="minorHAnsi" w:hAnsiTheme="minorHAnsi" w:cstheme="minorHAnsi"/>
          <w:lang w:eastAsia="en-US"/>
        </w:rPr>
        <w:t>2</w:t>
      </w:r>
      <w:r w:rsidRPr="00902698">
        <w:rPr>
          <w:rFonts w:asciiTheme="minorHAnsi" w:hAnsiTheme="minorHAnsi" w:cstheme="minorHAnsi"/>
          <w:lang w:eastAsia="en-US"/>
        </w:rPr>
        <w:t>:</w:t>
      </w:r>
      <w:r w:rsidR="00C93AD1" w:rsidRPr="00902698">
        <w:rPr>
          <w:rFonts w:asciiTheme="minorHAnsi" w:hAnsiTheme="minorHAnsi" w:cstheme="minorHAnsi"/>
          <w:lang w:eastAsia="en-US"/>
        </w:rPr>
        <w:t xml:space="preserve"> </w:t>
      </w:r>
      <w:r w:rsidR="00C93AD1" w:rsidRPr="00902698">
        <w:rPr>
          <w:rFonts w:asciiTheme="minorHAnsi" w:eastAsiaTheme="minorHAnsi" w:hAnsiTheme="minorHAnsi" w:cstheme="minorHAnsi"/>
          <w:b/>
          <w:bCs/>
          <w:sz w:val="21"/>
          <w:szCs w:val="21"/>
          <w:lang w:val="en-GB" w:eastAsia="en-US"/>
        </w:rPr>
        <w:t>Special resolution for the purposes of the Companies Act 2014, as amended (</w:t>
      </w:r>
      <w:r w:rsidR="00D40E0F">
        <w:rPr>
          <w:rFonts w:asciiTheme="minorHAnsi" w:eastAsiaTheme="minorHAnsi" w:hAnsiTheme="minorHAnsi" w:cstheme="minorHAnsi"/>
          <w:b/>
          <w:bCs/>
          <w:sz w:val="21"/>
          <w:szCs w:val="21"/>
          <w:lang w:val="en-GB" w:eastAsia="en-US"/>
        </w:rPr>
        <w:t>“</w:t>
      </w:r>
      <w:r w:rsidR="00C93AD1" w:rsidRPr="00902698">
        <w:rPr>
          <w:rFonts w:asciiTheme="minorHAnsi" w:eastAsiaTheme="minorHAnsi" w:hAnsiTheme="minorHAnsi" w:cstheme="minorHAnsi"/>
          <w:b/>
          <w:bCs/>
          <w:sz w:val="21"/>
          <w:szCs w:val="21"/>
          <w:lang w:val="en-GB" w:eastAsia="en-US"/>
        </w:rPr>
        <w:t>Companies Act</w:t>
      </w:r>
      <w:r w:rsidR="00D40E0F">
        <w:rPr>
          <w:rFonts w:asciiTheme="minorHAnsi" w:eastAsiaTheme="minorHAnsi" w:hAnsiTheme="minorHAnsi" w:cstheme="minorHAnsi"/>
          <w:b/>
          <w:bCs/>
          <w:sz w:val="21"/>
          <w:szCs w:val="21"/>
          <w:lang w:val="en-GB" w:eastAsia="en-US"/>
        </w:rPr>
        <w:t>”</w:t>
      </w:r>
      <w:r w:rsidR="00C93AD1" w:rsidRPr="00902698">
        <w:rPr>
          <w:rFonts w:asciiTheme="minorHAnsi" w:eastAsiaTheme="minorHAnsi" w:hAnsiTheme="minorHAnsi" w:cstheme="minorHAnsi"/>
          <w:b/>
          <w:bCs/>
          <w:sz w:val="21"/>
          <w:szCs w:val="21"/>
          <w:lang w:val="en-GB" w:eastAsia="en-US"/>
        </w:rPr>
        <w:t>)</w:t>
      </w:r>
    </w:p>
    <w:p w14:paraId="495B5C79" w14:textId="1F9CFB5D" w:rsidR="00C93AD1" w:rsidRPr="00902698" w:rsidRDefault="00C93AD1" w:rsidP="00902698">
      <w:p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 xml:space="preserve">“THAT, subject to the adoption of Resolution 1 in the notice of </w:t>
      </w:r>
      <w:r w:rsidR="00902698" w:rsidRPr="00902698">
        <w:rPr>
          <w:rFonts w:asciiTheme="minorHAnsi" w:eastAsiaTheme="minorHAnsi" w:hAnsiTheme="minorHAnsi" w:cstheme="minorHAnsi"/>
          <w:sz w:val="21"/>
          <w:szCs w:val="21"/>
          <w:lang w:val="en-GB" w:eastAsia="en-US"/>
        </w:rPr>
        <w:t>[sic]</w:t>
      </w:r>
      <w:r w:rsidRPr="00902698">
        <w:rPr>
          <w:rFonts w:asciiTheme="minorHAnsi" w:eastAsiaTheme="minorHAnsi" w:hAnsiTheme="minorHAnsi" w:cstheme="minorHAnsi"/>
          <w:sz w:val="21"/>
          <w:szCs w:val="21"/>
          <w:lang w:val="en-GB" w:eastAsia="en-US"/>
        </w:rPr>
        <w:t xml:space="preserve"> EGM, the Articles of</w:t>
      </w:r>
      <w:r w:rsidR="00902698"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Association of the Company, which have been available for inspection at the registered office</w:t>
      </w:r>
      <w:r w:rsidR="00902698"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 xml:space="preserve">of the Company since the date of the notice of </w:t>
      </w:r>
      <w:r w:rsidR="00902698" w:rsidRPr="00902698">
        <w:rPr>
          <w:rFonts w:asciiTheme="minorHAnsi" w:eastAsiaTheme="minorHAnsi" w:hAnsiTheme="minorHAnsi" w:cstheme="minorHAnsi"/>
          <w:sz w:val="21"/>
          <w:szCs w:val="21"/>
          <w:lang w:val="en-GB" w:eastAsia="en-US"/>
        </w:rPr>
        <w:t xml:space="preserve">[sic] </w:t>
      </w:r>
      <w:r w:rsidRPr="00902698">
        <w:rPr>
          <w:rFonts w:asciiTheme="minorHAnsi" w:eastAsiaTheme="minorHAnsi" w:hAnsiTheme="minorHAnsi" w:cstheme="minorHAnsi"/>
          <w:sz w:val="21"/>
          <w:szCs w:val="21"/>
          <w:lang w:val="en-GB" w:eastAsia="en-US"/>
        </w:rPr>
        <w:t>EGM, be and are hereby adopted on and</w:t>
      </w:r>
      <w:r w:rsidR="00902698"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with immediate effect from the passing of this Resolution as the new Articles of Association of</w:t>
      </w:r>
      <w:r w:rsidR="00902698"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the Company in substitution for and to the exclusion of, the existing Articles of Association of</w:t>
      </w:r>
      <w:r w:rsidR="00902698"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the Company.”</w:t>
      </w:r>
    </w:p>
    <w:p w14:paraId="3693E8F5" w14:textId="77777777" w:rsidR="00C93AD1" w:rsidRPr="00902698" w:rsidRDefault="00C93AD1" w:rsidP="00902698">
      <w:pPr>
        <w:autoSpaceDE w:val="0"/>
        <w:autoSpaceDN w:val="0"/>
        <w:rPr>
          <w:rFonts w:asciiTheme="minorHAnsi" w:eastAsia="Prompt-Light" w:hAnsiTheme="minorHAnsi" w:cstheme="minorHAnsi"/>
          <w:sz w:val="16"/>
          <w:szCs w:val="16"/>
          <w:lang w:val="en-GB" w:eastAsia="en-US"/>
        </w:rPr>
      </w:pPr>
    </w:p>
    <w:p w14:paraId="2DD31569" w14:textId="4259D0A0" w:rsidR="004E4BC5" w:rsidRPr="00902698" w:rsidRDefault="004E4BC5" w:rsidP="00902698">
      <w:pPr>
        <w:autoSpaceDE w:val="0"/>
        <w:autoSpaceDN w:val="0"/>
        <w:rPr>
          <w:rFonts w:asciiTheme="minorHAnsi" w:hAnsiTheme="minorHAnsi" w:cstheme="minorHAnsi"/>
        </w:rPr>
      </w:pPr>
      <w:r w:rsidRPr="00902698">
        <w:rPr>
          <w:rFonts w:asciiTheme="minorHAnsi" w:hAnsiTheme="minorHAnsi" w:cstheme="minorHAnsi"/>
        </w:rPr>
        <w:t xml:space="preserve">Resolution </w:t>
      </w:r>
      <w:r w:rsidR="00C93AD1" w:rsidRPr="00902698">
        <w:rPr>
          <w:rFonts w:asciiTheme="minorHAnsi" w:hAnsiTheme="minorHAnsi" w:cstheme="minorHAnsi"/>
        </w:rPr>
        <w:t>3</w:t>
      </w:r>
      <w:r w:rsidRPr="00902698">
        <w:rPr>
          <w:rFonts w:asciiTheme="minorHAnsi" w:hAnsiTheme="minorHAnsi" w:cstheme="minorHAnsi"/>
        </w:rPr>
        <w:t>:</w:t>
      </w:r>
      <w:r w:rsidR="00C93AD1" w:rsidRPr="00902698">
        <w:rPr>
          <w:rFonts w:asciiTheme="minorHAnsi" w:eastAsiaTheme="minorHAnsi" w:hAnsiTheme="minorHAnsi" w:cstheme="minorHAnsi"/>
          <w:b/>
          <w:bCs/>
          <w:sz w:val="21"/>
          <w:szCs w:val="21"/>
          <w:lang w:val="en-GB" w:eastAsia="en-US"/>
        </w:rPr>
        <w:t xml:space="preserve"> Special resolution for the purposes of the Companies Act</w:t>
      </w:r>
    </w:p>
    <w:p w14:paraId="15E91771" w14:textId="0AA56085" w:rsidR="004E4BC5" w:rsidRPr="00902698" w:rsidRDefault="004E4BC5" w:rsidP="00902698">
      <w:pPr>
        <w:autoSpaceDE w:val="0"/>
        <w:autoSpaceDN w:val="0"/>
        <w:rPr>
          <w:rFonts w:asciiTheme="minorHAnsi" w:hAnsiTheme="minorHAnsi" w:cstheme="minorHAnsi"/>
        </w:rPr>
      </w:pPr>
    </w:p>
    <w:p w14:paraId="543BD71B" w14:textId="456447F3" w:rsidR="00C93AD1" w:rsidRPr="00902698" w:rsidRDefault="00C93AD1" w:rsidP="00902698">
      <w:pPr>
        <w:autoSpaceDE w:val="0"/>
        <w:autoSpaceDN w:val="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 xml:space="preserve">“THAT, subject to the adoption of Resolutions 1 and 2 in the notice of </w:t>
      </w:r>
      <w:r w:rsidR="00902698" w:rsidRPr="00902698">
        <w:rPr>
          <w:rFonts w:asciiTheme="minorHAnsi" w:eastAsiaTheme="minorHAnsi" w:hAnsiTheme="minorHAnsi" w:cstheme="minorHAnsi"/>
          <w:sz w:val="21"/>
          <w:szCs w:val="21"/>
          <w:lang w:val="en-GB" w:eastAsia="en-US"/>
        </w:rPr>
        <w:t>[sic]</w:t>
      </w:r>
      <w:r w:rsidRPr="00902698">
        <w:rPr>
          <w:rFonts w:asciiTheme="minorHAnsi" w:eastAsiaTheme="minorHAnsi" w:hAnsiTheme="minorHAnsi" w:cstheme="minorHAnsi"/>
          <w:sz w:val="21"/>
          <w:szCs w:val="21"/>
          <w:lang w:val="en-GB" w:eastAsia="en-US"/>
        </w:rPr>
        <w:t xml:space="preserve"> EGM, the Company</w:t>
      </w:r>
      <w:r w:rsidR="00902698" w:rsidRPr="00902698">
        <w:rPr>
          <w:rFonts w:asciiTheme="minorHAnsi" w:eastAsiaTheme="minorHAnsi" w:hAnsiTheme="minorHAnsi" w:cstheme="minorHAnsi"/>
          <w:sz w:val="21"/>
          <w:szCs w:val="21"/>
          <w:lang w:val="en-GB" w:eastAsia="en-US"/>
        </w:rPr>
        <w:t xml:space="preserve"> </w:t>
      </w:r>
      <w:r w:rsidRPr="00902698">
        <w:rPr>
          <w:rFonts w:asciiTheme="minorHAnsi" w:eastAsiaTheme="minorHAnsi" w:hAnsiTheme="minorHAnsi" w:cstheme="minorHAnsi"/>
          <w:sz w:val="21"/>
          <w:szCs w:val="21"/>
          <w:lang w:val="en-GB" w:eastAsia="en-US"/>
        </w:rPr>
        <w:t>be and is hereby authorised and instructed to:</w:t>
      </w:r>
    </w:p>
    <w:p w14:paraId="659521F7" w14:textId="77777777" w:rsidR="00C93AD1" w:rsidRPr="00902698" w:rsidRDefault="00C93AD1" w:rsidP="00902698">
      <w:pPr>
        <w:autoSpaceDE w:val="0"/>
        <w:autoSpaceDN w:val="0"/>
        <w:ind w:firstLine="720"/>
        <w:rPr>
          <w:rFonts w:asciiTheme="minorHAnsi" w:eastAsiaTheme="minorHAnsi" w:hAnsiTheme="minorHAnsi" w:cstheme="minorHAnsi"/>
          <w:sz w:val="21"/>
          <w:szCs w:val="21"/>
          <w:lang w:val="en-GB" w:eastAsia="en-US"/>
        </w:rPr>
      </w:pPr>
    </w:p>
    <w:p w14:paraId="444557ED" w14:textId="6463D914" w:rsidR="00C93AD1" w:rsidRPr="00902698" w:rsidRDefault="00C93AD1" w:rsidP="00902698">
      <w:pPr>
        <w:autoSpaceDE w:val="0"/>
        <w:autoSpaceDN w:val="0"/>
        <w:ind w:left="1440" w:hanging="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 xml:space="preserve">(a) </w:t>
      </w:r>
      <w:r w:rsidR="00902698" w:rsidRPr="00902698">
        <w:rPr>
          <w:rFonts w:asciiTheme="minorHAnsi" w:eastAsiaTheme="minorHAnsi" w:hAnsiTheme="minorHAnsi" w:cstheme="minorHAnsi"/>
          <w:sz w:val="21"/>
          <w:szCs w:val="21"/>
          <w:lang w:val="en-GB" w:eastAsia="en-US"/>
        </w:rPr>
        <w:tab/>
      </w:r>
      <w:r w:rsidRPr="00902698">
        <w:rPr>
          <w:rFonts w:asciiTheme="minorHAnsi" w:eastAsiaTheme="minorHAnsi" w:hAnsiTheme="minorHAnsi" w:cstheme="minorHAnsi"/>
          <w:sz w:val="21"/>
          <w:szCs w:val="21"/>
          <w:lang w:val="en-GB" w:eastAsia="en-US"/>
        </w:rPr>
        <w:t>take any and all actions which the Directors, in their absolute discretion, consider necessary or desirable to implement the Migration (including, without limitation, determining not to proceed with the Migration) and/or the matters in connection with the Migration referred to in the Circular (including the procedures and processes described in the EB Migration Guide (as amended from time to time)); and</w:t>
      </w:r>
    </w:p>
    <w:p w14:paraId="37040163" w14:textId="77777777" w:rsidR="00C93AD1" w:rsidRPr="00902698" w:rsidRDefault="00C93AD1" w:rsidP="00902698">
      <w:pPr>
        <w:autoSpaceDE w:val="0"/>
        <w:autoSpaceDN w:val="0"/>
        <w:ind w:firstLine="720"/>
        <w:rPr>
          <w:rFonts w:asciiTheme="minorHAnsi" w:eastAsiaTheme="minorHAnsi" w:hAnsiTheme="minorHAnsi" w:cstheme="minorHAnsi"/>
          <w:sz w:val="21"/>
          <w:szCs w:val="21"/>
          <w:lang w:val="en-GB" w:eastAsia="en-US"/>
        </w:rPr>
      </w:pPr>
    </w:p>
    <w:p w14:paraId="769C3A3F" w14:textId="5CB54F5A" w:rsidR="00C93AD1" w:rsidRDefault="00C93AD1" w:rsidP="00902698">
      <w:pPr>
        <w:autoSpaceDE w:val="0"/>
        <w:autoSpaceDN w:val="0"/>
        <w:ind w:left="1440" w:hanging="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(b)</w:t>
      </w:r>
      <w:r w:rsidR="00902698" w:rsidRPr="00902698">
        <w:rPr>
          <w:rFonts w:asciiTheme="minorHAnsi" w:eastAsiaTheme="minorHAnsi" w:hAnsiTheme="minorHAnsi" w:cstheme="minorHAnsi"/>
          <w:sz w:val="21"/>
          <w:szCs w:val="21"/>
          <w:lang w:val="en-GB" w:eastAsia="en-US"/>
        </w:rPr>
        <w:tab/>
      </w:r>
      <w:r w:rsidRPr="00902698">
        <w:rPr>
          <w:rFonts w:asciiTheme="minorHAnsi" w:eastAsiaTheme="minorHAnsi" w:hAnsiTheme="minorHAnsi" w:cstheme="minorHAnsi"/>
          <w:sz w:val="21"/>
          <w:szCs w:val="21"/>
          <w:lang w:val="en-GB" w:eastAsia="en-US"/>
        </w:rPr>
        <w:t xml:space="preserve"> appoint any persons as attorney or agent for the holders of the Migrating Shares to do any and all things, including the execution and delivery of all such documents and/or instructions as may, in the opinion of the attorney or agent, be necessary or desirable to implement the Migration and/or the matters in connection with the Migration referred </w:t>
      </w:r>
      <w:r w:rsidRPr="00902698">
        <w:rPr>
          <w:rFonts w:asciiTheme="minorHAnsi" w:eastAsiaTheme="minorHAnsi" w:hAnsiTheme="minorHAnsi" w:cstheme="minorHAnsi"/>
          <w:sz w:val="21"/>
          <w:szCs w:val="21"/>
          <w:lang w:val="en-GB" w:eastAsia="en-US"/>
        </w:rPr>
        <w:lastRenderedPageBreak/>
        <w:t>to in the Circular (including the procedures and processes described in the EB Migration Guide (as amended from time to time)) including:</w:t>
      </w:r>
    </w:p>
    <w:p w14:paraId="32B20CAF" w14:textId="77777777" w:rsidR="00902698" w:rsidRPr="00902698" w:rsidRDefault="00902698" w:rsidP="00902698">
      <w:pPr>
        <w:autoSpaceDE w:val="0"/>
        <w:autoSpaceDN w:val="0"/>
        <w:ind w:left="1440" w:hanging="720"/>
        <w:rPr>
          <w:rFonts w:asciiTheme="minorHAnsi" w:eastAsiaTheme="minorHAnsi" w:hAnsiTheme="minorHAnsi" w:cstheme="minorHAnsi"/>
          <w:sz w:val="21"/>
          <w:szCs w:val="21"/>
          <w:lang w:val="en-GB" w:eastAsia="en-US"/>
        </w:rPr>
      </w:pPr>
    </w:p>
    <w:p w14:paraId="0183881B" w14:textId="23B2F503" w:rsidR="00C93AD1" w:rsidRDefault="00C93AD1" w:rsidP="00902698">
      <w:pPr>
        <w:autoSpaceDE w:val="0"/>
        <w:autoSpaceDN w:val="0"/>
        <w:ind w:left="2160" w:hanging="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w:t>
      </w:r>
      <w:proofErr w:type="spellStart"/>
      <w:r w:rsidRPr="00902698">
        <w:rPr>
          <w:rFonts w:asciiTheme="minorHAnsi" w:eastAsiaTheme="minorHAnsi" w:hAnsiTheme="minorHAnsi" w:cstheme="minorHAnsi"/>
          <w:sz w:val="21"/>
          <w:szCs w:val="21"/>
          <w:lang w:val="en-GB" w:eastAsia="en-US"/>
        </w:rPr>
        <w:t>i</w:t>
      </w:r>
      <w:proofErr w:type="spellEnd"/>
      <w:r w:rsidRPr="00902698">
        <w:rPr>
          <w:rFonts w:asciiTheme="minorHAnsi" w:eastAsiaTheme="minorHAnsi" w:hAnsiTheme="minorHAnsi" w:cstheme="minorHAnsi"/>
          <w:sz w:val="21"/>
          <w:szCs w:val="21"/>
          <w:lang w:val="en-GB" w:eastAsia="en-US"/>
        </w:rPr>
        <w:t xml:space="preserve">) </w:t>
      </w:r>
      <w:r w:rsidR="00902698" w:rsidRPr="00902698">
        <w:rPr>
          <w:rFonts w:asciiTheme="minorHAnsi" w:eastAsiaTheme="minorHAnsi" w:hAnsiTheme="minorHAnsi" w:cstheme="minorHAnsi"/>
          <w:sz w:val="21"/>
          <w:szCs w:val="21"/>
          <w:lang w:val="en-GB" w:eastAsia="en-US"/>
        </w:rPr>
        <w:tab/>
      </w:r>
      <w:r w:rsidRPr="00902698">
        <w:rPr>
          <w:rFonts w:asciiTheme="minorHAnsi" w:eastAsiaTheme="minorHAnsi" w:hAnsiTheme="minorHAnsi" w:cstheme="minorHAnsi"/>
          <w:sz w:val="21"/>
          <w:szCs w:val="21"/>
          <w:lang w:val="en-GB" w:eastAsia="en-US"/>
        </w:rPr>
        <w:t>instructing Euroclear Bank and/or Euroclear Nominees to credit the interests of the holders of the Migrating Shares in the Migrating Shares (i.e. the Belgian Law Rights representing the Migrating Shares to which such holder was entitled) to the account of the CREST Nominee (CIN (Belgium) Limited) in the Euroclear System, as nominee and for the benefit of the CREST Depository (or the account of such other nominee(s) of the CREST Depository as it may determine);</w:t>
      </w:r>
    </w:p>
    <w:p w14:paraId="236E271E" w14:textId="77777777" w:rsidR="00D40E0F" w:rsidRPr="00902698" w:rsidRDefault="00D40E0F" w:rsidP="00902698">
      <w:pPr>
        <w:autoSpaceDE w:val="0"/>
        <w:autoSpaceDN w:val="0"/>
        <w:ind w:left="2160" w:hanging="720"/>
        <w:rPr>
          <w:rFonts w:asciiTheme="minorHAnsi" w:eastAsiaTheme="minorHAnsi" w:hAnsiTheme="minorHAnsi" w:cstheme="minorHAnsi"/>
          <w:sz w:val="21"/>
          <w:szCs w:val="21"/>
          <w:lang w:val="en-GB" w:eastAsia="en-US"/>
        </w:rPr>
      </w:pPr>
    </w:p>
    <w:p w14:paraId="0D8A0E1E" w14:textId="53DF781F" w:rsidR="00C93AD1" w:rsidRDefault="00C93AD1" w:rsidP="00902698">
      <w:pPr>
        <w:autoSpaceDE w:val="0"/>
        <w:autoSpaceDN w:val="0"/>
        <w:ind w:left="2160" w:hanging="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 xml:space="preserve">(ii) </w:t>
      </w:r>
      <w:r w:rsidR="00902698" w:rsidRPr="00902698">
        <w:rPr>
          <w:rFonts w:asciiTheme="minorHAnsi" w:eastAsiaTheme="minorHAnsi" w:hAnsiTheme="minorHAnsi" w:cstheme="minorHAnsi"/>
          <w:sz w:val="21"/>
          <w:szCs w:val="21"/>
          <w:lang w:val="en-GB" w:eastAsia="en-US"/>
        </w:rPr>
        <w:tab/>
      </w:r>
      <w:r w:rsidRPr="00902698">
        <w:rPr>
          <w:rFonts w:asciiTheme="minorHAnsi" w:eastAsiaTheme="minorHAnsi" w:hAnsiTheme="minorHAnsi" w:cstheme="minorHAnsi"/>
          <w:sz w:val="21"/>
          <w:szCs w:val="21"/>
          <w:lang w:val="en-GB" w:eastAsia="en-US"/>
        </w:rPr>
        <w:t>any action necessary or desirable to enable the CREST Depository to hold the interests in the Migrating Shares referred to in sub-paragraph (</w:t>
      </w:r>
      <w:proofErr w:type="spellStart"/>
      <w:r w:rsidRPr="00902698">
        <w:rPr>
          <w:rFonts w:asciiTheme="minorHAnsi" w:eastAsiaTheme="minorHAnsi" w:hAnsiTheme="minorHAnsi" w:cstheme="minorHAnsi"/>
          <w:sz w:val="21"/>
          <w:szCs w:val="21"/>
          <w:lang w:val="en-GB" w:eastAsia="en-US"/>
        </w:rPr>
        <w:t>i</w:t>
      </w:r>
      <w:proofErr w:type="spellEnd"/>
      <w:r w:rsidRPr="00902698">
        <w:rPr>
          <w:rFonts w:asciiTheme="minorHAnsi" w:eastAsiaTheme="minorHAnsi" w:hAnsiTheme="minorHAnsi" w:cstheme="minorHAnsi"/>
          <w:sz w:val="21"/>
          <w:szCs w:val="21"/>
          <w:lang w:val="en-GB" w:eastAsia="en-US"/>
        </w:rPr>
        <w:t>) above on trust pursuant to the terms of the CREST Deed Poll or otherwise and for the benefit of the holders of the CREST Depository Interests (“</w:t>
      </w:r>
      <w:r w:rsidRPr="00902698">
        <w:rPr>
          <w:rFonts w:asciiTheme="minorHAnsi" w:eastAsiaTheme="minorHAnsi" w:hAnsiTheme="minorHAnsi" w:cstheme="minorHAnsi"/>
          <w:b/>
          <w:bCs/>
          <w:sz w:val="21"/>
          <w:szCs w:val="21"/>
          <w:lang w:val="en-GB" w:eastAsia="en-US"/>
        </w:rPr>
        <w:t>CDIs</w:t>
      </w:r>
      <w:r w:rsidRPr="00902698">
        <w:rPr>
          <w:rFonts w:asciiTheme="minorHAnsi" w:eastAsiaTheme="minorHAnsi" w:hAnsiTheme="minorHAnsi" w:cstheme="minorHAnsi"/>
          <w:sz w:val="21"/>
          <w:szCs w:val="21"/>
          <w:lang w:val="en-GB" w:eastAsia="en-US"/>
        </w:rPr>
        <w:t>”) (being the relevant holder of the Migrating Shares);</w:t>
      </w:r>
    </w:p>
    <w:p w14:paraId="3F102F61" w14:textId="77777777" w:rsidR="00D40E0F" w:rsidRPr="00902698" w:rsidRDefault="00D40E0F" w:rsidP="00902698">
      <w:pPr>
        <w:autoSpaceDE w:val="0"/>
        <w:autoSpaceDN w:val="0"/>
        <w:ind w:left="2160" w:hanging="720"/>
        <w:rPr>
          <w:rFonts w:asciiTheme="minorHAnsi" w:eastAsiaTheme="minorHAnsi" w:hAnsiTheme="minorHAnsi" w:cstheme="minorHAnsi"/>
          <w:sz w:val="21"/>
          <w:szCs w:val="21"/>
          <w:lang w:val="en-GB" w:eastAsia="en-US"/>
        </w:rPr>
      </w:pPr>
    </w:p>
    <w:p w14:paraId="225FBE19" w14:textId="6AF66837" w:rsidR="00C93AD1" w:rsidRDefault="00C93AD1" w:rsidP="00902698">
      <w:pPr>
        <w:autoSpaceDE w:val="0"/>
        <w:autoSpaceDN w:val="0"/>
        <w:ind w:left="2160" w:hanging="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 xml:space="preserve">(iii) </w:t>
      </w:r>
      <w:r w:rsidR="00902698" w:rsidRPr="00902698">
        <w:rPr>
          <w:rFonts w:asciiTheme="minorHAnsi" w:eastAsiaTheme="minorHAnsi" w:hAnsiTheme="minorHAnsi" w:cstheme="minorHAnsi"/>
          <w:sz w:val="21"/>
          <w:szCs w:val="21"/>
          <w:lang w:val="en-GB" w:eastAsia="en-US"/>
        </w:rPr>
        <w:tab/>
      </w:r>
      <w:r w:rsidRPr="00902698">
        <w:rPr>
          <w:rFonts w:asciiTheme="minorHAnsi" w:eastAsiaTheme="minorHAnsi" w:hAnsiTheme="minorHAnsi" w:cstheme="minorHAnsi"/>
          <w:sz w:val="21"/>
          <w:szCs w:val="21"/>
          <w:lang w:val="en-GB" w:eastAsia="en-US"/>
        </w:rPr>
        <w:t>any action necessary or desirable to enable the issuance of CDIs by the CREST Depository to the relevant holders of the Migrating Shares, including any action deemed necessary or desirable in order to authorise Euroclear Bank, the CREST Nominee and/or any other relevant entity to instruct the CREST Depository and/or EUI to issue the CDIs to the relevant holders of the Migrating Shares pursuant t</w:t>
      </w:r>
      <w:r w:rsidR="00902698" w:rsidRPr="00902698">
        <w:rPr>
          <w:rFonts w:asciiTheme="minorHAnsi" w:eastAsiaTheme="minorHAnsi" w:hAnsiTheme="minorHAnsi" w:cstheme="minorHAnsi"/>
          <w:sz w:val="21"/>
          <w:szCs w:val="21"/>
          <w:lang w:val="en-GB" w:eastAsia="en-US"/>
        </w:rPr>
        <w:t xml:space="preserve">o </w:t>
      </w:r>
      <w:r w:rsidRPr="00902698">
        <w:rPr>
          <w:rFonts w:asciiTheme="minorHAnsi" w:eastAsiaTheme="minorHAnsi" w:hAnsiTheme="minorHAnsi" w:cstheme="minorHAnsi"/>
          <w:sz w:val="21"/>
          <w:szCs w:val="21"/>
          <w:lang w:val="en-GB" w:eastAsia="en-US"/>
        </w:rPr>
        <w:t>the terms of the CREST Deed Poll or otherwise; and</w:t>
      </w:r>
    </w:p>
    <w:p w14:paraId="0A08E6DE" w14:textId="77777777" w:rsidR="00D40E0F" w:rsidRPr="00902698" w:rsidRDefault="00D40E0F" w:rsidP="00902698">
      <w:pPr>
        <w:autoSpaceDE w:val="0"/>
        <w:autoSpaceDN w:val="0"/>
        <w:ind w:left="2160" w:hanging="720"/>
        <w:rPr>
          <w:rFonts w:asciiTheme="minorHAnsi" w:eastAsiaTheme="minorHAnsi" w:hAnsiTheme="minorHAnsi" w:cstheme="minorHAnsi"/>
          <w:sz w:val="21"/>
          <w:szCs w:val="21"/>
          <w:lang w:val="en-GB" w:eastAsia="en-US"/>
        </w:rPr>
      </w:pPr>
    </w:p>
    <w:p w14:paraId="59961459" w14:textId="77777777" w:rsidR="00D40E0F" w:rsidRDefault="00C93AD1" w:rsidP="00902698">
      <w:pPr>
        <w:autoSpaceDE w:val="0"/>
        <w:autoSpaceDN w:val="0"/>
        <w:ind w:left="2160" w:hanging="720"/>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 xml:space="preserve">(iv) </w:t>
      </w:r>
      <w:r w:rsidR="00902698" w:rsidRPr="00902698">
        <w:rPr>
          <w:rFonts w:asciiTheme="minorHAnsi" w:eastAsiaTheme="minorHAnsi" w:hAnsiTheme="minorHAnsi" w:cstheme="minorHAnsi"/>
          <w:sz w:val="21"/>
          <w:szCs w:val="21"/>
          <w:lang w:val="en-GB" w:eastAsia="en-US"/>
        </w:rPr>
        <w:tab/>
      </w:r>
      <w:r w:rsidRPr="00902698">
        <w:rPr>
          <w:rFonts w:asciiTheme="minorHAnsi" w:eastAsiaTheme="minorHAnsi" w:hAnsiTheme="minorHAnsi" w:cstheme="minorHAnsi"/>
          <w:sz w:val="21"/>
          <w:szCs w:val="21"/>
          <w:lang w:val="en-GB" w:eastAsia="en-US"/>
        </w:rPr>
        <w:t xml:space="preserve">the release by the Company’s Registrar, the Secretary of the Company and/or EUI of such personal data of a holder of Migrating Shares to the extent required by Euroclear Bank, the CREST Depository and/or EUI to effect the Migration and the issue of the CDIs; </w:t>
      </w:r>
    </w:p>
    <w:p w14:paraId="693BEC08" w14:textId="77777777" w:rsidR="00D40E0F" w:rsidRDefault="00D40E0F" w:rsidP="00902698">
      <w:pPr>
        <w:autoSpaceDE w:val="0"/>
        <w:autoSpaceDN w:val="0"/>
        <w:ind w:left="2160" w:hanging="720"/>
        <w:rPr>
          <w:rFonts w:asciiTheme="minorHAnsi" w:eastAsiaTheme="minorHAnsi" w:hAnsiTheme="minorHAnsi" w:cstheme="minorHAnsi"/>
          <w:sz w:val="21"/>
          <w:szCs w:val="21"/>
          <w:lang w:val="en-GB" w:eastAsia="en-US"/>
        </w:rPr>
      </w:pPr>
    </w:p>
    <w:p w14:paraId="303372D2" w14:textId="6D9787A6" w:rsidR="00C93AD1" w:rsidRPr="00902698" w:rsidRDefault="00C93AD1" w:rsidP="00BB1C31">
      <w:pPr>
        <w:autoSpaceDE w:val="0"/>
        <w:autoSpaceDN w:val="0"/>
        <w:ind w:left="1418" w:firstLine="22"/>
        <w:rPr>
          <w:rFonts w:asciiTheme="minorHAnsi" w:eastAsiaTheme="minorHAnsi" w:hAnsiTheme="minorHAnsi" w:cstheme="minorHAnsi"/>
          <w:sz w:val="21"/>
          <w:szCs w:val="21"/>
          <w:lang w:val="en-GB" w:eastAsia="en-US"/>
        </w:rPr>
      </w:pPr>
      <w:r w:rsidRPr="00902698">
        <w:rPr>
          <w:rFonts w:asciiTheme="minorHAnsi" w:eastAsiaTheme="minorHAnsi" w:hAnsiTheme="minorHAnsi" w:cstheme="minorHAnsi"/>
          <w:sz w:val="21"/>
          <w:szCs w:val="21"/>
          <w:lang w:val="en-GB" w:eastAsia="en-US"/>
        </w:rPr>
        <w:t>it being understood that capitalised terms used in this Resolution shall have the meaning given to them in the Circular issued by the Company to its shareholders dated 21 December 2020, and provided always that nothing in this Resolution shall qualify or limit in any way the effect of Resolutions 1 and 2, or the authorisations and powers arising from such effect.”</w:t>
      </w:r>
    </w:p>
    <w:p w14:paraId="4F6E481E" w14:textId="77777777" w:rsidR="004E4BC5" w:rsidRPr="00902698" w:rsidRDefault="004E4BC5" w:rsidP="00902698">
      <w:pPr>
        <w:autoSpaceDE w:val="0"/>
        <w:autoSpaceDN w:val="0"/>
        <w:rPr>
          <w:rFonts w:asciiTheme="minorHAnsi" w:hAnsiTheme="minorHAnsi" w:cstheme="minorHAnsi"/>
        </w:rPr>
      </w:pPr>
    </w:p>
    <w:p w14:paraId="41CB0525" w14:textId="77777777" w:rsidR="004E4BC5" w:rsidRPr="00902698" w:rsidRDefault="004E4BC5" w:rsidP="00902698">
      <w:pPr>
        <w:rPr>
          <w:rFonts w:asciiTheme="minorHAnsi" w:hAnsiTheme="minorHAnsi" w:cstheme="minorHAnsi"/>
          <w:b/>
        </w:rPr>
      </w:pPr>
      <w:r w:rsidRPr="00902698">
        <w:rPr>
          <w:rFonts w:asciiTheme="minorHAnsi" w:hAnsiTheme="minorHAnsi" w:cstheme="minorHAnsi"/>
          <w:b/>
        </w:rPr>
        <w:t>For further information, please contact:</w:t>
      </w:r>
    </w:p>
    <w:p w14:paraId="7E454091" w14:textId="77777777" w:rsidR="004E4BC5" w:rsidRPr="00902698" w:rsidRDefault="004E4BC5" w:rsidP="00902698">
      <w:pPr>
        <w:shd w:val="clear" w:color="auto" w:fill="FFFFFF"/>
        <w:ind w:right="566"/>
        <w:rPr>
          <w:rFonts w:asciiTheme="minorHAnsi" w:hAnsiTheme="minorHAnsi" w:cstheme="minorHAnsi"/>
          <w:color w:val="000000"/>
          <w:sz w:val="20"/>
          <w:szCs w:val="20"/>
          <w:lang w:eastAsia="en-GB"/>
        </w:rPr>
      </w:pPr>
    </w:p>
    <w:p w14:paraId="30DB0ED2" w14:textId="0BCEA587" w:rsidR="004E4BC5" w:rsidRPr="00902698" w:rsidRDefault="004E4BC5" w:rsidP="00902698">
      <w:pPr>
        <w:shd w:val="clear" w:color="auto" w:fill="FFFFFF"/>
        <w:ind w:right="566"/>
        <w:rPr>
          <w:rFonts w:asciiTheme="minorHAnsi" w:hAnsiTheme="minorHAnsi" w:cstheme="minorHAnsi"/>
          <w:color w:val="000000"/>
          <w:lang w:eastAsia="en-GB"/>
        </w:rPr>
      </w:pPr>
      <w:r w:rsidRPr="00902698">
        <w:rPr>
          <w:rFonts w:asciiTheme="minorHAnsi" w:hAnsiTheme="minorHAnsi" w:cstheme="minorHAnsi"/>
          <w:color w:val="000000"/>
          <w:lang w:eastAsia="en-GB"/>
        </w:rPr>
        <w:t>Jolene Gacquin</w:t>
      </w:r>
    </w:p>
    <w:p w14:paraId="5ED45B2A" w14:textId="77777777" w:rsidR="004E4BC5" w:rsidRPr="00902698" w:rsidRDefault="004E4BC5" w:rsidP="00902698">
      <w:pPr>
        <w:shd w:val="clear" w:color="auto" w:fill="FFFFFF"/>
        <w:ind w:right="566"/>
        <w:rPr>
          <w:rFonts w:asciiTheme="minorHAnsi" w:hAnsiTheme="minorHAnsi" w:cstheme="minorHAnsi"/>
          <w:color w:val="000000"/>
          <w:lang w:eastAsia="en-GB"/>
        </w:rPr>
      </w:pPr>
      <w:r w:rsidRPr="00902698">
        <w:rPr>
          <w:rFonts w:asciiTheme="minorHAnsi" w:hAnsiTheme="minorHAnsi" w:cstheme="minorHAnsi"/>
          <w:color w:val="000000"/>
          <w:lang w:eastAsia="en-GB"/>
        </w:rPr>
        <w:t>Group Company Secretary</w:t>
      </w:r>
    </w:p>
    <w:p w14:paraId="13BA4209" w14:textId="77777777" w:rsidR="004E4BC5" w:rsidRPr="00902698" w:rsidRDefault="004E4BC5" w:rsidP="00902698">
      <w:pPr>
        <w:tabs>
          <w:tab w:val="left" w:pos="7200"/>
        </w:tabs>
        <w:rPr>
          <w:rFonts w:asciiTheme="minorHAnsi" w:hAnsiTheme="minorHAnsi" w:cstheme="minorHAnsi"/>
        </w:rPr>
      </w:pPr>
      <w:r w:rsidRPr="00902698">
        <w:rPr>
          <w:rFonts w:asciiTheme="minorHAnsi" w:hAnsiTheme="minorHAnsi" w:cstheme="minorHAnsi"/>
        </w:rPr>
        <w:t>Greencore Group plc</w:t>
      </w:r>
    </w:p>
    <w:p w14:paraId="6B841CB2" w14:textId="77777777" w:rsidR="004E4BC5" w:rsidRPr="00902698" w:rsidRDefault="004E4BC5" w:rsidP="00902698">
      <w:pPr>
        <w:tabs>
          <w:tab w:val="left" w:pos="7200"/>
        </w:tabs>
        <w:rPr>
          <w:rFonts w:asciiTheme="minorHAnsi" w:hAnsiTheme="minorHAnsi" w:cstheme="minorHAnsi"/>
        </w:rPr>
      </w:pPr>
      <w:r w:rsidRPr="00902698">
        <w:rPr>
          <w:rFonts w:asciiTheme="minorHAnsi" w:hAnsiTheme="minorHAnsi" w:cstheme="minorHAnsi"/>
        </w:rPr>
        <w:t>No. 2 Northwood Avenue</w:t>
      </w:r>
    </w:p>
    <w:p w14:paraId="464DD92B" w14:textId="77777777" w:rsidR="004E4BC5" w:rsidRPr="00902698" w:rsidRDefault="004E4BC5" w:rsidP="00902698">
      <w:pPr>
        <w:tabs>
          <w:tab w:val="left" w:pos="7200"/>
        </w:tabs>
        <w:rPr>
          <w:rFonts w:asciiTheme="minorHAnsi" w:hAnsiTheme="minorHAnsi" w:cstheme="minorHAnsi"/>
        </w:rPr>
      </w:pPr>
      <w:r w:rsidRPr="00902698">
        <w:rPr>
          <w:rFonts w:asciiTheme="minorHAnsi" w:hAnsiTheme="minorHAnsi" w:cstheme="minorHAnsi"/>
        </w:rPr>
        <w:t>Northwood Business Park</w:t>
      </w:r>
    </w:p>
    <w:p w14:paraId="33910DE1" w14:textId="77777777" w:rsidR="004E4BC5" w:rsidRPr="00902698" w:rsidRDefault="004E4BC5" w:rsidP="00902698">
      <w:pPr>
        <w:tabs>
          <w:tab w:val="left" w:pos="7200"/>
        </w:tabs>
        <w:rPr>
          <w:rFonts w:asciiTheme="minorHAnsi" w:hAnsiTheme="minorHAnsi" w:cstheme="minorHAnsi"/>
        </w:rPr>
      </w:pPr>
      <w:r w:rsidRPr="00902698">
        <w:rPr>
          <w:rFonts w:asciiTheme="minorHAnsi" w:hAnsiTheme="minorHAnsi" w:cstheme="minorHAnsi"/>
        </w:rPr>
        <w:t>Santry</w:t>
      </w:r>
    </w:p>
    <w:p w14:paraId="5ECE409C" w14:textId="77777777" w:rsidR="004E4BC5" w:rsidRPr="00902698" w:rsidRDefault="004E4BC5" w:rsidP="00902698">
      <w:pPr>
        <w:tabs>
          <w:tab w:val="left" w:pos="0"/>
        </w:tabs>
        <w:rPr>
          <w:rFonts w:asciiTheme="minorHAnsi" w:hAnsiTheme="minorHAnsi" w:cstheme="minorHAnsi"/>
        </w:rPr>
      </w:pPr>
      <w:r w:rsidRPr="00902698">
        <w:rPr>
          <w:rFonts w:asciiTheme="minorHAnsi" w:hAnsiTheme="minorHAnsi" w:cstheme="minorHAnsi"/>
        </w:rPr>
        <w:t>Dublin 9</w:t>
      </w:r>
    </w:p>
    <w:p w14:paraId="299192A4" w14:textId="77777777" w:rsidR="004E4BC5" w:rsidRPr="00902698" w:rsidRDefault="004E4BC5" w:rsidP="00902698">
      <w:pPr>
        <w:tabs>
          <w:tab w:val="left" w:pos="0"/>
        </w:tabs>
        <w:rPr>
          <w:rFonts w:asciiTheme="minorHAnsi" w:hAnsiTheme="minorHAnsi" w:cstheme="minorHAnsi"/>
        </w:rPr>
      </w:pPr>
      <w:r w:rsidRPr="00902698">
        <w:rPr>
          <w:rFonts w:asciiTheme="minorHAnsi" w:hAnsiTheme="minorHAnsi" w:cstheme="minorHAnsi"/>
        </w:rPr>
        <w:t>D09 X5N9</w:t>
      </w:r>
    </w:p>
    <w:p w14:paraId="48FED31B" w14:textId="78212AAF" w:rsidR="004E4BC5" w:rsidRDefault="004E4BC5" w:rsidP="00DE46EC">
      <w:pPr>
        <w:tabs>
          <w:tab w:val="left" w:pos="7200"/>
        </w:tabs>
        <w:rPr>
          <w:rFonts w:asciiTheme="minorHAnsi" w:hAnsiTheme="minorHAnsi" w:cstheme="minorHAnsi"/>
        </w:rPr>
      </w:pPr>
      <w:r w:rsidRPr="00902698">
        <w:rPr>
          <w:rFonts w:asciiTheme="minorHAnsi" w:hAnsiTheme="minorHAnsi" w:cstheme="minorHAnsi"/>
        </w:rPr>
        <w:t>Tel: +353 (0) 1 486 3309</w:t>
      </w:r>
    </w:p>
    <w:p w14:paraId="2B6F7BB4" w14:textId="77777777" w:rsidR="00DE46EC" w:rsidRPr="00DE46EC" w:rsidRDefault="00DE46EC" w:rsidP="00DE46EC">
      <w:pPr>
        <w:tabs>
          <w:tab w:val="left" w:pos="7200"/>
        </w:tabs>
        <w:rPr>
          <w:rFonts w:asciiTheme="minorHAnsi" w:hAnsiTheme="minorHAnsi" w:cstheme="minorHAnsi"/>
        </w:rPr>
      </w:pPr>
    </w:p>
    <w:p w14:paraId="72F59E41" w14:textId="77777777" w:rsidR="004E4BC5" w:rsidRPr="00902698" w:rsidRDefault="004E4BC5" w:rsidP="00902698">
      <w:pPr>
        <w:rPr>
          <w:rFonts w:asciiTheme="minorHAnsi" w:hAnsiTheme="minorHAnsi" w:cstheme="minorHAnsi"/>
          <w:b/>
        </w:rPr>
      </w:pPr>
      <w:r w:rsidRPr="00902698">
        <w:rPr>
          <w:rFonts w:asciiTheme="minorHAnsi" w:hAnsiTheme="minorHAnsi" w:cstheme="minorHAnsi"/>
          <w:b/>
        </w:rPr>
        <w:t xml:space="preserve">About Greencore </w:t>
      </w:r>
    </w:p>
    <w:p w14:paraId="53C50F96" w14:textId="77777777" w:rsidR="004E4BC5" w:rsidRPr="00902698" w:rsidRDefault="004E4BC5" w:rsidP="00902698">
      <w:pPr>
        <w:rPr>
          <w:rStyle w:val="v"/>
          <w:rFonts w:asciiTheme="minorHAnsi" w:hAnsiTheme="minorHAnsi" w:cstheme="minorHAnsi"/>
          <w:color w:val="000000"/>
          <w:sz w:val="20"/>
          <w:szCs w:val="20"/>
        </w:rPr>
      </w:pPr>
      <w:r w:rsidRPr="00902698">
        <w:rPr>
          <w:rStyle w:val="v"/>
          <w:rFonts w:asciiTheme="minorHAnsi" w:hAnsiTheme="minorHAnsi" w:cstheme="minorHAnsi"/>
          <w:color w:val="000000"/>
          <w:sz w:val="20"/>
          <w:szCs w:val="20"/>
        </w:rPr>
        <w:t xml:space="preserve">We are a leading manufacturer of convenience food in the UK and our purpose is to make </w:t>
      </w:r>
      <w:proofErr w:type="gramStart"/>
      <w:r w:rsidRPr="00902698">
        <w:rPr>
          <w:rStyle w:val="v"/>
          <w:rFonts w:asciiTheme="minorHAnsi" w:hAnsiTheme="minorHAnsi" w:cstheme="minorHAnsi"/>
          <w:color w:val="000000"/>
          <w:sz w:val="20"/>
          <w:szCs w:val="20"/>
        </w:rPr>
        <w:t>every day</w:t>
      </w:r>
      <w:proofErr w:type="gramEnd"/>
      <w:r w:rsidRPr="00902698">
        <w:rPr>
          <w:rStyle w:val="v"/>
          <w:rFonts w:asciiTheme="minorHAnsi" w:hAnsiTheme="minorHAnsi" w:cstheme="minorHAnsi"/>
          <w:color w:val="000000"/>
          <w:sz w:val="20"/>
          <w:szCs w:val="20"/>
        </w:rPr>
        <w:t xml:space="preserve"> taste better. We supply </w:t>
      </w:r>
      <w:proofErr w:type="gramStart"/>
      <w:r w:rsidRPr="00902698">
        <w:rPr>
          <w:rStyle w:val="v"/>
          <w:rFonts w:asciiTheme="minorHAnsi" w:hAnsiTheme="minorHAnsi" w:cstheme="minorHAnsi"/>
          <w:color w:val="000000"/>
          <w:sz w:val="20"/>
          <w:szCs w:val="20"/>
        </w:rPr>
        <w:t>all of</w:t>
      </w:r>
      <w:proofErr w:type="gramEnd"/>
      <w:r w:rsidRPr="00902698">
        <w:rPr>
          <w:rStyle w:val="v"/>
          <w:rFonts w:asciiTheme="minorHAnsi" w:hAnsiTheme="minorHAnsi" w:cstheme="minorHAnsi"/>
          <w:color w:val="000000"/>
          <w:sz w:val="20"/>
          <w:szCs w:val="20"/>
        </w:rPr>
        <w:t xml:space="preserve"> the major supermarkets in the UK. We also supply convenience and travel retail outlets, discounters, coffee shops, foodservice and other retailers. We have strong market positions in a range of categories including sandwiches, salads, sushi, chilled snacking, chilled ready meals, chilled soups and sauces, chilled quiche, ambient sauces and pickles, and frozen Yorkshire Puddings. </w:t>
      </w:r>
    </w:p>
    <w:p w14:paraId="49F3BD97" w14:textId="77777777" w:rsidR="004E4BC5" w:rsidRPr="00902698" w:rsidRDefault="004E4BC5" w:rsidP="00902698">
      <w:pPr>
        <w:rPr>
          <w:rStyle w:val="v"/>
          <w:rFonts w:asciiTheme="minorHAnsi" w:hAnsiTheme="minorHAnsi" w:cstheme="minorHAnsi"/>
          <w:color w:val="000000"/>
          <w:sz w:val="20"/>
          <w:szCs w:val="20"/>
        </w:rPr>
      </w:pPr>
    </w:p>
    <w:p w14:paraId="26BD2A5D" w14:textId="303FA015" w:rsidR="004E4BC5" w:rsidRPr="00902698" w:rsidRDefault="004E4BC5" w:rsidP="00902698">
      <w:pPr>
        <w:rPr>
          <w:rStyle w:val="v"/>
          <w:rFonts w:asciiTheme="minorHAnsi" w:hAnsiTheme="minorHAnsi" w:cstheme="minorHAnsi"/>
          <w:color w:val="000000"/>
          <w:sz w:val="20"/>
          <w:szCs w:val="20"/>
        </w:rPr>
      </w:pPr>
      <w:r w:rsidRPr="00902698">
        <w:rPr>
          <w:rStyle w:val="v"/>
          <w:rFonts w:asciiTheme="minorHAnsi" w:hAnsiTheme="minorHAnsi" w:cstheme="minorHAnsi"/>
          <w:color w:val="000000"/>
          <w:sz w:val="20"/>
          <w:szCs w:val="20"/>
        </w:rPr>
        <w:lastRenderedPageBreak/>
        <w:t xml:space="preserve">In FY20 we manufactured 619m sandwiches and other food to go products, 116m chilled prepared meals, and 264m bottles of cooking sauces, pickles and condiments. We carry out more than 10,000 direct to store deliveries each day. We have 16 world-class manufacturing sites in the UK, with industry-leading technology and supply chain capabilities. We generated revenues of £1.3bn in FY20 and employ approximately 12,200 people. </w:t>
      </w:r>
    </w:p>
    <w:p w14:paraId="375EC9E8" w14:textId="77777777" w:rsidR="004E4BC5" w:rsidRPr="00902698" w:rsidRDefault="004E4BC5" w:rsidP="00902698">
      <w:pPr>
        <w:rPr>
          <w:rStyle w:val="v"/>
          <w:rFonts w:asciiTheme="minorHAnsi" w:hAnsiTheme="minorHAnsi" w:cstheme="minorHAnsi"/>
          <w:color w:val="000000"/>
          <w:sz w:val="20"/>
          <w:szCs w:val="20"/>
        </w:rPr>
      </w:pPr>
    </w:p>
    <w:p w14:paraId="420F09D3" w14:textId="63FE8C71" w:rsidR="004E4BC5" w:rsidRPr="00902698" w:rsidRDefault="004E4BC5" w:rsidP="00902698">
      <w:pPr>
        <w:rPr>
          <w:rStyle w:val="v"/>
          <w:rFonts w:asciiTheme="minorHAnsi" w:hAnsiTheme="minorHAnsi" w:cstheme="minorHAnsi"/>
          <w:color w:val="000000"/>
          <w:sz w:val="20"/>
          <w:szCs w:val="20"/>
        </w:rPr>
      </w:pPr>
      <w:r w:rsidRPr="00902698">
        <w:rPr>
          <w:rStyle w:val="v"/>
          <w:rFonts w:asciiTheme="minorHAnsi" w:hAnsiTheme="minorHAnsi" w:cstheme="minorHAnsi"/>
          <w:color w:val="000000"/>
          <w:sz w:val="20"/>
          <w:szCs w:val="20"/>
        </w:rPr>
        <w:t>We are headquartered in Dublin, Ireland. For further information go to www.greencore.com or follow Greencore on social media.</w:t>
      </w:r>
    </w:p>
    <w:p w14:paraId="55F8CDE6" w14:textId="77777777" w:rsidR="004E4BC5" w:rsidRPr="00902698" w:rsidRDefault="004E4BC5" w:rsidP="00902698">
      <w:pPr>
        <w:rPr>
          <w:rFonts w:asciiTheme="minorHAnsi" w:hAnsiTheme="minorHAnsi" w:cstheme="minorHAnsi"/>
        </w:rPr>
      </w:pPr>
    </w:p>
    <w:p w14:paraId="44FFE01F" w14:textId="77777777" w:rsidR="004E4BC5" w:rsidRPr="00902698" w:rsidRDefault="004E4BC5" w:rsidP="00902698">
      <w:pPr>
        <w:rPr>
          <w:rFonts w:asciiTheme="minorHAnsi" w:hAnsiTheme="minorHAnsi" w:cstheme="minorHAnsi"/>
        </w:rPr>
      </w:pPr>
    </w:p>
    <w:p w14:paraId="3D10FD13" w14:textId="77777777" w:rsidR="004E4BC5" w:rsidRPr="00902698" w:rsidRDefault="004E4BC5" w:rsidP="00902698">
      <w:pPr>
        <w:rPr>
          <w:rFonts w:asciiTheme="minorHAnsi" w:hAnsiTheme="minorHAnsi" w:cstheme="minorHAnsi"/>
        </w:rPr>
      </w:pPr>
    </w:p>
    <w:sectPr w:rsidR="004E4BC5" w:rsidRPr="00902698" w:rsidSect="00314363">
      <w:footerReference w:type="default" r:id="rId10"/>
      <w:headerReference w:type="first" r:id="rId11"/>
      <w:footerReference w:type="first" r:id="rId12"/>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B2088" w14:textId="77777777" w:rsidR="00476FCA" w:rsidRDefault="00D40E0F">
      <w:r>
        <w:separator/>
      </w:r>
    </w:p>
  </w:endnote>
  <w:endnote w:type="continuationSeparator" w:id="0">
    <w:p w14:paraId="6474796F" w14:textId="77777777" w:rsidR="00476FCA" w:rsidRDefault="00D4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mpt-Light">
    <w:altName w:val="Yu Gothic"/>
    <w:panose1 w:val="00000000000000000000"/>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5F0DC" w14:textId="77777777" w:rsidR="00E1288A" w:rsidRDefault="00FB6D45" w:rsidP="002C40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4B60" w14:textId="77777777" w:rsidR="00E1288A" w:rsidRPr="004E1112" w:rsidRDefault="00FB6D45" w:rsidP="004E1112">
    <w:pPr>
      <w:pStyle w:val="Footer"/>
      <w:jc w:val="right"/>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410EE" w14:textId="77777777" w:rsidR="00476FCA" w:rsidRDefault="00D40E0F">
      <w:r>
        <w:separator/>
      </w:r>
    </w:p>
  </w:footnote>
  <w:footnote w:type="continuationSeparator" w:id="0">
    <w:p w14:paraId="0BF933C3" w14:textId="77777777" w:rsidR="00476FCA" w:rsidRDefault="00D4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CF260" w14:textId="77777777" w:rsidR="00A717C0" w:rsidRPr="00245BE5" w:rsidRDefault="00FB6D45" w:rsidP="00A76D1D">
    <w:pPr>
      <w:pStyle w:val="Header"/>
      <w:ind w:left="6480"/>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A1E5D"/>
    <w:multiLevelType w:val="hybridMultilevel"/>
    <w:tmpl w:val="E73C80B4"/>
    <w:lvl w:ilvl="0" w:tplc="7BE6B5C6">
      <w:start w:val="1"/>
      <w:numFmt w:val="lowerLetter"/>
      <w:lvlText w:val="(%1)"/>
      <w:lvlJc w:val="left"/>
      <w:pPr>
        <w:ind w:left="1485" w:hanging="76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1BD270E"/>
    <w:multiLevelType w:val="hybridMultilevel"/>
    <w:tmpl w:val="E39C5978"/>
    <w:lvl w:ilvl="0" w:tplc="647C437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6DBB7466"/>
    <w:multiLevelType w:val="hybridMultilevel"/>
    <w:tmpl w:val="7DB4C59E"/>
    <w:lvl w:ilvl="0" w:tplc="E0E06F20">
      <w:start w:val="1"/>
      <w:numFmt w:val="lowerLetter"/>
      <w:lvlText w:val="(%1)"/>
      <w:lvlJc w:val="left"/>
      <w:pPr>
        <w:ind w:left="1841" w:hanging="99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C5"/>
    <w:rsid w:val="000A6D33"/>
    <w:rsid w:val="00476FCA"/>
    <w:rsid w:val="004E4BC5"/>
    <w:rsid w:val="00902698"/>
    <w:rsid w:val="00BB1C31"/>
    <w:rsid w:val="00C93AD1"/>
    <w:rsid w:val="00D40E0F"/>
    <w:rsid w:val="00DE46EC"/>
    <w:rsid w:val="00EA0CB3"/>
    <w:rsid w:val="00FB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511B"/>
  <w15:chartTrackingRefBased/>
  <w15:docId w15:val="{BB255FF0-FC0E-400E-8323-C59CFA36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C5"/>
    <w:pPr>
      <w:adjustRightInd w:val="0"/>
      <w:spacing w:after="0" w:line="240" w:lineRule="auto"/>
      <w:jc w:val="both"/>
    </w:pPr>
    <w:rPr>
      <w:rFonts w:ascii="Arial" w:eastAsia="Times New Roman" w:hAnsi="Arial"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4E4BC5"/>
    <w:pPr>
      <w:spacing w:after="220"/>
    </w:pPr>
    <w:rPr>
      <w:rFonts w:ascii="Calibri" w:hAnsi="Calibri"/>
    </w:rPr>
  </w:style>
  <w:style w:type="paragraph" w:customStyle="1" w:styleId="ACBody2">
    <w:name w:val="AC Body 2"/>
    <w:basedOn w:val="Body"/>
    <w:uiPriority w:val="99"/>
    <w:rsid w:val="004E4BC5"/>
    <w:pPr>
      <w:spacing w:after="200"/>
      <w:ind w:left="1440"/>
    </w:pPr>
  </w:style>
  <w:style w:type="paragraph" w:styleId="Header">
    <w:name w:val="header"/>
    <w:basedOn w:val="Normal"/>
    <w:link w:val="HeaderChar"/>
    <w:uiPriority w:val="99"/>
    <w:rsid w:val="004E4BC5"/>
    <w:pPr>
      <w:tabs>
        <w:tab w:val="center" w:pos="4160"/>
        <w:tab w:val="right" w:pos="8300"/>
      </w:tabs>
    </w:pPr>
  </w:style>
  <w:style w:type="character" w:customStyle="1" w:styleId="HeaderChar">
    <w:name w:val="Header Char"/>
    <w:basedOn w:val="DefaultParagraphFont"/>
    <w:link w:val="Header"/>
    <w:uiPriority w:val="99"/>
    <w:rsid w:val="004E4BC5"/>
    <w:rPr>
      <w:rFonts w:ascii="Arial" w:eastAsia="Times New Roman" w:hAnsi="Arial" w:cs="Times New Roman"/>
      <w:lang w:val="en-IE" w:eastAsia="en-IE"/>
    </w:rPr>
  </w:style>
  <w:style w:type="paragraph" w:styleId="Footer">
    <w:name w:val="footer"/>
    <w:basedOn w:val="Normal"/>
    <w:link w:val="FooterChar"/>
    <w:uiPriority w:val="99"/>
    <w:rsid w:val="004E4BC5"/>
    <w:pPr>
      <w:tabs>
        <w:tab w:val="center" w:pos="4160"/>
        <w:tab w:val="right" w:pos="8300"/>
      </w:tabs>
    </w:pPr>
  </w:style>
  <w:style w:type="character" w:customStyle="1" w:styleId="FooterChar">
    <w:name w:val="Footer Char"/>
    <w:basedOn w:val="DefaultParagraphFont"/>
    <w:link w:val="Footer"/>
    <w:uiPriority w:val="99"/>
    <w:rsid w:val="004E4BC5"/>
    <w:rPr>
      <w:rFonts w:ascii="Arial" w:eastAsia="Times New Roman" w:hAnsi="Arial" w:cs="Times New Roman"/>
      <w:lang w:val="en-IE" w:eastAsia="en-IE"/>
    </w:rPr>
  </w:style>
  <w:style w:type="character" w:styleId="Hyperlink">
    <w:name w:val="Hyperlink"/>
    <w:basedOn w:val="DefaultParagraphFont"/>
    <w:uiPriority w:val="99"/>
    <w:unhideWhenUsed/>
    <w:rsid w:val="004E4BC5"/>
    <w:rPr>
      <w:color w:val="0000FF"/>
      <w:u w:val="single"/>
    </w:rPr>
  </w:style>
  <w:style w:type="paragraph" w:styleId="ListParagraph">
    <w:name w:val="List Paragraph"/>
    <w:basedOn w:val="Normal"/>
    <w:uiPriority w:val="34"/>
    <w:qFormat/>
    <w:rsid w:val="004E4BC5"/>
    <w:pPr>
      <w:ind w:left="720"/>
      <w:contextualSpacing/>
    </w:pPr>
  </w:style>
  <w:style w:type="character" w:customStyle="1" w:styleId="v">
    <w:name w:val="v"/>
    <w:basedOn w:val="DefaultParagraphFont"/>
    <w:rsid w:val="004E4BC5"/>
  </w:style>
  <w:style w:type="paragraph" w:styleId="BalloonText">
    <w:name w:val="Balloon Text"/>
    <w:basedOn w:val="Normal"/>
    <w:link w:val="BalloonTextChar"/>
    <w:uiPriority w:val="99"/>
    <w:semiHidden/>
    <w:unhideWhenUsed/>
    <w:rsid w:val="00EA0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CB3"/>
    <w:rPr>
      <w:rFonts w:ascii="Segoe UI" w:eastAsia="Times New Roman" w:hAnsi="Segoe UI" w:cs="Segoe UI"/>
      <w:sz w:val="18"/>
      <w:szCs w:val="18"/>
      <w:lang w:val="en-IE" w:eastAsia="en-IE"/>
    </w:rPr>
  </w:style>
  <w:style w:type="character" w:styleId="FollowedHyperlink">
    <w:name w:val="FollowedHyperlink"/>
    <w:basedOn w:val="DefaultParagraphFont"/>
    <w:uiPriority w:val="99"/>
    <w:semiHidden/>
    <w:unhideWhenUsed/>
    <w:rsid w:val="00FB6D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eencor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eenco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Short</dc:creator>
  <cp:keywords/>
  <dc:description/>
  <cp:lastModifiedBy>Natasha Short</cp:lastModifiedBy>
  <cp:revision>2</cp:revision>
  <cp:lastPrinted>2021-01-26T13:52:00Z</cp:lastPrinted>
  <dcterms:created xsi:type="dcterms:W3CDTF">2021-01-26T14:10:00Z</dcterms:created>
  <dcterms:modified xsi:type="dcterms:W3CDTF">2021-01-26T14:10:00Z</dcterms:modified>
</cp:coreProperties>
</file>