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B5A2C" w14:textId="77777777" w:rsidR="003235E7" w:rsidRDefault="003235E7" w:rsidP="003235E7">
      <w:pPr>
        <w:widowControl w:val="0"/>
        <w:autoSpaceDE w:val="0"/>
        <w:autoSpaceDN w:val="0"/>
        <w:spacing w:after="0" w:line="240" w:lineRule="auto"/>
        <w:ind w:left="-284" w:right="-472"/>
        <w:jc w:val="both"/>
        <w:rPr>
          <w:rFonts w:ascii="Calibri" w:eastAsia="Calibri" w:hAnsi="Calibri" w:cs="Arial"/>
          <w:b/>
          <w:sz w:val="18"/>
          <w:szCs w:val="18"/>
          <w:lang w:eastAsia="en-GB" w:bidi="en-GB"/>
        </w:rPr>
      </w:pPr>
    </w:p>
    <w:p w14:paraId="243F4133" w14:textId="77777777" w:rsidR="003C7BC3" w:rsidRPr="003C7BC3" w:rsidRDefault="001701A2" w:rsidP="008F0275">
      <w:pPr>
        <w:widowControl w:val="0"/>
        <w:tabs>
          <w:tab w:val="left" w:pos="2652"/>
        </w:tabs>
        <w:autoSpaceDE w:val="0"/>
        <w:autoSpaceDN w:val="0"/>
        <w:spacing w:after="0" w:line="240" w:lineRule="auto"/>
        <w:ind w:right="-35"/>
        <w:jc w:val="both"/>
        <w:rPr>
          <w:rFonts w:ascii="Calibri" w:eastAsia="Calibri" w:hAnsi="Calibri" w:cs="Arial"/>
          <w:b/>
          <w:sz w:val="20"/>
          <w:szCs w:val="18"/>
          <w:lang w:eastAsia="en-GB" w:bidi="en-GB"/>
        </w:rPr>
      </w:pPr>
      <w:r>
        <w:rPr>
          <w:rFonts w:ascii="Calibri" w:eastAsia="Calibri" w:hAnsi="Calibri" w:cs="Arial"/>
          <w:b/>
          <w:sz w:val="18"/>
          <w:szCs w:val="18"/>
          <w:lang w:eastAsia="en-GB" w:bidi="en-GB"/>
        </w:rPr>
        <w:t>25</w:t>
      </w:r>
      <w:r w:rsidRPr="003C7BC3">
        <w:rPr>
          <w:rFonts w:ascii="Calibri" w:eastAsia="Calibri" w:hAnsi="Calibri" w:cs="Arial"/>
          <w:b/>
          <w:sz w:val="18"/>
          <w:szCs w:val="18"/>
          <w:lang w:eastAsia="en-GB" w:bidi="en-GB"/>
        </w:rPr>
        <w:t xml:space="preserve"> </w:t>
      </w:r>
      <w:r w:rsidR="003C7BC3" w:rsidRPr="003C7BC3">
        <w:rPr>
          <w:rFonts w:ascii="Calibri" w:eastAsia="Calibri" w:hAnsi="Calibri" w:cs="Arial"/>
          <w:b/>
          <w:sz w:val="18"/>
          <w:szCs w:val="18"/>
          <w:lang w:eastAsia="en-GB" w:bidi="en-GB"/>
        </w:rPr>
        <w:t xml:space="preserve">May </w:t>
      </w:r>
      <w:r w:rsidRPr="003C7BC3">
        <w:rPr>
          <w:rFonts w:ascii="Calibri" w:eastAsia="Calibri" w:hAnsi="Calibri" w:cs="Arial"/>
          <w:b/>
          <w:sz w:val="18"/>
          <w:szCs w:val="18"/>
          <w:lang w:eastAsia="en-GB" w:bidi="en-GB"/>
        </w:rPr>
        <w:t>202</w:t>
      </w:r>
      <w:r>
        <w:rPr>
          <w:rFonts w:ascii="Calibri" w:eastAsia="Calibri" w:hAnsi="Calibri" w:cs="Arial"/>
          <w:b/>
          <w:sz w:val="18"/>
          <w:szCs w:val="18"/>
          <w:lang w:eastAsia="en-GB" w:bidi="en-GB"/>
        </w:rPr>
        <w:t>1</w:t>
      </w:r>
      <w:r w:rsidR="0063084C">
        <w:rPr>
          <w:rFonts w:ascii="Calibri" w:eastAsia="Calibri" w:hAnsi="Calibri" w:cs="Arial"/>
          <w:b/>
          <w:sz w:val="18"/>
          <w:szCs w:val="18"/>
          <w:lang w:eastAsia="en-GB" w:bidi="en-GB"/>
        </w:rPr>
        <w:tab/>
      </w:r>
    </w:p>
    <w:p w14:paraId="29B4F4B4" w14:textId="77777777" w:rsidR="00AA12F9" w:rsidRDefault="00AA12F9" w:rsidP="008F0275">
      <w:pPr>
        <w:spacing w:after="0" w:line="240" w:lineRule="auto"/>
        <w:ind w:right="-35"/>
        <w:jc w:val="center"/>
        <w:rPr>
          <w:rFonts w:cs="Arial"/>
          <w:b/>
          <w:sz w:val="20"/>
          <w:szCs w:val="18"/>
        </w:rPr>
      </w:pPr>
      <w:r>
        <w:rPr>
          <w:rFonts w:cs="Arial"/>
          <w:b/>
          <w:sz w:val="20"/>
          <w:szCs w:val="18"/>
        </w:rPr>
        <w:t>Resilient H1 performance in challenging trading conditions</w:t>
      </w:r>
    </w:p>
    <w:p w14:paraId="1E1C798E" w14:textId="77777777" w:rsidR="00AA12F9" w:rsidRDefault="00AA12F9" w:rsidP="008F0275">
      <w:pPr>
        <w:spacing w:after="0" w:line="240" w:lineRule="auto"/>
        <w:ind w:right="-35"/>
        <w:jc w:val="center"/>
        <w:rPr>
          <w:rFonts w:cs="Arial"/>
          <w:b/>
          <w:sz w:val="20"/>
          <w:szCs w:val="18"/>
        </w:rPr>
      </w:pPr>
      <w:r>
        <w:rPr>
          <w:rFonts w:cs="Arial"/>
          <w:b/>
          <w:sz w:val="20"/>
          <w:szCs w:val="18"/>
        </w:rPr>
        <w:t xml:space="preserve">Well positioned </w:t>
      </w:r>
      <w:r w:rsidR="00855549">
        <w:rPr>
          <w:rFonts w:cs="Arial"/>
          <w:b/>
          <w:sz w:val="20"/>
          <w:szCs w:val="18"/>
        </w:rPr>
        <w:t xml:space="preserve">as </w:t>
      </w:r>
      <w:r w:rsidR="00315730">
        <w:rPr>
          <w:rFonts w:cs="Arial"/>
          <w:b/>
          <w:sz w:val="20"/>
          <w:szCs w:val="18"/>
        </w:rPr>
        <w:t xml:space="preserve">food to go </w:t>
      </w:r>
      <w:r>
        <w:rPr>
          <w:rFonts w:cs="Arial"/>
          <w:b/>
          <w:sz w:val="20"/>
          <w:szCs w:val="18"/>
        </w:rPr>
        <w:t>volume</w:t>
      </w:r>
      <w:r w:rsidR="00315730">
        <w:rPr>
          <w:rFonts w:cs="Arial"/>
          <w:b/>
          <w:sz w:val="20"/>
          <w:szCs w:val="18"/>
        </w:rPr>
        <w:t>s</w:t>
      </w:r>
      <w:r>
        <w:rPr>
          <w:rFonts w:cs="Arial"/>
          <w:b/>
          <w:sz w:val="20"/>
          <w:szCs w:val="18"/>
        </w:rPr>
        <w:t xml:space="preserve"> rebound </w:t>
      </w:r>
      <w:r w:rsidR="00855549">
        <w:rPr>
          <w:rFonts w:cs="Arial"/>
          <w:b/>
          <w:sz w:val="20"/>
          <w:szCs w:val="18"/>
        </w:rPr>
        <w:t>in a reopening</w:t>
      </w:r>
      <w:r>
        <w:rPr>
          <w:rFonts w:cs="Arial"/>
          <w:b/>
          <w:sz w:val="20"/>
          <w:szCs w:val="18"/>
        </w:rPr>
        <w:t xml:space="preserve"> UK economy </w:t>
      </w:r>
    </w:p>
    <w:p w14:paraId="45700019" w14:textId="77777777" w:rsidR="00AA12F9" w:rsidRDefault="00AA12F9" w:rsidP="008F0275">
      <w:pPr>
        <w:spacing w:after="0" w:line="240" w:lineRule="auto"/>
        <w:ind w:right="-35"/>
        <w:jc w:val="both"/>
        <w:rPr>
          <w:rFonts w:cs="Arial"/>
          <w:b/>
          <w:sz w:val="20"/>
          <w:szCs w:val="18"/>
        </w:rPr>
      </w:pPr>
    </w:p>
    <w:p w14:paraId="74C08BCE" w14:textId="77777777" w:rsidR="00AA12F9" w:rsidRPr="00A843CB" w:rsidRDefault="00AA12F9" w:rsidP="008F0275">
      <w:pPr>
        <w:spacing w:after="0" w:line="240" w:lineRule="auto"/>
        <w:ind w:right="-35"/>
        <w:jc w:val="both"/>
        <w:rPr>
          <w:rFonts w:cs="Arial"/>
          <w:sz w:val="18"/>
          <w:szCs w:val="18"/>
        </w:rPr>
      </w:pPr>
      <w:r w:rsidRPr="00A843CB">
        <w:rPr>
          <w:rFonts w:cs="Arial"/>
          <w:sz w:val="18"/>
          <w:szCs w:val="18"/>
        </w:rPr>
        <w:t>Greencore</w:t>
      </w:r>
      <w:r>
        <w:rPr>
          <w:rFonts w:cs="Arial"/>
          <w:sz w:val="18"/>
          <w:szCs w:val="18"/>
        </w:rPr>
        <w:t xml:space="preserve"> Group plc (‘Greencore’ or the ‘Group’), a leading manufacturer of convenience food in the UK, today issues interim results for the 26 weeks ending 26 March 2021.</w:t>
      </w:r>
    </w:p>
    <w:p w14:paraId="19C05E0A" w14:textId="77777777" w:rsidR="00863458" w:rsidRDefault="00863458" w:rsidP="008F0275">
      <w:pPr>
        <w:spacing w:after="0" w:line="240" w:lineRule="auto"/>
        <w:ind w:right="-35"/>
        <w:jc w:val="both"/>
        <w:rPr>
          <w:rFonts w:cs="Arial"/>
          <w:b/>
          <w:sz w:val="20"/>
          <w:szCs w:val="18"/>
        </w:rPr>
      </w:pPr>
    </w:p>
    <w:p w14:paraId="03E47762" w14:textId="77777777" w:rsidR="00EA0555" w:rsidRDefault="007B45DF" w:rsidP="008F0275">
      <w:pPr>
        <w:spacing w:after="0" w:line="240" w:lineRule="auto"/>
        <w:ind w:right="-35"/>
        <w:jc w:val="both"/>
        <w:rPr>
          <w:rFonts w:cs="Arial"/>
          <w:b/>
          <w:sz w:val="20"/>
          <w:szCs w:val="18"/>
          <w:vertAlign w:val="superscript"/>
        </w:rPr>
      </w:pPr>
      <w:r>
        <w:rPr>
          <w:rFonts w:cs="Arial"/>
          <w:b/>
          <w:sz w:val="20"/>
          <w:szCs w:val="18"/>
        </w:rPr>
        <w:t>PERFORMANCE</w:t>
      </w:r>
      <w:r>
        <w:rPr>
          <w:rFonts w:cs="Arial"/>
          <w:b/>
          <w:sz w:val="20"/>
          <w:szCs w:val="18"/>
          <w:vertAlign w:val="superscript"/>
        </w:rPr>
        <w:t>1</w:t>
      </w:r>
    </w:p>
    <w:p w14:paraId="6EC4A498" w14:textId="77777777" w:rsidR="00AA12F9" w:rsidRDefault="00AA12F9" w:rsidP="008F0275">
      <w:pPr>
        <w:numPr>
          <w:ilvl w:val="0"/>
          <w:numId w:val="3"/>
        </w:numPr>
        <w:tabs>
          <w:tab w:val="num" w:pos="426"/>
        </w:tabs>
        <w:spacing w:after="0" w:line="240" w:lineRule="auto"/>
        <w:ind w:left="284" w:right="-35" w:hanging="284"/>
        <w:jc w:val="both"/>
        <w:rPr>
          <w:rFonts w:cs="Arial"/>
          <w:sz w:val="18"/>
          <w:szCs w:val="18"/>
        </w:rPr>
      </w:pPr>
      <w:r w:rsidRPr="00703180">
        <w:rPr>
          <w:rFonts w:cs="Arial"/>
          <w:sz w:val="18"/>
          <w:szCs w:val="18"/>
        </w:rPr>
        <w:t>Group Revenue</w:t>
      </w:r>
      <w:r>
        <w:rPr>
          <w:rFonts w:cs="Arial"/>
          <w:sz w:val="18"/>
          <w:szCs w:val="18"/>
        </w:rPr>
        <w:t xml:space="preserve"> declined </w:t>
      </w:r>
      <w:r w:rsidR="009F1EDA">
        <w:rPr>
          <w:rFonts w:cs="Arial"/>
          <w:sz w:val="18"/>
          <w:szCs w:val="18"/>
        </w:rPr>
        <w:t>19.0</w:t>
      </w:r>
      <w:r>
        <w:rPr>
          <w:rFonts w:cs="Arial"/>
          <w:sz w:val="18"/>
          <w:szCs w:val="18"/>
        </w:rPr>
        <w:t>%</w:t>
      </w:r>
      <w:r w:rsidRPr="00703180">
        <w:rPr>
          <w:rFonts w:cs="Arial"/>
          <w:sz w:val="18"/>
          <w:szCs w:val="18"/>
        </w:rPr>
        <w:t xml:space="preserve"> </w:t>
      </w:r>
      <w:r>
        <w:rPr>
          <w:rFonts w:cs="Arial"/>
          <w:sz w:val="18"/>
          <w:szCs w:val="18"/>
        </w:rPr>
        <w:t>to</w:t>
      </w:r>
      <w:r w:rsidRPr="00703180">
        <w:rPr>
          <w:rFonts w:cs="Arial"/>
          <w:sz w:val="18"/>
          <w:szCs w:val="18"/>
        </w:rPr>
        <w:t xml:space="preserve"> £</w:t>
      </w:r>
      <w:r w:rsidR="002655F1">
        <w:rPr>
          <w:rFonts w:cs="Arial"/>
          <w:sz w:val="18"/>
          <w:szCs w:val="18"/>
        </w:rPr>
        <w:t>577.1</w:t>
      </w:r>
      <w:r w:rsidRPr="00703180">
        <w:rPr>
          <w:rFonts w:cs="Arial"/>
          <w:sz w:val="18"/>
          <w:szCs w:val="18"/>
        </w:rPr>
        <w:t>m, driven by the reduc</w:t>
      </w:r>
      <w:r>
        <w:rPr>
          <w:rFonts w:cs="Arial"/>
          <w:sz w:val="18"/>
          <w:szCs w:val="18"/>
        </w:rPr>
        <w:t>tion in consumer</w:t>
      </w:r>
      <w:r w:rsidRPr="00703180">
        <w:rPr>
          <w:rFonts w:cs="Arial"/>
          <w:sz w:val="18"/>
          <w:szCs w:val="18"/>
        </w:rPr>
        <w:t xml:space="preserve"> mobility </w:t>
      </w:r>
      <w:r>
        <w:rPr>
          <w:rFonts w:cs="Arial"/>
          <w:sz w:val="18"/>
          <w:szCs w:val="18"/>
        </w:rPr>
        <w:t>as a result of</w:t>
      </w:r>
      <w:r w:rsidRPr="00703180">
        <w:rPr>
          <w:rFonts w:cs="Arial"/>
          <w:sz w:val="18"/>
          <w:szCs w:val="18"/>
        </w:rPr>
        <w:t xml:space="preserve"> tiered restrictions and lockdowns in the UK </w:t>
      </w:r>
    </w:p>
    <w:p w14:paraId="08EB4BB1" w14:textId="77777777" w:rsidR="00AA12F9" w:rsidRPr="006D5768" w:rsidRDefault="00AA12F9" w:rsidP="008F0275">
      <w:pPr>
        <w:numPr>
          <w:ilvl w:val="0"/>
          <w:numId w:val="3"/>
        </w:numPr>
        <w:tabs>
          <w:tab w:val="num" w:pos="426"/>
        </w:tabs>
        <w:spacing w:after="0" w:line="240" w:lineRule="auto"/>
        <w:ind w:left="284" w:right="-35" w:hanging="284"/>
        <w:jc w:val="both"/>
        <w:rPr>
          <w:rFonts w:cs="Arial"/>
          <w:sz w:val="18"/>
          <w:szCs w:val="18"/>
        </w:rPr>
      </w:pPr>
      <w:r w:rsidRPr="006D5768">
        <w:rPr>
          <w:rFonts w:cs="Arial"/>
          <w:sz w:val="18"/>
          <w:szCs w:val="18"/>
        </w:rPr>
        <w:t>Adjusted Operating Profit of £</w:t>
      </w:r>
      <w:r>
        <w:rPr>
          <w:rFonts w:cs="Arial"/>
          <w:sz w:val="18"/>
          <w:szCs w:val="18"/>
        </w:rPr>
        <w:t>0.2</w:t>
      </w:r>
      <w:r w:rsidRPr="006D5768">
        <w:rPr>
          <w:rFonts w:cs="Arial"/>
          <w:sz w:val="18"/>
          <w:szCs w:val="18"/>
        </w:rPr>
        <w:t xml:space="preserve">m and Adjusted </w:t>
      </w:r>
      <w:r>
        <w:rPr>
          <w:rFonts w:cs="Arial"/>
          <w:sz w:val="18"/>
          <w:szCs w:val="18"/>
        </w:rPr>
        <w:t>L</w:t>
      </w:r>
      <w:r w:rsidRPr="006D5768">
        <w:rPr>
          <w:rFonts w:cs="Arial"/>
          <w:sz w:val="18"/>
          <w:szCs w:val="18"/>
        </w:rPr>
        <w:t xml:space="preserve">oss per share of </w:t>
      </w:r>
      <w:r>
        <w:rPr>
          <w:rFonts w:cs="Arial"/>
          <w:sz w:val="18"/>
          <w:szCs w:val="18"/>
        </w:rPr>
        <w:t>1.4</w:t>
      </w:r>
      <w:r w:rsidRPr="006D5768">
        <w:rPr>
          <w:rFonts w:cs="Arial"/>
          <w:sz w:val="18"/>
          <w:szCs w:val="18"/>
        </w:rPr>
        <w:t xml:space="preserve"> pence</w:t>
      </w:r>
    </w:p>
    <w:p w14:paraId="45C36B24" w14:textId="77777777" w:rsidR="00AA12F9" w:rsidRPr="00703180" w:rsidRDefault="00AA12F9" w:rsidP="008F0275">
      <w:pPr>
        <w:numPr>
          <w:ilvl w:val="0"/>
          <w:numId w:val="3"/>
        </w:numPr>
        <w:tabs>
          <w:tab w:val="num" w:pos="426"/>
        </w:tabs>
        <w:spacing w:after="0" w:line="240" w:lineRule="auto"/>
        <w:ind w:left="284" w:right="-35" w:hanging="284"/>
        <w:jc w:val="both"/>
        <w:rPr>
          <w:rFonts w:cs="Arial"/>
          <w:sz w:val="18"/>
          <w:szCs w:val="18"/>
        </w:rPr>
      </w:pPr>
      <w:r w:rsidRPr="00703180">
        <w:rPr>
          <w:rFonts w:cs="Arial"/>
          <w:sz w:val="18"/>
          <w:szCs w:val="18"/>
        </w:rPr>
        <w:t>Net Debt (excluding lease liabilities) of £</w:t>
      </w:r>
      <w:r>
        <w:rPr>
          <w:rFonts w:cs="Arial"/>
          <w:sz w:val="18"/>
          <w:szCs w:val="18"/>
        </w:rPr>
        <w:t>271.3</w:t>
      </w:r>
      <w:r w:rsidRPr="00703180">
        <w:rPr>
          <w:rFonts w:cs="Arial"/>
          <w:sz w:val="18"/>
          <w:szCs w:val="18"/>
        </w:rPr>
        <w:t>m at 26 March 2021, a reduction of £</w:t>
      </w:r>
      <w:r>
        <w:rPr>
          <w:rFonts w:cs="Arial"/>
          <w:sz w:val="18"/>
          <w:szCs w:val="18"/>
        </w:rPr>
        <w:t>79.2</w:t>
      </w:r>
      <w:r w:rsidRPr="00703180">
        <w:rPr>
          <w:rFonts w:cs="Arial"/>
          <w:sz w:val="18"/>
          <w:szCs w:val="18"/>
        </w:rPr>
        <w:t>m since the end of FY20</w:t>
      </w:r>
      <w:r>
        <w:rPr>
          <w:rFonts w:cs="Arial"/>
          <w:sz w:val="18"/>
          <w:szCs w:val="18"/>
        </w:rPr>
        <w:t xml:space="preserve"> and underpinned by an equity placing in November 2020 raising gross proceeds of £90m</w:t>
      </w:r>
    </w:p>
    <w:p w14:paraId="74F21380" w14:textId="77777777" w:rsidR="00AA12F9" w:rsidRPr="00703180" w:rsidRDefault="00AA12F9" w:rsidP="008F0275">
      <w:pPr>
        <w:numPr>
          <w:ilvl w:val="0"/>
          <w:numId w:val="3"/>
        </w:numPr>
        <w:spacing w:after="0" w:line="240" w:lineRule="auto"/>
        <w:ind w:left="284" w:right="-35" w:hanging="284"/>
        <w:jc w:val="both"/>
        <w:rPr>
          <w:rFonts w:cs="Arial"/>
          <w:sz w:val="18"/>
          <w:szCs w:val="18"/>
        </w:rPr>
      </w:pPr>
      <w:r w:rsidRPr="00703180">
        <w:rPr>
          <w:rFonts w:cs="Arial"/>
          <w:sz w:val="18"/>
          <w:szCs w:val="18"/>
        </w:rPr>
        <w:t xml:space="preserve">Strong liquidity position with cash and undrawn committed debt facilities of </w:t>
      </w:r>
      <w:r w:rsidRPr="00DF3BF8">
        <w:rPr>
          <w:rFonts w:cs="Arial"/>
          <w:sz w:val="18"/>
          <w:szCs w:val="18"/>
        </w:rPr>
        <w:t>£</w:t>
      </w:r>
      <w:r>
        <w:rPr>
          <w:rFonts w:cs="Arial"/>
          <w:sz w:val="18"/>
          <w:szCs w:val="18"/>
        </w:rPr>
        <w:t>302.0</w:t>
      </w:r>
      <w:r w:rsidRPr="00703180">
        <w:rPr>
          <w:rFonts w:cs="Arial"/>
          <w:sz w:val="18"/>
          <w:szCs w:val="18"/>
        </w:rPr>
        <w:t>m at period end</w:t>
      </w:r>
      <w:r>
        <w:rPr>
          <w:rFonts w:cs="Arial"/>
          <w:sz w:val="18"/>
          <w:szCs w:val="18"/>
        </w:rPr>
        <w:t>, and H1 21 Net Debt: EBITDA covenant waived</w:t>
      </w:r>
    </w:p>
    <w:p w14:paraId="05E30406" w14:textId="77777777" w:rsidR="00863458" w:rsidRDefault="00863458" w:rsidP="008F0275">
      <w:pPr>
        <w:spacing w:after="0" w:line="240" w:lineRule="auto"/>
        <w:ind w:right="-35"/>
        <w:jc w:val="both"/>
        <w:rPr>
          <w:rFonts w:cs="Arial"/>
          <w:sz w:val="18"/>
          <w:szCs w:val="18"/>
        </w:rPr>
      </w:pPr>
    </w:p>
    <w:p w14:paraId="711E0AA8" w14:textId="77777777" w:rsidR="007B45DF" w:rsidRPr="008277BB" w:rsidRDefault="007B45DF" w:rsidP="008F0275">
      <w:pPr>
        <w:spacing w:after="0" w:line="240" w:lineRule="auto"/>
        <w:ind w:right="-35"/>
        <w:jc w:val="both"/>
        <w:rPr>
          <w:rFonts w:cs="Arial"/>
          <w:sz w:val="18"/>
          <w:szCs w:val="18"/>
        </w:rPr>
      </w:pPr>
      <w:r>
        <w:rPr>
          <w:rFonts w:cs="Arial"/>
          <w:b/>
          <w:sz w:val="20"/>
          <w:szCs w:val="18"/>
        </w:rPr>
        <w:t>STRATEGIC DEVELOPMENTS</w:t>
      </w:r>
    </w:p>
    <w:p w14:paraId="288BBCE1" w14:textId="77777777" w:rsidR="00FF3F58" w:rsidRDefault="00FF3F58" w:rsidP="008F0275">
      <w:pPr>
        <w:numPr>
          <w:ilvl w:val="0"/>
          <w:numId w:val="3"/>
        </w:numPr>
        <w:tabs>
          <w:tab w:val="num" w:pos="426"/>
        </w:tabs>
        <w:spacing w:after="0" w:line="240" w:lineRule="auto"/>
        <w:ind w:left="284" w:right="-35" w:hanging="284"/>
        <w:jc w:val="both"/>
        <w:rPr>
          <w:rFonts w:cs="Arial"/>
          <w:sz w:val="18"/>
          <w:szCs w:val="18"/>
        </w:rPr>
      </w:pPr>
      <w:r w:rsidRPr="000F2C42">
        <w:rPr>
          <w:rFonts w:cs="Arial"/>
          <w:sz w:val="18"/>
          <w:szCs w:val="18"/>
        </w:rPr>
        <w:t xml:space="preserve">Working with several key customers to renew and extend relationships </w:t>
      </w:r>
      <w:r w:rsidR="00F41A23">
        <w:rPr>
          <w:rFonts w:cs="Arial"/>
          <w:sz w:val="18"/>
          <w:szCs w:val="18"/>
        </w:rPr>
        <w:t>with</w:t>
      </w:r>
      <w:r w:rsidRPr="000F2C42">
        <w:rPr>
          <w:rFonts w:cs="Arial"/>
          <w:sz w:val="18"/>
          <w:szCs w:val="18"/>
        </w:rPr>
        <w:t xml:space="preserve"> near term investment</w:t>
      </w:r>
      <w:r w:rsidR="00F41A23">
        <w:rPr>
          <w:rFonts w:cs="Arial"/>
          <w:sz w:val="18"/>
          <w:szCs w:val="18"/>
        </w:rPr>
        <w:t>s</w:t>
      </w:r>
      <w:r w:rsidRPr="000F2C42">
        <w:rPr>
          <w:rFonts w:cs="Arial"/>
          <w:sz w:val="18"/>
          <w:szCs w:val="18"/>
        </w:rPr>
        <w:t xml:space="preserve"> in capabilities, capital, and commercial terms that secure and support growth in </w:t>
      </w:r>
      <w:r w:rsidR="009C78F9">
        <w:rPr>
          <w:rFonts w:cs="Arial"/>
          <w:sz w:val="18"/>
          <w:szCs w:val="18"/>
        </w:rPr>
        <w:t>new and existing categories and formats</w:t>
      </w:r>
    </w:p>
    <w:p w14:paraId="13D9C24E" w14:textId="77777777" w:rsidR="009C78F9" w:rsidRDefault="009C78F9" w:rsidP="008F0275">
      <w:pPr>
        <w:numPr>
          <w:ilvl w:val="0"/>
          <w:numId w:val="3"/>
        </w:numPr>
        <w:tabs>
          <w:tab w:val="num" w:pos="426"/>
        </w:tabs>
        <w:spacing w:after="0" w:line="240" w:lineRule="auto"/>
        <w:ind w:left="284" w:right="-35" w:hanging="284"/>
        <w:jc w:val="both"/>
        <w:rPr>
          <w:rFonts w:cs="Arial"/>
          <w:sz w:val="18"/>
          <w:szCs w:val="18"/>
        </w:rPr>
      </w:pPr>
      <w:r>
        <w:rPr>
          <w:rFonts w:cs="Arial"/>
          <w:sz w:val="18"/>
          <w:szCs w:val="18"/>
        </w:rPr>
        <w:t>Recent r</w:t>
      </w:r>
      <w:r w:rsidR="00FF3F58" w:rsidRPr="000F2C42">
        <w:rPr>
          <w:rFonts w:cs="Arial"/>
          <w:sz w:val="18"/>
          <w:szCs w:val="18"/>
        </w:rPr>
        <w:t>evenue momentum supported by new business wins secured during the last 12 months representing annualised pre-COVID revenues of approximately £175m</w:t>
      </w:r>
      <w:r w:rsidR="00F41A23">
        <w:rPr>
          <w:rFonts w:cs="Arial"/>
          <w:sz w:val="18"/>
          <w:szCs w:val="18"/>
        </w:rPr>
        <w:t>,</w:t>
      </w:r>
      <w:r w:rsidR="00FF3F58" w:rsidRPr="000F2C42">
        <w:rPr>
          <w:rFonts w:cs="Arial"/>
          <w:sz w:val="18"/>
          <w:szCs w:val="18"/>
        </w:rPr>
        <w:t xml:space="preserve"> </w:t>
      </w:r>
      <w:r w:rsidR="00F41A23">
        <w:rPr>
          <w:rFonts w:cs="Arial"/>
          <w:sz w:val="18"/>
          <w:szCs w:val="18"/>
        </w:rPr>
        <w:t xml:space="preserve">facilitated in part by a </w:t>
      </w:r>
      <w:r>
        <w:rPr>
          <w:rFonts w:cs="Arial"/>
          <w:sz w:val="18"/>
          <w:szCs w:val="18"/>
        </w:rPr>
        <w:t xml:space="preserve">two </w:t>
      </w:r>
      <w:r w:rsidR="00FF3F58" w:rsidRPr="000F2C42">
        <w:rPr>
          <w:rFonts w:cs="Arial"/>
          <w:sz w:val="18"/>
          <w:szCs w:val="18"/>
        </w:rPr>
        <w:t xml:space="preserve">year capital investment of approximately £30m across three </w:t>
      </w:r>
      <w:r>
        <w:rPr>
          <w:rFonts w:cs="Arial"/>
          <w:sz w:val="18"/>
          <w:szCs w:val="18"/>
        </w:rPr>
        <w:t xml:space="preserve">manufacturing </w:t>
      </w:r>
      <w:r w:rsidR="00FF3F58" w:rsidRPr="000F2C42">
        <w:rPr>
          <w:rFonts w:cs="Arial"/>
          <w:sz w:val="18"/>
          <w:szCs w:val="18"/>
        </w:rPr>
        <w:t>sites</w:t>
      </w:r>
    </w:p>
    <w:p w14:paraId="23FFF784" w14:textId="77777777" w:rsidR="00FF3F58" w:rsidRDefault="009C78F9" w:rsidP="008F0275">
      <w:pPr>
        <w:numPr>
          <w:ilvl w:val="0"/>
          <w:numId w:val="3"/>
        </w:numPr>
        <w:tabs>
          <w:tab w:val="num" w:pos="426"/>
        </w:tabs>
        <w:spacing w:after="0" w:line="240" w:lineRule="auto"/>
        <w:ind w:left="284" w:right="-35" w:hanging="284"/>
        <w:jc w:val="both"/>
        <w:rPr>
          <w:rFonts w:cs="Arial"/>
          <w:sz w:val="18"/>
          <w:szCs w:val="18"/>
        </w:rPr>
      </w:pPr>
      <w:r>
        <w:rPr>
          <w:rFonts w:cs="Arial"/>
          <w:sz w:val="18"/>
          <w:szCs w:val="18"/>
        </w:rPr>
        <w:t>A</w:t>
      </w:r>
      <w:r w:rsidR="00FF3F58" w:rsidRPr="000F2C42">
        <w:rPr>
          <w:rFonts w:cs="Arial"/>
          <w:sz w:val="18"/>
          <w:szCs w:val="18"/>
        </w:rPr>
        <w:t xml:space="preserve"> pipeline of further </w:t>
      </w:r>
      <w:r>
        <w:rPr>
          <w:rFonts w:cs="Arial"/>
          <w:sz w:val="18"/>
          <w:szCs w:val="18"/>
        </w:rPr>
        <w:t xml:space="preserve">new business </w:t>
      </w:r>
      <w:r w:rsidR="00FF3F58" w:rsidRPr="000F2C42">
        <w:rPr>
          <w:rFonts w:cs="Arial"/>
          <w:sz w:val="18"/>
          <w:szCs w:val="18"/>
        </w:rPr>
        <w:t>opportunities being actively pursued</w:t>
      </w:r>
    </w:p>
    <w:p w14:paraId="2DC739E1" w14:textId="77777777" w:rsidR="009C78F9" w:rsidRDefault="009C78F9" w:rsidP="008F0275">
      <w:pPr>
        <w:numPr>
          <w:ilvl w:val="0"/>
          <w:numId w:val="3"/>
        </w:numPr>
        <w:tabs>
          <w:tab w:val="num" w:pos="426"/>
        </w:tabs>
        <w:spacing w:after="0" w:line="240" w:lineRule="auto"/>
        <w:ind w:left="284" w:right="-35" w:hanging="284"/>
        <w:jc w:val="both"/>
        <w:rPr>
          <w:rFonts w:cs="Arial"/>
          <w:sz w:val="18"/>
          <w:szCs w:val="18"/>
        </w:rPr>
      </w:pPr>
      <w:r>
        <w:rPr>
          <w:rFonts w:cs="Arial"/>
          <w:sz w:val="18"/>
          <w:szCs w:val="18"/>
        </w:rPr>
        <w:t>Comprehensive range of pledges launched as part of the Group’s sustainability strategy</w:t>
      </w:r>
    </w:p>
    <w:p w14:paraId="4F0425AF" w14:textId="77777777" w:rsidR="007B45DF" w:rsidRDefault="007B45DF" w:rsidP="008F0275">
      <w:pPr>
        <w:spacing w:after="0" w:line="240" w:lineRule="auto"/>
        <w:ind w:right="-35"/>
        <w:jc w:val="both"/>
        <w:rPr>
          <w:rFonts w:cs="Arial"/>
          <w:sz w:val="18"/>
          <w:szCs w:val="18"/>
        </w:rPr>
      </w:pPr>
    </w:p>
    <w:p w14:paraId="6D268636" w14:textId="77777777" w:rsidR="007B45DF" w:rsidRPr="008277BB" w:rsidRDefault="007B45DF" w:rsidP="008F0275">
      <w:pPr>
        <w:spacing w:after="0" w:line="240" w:lineRule="auto"/>
        <w:ind w:right="-35"/>
        <w:jc w:val="both"/>
        <w:rPr>
          <w:rFonts w:cs="Arial"/>
          <w:sz w:val="18"/>
          <w:szCs w:val="18"/>
        </w:rPr>
      </w:pPr>
      <w:r>
        <w:rPr>
          <w:rFonts w:cs="Arial"/>
          <w:b/>
          <w:sz w:val="20"/>
          <w:szCs w:val="18"/>
        </w:rPr>
        <w:t>OUTLOOK</w:t>
      </w:r>
      <w:r w:rsidRPr="001F1616">
        <w:rPr>
          <w:rFonts w:cs="Arial"/>
          <w:b/>
          <w:sz w:val="20"/>
          <w:szCs w:val="18"/>
          <w:vertAlign w:val="superscript"/>
        </w:rPr>
        <w:t>1</w:t>
      </w:r>
    </w:p>
    <w:p w14:paraId="79F7A513" w14:textId="77777777" w:rsidR="007B45DF" w:rsidRPr="001F1616" w:rsidRDefault="00E61E60" w:rsidP="008F0275">
      <w:pPr>
        <w:numPr>
          <w:ilvl w:val="0"/>
          <w:numId w:val="3"/>
        </w:numPr>
        <w:tabs>
          <w:tab w:val="num" w:pos="426"/>
        </w:tabs>
        <w:spacing w:after="0" w:line="240" w:lineRule="auto"/>
        <w:ind w:left="284" w:right="-35" w:hanging="284"/>
        <w:jc w:val="both"/>
        <w:rPr>
          <w:rFonts w:cs="Arial"/>
          <w:sz w:val="18"/>
          <w:szCs w:val="18"/>
        </w:rPr>
      </w:pPr>
      <w:r w:rsidRPr="001F1616">
        <w:rPr>
          <w:rFonts w:cs="Arial"/>
          <w:sz w:val="18"/>
          <w:szCs w:val="18"/>
        </w:rPr>
        <w:t>E</w:t>
      </w:r>
      <w:r w:rsidR="007B45DF" w:rsidRPr="001F1616">
        <w:rPr>
          <w:rFonts w:cs="Arial"/>
          <w:sz w:val="18"/>
          <w:szCs w:val="18"/>
        </w:rPr>
        <w:t xml:space="preserve">ncouraging revenue momentum in the first </w:t>
      </w:r>
      <w:r w:rsidR="009C78F9">
        <w:rPr>
          <w:rFonts w:cs="Arial"/>
          <w:sz w:val="18"/>
          <w:szCs w:val="18"/>
        </w:rPr>
        <w:t xml:space="preserve">seven </w:t>
      </w:r>
      <w:r w:rsidR="007B45DF" w:rsidRPr="001F1616">
        <w:rPr>
          <w:rFonts w:cs="Arial"/>
          <w:sz w:val="18"/>
          <w:szCs w:val="18"/>
        </w:rPr>
        <w:t xml:space="preserve">weeks of H2 21, with pro forma revenue in food to go categories running at </w:t>
      </w:r>
      <w:r w:rsidR="00F41A23">
        <w:rPr>
          <w:rFonts w:cs="Arial"/>
          <w:sz w:val="18"/>
          <w:szCs w:val="18"/>
        </w:rPr>
        <w:t>approximately</w:t>
      </w:r>
      <w:r w:rsidR="009C78F9" w:rsidRPr="001F1616">
        <w:rPr>
          <w:rFonts w:cs="Arial"/>
          <w:sz w:val="18"/>
          <w:szCs w:val="18"/>
        </w:rPr>
        <w:t xml:space="preserve"> </w:t>
      </w:r>
      <w:r w:rsidRPr="001F1616">
        <w:rPr>
          <w:rFonts w:cs="Arial"/>
          <w:sz w:val="18"/>
          <w:szCs w:val="18"/>
        </w:rPr>
        <w:t>12</w:t>
      </w:r>
      <w:r w:rsidR="00F41A23">
        <w:rPr>
          <w:rFonts w:cs="Arial"/>
          <w:sz w:val="18"/>
          <w:szCs w:val="18"/>
        </w:rPr>
        <w:t>3</w:t>
      </w:r>
      <w:r w:rsidR="007B45DF" w:rsidRPr="001F1616">
        <w:rPr>
          <w:rFonts w:cs="Arial"/>
          <w:sz w:val="18"/>
          <w:szCs w:val="18"/>
        </w:rPr>
        <w:t xml:space="preserve">% above prior year levels and approximately </w:t>
      </w:r>
      <w:r w:rsidRPr="001F1616">
        <w:rPr>
          <w:rFonts w:cs="Arial"/>
          <w:sz w:val="18"/>
          <w:szCs w:val="18"/>
        </w:rPr>
        <w:t>14</w:t>
      </w:r>
      <w:r w:rsidR="007B45DF" w:rsidRPr="001F1616">
        <w:rPr>
          <w:rFonts w:cs="Arial"/>
          <w:sz w:val="18"/>
          <w:szCs w:val="18"/>
        </w:rPr>
        <w:t>% below the equivalent pre-COVID levels in FY19</w:t>
      </w:r>
      <w:r w:rsidR="009C78F9">
        <w:rPr>
          <w:rFonts w:cs="Arial"/>
          <w:sz w:val="18"/>
          <w:szCs w:val="18"/>
        </w:rPr>
        <w:t xml:space="preserve">. </w:t>
      </w:r>
      <w:r w:rsidR="00F41A23">
        <w:rPr>
          <w:rFonts w:cs="Arial"/>
          <w:sz w:val="18"/>
          <w:szCs w:val="18"/>
        </w:rPr>
        <w:t>For this period</w:t>
      </w:r>
      <w:r w:rsidR="00716A58" w:rsidRPr="00716A58">
        <w:rPr>
          <w:rFonts w:cs="Arial"/>
          <w:sz w:val="18"/>
          <w:szCs w:val="18"/>
        </w:rPr>
        <w:t xml:space="preserve"> the Group’s pro forma revenue was </w:t>
      </w:r>
      <w:r w:rsidR="00F41A23">
        <w:rPr>
          <w:rFonts w:cs="Arial"/>
          <w:sz w:val="18"/>
          <w:szCs w:val="18"/>
        </w:rPr>
        <w:t xml:space="preserve">approximately </w:t>
      </w:r>
      <w:r w:rsidR="00F41A23" w:rsidRPr="00AE207A">
        <w:rPr>
          <w:rFonts w:cs="Arial"/>
          <w:sz w:val="18"/>
          <w:szCs w:val="18"/>
        </w:rPr>
        <w:t>64%</w:t>
      </w:r>
      <w:r w:rsidR="00F41A23">
        <w:rPr>
          <w:rFonts w:cs="Arial"/>
          <w:sz w:val="18"/>
          <w:szCs w:val="18"/>
        </w:rPr>
        <w:t xml:space="preserve"> above prior year levels and </w:t>
      </w:r>
      <w:r w:rsidR="00716A58" w:rsidRPr="00716A58">
        <w:rPr>
          <w:rFonts w:cs="Arial"/>
          <w:sz w:val="18"/>
          <w:szCs w:val="18"/>
        </w:rPr>
        <w:t>approximately 5% below equi</w:t>
      </w:r>
      <w:r w:rsidR="00F41A23">
        <w:rPr>
          <w:rFonts w:cs="Arial"/>
          <w:sz w:val="18"/>
          <w:szCs w:val="18"/>
        </w:rPr>
        <w:t>valent pre-COVID levels in FY19</w:t>
      </w:r>
    </w:p>
    <w:p w14:paraId="2C84B3A1" w14:textId="77777777" w:rsidR="00E61E60" w:rsidRPr="001F1616" w:rsidRDefault="007B45DF" w:rsidP="008F0275">
      <w:pPr>
        <w:numPr>
          <w:ilvl w:val="0"/>
          <w:numId w:val="3"/>
        </w:numPr>
        <w:tabs>
          <w:tab w:val="num" w:pos="426"/>
        </w:tabs>
        <w:spacing w:after="0" w:line="240" w:lineRule="auto"/>
        <w:ind w:left="284" w:right="-35" w:hanging="284"/>
        <w:jc w:val="both"/>
        <w:rPr>
          <w:rFonts w:cs="Arial"/>
          <w:sz w:val="18"/>
          <w:szCs w:val="18"/>
        </w:rPr>
      </w:pPr>
      <w:r w:rsidRPr="001F1616">
        <w:rPr>
          <w:rFonts w:cs="Arial"/>
          <w:sz w:val="18"/>
          <w:szCs w:val="18"/>
        </w:rPr>
        <w:t xml:space="preserve">The Group anticipates that a continued reopening of the UK in line with the current roadmap and a consequential rebuild of Group Revenue would be expected to generate a FY21 Adjusted Operating Profit outturn </w:t>
      </w:r>
      <w:r w:rsidR="00863458" w:rsidRPr="001F1616">
        <w:rPr>
          <w:rFonts w:cs="Arial"/>
          <w:sz w:val="18"/>
          <w:szCs w:val="18"/>
        </w:rPr>
        <w:t>above</w:t>
      </w:r>
      <w:r w:rsidRPr="001F1616">
        <w:rPr>
          <w:rFonts w:cs="Arial"/>
          <w:sz w:val="18"/>
          <w:szCs w:val="18"/>
        </w:rPr>
        <w:t xml:space="preserve"> FY20 levels </w:t>
      </w:r>
    </w:p>
    <w:p w14:paraId="79EBE65A" w14:textId="77777777" w:rsidR="007B45DF" w:rsidRPr="001F1616" w:rsidRDefault="007B45DF" w:rsidP="008F0275">
      <w:pPr>
        <w:numPr>
          <w:ilvl w:val="0"/>
          <w:numId w:val="3"/>
        </w:numPr>
        <w:tabs>
          <w:tab w:val="num" w:pos="426"/>
        </w:tabs>
        <w:spacing w:after="0" w:line="240" w:lineRule="auto"/>
        <w:ind w:left="284" w:right="-35" w:hanging="284"/>
        <w:jc w:val="both"/>
        <w:rPr>
          <w:rFonts w:cs="Arial"/>
          <w:sz w:val="18"/>
          <w:szCs w:val="18"/>
        </w:rPr>
      </w:pPr>
      <w:r w:rsidRPr="001F1616">
        <w:rPr>
          <w:rFonts w:cs="Arial"/>
          <w:sz w:val="18"/>
          <w:szCs w:val="18"/>
        </w:rPr>
        <w:t xml:space="preserve">Net Debt (excluding lease liabilities) </w:t>
      </w:r>
      <w:r w:rsidR="00E61E60" w:rsidRPr="001F1616">
        <w:rPr>
          <w:rFonts w:cs="Arial"/>
          <w:sz w:val="18"/>
          <w:szCs w:val="18"/>
        </w:rPr>
        <w:t xml:space="preserve">is </w:t>
      </w:r>
      <w:r w:rsidRPr="001F1616">
        <w:rPr>
          <w:rFonts w:cs="Arial"/>
          <w:sz w:val="18"/>
          <w:szCs w:val="18"/>
        </w:rPr>
        <w:t xml:space="preserve">expected to reduce further </w:t>
      </w:r>
      <w:r w:rsidR="00E61E60" w:rsidRPr="001F1616">
        <w:rPr>
          <w:rFonts w:cs="Arial"/>
          <w:sz w:val="18"/>
          <w:szCs w:val="18"/>
        </w:rPr>
        <w:t xml:space="preserve">in the second half of the year, </w:t>
      </w:r>
      <w:r w:rsidRPr="001F1616">
        <w:rPr>
          <w:rFonts w:cs="Arial"/>
          <w:sz w:val="18"/>
          <w:szCs w:val="18"/>
        </w:rPr>
        <w:t xml:space="preserve">from H1 21 levels </w:t>
      </w:r>
    </w:p>
    <w:p w14:paraId="69F0F3BE" w14:textId="77777777" w:rsidR="007B45DF" w:rsidRPr="001F1616" w:rsidRDefault="007B45DF" w:rsidP="008F0275">
      <w:pPr>
        <w:numPr>
          <w:ilvl w:val="0"/>
          <w:numId w:val="3"/>
        </w:numPr>
        <w:tabs>
          <w:tab w:val="num" w:pos="426"/>
        </w:tabs>
        <w:spacing w:after="0" w:line="240" w:lineRule="auto"/>
        <w:ind w:left="284" w:right="-35" w:hanging="284"/>
        <w:jc w:val="both"/>
        <w:rPr>
          <w:rFonts w:cs="Arial"/>
          <w:sz w:val="18"/>
          <w:szCs w:val="18"/>
        </w:rPr>
      </w:pPr>
      <w:r w:rsidRPr="001F1616">
        <w:rPr>
          <w:rFonts w:cs="Arial"/>
          <w:sz w:val="18"/>
          <w:szCs w:val="18"/>
        </w:rPr>
        <w:t>The Group is now focused on rebuilding profitability and cash flow momentum to pre-COVID levels, supported by the revenue rebuild</w:t>
      </w:r>
      <w:r w:rsidR="00E61E60" w:rsidRPr="001F1616">
        <w:rPr>
          <w:rFonts w:cs="Arial"/>
          <w:sz w:val="18"/>
          <w:szCs w:val="18"/>
        </w:rPr>
        <w:t>, the unwind of COVID-19 operating constraints,</w:t>
      </w:r>
      <w:r w:rsidRPr="001F1616">
        <w:rPr>
          <w:rFonts w:cs="Arial"/>
          <w:sz w:val="18"/>
          <w:szCs w:val="18"/>
        </w:rPr>
        <w:t xml:space="preserve"> and effective execution against new business opportunities</w:t>
      </w:r>
    </w:p>
    <w:p w14:paraId="5BC3B356" w14:textId="77777777" w:rsidR="00863458" w:rsidRDefault="00863458" w:rsidP="008F0275">
      <w:pPr>
        <w:spacing w:after="0" w:line="240" w:lineRule="auto"/>
        <w:ind w:right="-35"/>
        <w:jc w:val="both"/>
        <w:rPr>
          <w:rFonts w:cs="Arial"/>
          <w:sz w:val="18"/>
          <w:szCs w:val="18"/>
        </w:rPr>
      </w:pPr>
    </w:p>
    <w:p w14:paraId="7DC3D8FC" w14:textId="77777777" w:rsidR="00AA12F9" w:rsidRDefault="00AA12F9" w:rsidP="008F0275">
      <w:pPr>
        <w:spacing w:after="0" w:line="240" w:lineRule="auto"/>
        <w:ind w:right="338"/>
        <w:jc w:val="both"/>
        <w:rPr>
          <w:rFonts w:cs="Arial"/>
          <w:b/>
          <w:sz w:val="20"/>
          <w:szCs w:val="18"/>
        </w:rPr>
      </w:pPr>
      <w:r>
        <w:rPr>
          <w:rFonts w:cs="Arial"/>
          <w:b/>
          <w:sz w:val="20"/>
          <w:szCs w:val="18"/>
        </w:rPr>
        <w:t>SUMMARY FINANCIAL PERFORMANCE</w:t>
      </w:r>
      <w:r>
        <w:rPr>
          <w:rFonts w:cs="Arial"/>
          <w:b/>
          <w:sz w:val="20"/>
          <w:szCs w:val="18"/>
          <w:vertAlign w:val="superscript"/>
        </w:rPr>
        <w:t>1</w:t>
      </w:r>
    </w:p>
    <w:p w14:paraId="5D682738" w14:textId="77777777" w:rsidR="00AA12F9" w:rsidRPr="005C7C70" w:rsidRDefault="00AA12F9" w:rsidP="003235E7">
      <w:pPr>
        <w:spacing w:after="0" w:line="240" w:lineRule="auto"/>
        <w:jc w:val="both"/>
        <w:rPr>
          <w:rFonts w:cs="Arial"/>
          <w:b/>
          <w:sz w:val="20"/>
          <w:szCs w:val="18"/>
          <w:vertAlign w:val="superscript"/>
        </w:rPr>
      </w:pPr>
    </w:p>
    <w:tbl>
      <w:tblPr>
        <w:tblW w:w="7513" w:type="dxa"/>
        <w:jc w:val="center"/>
        <w:tblLayout w:type="fixed"/>
        <w:tblCellMar>
          <w:left w:w="0" w:type="dxa"/>
          <w:right w:w="0" w:type="dxa"/>
        </w:tblCellMar>
        <w:tblLook w:val="04A0" w:firstRow="1" w:lastRow="0" w:firstColumn="1" w:lastColumn="0" w:noHBand="0" w:noVBand="1"/>
      </w:tblPr>
      <w:tblGrid>
        <w:gridCol w:w="4111"/>
        <w:gridCol w:w="1134"/>
        <w:gridCol w:w="1134"/>
        <w:gridCol w:w="1134"/>
      </w:tblGrid>
      <w:tr w:rsidR="00AA12F9" w:rsidRPr="0016388F" w14:paraId="486C60A1" w14:textId="77777777" w:rsidTr="00AA12F9">
        <w:trPr>
          <w:jc w:val="center"/>
        </w:trPr>
        <w:tc>
          <w:tcPr>
            <w:tcW w:w="4111" w:type="dxa"/>
            <w:noWrap/>
            <w:tcMar>
              <w:top w:w="15" w:type="dxa"/>
              <w:left w:w="15" w:type="dxa"/>
              <w:bottom w:w="0" w:type="dxa"/>
              <w:right w:w="15" w:type="dxa"/>
            </w:tcMar>
            <w:vAlign w:val="bottom"/>
            <w:hideMark/>
          </w:tcPr>
          <w:p w14:paraId="7FB569EE" w14:textId="22A4C3D7" w:rsidR="00AA12F9" w:rsidRPr="0016388F" w:rsidRDefault="00AA12F9" w:rsidP="003235E7">
            <w:pPr>
              <w:spacing w:after="0" w:line="240" w:lineRule="auto"/>
              <w:jc w:val="both"/>
              <w:rPr>
                <w:rFonts w:cs="Arial"/>
                <w:b/>
                <w:bCs/>
                <w:sz w:val="18"/>
                <w:szCs w:val="18"/>
                <w:lang w:val="en-US"/>
              </w:rPr>
            </w:pPr>
          </w:p>
        </w:tc>
        <w:tc>
          <w:tcPr>
            <w:tcW w:w="1134" w:type="dxa"/>
            <w:tcMar>
              <w:top w:w="15" w:type="dxa"/>
              <w:left w:w="15" w:type="dxa"/>
              <w:bottom w:w="0" w:type="dxa"/>
              <w:right w:w="15" w:type="dxa"/>
            </w:tcMar>
            <w:vAlign w:val="bottom"/>
            <w:hideMark/>
          </w:tcPr>
          <w:p w14:paraId="6DADC073" w14:textId="77777777" w:rsidR="00AA12F9" w:rsidRPr="0016388F" w:rsidRDefault="00AA12F9" w:rsidP="003235E7">
            <w:pPr>
              <w:spacing w:after="0" w:line="240" w:lineRule="auto"/>
              <w:ind w:right="103"/>
              <w:jc w:val="right"/>
              <w:rPr>
                <w:rFonts w:cs="Arial"/>
                <w:b/>
                <w:bCs/>
                <w:sz w:val="18"/>
                <w:szCs w:val="18"/>
                <w:lang w:val="en-US"/>
              </w:rPr>
            </w:pPr>
            <w:r>
              <w:rPr>
                <w:rFonts w:cs="Arial"/>
                <w:b/>
                <w:bCs/>
                <w:sz w:val="18"/>
                <w:szCs w:val="18"/>
                <w:lang w:val="en-US"/>
              </w:rPr>
              <w:t>H1 21</w:t>
            </w:r>
          </w:p>
        </w:tc>
        <w:tc>
          <w:tcPr>
            <w:tcW w:w="1134" w:type="dxa"/>
            <w:hideMark/>
          </w:tcPr>
          <w:p w14:paraId="3DBCF8AF" w14:textId="77777777" w:rsidR="00AA12F9" w:rsidRPr="0016388F" w:rsidRDefault="00AA12F9" w:rsidP="003235E7">
            <w:pPr>
              <w:spacing w:after="0" w:line="240" w:lineRule="auto"/>
              <w:ind w:right="103"/>
              <w:jc w:val="right"/>
              <w:rPr>
                <w:rFonts w:cs="Arial"/>
                <w:b/>
                <w:bCs/>
                <w:sz w:val="18"/>
                <w:szCs w:val="18"/>
                <w:lang w:val="en-US"/>
              </w:rPr>
            </w:pPr>
            <w:r>
              <w:rPr>
                <w:rFonts w:cs="Arial"/>
                <w:b/>
                <w:bCs/>
                <w:sz w:val="18"/>
                <w:szCs w:val="18"/>
                <w:lang w:val="en-US"/>
              </w:rPr>
              <w:t>H1 20</w:t>
            </w:r>
          </w:p>
        </w:tc>
        <w:tc>
          <w:tcPr>
            <w:tcW w:w="1134" w:type="dxa"/>
            <w:hideMark/>
          </w:tcPr>
          <w:p w14:paraId="159D23A0" w14:textId="77777777" w:rsidR="00AA12F9" w:rsidRPr="0016388F" w:rsidRDefault="00AA12F9" w:rsidP="003235E7">
            <w:pPr>
              <w:spacing w:after="0" w:line="240" w:lineRule="auto"/>
              <w:ind w:right="103"/>
              <w:jc w:val="right"/>
              <w:rPr>
                <w:rFonts w:cs="Arial"/>
                <w:b/>
                <w:bCs/>
                <w:sz w:val="18"/>
                <w:szCs w:val="18"/>
                <w:lang w:val="en-US"/>
              </w:rPr>
            </w:pPr>
            <w:r w:rsidRPr="0016388F">
              <w:rPr>
                <w:rFonts w:cs="Arial"/>
                <w:b/>
                <w:bCs/>
                <w:sz w:val="18"/>
                <w:szCs w:val="18"/>
                <w:lang w:val="en-US"/>
              </w:rPr>
              <w:t>Change</w:t>
            </w:r>
          </w:p>
        </w:tc>
      </w:tr>
      <w:tr w:rsidR="00AA12F9" w:rsidRPr="0016388F" w14:paraId="02D3E17E" w14:textId="77777777" w:rsidTr="00AA12F9">
        <w:trPr>
          <w:trHeight w:val="191"/>
          <w:jc w:val="center"/>
        </w:trPr>
        <w:tc>
          <w:tcPr>
            <w:tcW w:w="4111" w:type="dxa"/>
            <w:noWrap/>
            <w:tcMar>
              <w:top w:w="15" w:type="dxa"/>
              <w:left w:w="15" w:type="dxa"/>
              <w:bottom w:w="0" w:type="dxa"/>
              <w:right w:w="15" w:type="dxa"/>
            </w:tcMar>
            <w:vAlign w:val="bottom"/>
          </w:tcPr>
          <w:p w14:paraId="00C3E07A" w14:textId="77777777" w:rsidR="00AA12F9" w:rsidRPr="0016388F" w:rsidRDefault="00AA12F9" w:rsidP="003235E7">
            <w:pPr>
              <w:spacing w:after="0" w:line="240" w:lineRule="auto"/>
              <w:jc w:val="both"/>
              <w:rPr>
                <w:rFonts w:cs="Arial"/>
                <w:b/>
                <w:bCs/>
                <w:sz w:val="18"/>
                <w:szCs w:val="18"/>
                <w:lang w:val="en-US"/>
              </w:rPr>
            </w:pPr>
          </w:p>
        </w:tc>
        <w:tc>
          <w:tcPr>
            <w:tcW w:w="1134" w:type="dxa"/>
            <w:tcMar>
              <w:top w:w="15" w:type="dxa"/>
              <w:left w:w="15" w:type="dxa"/>
              <w:bottom w:w="0" w:type="dxa"/>
              <w:right w:w="15" w:type="dxa"/>
            </w:tcMar>
            <w:hideMark/>
          </w:tcPr>
          <w:p w14:paraId="75874F94" w14:textId="77777777" w:rsidR="00AA12F9" w:rsidRPr="0016388F" w:rsidRDefault="00AA12F9" w:rsidP="003235E7">
            <w:pPr>
              <w:spacing w:after="0" w:line="240" w:lineRule="auto"/>
              <w:ind w:right="103"/>
              <w:jc w:val="right"/>
              <w:rPr>
                <w:rFonts w:cs="Arial"/>
                <w:b/>
                <w:bCs/>
                <w:sz w:val="18"/>
                <w:szCs w:val="18"/>
                <w:lang w:val="en-US"/>
              </w:rPr>
            </w:pPr>
            <w:r w:rsidRPr="0016388F">
              <w:rPr>
                <w:rFonts w:cs="Arial"/>
                <w:b/>
                <w:bCs/>
                <w:sz w:val="18"/>
                <w:szCs w:val="18"/>
                <w:lang w:val="en-US"/>
              </w:rPr>
              <w:t>£m</w:t>
            </w:r>
          </w:p>
        </w:tc>
        <w:tc>
          <w:tcPr>
            <w:tcW w:w="1134" w:type="dxa"/>
            <w:hideMark/>
          </w:tcPr>
          <w:p w14:paraId="6304E7DC" w14:textId="77777777" w:rsidR="00AA12F9" w:rsidRPr="0016388F" w:rsidRDefault="00AA12F9" w:rsidP="003235E7">
            <w:pPr>
              <w:spacing w:after="0" w:line="240" w:lineRule="auto"/>
              <w:ind w:right="103"/>
              <w:jc w:val="right"/>
              <w:rPr>
                <w:rFonts w:cs="Arial"/>
                <w:b/>
                <w:bCs/>
                <w:sz w:val="18"/>
                <w:szCs w:val="18"/>
                <w:lang w:val="en-US"/>
              </w:rPr>
            </w:pPr>
            <w:r w:rsidRPr="0016388F">
              <w:rPr>
                <w:rFonts w:cs="Arial"/>
                <w:b/>
                <w:bCs/>
                <w:sz w:val="18"/>
                <w:szCs w:val="18"/>
                <w:lang w:val="en-US"/>
              </w:rPr>
              <w:t>£m</w:t>
            </w:r>
          </w:p>
        </w:tc>
        <w:tc>
          <w:tcPr>
            <w:tcW w:w="1134" w:type="dxa"/>
            <w:hideMark/>
          </w:tcPr>
          <w:p w14:paraId="4E3FDB7B" w14:textId="77777777" w:rsidR="00AA12F9" w:rsidRPr="0016388F" w:rsidRDefault="00AA12F9" w:rsidP="003235E7">
            <w:pPr>
              <w:spacing w:after="0" w:line="240" w:lineRule="auto"/>
              <w:ind w:right="103"/>
              <w:jc w:val="right"/>
              <w:rPr>
                <w:rFonts w:cs="Arial"/>
                <w:b/>
                <w:bCs/>
                <w:sz w:val="18"/>
                <w:szCs w:val="18"/>
                <w:lang w:val="en-US"/>
              </w:rPr>
            </w:pPr>
          </w:p>
        </w:tc>
      </w:tr>
      <w:tr w:rsidR="00AA12F9" w:rsidRPr="0016388F" w14:paraId="6C66A30C" w14:textId="77777777" w:rsidTr="00AA12F9">
        <w:trPr>
          <w:trHeight w:val="191"/>
          <w:jc w:val="center"/>
        </w:trPr>
        <w:tc>
          <w:tcPr>
            <w:tcW w:w="4111" w:type="dxa"/>
            <w:noWrap/>
            <w:tcMar>
              <w:top w:w="15" w:type="dxa"/>
              <w:left w:w="15" w:type="dxa"/>
              <w:bottom w:w="0" w:type="dxa"/>
              <w:right w:w="15" w:type="dxa"/>
            </w:tcMar>
            <w:vAlign w:val="bottom"/>
          </w:tcPr>
          <w:p w14:paraId="157E5027" w14:textId="77777777" w:rsidR="00AA12F9" w:rsidRPr="003E5DE4" w:rsidRDefault="00AA12F9" w:rsidP="003235E7">
            <w:pPr>
              <w:spacing w:after="0" w:line="240" w:lineRule="auto"/>
              <w:jc w:val="both"/>
              <w:rPr>
                <w:rFonts w:cs="Arial"/>
                <w:b/>
                <w:bCs/>
                <w:sz w:val="18"/>
                <w:szCs w:val="18"/>
                <w:u w:val="single"/>
                <w:lang w:val="en-US"/>
              </w:rPr>
            </w:pPr>
          </w:p>
        </w:tc>
        <w:tc>
          <w:tcPr>
            <w:tcW w:w="1134" w:type="dxa"/>
            <w:tcMar>
              <w:top w:w="15" w:type="dxa"/>
              <w:left w:w="15" w:type="dxa"/>
              <w:bottom w:w="0" w:type="dxa"/>
              <w:right w:w="15" w:type="dxa"/>
            </w:tcMar>
          </w:tcPr>
          <w:p w14:paraId="29D5B68C" w14:textId="77777777" w:rsidR="00AA12F9" w:rsidRPr="0016388F" w:rsidRDefault="00AA12F9" w:rsidP="003235E7">
            <w:pPr>
              <w:spacing w:after="0" w:line="240" w:lineRule="auto"/>
              <w:ind w:right="103"/>
              <w:jc w:val="right"/>
              <w:rPr>
                <w:rFonts w:cs="Arial"/>
                <w:b/>
                <w:bCs/>
                <w:sz w:val="18"/>
                <w:szCs w:val="18"/>
                <w:lang w:val="en-US"/>
              </w:rPr>
            </w:pPr>
          </w:p>
        </w:tc>
        <w:tc>
          <w:tcPr>
            <w:tcW w:w="1134" w:type="dxa"/>
          </w:tcPr>
          <w:p w14:paraId="06C8E331" w14:textId="77777777" w:rsidR="00AA12F9" w:rsidRPr="0016388F" w:rsidRDefault="00AA12F9" w:rsidP="003235E7">
            <w:pPr>
              <w:spacing w:after="0" w:line="240" w:lineRule="auto"/>
              <w:ind w:right="103"/>
              <w:jc w:val="right"/>
              <w:rPr>
                <w:rFonts w:cs="Arial"/>
                <w:b/>
                <w:bCs/>
                <w:sz w:val="18"/>
                <w:szCs w:val="18"/>
                <w:lang w:val="en-US"/>
              </w:rPr>
            </w:pPr>
          </w:p>
        </w:tc>
        <w:tc>
          <w:tcPr>
            <w:tcW w:w="1134" w:type="dxa"/>
          </w:tcPr>
          <w:p w14:paraId="63C08978" w14:textId="77777777" w:rsidR="00AA12F9" w:rsidRPr="0016388F" w:rsidRDefault="00AA12F9" w:rsidP="003235E7">
            <w:pPr>
              <w:spacing w:after="0" w:line="240" w:lineRule="auto"/>
              <w:ind w:right="103"/>
              <w:jc w:val="right"/>
              <w:rPr>
                <w:rFonts w:cs="Arial"/>
                <w:b/>
                <w:bCs/>
                <w:sz w:val="18"/>
                <w:szCs w:val="18"/>
                <w:lang w:val="en-US"/>
              </w:rPr>
            </w:pPr>
          </w:p>
        </w:tc>
      </w:tr>
      <w:tr w:rsidR="00AA12F9" w:rsidRPr="000B4332" w14:paraId="4170D036" w14:textId="77777777" w:rsidTr="00AA12F9">
        <w:trPr>
          <w:jc w:val="center"/>
        </w:trPr>
        <w:tc>
          <w:tcPr>
            <w:tcW w:w="4111" w:type="dxa"/>
            <w:shd w:val="clear" w:color="auto" w:fill="auto"/>
            <w:noWrap/>
            <w:tcMar>
              <w:top w:w="15" w:type="dxa"/>
              <w:left w:w="15" w:type="dxa"/>
              <w:bottom w:w="0" w:type="dxa"/>
              <w:right w:w="15" w:type="dxa"/>
            </w:tcMar>
            <w:vAlign w:val="center"/>
            <w:hideMark/>
          </w:tcPr>
          <w:p w14:paraId="3889F720" w14:textId="7A48B8AF" w:rsidR="00AA12F9" w:rsidRPr="000B4332" w:rsidRDefault="00AA12F9" w:rsidP="003235E7">
            <w:pPr>
              <w:spacing w:after="0" w:line="240" w:lineRule="auto"/>
              <w:jc w:val="both"/>
              <w:rPr>
                <w:rFonts w:cs="Arial"/>
                <w:sz w:val="18"/>
                <w:szCs w:val="18"/>
                <w:lang w:val="en-US"/>
              </w:rPr>
            </w:pPr>
            <w:r w:rsidRPr="000B4332">
              <w:rPr>
                <w:rFonts w:cs="Arial"/>
                <w:sz w:val="18"/>
                <w:szCs w:val="18"/>
                <w:lang w:val="en-US"/>
              </w:rPr>
              <w:t>Group Revenue</w:t>
            </w:r>
          </w:p>
        </w:tc>
        <w:tc>
          <w:tcPr>
            <w:tcW w:w="1134" w:type="dxa"/>
            <w:shd w:val="clear" w:color="auto" w:fill="auto"/>
            <w:noWrap/>
            <w:tcMar>
              <w:top w:w="15" w:type="dxa"/>
              <w:left w:w="15" w:type="dxa"/>
              <w:bottom w:w="0" w:type="dxa"/>
              <w:right w:w="15" w:type="dxa"/>
            </w:tcMar>
          </w:tcPr>
          <w:p w14:paraId="1FDA5288" w14:textId="77777777" w:rsidR="00AA12F9" w:rsidRPr="00630759" w:rsidRDefault="002655F1" w:rsidP="003235E7">
            <w:pPr>
              <w:spacing w:after="0" w:line="240" w:lineRule="auto"/>
              <w:ind w:right="103"/>
              <w:jc w:val="right"/>
              <w:rPr>
                <w:rFonts w:cs="Arial"/>
                <w:bCs/>
                <w:sz w:val="18"/>
                <w:szCs w:val="18"/>
                <w:lang w:val="en-US"/>
              </w:rPr>
            </w:pPr>
            <w:r>
              <w:rPr>
                <w:rFonts w:cs="Arial"/>
                <w:bCs/>
                <w:sz w:val="18"/>
                <w:szCs w:val="18"/>
                <w:lang w:val="en-US"/>
              </w:rPr>
              <w:t>577.1</w:t>
            </w:r>
          </w:p>
        </w:tc>
        <w:tc>
          <w:tcPr>
            <w:tcW w:w="1134" w:type="dxa"/>
            <w:shd w:val="clear" w:color="auto" w:fill="auto"/>
          </w:tcPr>
          <w:p w14:paraId="159CDEF6" w14:textId="77777777" w:rsidR="00AA12F9" w:rsidRPr="00630759" w:rsidRDefault="00AA12F9" w:rsidP="003235E7">
            <w:pPr>
              <w:spacing w:after="0" w:line="240" w:lineRule="auto"/>
              <w:ind w:right="103"/>
              <w:jc w:val="right"/>
              <w:rPr>
                <w:rFonts w:cs="Arial"/>
                <w:bCs/>
                <w:sz w:val="18"/>
                <w:szCs w:val="18"/>
                <w:lang w:val="en-US"/>
              </w:rPr>
            </w:pPr>
            <w:r w:rsidRPr="003C7BC3">
              <w:rPr>
                <w:rFonts w:cs="Arial"/>
                <w:bCs/>
                <w:sz w:val="18"/>
                <w:szCs w:val="18"/>
                <w:lang w:val="en-US"/>
              </w:rPr>
              <w:t>712.7</w:t>
            </w:r>
          </w:p>
        </w:tc>
        <w:tc>
          <w:tcPr>
            <w:tcW w:w="1134" w:type="dxa"/>
            <w:shd w:val="clear" w:color="auto" w:fill="auto"/>
          </w:tcPr>
          <w:p w14:paraId="3E2235A5" w14:textId="77777777" w:rsidR="00AA12F9" w:rsidRPr="00630759" w:rsidRDefault="00AA12F9" w:rsidP="00741AA8">
            <w:pPr>
              <w:spacing w:after="0" w:line="240" w:lineRule="auto"/>
              <w:ind w:right="103"/>
              <w:jc w:val="right"/>
              <w:rPr>
                <w:rFonts w:cs="Arial"/>
                <w:bCs/>
                <w:sz w:val="18"/>
                <w:szCs w:val="18"/>
                <w:lang w:val="en-US"/>
              </w:rPr>
            </w:pPr>
            <w:r>
              <w:rPr>
                <w:rFonts w:cs="Arial"/>
                <w:bCs/>
                <w:sz w:val="18"/>
                <w:szCs w:val="18"/>
                <w:lang w:val="en-US"/>
              </w:rPr>
              <w:t>-</w:t>
            </w:r>
            <w:r w:rsidR="002655F1">
              <w:rPr>
                <w:rFonts w:cs="Arial"/>
                <w:bCs/>
                <w:sz w:val="18"/>
                <w:szCs w:val="18"/>
                <w:lang w:val="en-US"/>
              </w:rPr>
              <w:t>19.0</w:t>
            </w:r>
            <w:r>
              <w:rPr>
                <w:rFonts w:cs="Arial"/>
                <w:bCs/>
                <w:sz w:val="18"/>
                <w:szCs w:val="18"/>
                <w:lang w:val="en-US"/>
              </w:rPr>
              <w:t>%</w:t>
            </w:r>
          </w:p>
        </w:tc>
      </w:tr>
      <w:tr w:rsidR="00AA12F9" w:rsidRPr="000B4332" w14:paraId="76A5E0DD" w14:textId="77777777" w:rsidTr="00AA12F9">
        <w:trPr>
          <w:jc w:val="center"/>
        </w:trPr>
        <w:tc>
          <w:tcPr>
            <w:tcW w:w="4111" w:type="dxa"/>
            <w:shd w:val="clear" w:color="auto" w:fill="auto"/>
            <w:noWrap/>
            <w:tcMar>
              <w:top w:w="15" w:type="dxa"/>
              <w:left w:w="15" w:type="dxa"/>
              <w:bottom w:w="0" w:type="dxa"/>
              <w:right w:w="15" w:type="dxa"/>
            </w:tcMar>
            <w:vAlign w:val="center"/>
          </w:tcPr>
          <w:p w14:paraId="1FF07638" w14:textId="77777777" w:rsidR="00AA12F9" w:rsidRPr="000B4332" w:rsidRDefault="00AA12F9" w:rsidP="003235E7">
            <w:pPr>
              <w:spacing w:after="0" w:line="240" w:lineRule="auto"/>
              <w:jc w:val="both"/>
              <w:rPr>
                <w:rFonts w:cs="Arial"/>
                <w:sz w:val="18"/>
                <w:szCs w:val="18"/>
                <w:lang w:val="en-US"/>
              </w:rPr>
            </w:pPr>
            <w:r>
              <w:rPr>
                <w:rFonts w:cs="Arial"/>
                <w:sz w:val="18"/>
                <w:szCs w:val="18"/>
                <w:lang w:val="en-US"/>
              </w:rPr>
              <w:t>Pro Forma Revenue Growth</w:t>
            </w:r>
          </w:p>
        </w:tc>
        <w:tc>
          <w:tcPr>
            <w:tcW w:w="1134" w:type="dxa"/>
            <w:shd w:val="clear" w:color="auto" w:fill="auto"/>
            <w:noWrap/>
            <w:tcMar>
              <w:top w:w="15" w:type="dxa"/>
              <w:left w:w="15" w:type="dxa"/>
              <w:bottom w:w="0" w:type="dxa"/>
              <w:right w:w="15" w:type="dxa"/>
            </w:tcMar>
          </w:tcPr>
          <w:p w14:paraId="66F40A93" w14:textId="77777777" w:rsidR="00AA12F9" w:rsidRPr="00630759" w:rsidRDefault="00AA12F9" w:rsidP="003235E7">
            <w:pPr>
              <w:spacing w:after="0" w:line="240" w:lineRule="auto"/>
              <w:ind w:right="103"/>
              <w:jc w:val="right"/>
              <w:rPr>
                <w:rFonts w:cs="Arial"/>
                <w:bCs/>
                <w:sz w:val="18"/>
                <w:szCs w:val="18"/>
                <w:lang w:val="en-US"/>
              </w:rPr>
            </w:pPr>
          </w:p>
        </w:tc>
        <w:tc>
          <w:tcPr>
            <w:tcW w:w="1134" w:type="dxa"/>
            <w:shd w:val="clear" w:color="auto" w:fill="auto"/>
          </w:tcPr>
          <w:p w14:paraId="3B468723" w14:textId="77777777" w:rsidR="00AA12F9" w:rsidRPr="00630759" w:rsidRDefault="00AA12F9" w:rsidP="003235E7">
            <w:pPr>
              <w:spacing w:after="0" w:line="240" w:lineRule="auto"/>
              <w:ind w:right="103"/>
              <w:jc w:val="right"/>
              <w:rPr>
                <w:rFonts w:cs="Arial"/>
                <w:bCs/>
                <w:sz w:val="18"/>
                <w:szCs w:val="18"/>
                <w:lang w:val="en-US"/>
              </w:rPr>
            </w:pPr>
          </w:p>
        </w:tc>
        <w:tc>
          <w:tcPr>
            <w:tcW w:w="1134" w:type="dxa"/>
            <w:shd w:val="clear" w:color="auto" w:fill="auto"/>
          </w:tcPr>
          <w:p w14:paraId="1BBB2C79"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-18.</w:t>
            </w:r>
            <w:r w:rsidR="002655F1">
              <w:rPr>
                <w:rFonts w:cs="Arial"/>
                <w:bCs/>
                <w:sz w:val="18"/>
                <w:szCs w:val="18"/>
                <w:lang w:val="en-US"/>
              </w:rPr>
              <w:t>6</w:t>
            </w:r>
            <w:r w:rsidRPr="00033DDC">
              <w:rPr>
                <w:rFonts w:cs="Arial"/>
                <w:bCs/>
                <w:sz w:val="18"/>
                <w:szCs w:val="18"/>
                <w:lang w:val="en-US"/>
              </w:rPr>
              <w:t>%</w:t>
            </w:r>
          </w:p>
        </w:tc>
      </w:tr>
      <w:tr w:rsidR="00AA12F9" w:rsidRPr="000B4332" w14:paraId="4568337E" w14:textId="77777777" w:rsidTr="00AA12F9">
        <w:trPr>
          <w:jc w:val="center"/>
        </w:trPr>
        <w:tc>
          <w:tcPr>
            <w:tcW w:w="4111" w:type="dxa"/>
            <w:shd w:val="clear" w:color="auto" w:fill="auto"/>
            <w:noWrap/>
            <w:tcMar>
              <w:top w:w="15" w:type="dxa"/>
              <w:left w:w="15" w:type="dxa"/>
              <w:bottom w:w="0" w:type="dxa"/>
              <w:right w:w="15" w:type="dxa"/>
            </w:tcMar>
            <w:vAlign w:val="center"/>
          </w:tcPr>
          <w:p w14:paraId="54B0865B" w14:textId="77777777" w:rsidR="00AA12F9" w:rsidRPr="000B4332" w:rsidRDefault="00AA12F9" w:rsidP="003235E7">
            <w:pPr>
              <w:spacing w:after="0" w:line="240" w:lineRule="auto"/>
              <w:jc w:val="both"/>
              <w:rPr>
                <w:rFonts w:cs="Arial"/>
                <w:sz w:val="18"/>
                <w:szCs w:val="18"/>
                <w:lang w:val="en-US"/>
              </w:rPr>
            </w:pPr>
            <w:r w:rsidRPr="000B4332">
              <w:rPr>
                <w:rFonts w:cs="Arial"/>
                <w:sz w:val="18"/>
                <w:szCs w:val="18"/>
                <w:lang w:val="en-US"/>
              </w:rPr>
              <w:t>Adjusted EBITDA</w:t>
            </w:r>
          </w:p>
        </w:tc>
        <w:tc>
          <w:tcPr>
            <w:tcW w:w="1134" w:type="dxa"/>
            <w:shd w:val="clear" w:color="auto" w:fill="auto"/>
            <w:noWrap/>
            <w:tcMar>
              <w:top w:w="15" w:type="dxa"/>
              <w:left w:w="15" w:type="dxa"/>
              <w:bottom w:w="0" w:type="dxa"/>
              <w:right w:w="15" w:type="dxa"/>
            </w:tcMar>
          </w:tcPr>
          <w:p w14:paraId="131F2581"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26.5</w:t>
            </w:r>
          </w:p>
        </w:tc>
        <w:tc>
          <w:tcPr>
            <w:tcW w:w="1134" w:type="dxa"/>
            <w:shd w:val="clear" w:color="auto" w:fill="auto"/>
          </w:tcPr>
          <w:p w14:paraId="2CEE948A" w14:textId="77777777" w:rsidR="00AA12F9" w:rsidRPr="00630759" w:rsidRDefault="00AA12F9" w:rsidP="003235E7">
            <w:pPr>
              <w:spacing w:after="0" w:line="240" w:lineRule="auto"/>
              <w:ind w:right="103"/>
              <w:jc w:val="right"/>
              <w:rPr>
                <w:rFonts w:cs="Arial"/>
                <w:bCs/>
                <w:sz w:val="18"/>
                <w:szCs w:val="18"/>
                <w:lang w:val="en-US"/>
              </w:rPr>
            </w:pPr>
            <w:r w:rsidRPr="003C7BC3">
              <w:rPr>
                <w:rFonts w:cs="Arial"/>
                <w:bCs/>
                <w:sz w:val="18"/>
                <w:szCs w:val="18"/>
                <w:lang w:val="en-US"/>
              </w:rPr>
              <w:t>63.8</w:t>
            </w:r>
          </w:p>
        </w:tc>
        <w:tc>
          <w:tcPr>
            <w:tcW w:w="1134" w:type="dxa"/>
            <w:shd w:val="clear" w:color="auto" w:fill="auto"/>
          </w:tcPr>
          <w:p w14:paraId="57C54155"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-58.5</w:t>
            </w:r>
            <w:r w:rsidRPr="00033DDC">
              <w:rPr>
                <w:rFonts w:cs="Arial"/>
                <w:bCs/>
                <w:sz w:val="18"/>
                <w:szCs w:val="18"/>
                <w:lang w:val="en-US"/>
              </w:rPr>
              <w:t>%</w:t>
            </w:r>
          </w:p>
        </w:tc>
      </w:tr>
      <w:tr w:rsidR="00AA12F9" w:rsidRPr="000B4332" w14:paraId="2AAC2DA1"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498C4BE7"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Group Operating Profit</w:t>
            </w:r>
          </w:p>
        </w:tc>
        <w:tc>
          <w:tcPr>
            <w:tcW w:w="1134" w:type="dxa"/>
            <w:shd w:val="clear" w:color="auto" w:fill="auto"/>
            <w:noWrap/>
            <w:tcMar>
              <w:top w:w="15" w:type="dxa"/>
              <w:left w:w="15" w:type="dxa"/>
              <w:bottom w:w="0" w:type="dxa"/>
              <w:right w:w="15" w:type="dxa"/>
            </w:tcMar>
          </w:tcPr>
          <w:p w14:paraId="2648C2AC"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3.9</w:t>
            </w:r>
          </w:p>
        </w:tc>
        <w:tc>
          <w:tcPr>
            <w:tcW w:w="1134" w:type="dxa"/>
            <w:shd w:val="clear" w:color="auto" w:fill="auto"/>
            <w:vAlign w:val="bottom"/>
          </w:tcPr>
          <w:p w14:paraId="50610D96"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35.6</w:t>
            </w:r>
          </w:p>
        </w:tc>
        <w:tc>
          <w:tcPr>
            <w:tcW w:w="1134" w:type="dxa"/>
            <w:shd w:val="clear" w:color="auto" w:fill="auto"/>
          </w:tcPr>
          <w:p w14:paraId="365309CF"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-89.0</w:t>
            </w:r>
            <w:r w:rsidRPr="00033DDC">
              <w:rPr>
                <w:rFonts w:cs="Arial"/>
                <w:bCs/>
                <w:sz w:val="18"/>
                <w:szCs w:val="18"/>
                <w:lang w:val="en-US"/>
              </w:rPr>
              <w:t>%</w:t>
            </w:r>
          </w:p>
        </w:tc>
      </w:tr>
      <w:tr w:rsidR="00AA12F9" w:rsidRPr="000B4332" w14:paraId="051E1E5E" w14:textId="77777777" w:rsidTr="00AA12F9">
        <w:trPr>
          <w:jc w:val="center"/>
        </w:trPr>
        <w:tc>
          <w:tcPr>
            <w:tcW w:w="4111" w:type="dxa"/>
            <w:shd w:val="clear" w:color="auto" w:fill="auto"/>
            <w:noWrap/>
            <w:tcMar>
              <w:top w:w="15" w:type="dxa"/>
              <w:left w:w="15" w:type="dxa"/>
              <w:bottom w:w="0" w:type="dxa"/>
              <w:right w:w="15" w:type="dxa"/>
            </w:tcMar>
            <w:vAlign w:val="center"/>
            <w:hideMark/>
          </w:tcPr>
          <w:p w14:paraId="2A5F54C1"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Adjusted Operating Profit</w:t>
            </w:r>
          </w:p>
        </w:tc>
        <w:tc>
          <w:tcPr>
            <w:tcW w:w="1134" w:type="dxa"/>
            <w:shd w:val="clear" w:color="auto" w:fill="auto"/>
            <w:noWrap/>
            <w:tcMar>
              <w:top w:w="15" w:type="dxa"/>
              <w:left w:w="15" w:type="dxa"/>
              <w:bottom w:w="0" w:type="dxa"/>
              <w:right w:w="15" w:type="dxa"/>
            </w:tcMar>
          </w:tcPr>
          <w:p w14:paraId="26432CBB"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0.2</w:t>
            </w:r>
          </w:p>
        </w:tc>
        <w:tc>
          <w:tcPr>
            <w:tcW w:w="1134" w:type="dxa"/>
            <w:shd w:val="clear" w:color="auto" w:fill="auto"/>
            <w:vAlign w:val="bottom"/>
          </w:tcPr>
          <w:p w14:paraId="7A17D9BF"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38.3</w:t>
            </w:r>
          </w:p>
        </w:tc>
        <w:tc>
          <w:tcPr>
            <w:tcW w:w="1134" w:type="dxa"/>
            <w:shd w:val="clear" w:color="auto" w:fill="auto"/>
          </w:tcPr>
          <w:p w14:paraId="00097019"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-99.5</w:t>
            </w:r>
            <w:r w:rsidRPr="00033DDC">
              <w:rPr>
                <w:rFonts w:cs="Arial"/>
                <w:bCs/>
                <w:sz w:val="18"/>
                <w:szCs w:val="18"/>
                <w:lang w:val="en-US"/>
              </w:rPr>
              <w:t>%</w:t>
            </w:r>
          </w:p>
        </w:tc>
      </w:tr>
      <w:tr w:rsidR="00AA12F9" w:rsidRPr="000B4332" w14:paraId="6B85A70B" w14:textId="77777777" w:rsidTr="00AA12F9">
        <w:trPr>
          <w:jc w:val="center"/>
        </w:trPr>
        <w:tc>
          <w:tcPr>
            <w:tcW w:w="4111" w:type="dxa"/>
            <w:shd w:val="clear" w:color="auto" w:fill="auto"/>
            <w:noWrap/>
            <w:tcMar>
              <w:top w:w="15" w:type="dxa"/>
              <w:left w:w="15" w:type="dxa"/>
              <w:bottom w:w="0" w:type="dxa"/>
              <w:right w:w="15" w:type="dxa"/>
            </w:tcMar>
            <w:vAlign w:val="center"/>
            <w:hideMark/>
          </w:tcPr>
          <w:p w14:paraId="6F7FA0DD"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Adjusted Operating Margin</w:t>
            </w:r>
          </w:p>
        </w:tc>
        <w:tc>
          <w:tcPr>
            <w:tcW w:w="1134" w:type="dxa"/>
            <w:shd w:val="clear" w:color="auto" w:fill="auto"/>
            <w:noWrap/>
            <w:tcMar>
              <w:top w:w="15" w:type="dxa"/>
              <w:left w:w="15" w:type="dxa"/>
              <w:bottom w:w="0" w:type="dxa"/>
              <w:right w:w="15" w:type="dxa"/>
            </w:tcMar>
          </w:tcPr>
          <w:p w14:paraId="0E4B25EF"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0.0%</w:t>
            </w:r>
          </w:p>
        </w:tc>
        <w:tc>
          <w:tcPr>
            <w:tcW w:w="1134" w:type="dxa"/>
            <w:shd w:val="clear" w:color="auto" w:fill="auto"/>
            <w:vAlign w:val="bottom"/>
          </w:tcPr>
          <w:p w14:paraId="73FAF599" w14:textId="77777777" w:rsidR="00AA12F9" w:rsidRPr="00630759" w:rsidRDefault="00AA12F9" w:rsidP="003235E7">
            <w:pPr>
              <w:spacing w:after="0" w:line="240" w:lineRule="auto"/>
              <w:ind w:right="103"/>
              <w:jc w:val="right"/>
              <w:rPr>
                <w:rFonts w:cs="Arial"/>
                <w:bCs/>
                <w:sz w:val="18"/>
                <w:szCs w:val="18"/>
                <w:lang w:val="en-US"/>
              </w:rPr>
            </w:pPr>
            <w:r w:rsidRPr="003C7BC3">
              <w:rPr>
                <w:rFonts w:cs="Arial"/>
                <w:bCs/>
                <w:sz w:val="18"/>
                <w:szCs w:val="18"/>
                <w:lang w:val="en-US"/>
              </w:rPr>
              <w:t>5.4%</w:t>
            </w:r>
          </w:p>
        </w:tc>
        <w:tc>
          <w:tcPr>
            <w:tcW w:w="1134" w:type="dxa"/>
            <w:shd w:val="clear" w:color="auto" w:fill="auto"/>
          </w:tcPr>
          <w:p w14:paraId="7DACDC20"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-540bps</w:t>
            </w:r>
          </w:p>
        </w:tc>
      </w:tr>
      <w:tr w:rsidR="00AA12F9" w:rsidRPr="000B4332" w14:paraId="13693D04"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01662EBC"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 xml:space="preserve">Group </w:t>
            </w:r>
            <w:r>
              <w:rPr>
                <w:rFonts w:cs="Arial"/>
                <w:bCs/>
                <w:sz w:val="18"/>
                <w:szCs w:val="18"/>
                <w:lang w:val="en-US"/>
              </w:rPr>
              <w:t>(Loss)/</w:t>
            </w:r>
            <w:r w:rsidRPr="000B4332">
              <w:rPr>
                <w:rFonts w:cs="Arial"/>
                <w:bCs/>
                <w:sz w:val="18"/>
                <w:szCs w:val="18"/>
                <w:lang w:val="en-US"/>
              </w:rPr>
              <w:t xml:space="preserve">Profit </w:t>
            </w:r>
            <w:r>
              <w:rPr>
                <w:rFonts w:cs="Arial"/>
                <w:bCs/>
                <w:sz w:val="18"/>
                <w:szCs w:val="18"/>
                <w:lang w:val="en-US"/>
              </w:rPr>
              <w:t>Before Tax</w:t>
            </w:r>
          </w:p>
        </w:tc>
        <w:tc>
          <w:tcPr>
            <w:tcW w:w="1134" w:type="dxa"/>
            <w:shd w:val="clear" w:color="auto" w:fill="auto"/>
            <w:noWrap/>
            <w:tcMar>
              <w:top w:w="15" w:type="dxa"/>
              <w:left w:w="15" w:type="dxa"/>
              <w:bottom w:w="0" w:type="dxa"/>
              <w:right w:w="15" w:type="dxa"/>
            </w:tcMar>
          </w:tcPr>
          <w:p w14:paraId="481B9EC4"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(1.8)</w:t>
            </w:r>
          </w:p>
        </w:tc>
        <w:tc>
          <w:tcPr>
            <w:tcW w:w="1134" w:type="dxa"/>
            <w:shd w:val="clear" w:color="auto" w:fill="auto"/>
            <w:vAlign w:val="bottom"/>
          </w:tcPr>
          <w:p w14:paraId="66A68F15" w14:textId="77777777" w:rsidR="00AA12F9" w:rsidRPr="00630759" w:rsidRDefault="00AA12F9" w:rsidP="003235E7">
            <w:pPr>
              <w:spacing w:after="0" w:line="240" w:lineRule="auto"/>
              <w:ind w:right="103"/>
              <w:jc w:val="right"/>
              <w:rPr>
                <w:rFonts w:cs="Arial"/>
                <w:sz w:val="18"/>
                <w:szCs w:val="18"/>
                <w:lang w:val="en-US"/>
              </w:rPr>
            </w:pPr>
            <w:r w:rsidRPr="003C7BC3">
              <w:rPr>
                <w:rFonts w:cs="Arial"/>
                <w:sz w:val="18"/>
                <w:szCs w:val="18"/>
                <w:lang w:val="en-US"/>
              </w:rPr>
              <w:t>27.</w:t>
            </w:r>
            <w:r>
              <w:rPr>
                <w:rFonts w:cs="Arial"/>
                <w:sz w:val="18"/>
                <w:szCs w:val="18"/>
                <w:lang w:val="en-US"/>
              </w:rPr>
              <w:t>3</w:t>
            </w:r>
          </w:p>
        </w:tc>
        <w:tc>
          <w:tcPr>
            <w:tcW w:w="1134" w:type="dxa"/>
            <w:shd w:val="clear" w:color="auto" w:fill="auto"/>
          </w:tcPr>
          <w:p w14:paraId="1ECC01AE"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-106.6</w:t>
            </w:r>
            <w:r w:rsidRPr="00033DDC">
              <w:rPr>
                <w:rFonts w:cs="Arial"/>
                <w:bCs/>
                <w:sz w:val="18"/>
                <w:szCs w:val="18"/>
                <w:lang w:val="en-US"/>
              </w:rPr>
              <w:t>%</w:t>
            </w:r>
          </w:p>
        </w:tc>
      </w:tr>
      <w:tr w:rsidR="00AA12F9" w:rsidRPr="000B4332" w14:paraId="148B9552" w14:textId="77777777" w:rsidTr="00AA12F9">
        <w:trPr>
          <w:jc w:val="center"/>
        </w:trPr>
        <w:tc>
          <w:tcPr>
            <w:tcW w:w="4111" w:type="dxa"/>
            <w:shd w:val="clear" w:color="auto" w:fill="auto"/>
            <w:noWrap/>
            <w:tcMar>
              <w:top w:w="15" w:type="dxa"/>
              <w:left w:w="15" w:type="dxa"/>
              <w:bottom w:w="0" w:type="dxa"/>
              <w:right w:w="15" w:type="dxa"/>
            </w:tcMar>
            <w:vAlign w:val="center"/>
            <w:hideMark/>
          </w:tcPr>
          <w:p w14:paraId="47567CE6"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 xml:space="preserve">Adjusted </w:t>
            </w:r>
            <w:r>
              <w:rPr>
                <w:rFonts w:cs="Arial"/>
                <w:bCs/>
                <w:sz w:val="18"/>
                <w:szCs w:val="18"/>
                <w:lang w:val="en-US"/>
              </w:rPr>
              <w:t>(Loss)/</w:t>
            </w:r>
            <w:r w:rsidRPr="000B4332">
              <w:rPr>
                <w:rFonts w:cs="Arial"/>
                <w:bCs/>
                <w:sz w:val="18"/>
                <w:szCs w:val="18"/>
                <w:lang w:val="en-US"/>
              </w:rPr>
              <w:t>Profit Before Tax</w:t>
            </w:r>
          </w:p>
        </w:tc>
        <w:tc>
          <w:tcPr>
            <w:tcW w:w="1134" w:type="dxa"/>
            <w:shd w:val="clear" w:color="auto" w:fill="auto"/>
            <w:noWrap/>
            <w:tcMar>
              <w:top w:w="15" w:type="dxa"/>
              <w:left w:w="15" w:type="dxa"/>
              <w:bottom w:w="0" w:type="dxa"/>
              <w:right w:w="15" w:type="dxa"/>
            </w:tcMar>
          </w:tcPr>
          <w:p w14:paraId="5C02511B"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(7.9)</w:t>
            </w:r>
          </w:p>
        </w:tc>
        <w:tc>
          <w:tcPr>
            <w:tcW w:w="1134" w:type="dxa"/>
            <w:shd w:val="clear" w:color="auto" w:fill="auto"/>
            <w:vAlign w:val="center"/>
          </w:tcPr>
          <w:p w14:paraId="5FEE5292" w14:textId="77777777" w:rsidR="00AA12F9" w:rsidRPr="00630759" w:rsidRDefault="00AA12F9" w:rsidP="003235E7">
            <w:pPr>
              <w:spacing w:after="0" w:line="240" w:lineRule="auto"/>
              <w:ind w:right="103"/>
              <w:jc w:val="right"/>
              <w:rPr>
                <w:rFonts w:cs="Arial"/>
                <w:bCs/>
                <w:sz w:val="18"/>
                <w:szCs w:val="18"/>
                <w:lang w:val="en-US"/>
              </w:rPr>
            </w:pPr>
            <w:r w:rsidRPr="003C7BC3">
              <w:rPr>
                <w:rFonts w:cs="Arial"/>
                <w:bCs/>
                <w:sz w:val="18"/>
                <w:szCs w:val="18"/>
                <w:lang w:val="en-US"/>
              </w:rPr>
              <w:t>31.1</w:t>
            </w:r>
          </w:p>
        </w:tc>
        <w:tc>
          <w:tcPr>
            <w:tcW w:w="1134" w:type="dxa"/>
            <w:shd w:val="clear" w:color="auto" w:fill="auto"/>
          </w:tcPr>
          <w:p w14:paraId="54E29C1B" w14:textId="77777777" w:rsidR="00AA12F9" w:rsidRPr="00630759" w:rsidRDefault="00AA12F9" w:rsidP="003235E7">
            <w:pPr>
              <w:spacing w:after="0" w:line="240" w:lineRule="auto"/>
              <w:ind w:right="103"/>
              <w:jc w:val="right"/>
              <w:rPr>
                <w:rFonts w:cs="Arial"/>
                <w:bCs/>
                <w:sz w:val="18"/>
                <w:szCs w:val="18"/>
                <w:lang w:val="en-US"/>
              </w:rPr>
            </w:pPr>
            <w:r>
              <w:rPr>
                <w:rFonts w:cs="Arial"/>
                <w:bCs/>
                <w:sz w:val="18"/>
                <w:szCs w:val="18"/>
                <w:lang w:val="en-US"/>
              </w:rPr>
              <w:t>-125.4</w:t>
            </w:r>
            <w:r w:rsidRPr="00033DDC">
              <w:rPr>
                <w:rFonts w:cs="Arial"/>
                <w:bCs/>
                <w:sz w:val="18"/>
                <w:szCs w:val="18"/>
                <w:lang w:val="en-US"/>
              </w:rPr>
              <w:t>%</w:t>
            </w:r>
          </w:p>
        </w:tc>
      </w:tr>
      <w:tr w:rsidR="00AA12F9" w:rsidRPr="000B4332" w14:paraId="61EE8219" w14:textId="77777777" w:rsidTr="00AA12F9">
        <w:trPr>
          <w:jc w:val="center"/>
        </w:trPr>
        <w:tc>
          <w:tcPr>
            <w:tcW w:w="4111" w:type="dxa"/>
            <w:shd w:val="clear" w:color="auto" w:fill="auto"/>
            <w:noWrap/>
            <w:tcMar>
              <w:top w:w="15" w:type="dxa"/>
              <w:left w:w="15" w:type="dxa"/>
              <w:bottom w:w="0" w:type="dxa"/>
              <w:right w:w="15" w:type="dxa"/>
            </w:tcMar>
            <w:vAlign w:val="center"/>
          </w:tcPr>
          <w:p w14:paraId="49EC38A4" w14:textId="77777777" w:rsidR="00AA12F9" w:rsidRPr="000B4332" w:rsidRDefault="00AA12F9" w:rsidP="003235E7">
            <w:pPr>
              <w:spacing w:after="0" w:line="240" w:lineRule="auto"/>
              <w:jc w:val="both"/>
              <w:rPr>
                <w:rFonts w:cs="Arial"/>
                <w:bCs/>
                <w:sz w:val="18"/>
                <w:szCs w:val="18"/>
                <w:lang w:val="en-US"/>
              </w:rPr>
            </w:pPr>
          </w:p>
        </w:tc>
        <w:tc>
          <w:tcPr>
            <w:tcW w:w="1134" w:type="dxa"/>
            <w:shd w:val="clear" w:color="auto" w:fill="auto"/>
            <w:noWrap/>
            <w:tcMar>
              <w:top w:w="15" w:type="dxa"/>
              <w:left w:w="15" w:type="dxa"/>
              <w:bottom w:w="0" w:type="dxa"/>
              <w:right w:w="15" w:type="dxa"/>
            </w:tcMar>
            <w:vAlign w:val="bottom"/>
          </w:tcPr>
          <w:p w14:paraId="0645BADB" w14:textId="77777777" w:rsidR="00AA12F9" w:rsidRPr="00630759" w:rsidRDefault="00AA12F9" w:rsidP="003235E7">
            <w:pPr>
              <w:spacing w:after="0" w:line="240" w:lineRule="auto"/>
              <w:ind w:right="103"/>
              <w:jc w:val="right"/>
              <w:rPr>
                <w:rFonts w:cs="Arial"/>
                <w:bCs/>
                <w:sz w:val="18"/>
                <w:szCs w:val="18"/>
                <w:lang w:val="en-US"/>
              </w:rPr>
            </w:pPr>
          </w:p>
        </w:tc>
        <w:tc>
          <w:tcPr>
            <w:tcW w:w="1134" w:type="dxa"/>
            <w:shd w:val="clear" w:color="auto" w:fill="auto"/>
            <w:vAlign w:val="bottom"/>
          </w:tcPr>
          <w:p w14:paraId="3C1E1DC7" w14:textId="77777777" w:rsidR="00AA12F9" w:rsidRPr="00630759" w:rsidRDefault="00AA12F9" w:rsidP="003235E7">
            <w:pPr>
              <w:spacing w:after="0" w:line="240" w:lineRule="auto"/>
              <w:ind w:right="103"/>
              <w:jc w:val="right"/>
              <w:rPr>
                <w:rFonts w:cs="Arial"/>
                <w:bCs/>
                <w:sz w:val="18"/>
                <w:szCs w:val="18"/>
                <w:lang w:val="en-US"/>
              </w:rPr>
            </w:pPr>
          </w:p>
        </w:tc>
        <w:tc>
          <w:tcPr>
            <w:tcW w:w="1134" w:type="dxa"/>
            <w:shd w:val="clear" w:color="auto" w:fill="auto"/>
          </w:tcPr>
          <w:p w14:paraId="6A693A4D" w14:textId="77777777" w:rsidR="00AA12F9" w:rsidRPr="00630759" w:rsidRDefault="00AA12F9" w:rsidP="003235E7">
            <w:pPr>
              <w:spacing w:after="0" w:line="240" w:lineRule="auto"/>
              <w:ind w:right="103"/>
              <w:jc w:val="right"/>
              <w:rPr>
                <w:rFonts w:cs="Arial"/>
                <w:bCs/>
                <w:sz w:val="18"/>
                <w:szCs w:val="18"/>
                <w:lang w:val="en-US"/>
              </w:rPr>
            </w:pPr>
          </w:p>
        </w:tc>
      </w:tr>
      <w:tr w:rsidR="00AA12F9" w:rsidRPr="000B4332" w14:paraId="6A86A339"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1601E907"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Basic EPS (pence)</w:t>
            </w:r>
          </w:p>
        </w:tc>
        <w:tc>
          <w:tcPr>
            <w:tcW w:w="1134" w:type="dxa"/>
            <w:shd w:val="clear" w:color="auto" w:fill="auto"/>
            <w:noWrap/>
            <w:tcMar>
              <w:top w:w="15" w:type="dxa"/>
              <w:left w:w="15" w:type="dxa"/>
              <w:bottom w:w="0" w:type="dxa"/>
              <w:right w:w="15" w:type="dxa"/>
            </w:tcMar>
          </w:tcPr>
          <w:p w14:paraId="62557341"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0.0</w:t>
            </w:r>
          </w:p>
        </w:tc>
        <w:tc>
          <w:tcPr>
            <w:tcW w:w="1134" w:type="dxa"/>
            <w:shd w:val="clear" w:color="auto" w:fill="auto"/>
            <w:vAlign w:val="center"/>
          </w:tcPr>
          <w:p w14:paraId="033369EC" w14:textId="77777777" w:rsidR="00AA12F9" w:rsidRPr="00630759" w:rsidRDefault="00AA12F9" w:rsidP="003235E7">
            <w:pPr>
              <w:spacing w:after="0" w:line="240" w:lineRule="auto"/>
              <w:ind w:right="103"/>
              <w:jc w:val="right"/>
              <w:rPr>
                <w:rFonts w:cs="Arial"/>
                <w:sz w:val="18"/>
                <w:szCs w:val="18"/>
                <w:lang w:val="en-US"/>
              </w:rPr>
            </w:pPr>
            <w:r w:rsidRPr="003C7BC3">
              <w:rPr>
                <w:rFonts w:cs="Arial"/>
                <w:sz w:val="18"/>
                <w:szCs w:val="18"/>
                <w:lang w:val="en-US"/>
              </w:rPr>
              <w:t>5.</w:t>
            </w:r>
            <w:r>
              <w:rPr>
                <w:rFonts w:cs="Arial"/>
                <w:sz w:val="18"/>
                <w:szCs w:val="18"/>
                <w:lang w:val="en-US"/>
              </w:rPr>
              <w:t>3</w:t>
            </w:r>
          </w:p>
        </w:tc>
        <w:tc>
          <w:tcPr>
            <w:tcW w:w="1134" w:type="dxa"/>
            <w:shd w:val="clear" w:color="auto" w:fill="auto"/>
          </w:tcPr>
          <w:p w14:paraId="66732606"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-100.0%</w:t>
            </w:r>
          </w:p>
        </w:tc>
      </w:tr>
      <w:tr w:rsidR="00AA12F9" w:rsidRPr="000B4332" w14:paraId="148D5871"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4A30B9E4"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Group Exceptional Items (</w:t>
            </w:r>
            <w:r w:rsidRPr="005860C4">
              <w:rPr>
                <w:rFonts w:cs="Arial"/>
                <w:bCs/>
                <w:sz w:val="18"/>
                <w:szCs w:val="18"/>
                <w:lang w:val="en-US"/>
              </w:rPr>
              <w:t>after</w:t>
            </w:r>
            <w:r w:rsidRPr="000B4332">
              <w:rPr>
                <w:rFonts w:cs="Arial"/>
                <w:bCs/>
                <w:sz w:val="18"/>
                <w:szCs w:val="18"/>
                <w:lang w:val="en-US"/>
              </w:rPr>
              <w:t xml:space="preserve"> tax)</w:t>
            </w:r>
          </w:p>
        </w:tc>
        <w:tc>
          <w:tcPr>
            <w:tcW w:w="1134" w:type="dxa"/>
            <w:shd w:val="clear" w:color="auto" w:fill="auto"/>
            <w:noWrap/>
            <w:tcMar>
              <w:top w:w="15" w:type="dxa"/>
              <w:left w:w="15" w:type="dxa"/>
              <w:bottom w:w="0" w:type="dxa"/>
              <w:right w:w="15" w:type="dxa"/>
            </w:tcMar>
          </w:tcPr>
          <w:p w14:paraId="4A584727"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9.9</w:t>
            </w:r>
          </w:p>
        </w:tc>
        <w:tc>
          <w:tcPr>
            <w:tcW w:w="1134" w:type="dxa"/>
            <w:shd w:val="clear" w:color="auto" w:fill="auto"/>
            <w:vAlign w:val="center"/>
          </w:tcPr>
          <w:p w14:paraId="37AE8F84" w14:textId="77777777" w:rsidR="00AA12F9" w:rsidRPr="00630759" w:rsidRDefault="00AA12F9" w:rsidP="003235E7">
            <w:pPr>
              <w:spacing w:after="0" w:line="240" w:lineRule="auto"/>
              <w:ind w:right="103"/>
              <w:jc w:val="right"/>
              <w:rPr>
                <w:rFonts w:cs="Arial"/>
                <w:sz w:val="18"/>
                <w:szCs w:val="18"/>
                <w:lang w:val="en-US"/>
              </w:rPr>
            </w:pPr>
            <w:r w:rsidRPr="003C7BC3">
              <w:rPr>
                <w:rFonts w:cs="Arial"/>
                <w:sz w:val="18"/>
                <w:szCs w:val="18"/>
                <w:lang w:val="en-US"/>
              </w:rPr>
              <w:t>0.4</w:t>
            </w:r>
          </w:p>
        </w:tc>
        <w:tc>
          <w:tcPr>
            <w:tcW w:w="1134" w:type="dxa"/>
            <w:shd w:val="clear" w:color="auto" w:fill="auto"/>
          </w:tcPr>
          <w:p w14:paraId="3EC48775" w14:textId="77777777" w:rsidR="00AA12F9" w:rsidRPr="00630759" w:rsidRDefault="00AA12F9" w:rsidP="003235E7">
            <w:pPr>
              <w:spacing w:after="0" w:line="240" w:lineRule="auto"/>
              <w:ind w:right="103"/>
              <w:jc w:val="right"/>
              <w:rPr>
                <w:rFonts w:cs="Arial"/>
                <w:sz w:val="18"/>
                <w:szCs w:val="18"/>
                <w:lang w:val="en-US"/>
              </w:rPr>
            </w:pPr>
          </w:p>
        </w:tc>
      </w:tr>
      <w:tr w:rsidR="00AA12F9" w:rsidRPr="000B4332" w14:paraId="02F3F00B" w14:textId="77777777" w:rsidTr="00AA12F9">
        <w:trPr>
          <w:jc w:val="center"/>
        </w:trPr>
        <w:tc>
          <w:tcPr>
            <w:tcW w:w="4111" w:type="dxa"/>
            <w:shd w:val="clear" w:color="auto" w:fill="auto"/>
            <w:noWrap/>
            <w:tcMar>
              <w:top w:w="15" w:type="dxa"/>
              <w:left w:w="15" w:type="dxa"/>
              <w:bottom w:w="0" w:type="dxa"/>
              <w:right w:w="15" w:type="dxa"/>
            </w:tcMar>
            <w:vAlign w:val="center"/>
          </w:tcPr>
          <w:p w14:paraId="0D869EBA"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Adjusted EPS (pence)</w:t>
            </w:r>
          </w:p>
        </w:tc>
        <w:tc>
          <w:tcPr>
            <w:tcW w:w="1134" w:type="dxa"/>
            <w:shd w:val="clear" w:color="auto" w:fill="auto"/>
            <w:noWrap/>
            <w:tcMar>
              <w:top w:w="15" w:type="dxa"/>
              <w:left w:w="15" w:type="dxa"/>
              <w:bottom w:w="0" w:type="dxa"/>
              <w:right w:w="15" w:type="dxa"/>
            </w:tcMar>
          </w:tcPr>
          <w:p w14:paraId="0083F77A"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(1.4)</w:t>
            </w:r>
          </w:p>
        </w:tc>
        <w:tc>
          <w:tcPr>
            <w:tcW w:w="1134" w:type="dxa"/>
            <w:shd w:val="clear" w:color="auto" w:fill="auto"/>
            <w:vAlign w:val="center"/>
          </w:tcPr>
          <w:p w14:paraId="61B9B5BF" w14:textId="77777777" w:rsidR="00AA12F9" w:rsidRPr="00630759" w:rsidRDefault="00AA12F9" w:rsidP="003235E7">
            <w:pPr>
              <w:spacing w:after="0" w:line="240" w:lineRule="auto"/>
              <w:ind w:right="103"/>
              <w:jc w:val="right"/>
              <w:rPr>
                <w:rFonts w:cs="Arial"/>
                <w:sz w:val="18"/>
                <w:szCs w:val="18"/>
                <w:lang w:val="en-US"/>
              </w:rPr>
            </w:pPr>
            <w:r w:rsidRPr="003C7BC3">
              <w:rPr>
                <w:rFonts w:cs="Arial"/>
                <w:sz w:val="18"/>
                <w:szCs w:val="18"/>
                <w:lang w:val="en-US"/>
              </w:rPr>
              <w:t>5.</w:t>
            </w:r>
            <w:r>
              <w:rPr>
                <w:rFonts w:cs="Arial"/>
                <w:sz w:val="18"/>
                <w:szCs w:val="18"/>
                <w:lang w:val="en-US"/>
              </w:rPr>
              <w:t>8</w:t>
            </w:r>
          </w:p>
        </w:tc>
        <w:tc>
          <w:tcPr>
            <w:tcW w:w="1134" w:type="dxa"/>
            <w:shd w:val="clear" w:color="auto" w:fill="auto"/>
            <w:vAlign w:val="bottom"/>
          </w:tcPr>
          <w:p w14:paraId="2C7E4398"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-124.1%</w:t>
            </w:r>
          </w:p>
        </w:tc>
      </w:tr>
      <w:tr w:rsidR="00AA12F9" w:rsidRPr="000B4332" w14:paraId="2848A456" w14:textId="77777777" w:rsidTr="00AA12F9">
        <w:trPr>
          <w:jc w:val="center"/>
        </w:trPr>
        <w:tc>
          <w:tcPr>
            <w:tcW w:w="4111" w:type="dxa"/>
            <w:shd w:val="clear" w:color="auto" w:fill="auto"/>
            <w:noWrap/>
            <w:tcMar>
              <w:top w:w="15" w:type="dxa"/>
              <w:left w:w="15" w:type="dxa"/>
              <w:bottom w:w="0" w:type="dxa"/>
              <w:right w:w="15" w:type="dxa"/>
            </w:tcMar>
            <w:vAlign w:val="center"/>
            <w:hideMark/>
          </w:tcPr>
          <w:p w14:paraId="634C96F5" w14:textId="77777777" w:rsidR="00AA12F9" w:rsidRPr="000B4332" w:rsidRDefault="00AA12F9" w:rsidP="003235E7">
            <w:pPr>
              <w:spacing w:after="0" w:line="240" w:lineRule="auto"/>
              <w:jc w:val="both"/>
              <w:rPr>
                <w:rFonts w:cs="Arial"/>
                <w:bCs/>
                <w:sz w:val="18"/>
                <w:szCs w:val="18"/>
                <w:lang w:val="en-US"/>
              </w:rPr>
            </w:pPr>
            <w:r>
              <w:rPr>
                <w:rFonts w:cs="Arial"/>
                <w:bCs/>
                <w:sz w:val="18"/>
                <w:szCs w:val="18"/>
                <w:lang w:val="en-US"/>
              </w:rPr>
              <w:t>Interim</w:t>
            </w:r>
            <w:r w:rsidRPr="000B4332">
              <w:rPr>
                <w:rFonts w:cs="Arial"/>
                <w:bCs/>
                <w:sz w:val="18"/>
                <w:szCs w:val="18"/>
                <w:lang w:val="en-US"/>
              </w:rPr>
              <w:t xml:space="preserve"> dividend per share (pence)</w:t>
            </w:r>
          </w:p>
        </w:tc>
        <w:tc>
          <w:tcPr>
            <w:tcW w:w="1134" w:type="dxa"/>
            <w:shd w:val="clear" w:color="auto" w:fill="auto"/>
            <w:noWrap/>
            <w:tcMar>
              <w:top w:w="15" w:type="dxa"/>
              <w:left w:w="15" w:type="dxa"/>
              <w:bottom w:w="0" w:type="dxa"/>
              <w:right w:w="15" w:type="dxa"/>
            </w:tcMar>
            <w:vAlign w:val="bottom"/>
          </w:tcPr>
          <w:p w14:paraId="0C48215B" w14:textId="77777777" w:rsidR="00AA12F9" w:rsidRPr="00630759" w:rsidRDefault="00AA12F9" w:rsidP="003235E7">
            <w:pPr>
              <w:spacing w:after="0" w:line="240" w:lineRule="auto"/>
              <w:ind w:right="103"/>
              <w:jc w:val="right"/>
              <w:rPr>
                <w:rFonts w:cs="Arial"/>
                <w:sz w:val="18"/>
                <w:szCs w:val="18"/>
                <w:lang w:val="en-US"/>
              </w:rPr>
            </w:pPr>
            <w:r>
              <w:rPr>
                <w:rFonts w:cs="Arial"/>
                <w:sz w:val="18"/>
                <w:szCs w:val="18"/>
                <w:lang w:val="en-US"/>
              </w:rPr>
              <w:t>-</w:t>
            </w:r>
          </w:p>
        </w:tc>
        <w:tc>
          <w:tcPr>
            <w:tcW w:w="1134" w:type="dxa"/>
            <w:shd w:val="clear" w:color="auto" w:fill="auto"/>
            <w:vAlign w:val="bottom"/>
          </w:tcPr>
          <w:p w14:paraId="46345D33" w14:textId="77777777" w:rsidR="00AA12F9" w:rsidRPr="00630759" w:rsidRDefault="00AA12F9" w:rsidP="003235E7">
            <w:pPr>
              <w:spacing w:after="0" w:line="240" w:lineRule="auto"/>
              <w:ind w:right="103"/>
              <w:jc w:val="right"/>
              <w:rPr>
                <w:rFonts w:cs="Arial"/>
                <w:sz w:val="18"/>
                <w:szCs w:val="18"/>
                <w:lang w:val="en-US"/>
              </w:rPr>
            </w:pPr>
            <w:r w:rsidRPr="003C7BC3">
              <w:rPr>
                <w:rFonts w:cs="Arial"/>
                <w:sz w:val="18"/>
                <w:szCs w:val="18"/>
                <w:lang w:val="en-US"/>
              </w:rPr>
              <w:t>-</w:t>
            </w:r>
          </w:p>
        </w:tc>
        <w:tc>
          <w:tcPr>
            <w:tcW w:w="1134" w:type="dxa"/>
            <w:shd w:val="clear" w:color="auto" w:fill="auto"/>
            <w:vAlign w:val="bottom"/>
          </w:tcPr>
          <w:p w14:paraId="61E84FC2" w14:textId="77777777" w:rsidR="00AA12F9" w:rsidRPr="00630759" w:rsidRDefault="00AA12F9" w:rsidP="003235E7">
            <w:pPr>
              <w:spacing w:after="0" w:line="240" w:lineRule="auto"/>
              <w:ind w:right="103"/>
              <w:jc w:val="right"/>
              <w:rPr>
                <w:rFonts w:cs="Arial"/>
                <w:sz w:val="18"/>
                <w:szCs w:val="18"/>
                <w:lang w:val="en-US"/>
              </w:rPr>
            </w:pPr>
          </w:p>
        </w:tc>
      </w:tr>
      <w:tr w:rsidR="00AA12F9" w:rsidRPr="000B4332" w14:paraId="4A6871B9"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05D54F70" w14:textId="77777777" w:rsidR="00AA12F9" w:rsidRPr="000B4332" w:rsidRDefault="00AA12F9" w:rsidP="003235E7">
            <w:pPr>
              <w:spacing w:after="0" w:line="240" w:lineRule="auto"/>
              <w:jc w:val="both"/>
              <w:rPr>
                <w:rFonts w:cs="Arial"/>
                <w:b/>
                <w:bCs/>
                <w:sz w:val="18"/>
                <w:szCs w:val="18"/>
                <w:u w:val="single"/>
                <w:lang w:val="en-US"/>
              </w:rPr>
            </w:pPr>
          </w:p>
        </w:tc>
        <w:tc>
          <w:tcPr>
            <w:tcW w:w="1134" w:type="dxa"/>
            <w:shd w:val="clear" w:color="auto" w:fill="auto"/>
            <w:noWrap/>
            <w:tcMar>
              <w:top w:w="15" w:type="dxa"/>
              <w:left w:w="15" w:type="dxa"/>
              <w:bottom w:w="0" w:type="dxa"/>
              <w:right w:w="15" w:type="dxa"/>
            </w:tcMar>
            <w:vAlign w:val="center"/>
          </w:tcPr>
          <w:p w14:paraId="63552725" w14:textId="77777777" w:rsidR="00AA12F9" w:rsidRPr="00630759" w:rsidRDefault="00AA12F9" w:rsidP="003235E7">
            <w:pPr>
              <w:spacing w:after="0" w:line="240" w:lineRule="auto"/>
              <w:ind w:right="103"/>
              <w:jc w:val="right"/>
              <w:rPr>
                <w:rFonts w:cs="Arial"/>
                <w:sz w:val="18"/>
                <w:szCs w:val="18"/>
                <w:lang w:val="en-US"/>
              </w:rPr>
            </w:pPr>
          </w:p>
        </w:tc>
        <w:tc>
          <w:tcPr>
            <w:tcW w:w="1134" w:type="dxa"/>
            <w:shd w:val="clear" w:color="auto" w:fill="auto"/>
            <w:vAlign w:val="center"/>
          </w:tcPr>
          <w:p w14:paraId="54CB9DC4" w14:textId="77777777" w:rsidR="00AA12F9" w:rsidRPr="00630759" w:rsidRDefault="00AA12F9" w:rsidP="003235E7">
            <w:pPr>
              <w:spacing w:after="0" w:line="240" w:lineRule="auto"/>
              <w:ind w:right="103"/>
              <w:jc w:val="right"/>
              <w:rPr>
                <w:rFonts w:cs="Arial"/>
                <w:sz w:val="18"/>
                <w:szCs w:val="18"/>
                <w:lang w:val="en-US"/>
              </w:rPr>
            </w:pPr>
          </w:p>
        </w:tc>
        <w:tc>
          <w:tcPr>
            <w:tcW w:w="1134" w:type="dxa"/>
            <w:shd w:val="clear" w:color="auto" w:fill="auto"/>
          </w:tcPr>
          <w:p w14:paraId="2270548D" w14:textId="77777777" w:rsidR="00AA12F9" w:rsidRPr="00630759" w:rsidRDefault="00AA12F9" w:rsidP="003235E7">
            <w:pPr>
              <w:spacing w:after="0" w:line="240" w:lineRule="auto"/>
              <w:ind w:right="103"/>
              <w:jc w:val="right"/>
              <w:rPr>
                <w:rFonts w:cs="Arial"/>
                <w:sz w:val="18"/>
                <w:szCs w:val="18"/>
                <w:lang w:val="en-US"/>
              </w:rPr>
            </w:pPr>
          </w:p>
        </w:tc>
      </w:tr>
      <w:tr w:rsidR="00AA12F9" w:rsidRPr="000B4332" w14:paraId="132ED179"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23DFB182"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Free Cash Flow</w:t>
            </w:r>
          </w:p>
        </w:tc>
        <w:tc>
          <w:tcPr>
            <w:tcW w:w="1134" w:type="dxa"/>
            <w:shd w:val="clear" w:color="auto" w:fill="auto"/>
            <w:noWrap/>
            <w:tcMar>
              <w:top w:w="15" w:type="dxa"/>
              <w:left w:w="15" w:type="dxa"/>
              <w:bottom w:w="0" w:type="dxa"/>
              <w:right w:w="15" w:type="dxa"/>
            </w:tcMar>
          </w:tcPr>
          <w:p w14:paraId="57A97FE6"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(23.6)</w:t>
            </w:r>
          </w:p>
        </w:tc>
        <w:tc>
          <w:tcPr>
            <w:tcW w:w="1134" w:type="dxa"/>
            <w:shd w:val="clear" w:color="auto" w:fill="auto"/>
            <w:vAlign w:val="center"/>
          </w:tcPr>
          <w:p w14:paraId="1C9C72D3" w14:textId="77777777" w:rsidR="00AA12F9" w:rsidRPr="00630759" w:rsidRDefault="00AA12F9" w:rsidP="003235E7">
            <w:pPr>
              <w:spacing w:after="0" w:line="240" w:lineRule="auto"/>
              <w:ind w:right="103"/>
              <w:jc w:val="right"/>
              <w:rPr>
                <w:rFonts w:cs="Arial"/>
                <w:sz w:val="18"/>
                <w:szCs w:val="18"/>
                <w:lang w:val="en-US"/>
              </w:rPr>
            </w:pPr>
            <w:r>
              <w:rPr>
                <w:rFonts w:cs="Arial"/>
                <w:sz w:val="18"/>
                <w:szCs w:val="18"/>
                <w:lang w:val="en-US"/>
              </w:rPr>
              <w:t>2.6</w:t>
            </w:r>
          </w:p>
        </w:tc>
        <w:tc>
          <w:tcPr>
            <w:tcW w:w="1134" w:type="dxa"/>
            <w:shd w:val="clear" w:color="auto" w:fill="auto"/>
          </w:tcPr>
          <w:p w14:paraId="38EDBB14"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-£26.2m</w:t>
            </w:r>
          </w:p>
        </w:tc>
      </w:tr>
      <w:tr w:rsidR="00AA12F9" w:rsidRPr="000B4332" w14:paraId="31E7B54F"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0626D552" w14:textId="77777777" w:rsidR="00AA12F9" w:rsidRPr="000B4332" w:rsidRDefault="00AA12F9" w:rsidP="003235E7">
            <w:pPr>
              <w:spacing w:after="0" w:line="240" w:lineRule="auto"/>
              <w:jc w:val="both"/>
              <w:rPr>
                <w:rFonts w:cs="Arial"/>
                <w:bCs/>
                <w:sz w:val="18"/>
                <w:szCs w:val="18"/>
                <w:lang w:val="en-US"/>
              </w:rPr>
            </w:pPr>
            <w:r>
              <w:rPr>
                <w:rFonts w:cs="Arial"/>
                <w:bCs/>
                <w:sz w:val="18"/>
                <w:szCs w:val="18"/>
                <w:lang w:val="en-US"/>
              </w:rPr>
              <w:t>Net Debt</w:t>
            </w:r>
          </w:p>
        </w:tc>
        <w:tc>
          <w:tcPr>
            <w:tcW w:w="1134" w:type="dxa"/>
            <w:shd w:val="clear" w:color="auto" w:fill="auto"/>
            <w:noWrap/>
            <w:tcMar>
              <w:top w:w="15" w:type="dxa"/>
              <w:left w:w="15" w:type="dxa"/>
              <w:bottom w:w="0" w:type="dxa"/>
              <w:right w:w="15" w:type="dxa"/>
            </w:tcMar>
          </w:tcPr>
          <w:p w14:paraId="1AD24D69" w14:textId="77777777" w:rsidR="00AA12F9" w:rsidRDefault="00AA12F9" w:rsidP="003235E7">
            <w:pPr>
              <w:spacing w:after="0" w:line="240" w:lineRule="auto"/>
              <w:ind w:right="103"/>
              <w:jc w:val="right"/>
              <w:rPr>
                <w:rFonts w:cs="Arial"/>
                <w:bCs/>
                <w:sz w:val="18"/>
                <w:szCs w:val="18"/>
                <w:lang w:val="en-US"/>
              </w:rPr>
            </w:pPr>
            <w:r>
              <w:rPr>
                <w:rFonts w:cs="Arial"/>
                <w:bCs/>
                <w:sz w:val="18"/>
                <w:szCs w:val="18"/>
                <w:lang w:val="en-US"/>
              </w:rPr>
              <w:t>332.1</w:t>
            </w:r>
          </w:p>
        </w:tc>
        <w:tc>
          <w:tcPr>
            <w:tcW w:w="1134" w:type="dxa"/>
            <w:shd w:val="clear" w:color="auto" w:fill="auto"/>
            <w:vAlign w:val="center"/>
          </w:tcPr>
          <w:p w14:paraId="10F0657A" w14:textId="77777777" w:rsidR="00AA12F9" w:rsidRDefault="00AA12F9" w:rsidP="003235E7">
            <w:pPr>
              <w:spacing w:after="0" w:line="240" w:lineRule="auto"/>
              <w:ind w:right="103"/>
              <w:jc w:val="right"/>
              <w:rPr>
                <w:rFonts w:cs="Arial"/>
                <w:sz w:val="18"/>
                <w:szCs w:val="18"/>
                <w:lang w:val="en-US"/>
              </w:rPr>
            </w:pPr>
            <w:r>
              <w:rPr>
                <w:rFonts w:cs="Arial"/>
                <w:sz w:val="18"/>
                <w:szCs w:val="18"/>
                <w:lang w:val="en-US"/>
              </w:rPr>
              <w:t>374.4</w:t>
            </w:r>
          </w:p>
        </w:tc>
        <w:tc>
          <w:tcPr>
            <w:tcW w:w="1134" w:type="dxa"/>
            <w:shd w:val="clear" w:color="auto" w:fill="auto"/>
          </w:tcPr>
          <w:p w14:paraId="7171B2DD" w14:textId="77777777" w:rsidR="00AA12F9" w:rsidRDefault="00AA12F9" w:rsidP="003235E7">
            <w:pPr>
              <w:spacing w:after="0" w:line="240" w:lineRule="auto"/>
              <w:ind w:right="103"/>
              <w:jc w:val="right"/>
              <w:rPr>
                <w:rFonts w:cs="Arial"/>
                <w:bCs/>
                <w:sz w:val="18"/>
                <w:szCs w:val="18"/>
                <w:lang w:val="en-US"/>
              </w:rPr>
            </w:pPr>
          </w:p>
        </w:tc>
      </w:tr>
      <w:tr w:rsidR="00AA12F9" w:rsidRPr="000B4332" w14:paraId="6A804C0C" w14:textId="77777777" w:rsidTr="00AA12F9">
        <w:trPr>
          <w:jc w:val="center"/>
        </w:trPr>
        <w:tc>
          <w:tcPr>
            <w:tcW w:w="4111" w:type="dxa"/>
            <w:shd w:val="clear" w:color="auto" w:fill="auto"/>
            <w:noWrap/>
            <w:tcMar>
              <w:top w:w="15" w:type="dxa"/>
              <w:left w:w="15" w:type="dxa"/>
              <w:bottom w:w="0" w:type="dxa"/>
              <w:right w:w="15" w:type="dxa"/>
            </w:tcMar>
            <w:vAlign w:val="center"/>
            <w:hideMark/>
          </w:tcPr>
          <w:p w14:paraId="21235644"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 xml:space="preserve">Net Debt </w:t>
            </w:r>
            <w:r>
              <w:rPr>
                <w:rFonts w:cs="Arial"/>
                <w:bCs/>
                <w:sz w:val="18"/>
                <w:szCs w:val="18"/>
                <w:lang w:val="en-US"/>
              </w:rPr>
              <w:t>(excluding lease liabilities)</w:t>
            </w:r>
          </w:p>
        </w:tc>
        <w:tc>
          <w:tcPr>
            <w:tcW w:w="1134" w:type="dxa"/>
            <w:shd w:val="clear" w:color="auto" w:fill="auto"/>
            <w:noWrap/>
            <w:tcMar>
              <w:top w:w="15" w:type="dxa"/>
              <w:left w:w="15" w:type="dxa"/>
              <w:bottom w:w="0" w:type="dxa"/>
              <w:right w:w="15" w:type="dxa"/>
            </w:tcMar>
          </w:tcPr>
          <w:p w14:paraId="63B13BE1"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271.3</w:t>
            </w:r>
          </w:p>
        </w:tc>
        <w:tc>
          <w:tcPr>
            <w:tcW w:w="1134" w:type="dxa"/>
            <w:shd w:val="clear" w:color="auto" w:fill="auto"/>
            <w:vAlign w:val="center"/>
          </w:tcPr>
          <w:p w14:paraId="21530407" w14:textId="77777777" w:rsidR="00AA12F9" w:rsidRPr="00630759" w:rsidRDefault="00AA12F9" w:rsidP="003235E7">
            <w:pPr>
              <w:spacing w:after="0" w:line="240" w:lineRule="auto"/>
              <w:ind w:right="103"/>
              <w:jc w:val="right"/>
              <w:rPr>
                <w:rFonts w:cs="Arial"/>
                <w:sz w:val="18"/>
                <w:szCs w:val="18"/>
                <w:lang w:val="en-US"/>
              </w:rPr>
            </w:pPr>
            <w:r w:rsidRPr="003C7BC3">
              <w:rPr>
                <w:rFonts w:cs="Arial"/>
                <w:sz w:val="18"/>
                <w:szCs w:val="18"/>
                <w:lang w:val="en-US"/>
              </w:rPr>
              <w:t>311.1</w:t>
            </w:r>
          </w:p>
        </w:tc>
        <w:tc>
          <w:tcPr>
            <w:tcW w:w="1134" w:type="dxa"/>
            <w:shd w:val="clear" w:color="auto" w:fill="auto"/>
          </w:tcPr>
          <w:p w14:paraId="08CE397E" w14:textId="77777777" w:rsidR="00AA12F9" w:rsidRPr="00630759" w:rsidRDefault="00AA12F9" w:rsidP="003235E7">
            <w:pPr>
              <w:spacing w:after="0" w:line="240" w:lineRule="auto"/>
              <w:ind w:right="103"/>
              <w:jc w:val="right"/>
              <w:rPr>
                <w:rFonts w:cs="Arial"/>
                <w:sz w:val="18"/>
                <w:szCs w:val="18"/>
                <w:lang w:val="en-US"/>
              </w:rPr>
            </w:pPr>
          </w:p>
        </w:tc>
      </w:tr>
      <w:tr w:rsidR="00AA12F9" w:rsidRPr="000B4332" w14:paraId="2DBDF803" w14:textId="77777777" w:rsidTr="00AA12F9">
        <w:trPr>
          <w:jc w:val="center"/>
        </w:trPr>
        <w:tc>
          <w:tcPr>
            <w:tcW w:w="4111" w:type="dxa"/>
            <w:shd w:val="clear" w:color="auto" w:fill="auto"/>
            <w:noWrap/>
            <w:tcMar>
              <w:top w:w="15" w:type="dxa"/>
              <w:left w:w="15" w:type="dxa"/>
              <w:bottom w:w="0" w:type="dxa"/>
              <w:right w:w="15" w:type="dxa"/>
            </w:tcMar>
            <w:vAlign w:val="center"/>
          </w:tcPr>
          <w:p w14:paraId="56F247D1"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t>Net Debt:EBITDA as per financing agreements</w:t>
            </w:r>
          </w:p>
        </w:tc>
        <w:tc>
          <w:tcPr>
            <w:tcW w:w="1134" w:type="dxa"/>
            <w:shd w:val="clear" w:color="auto" w:fill="auto"/>
            <w:noWrap/>
            <w:tcMar>
              <w:top w:w="15" w:type="dxa"/>
              <w:left w:w="15" w:type="dxa"/>
              <w:bottom w:w="0" w:type="dxa"/>
              <w:right w:w="15" w:type="dxa"/>
            </w:tcMar>
          </w:tcPr>
          <w:p w14:paraId="27BA0680" w14:textId="77777777" w:rsidR="00AA12F9" w:rsidRPr="001F1616" w:rsidRDefault="00855549" w:rsidP="00855549">
            <w:pPr>
              <w:spacing w:after="0" w:line="240" w:lineRule="auto"/>
              <w:ind w:right="103"/>
              <w:jc w:val="right"/>
              <w:rPr>
                <w:rFonts w:cs="Arial"/>
                <w:sz w:val="18"/>
                <w:szCs w:val="18"/>
                <w:lang w:val="en-US"/>
              </w:rPr>
            </w:pPr>
            <w:r w:rsidRPr="001F1616">
              <w:rPr>
                <w:rFonts w:cs="Arial"/>
                <w:bCs/>
                <w:sz w:val="18"/>
                <w:szCs w:val="18"/>
                <w:lang w:val="en-US"/>
              </w:rPr>
              <w:t>7.</w:t>
            </w:r>
            <w:r w:rsidR="006245C4" w:rsidRPr="001F1616">
              <w:rPr>
                <w:rFonts w:cs="Arial"/>
                <w:bCs/>
                <w:sz w:val="18"/>
                <w:szCs w:val="18"/>
                <w:lang w:val="en-US"/>
              </w:rPr>
              <w:t>2</w:t>
            </w:r>
            <w:r w:rsidR="00AA12F9" w:rsidRPr="001F1616">
              <w:rPr>
                <w:rFonts w:cs="Arial"/>
                <w:bCs/>
                <w:sz w:val="18"/>
                <w:szCs w:val="18"/>
                <w:lang w:val="en-US"/>
              </w:rPr>
              <w:t>x</w:t>
            </w:r>
          </w:p>
        </w:tc>
        <w:tc>
          <w:tcPr>
            <w:tcW w:w="1134" w:type="dxa"/>
            <w:shd w:val="clear" w:color="auto" w:fill="auto"/>
            <w:vAlign w:val="center"/>
          </w:tcPr>
          <w:p w14:paraId="269833B8" w14:textId="77777777" w:rsidR="00AA12F9" w:rsidRPr="001F1616" w:rsidRDefault="00AA12F9" w:rsidP="003235E7">
            <w:pPr>
              <w:spacing w:after="0" w:line="240" w:lineRule="auto"/>
              <w:ind w:right="103"/>
              <w:jc w:val="right"/>
              <w:rPr>
                <w:rFonts w:cs="Arial"/>
                <w:sz w:val="18"/>
                <w:szCs w:val="18"/>
                <w:lang w:val="en-US"/>
              </w:rPr>
            </w:pPr>
            <w:r w:rsidRPr="001F1616">
              <w:rPr>
                <w:rFonts w:cs="Arial"/>
                <w:sz w:val="18"/>
                <w:szCs w:val="18"/>
                <w:lang w:val="en-US"/>
              </w:rPr>
              <w:t>2.1x</w:t>
            </w:r>
          </w:p>
        </w:tc>
        <w:tc>
          <w:tcPr>
            <w:tcW w:w="1134" w:type="dxa"/>
            <w:shd w:val="clear" w:color="auto" w:fill="auto"/>
          </w:tcPr>
          <w:p w14:paraId="3804DDCE" w14:textId="77777777" w:rsidR="00AA12F9" w:rsidRPr="00630759" w:rsidRDefault="00AA12F9" w:rsidP="003235E7">
            <w:pPr>
              <w:spacing w:after="0" w:line="240" w:lineRule="auto"/>
              <w:ind w:right="103"/>
              <w:jc w:val="right"/>
              <w:rPr>
                <w:rFonts w:cs="Arial"/>
                <w:sz w:val="18"/>
                <w:szCs w:val="18"/>
                <w:lang w:val="en-US"/>
              </w:rPr>
            </w:pPr>
          </w:p>
        </w:tc>
      </w:tr>
      <w:tr w:rsidR="00AA12F9" w:rsidRPr="00962729" w14:paraId="548CD73C" w14:textId="77777777" w:rsidTr="00AA12F9">
        <w:trPr>
          <w:trHeight w:val="163"/>
          <w:jc w:val="center"/>
        </w:trPr>
        <w:tc>
          <w:tcPr>
            <w:tcW w:w="4111" w:type="dxa"/>
            <w:shd w:val="clear" w:color="auto" w:fill="auto"/>
            <w:noWrap/>
            <w:tcMar>
              <w:top w:w="15" w:type="dxa"/>
              <w:left w:w="15" w:type="dxa"/>
              <w:bottom w:w="0" w:type="dxa"/>
              <w:right w:w="15" w:type="dxa"/>
            </w:tcMar>
            <w:vAlign w:val="center"/>
          </w:tcPr>
          <w:p w14:paraId="6BE04C33" w14:textId="77777777" w:rsidR="00AA12F9" w:rsidRPr="000B4332" w:rsidRDefault="00AA12F9" w:rsidP="003235E7">
            <w:pPr>
              <w:spacing w:after="0" w:line="240" w:lineRule="auto"/>
              <w:jc w:val="both"/>
              <w:rPr>
                <w:rFonts w:cs="Arial"/>
                <w:bCs/>
                <w:sz w:val="18"/>
                <w:szCs w:val="18"/>
                <w:lang w:val="en-US"/>
              </w:rPr>
            </w:pPr>
            <w:r w:rsidRPr="000B4332">
              <w:rPr>
                <w:rFonts w:cs="Arial"/>
                <w:bCs/>
                <w:sz w:val="18"/>
                <w:szCs w:val="18"/>
                <w:lang w:val="en-US"/>
              </w:rPr>
              <w:lastRenderedPageBreak/>
              <w:t>Return on Invested Capital (“ROIC”)</w:t>
            </w:r>
          </w:p>
        </w:tc>
        <w:tc>
          <w:tcPr>
            <w:tcW w:w="1134" w:type="dxa"/>
            <w:shd w:val="clear" w:color="auto" w:fill="auto"/>
            <w:noWrap/>
            <w:tcMar>
              <w:top w:w="15" w:type="dxa"/>
              <w:left w:w="15" w:type="dxa"/>
              <w:bottom w:w="0" w:type="dxa"/>
              <w:right w:w="15" w:type="dxa"/>
            </w:tcMar>
          </w:tcPr>
          <w:p w14:paraId="16D83AD0" w14:textId="77777777" w:rsidR="00AA12F9" w:rsidRPr="00630759" w:rsidRDefault="00AA12F9" w:rsidP="003235E7">
            <w:pPr>
              <w:spacing w:after="0" w:line="240" w:lineRule="auto"/>
              <w:ind w:right="103"/>
              <w:jc w:val="right"/>
              <w:rPr>
                <w:rFonts w:cs="Arial"/>
                <w:sz w:val="18"/>
                <w:szCs w:val="18"/>
                <w:lang w:val="en-US"/>
              </w:rPr>
            </w:pPr>
            <w:r>
              <w:rPr>
                <w:rFonts w:cs="Arial"/>
                <w:bCs/>
                <w:sz w:val="18"/>
                <w:szCs w:val="18"/>
                <w:lang w:val="en-US"/>
              </w:rPr>
              <w:t>(0.6)%</w:t>
            </w:r>
          </w:p>
        </w:tc>
        <w:tc>
          <w:tcPr>
            <w:tcW w:w="1134" w:type="dxa"/>
            <w:shd w:val="clear" w:color="auto" w:fill="auto"/>
            <w:vAlign w:val="center"/>
          </w:tcPr>
          <w:p w14:paraId="005501D4" w14:textId="77777777" w:rsidR="00AA12F9" w:rsidRPr="00630759" w:rsidRDefault="00AA12F9" w:rsidP="003235E7">
            <w:pPr>
              <w:spacing w:after="0" w:line="240" w:lineRule="auto"/>
              <w:ind w:right="103"/>
              <w:jc w:val="right"/>
              <w:rPr>
                <w:rFonts w:cs="Arial"/>
                <w:sz w:val="18"/>
                <w:szCs w:val="18"/>
                <w:lang w:val="en-US"/>
              </w:rPr>
            </w:pPr>
            <w:r>
              <w:rPr>
                <w:rFonts w:cs="Arial"/>
                <w:sz w:val="18"/>
                <w:szCs w:val="18"/>
                <w:lang w:val="en-US"/>
              </w:rPr>
              <w:t>12.3%</w:t>
            </w:r>
          </w:p>
        </w:tc>
        <w:tc>
          <w:tcPr>
            <w:tcW w:w="1134" w:type="dxa"/>
            <w:shd w:val="clear" w:color="auto" w:fill="auto"/>
          </w:tcPr>
          <w:p w14:paraId="5833C156" w14:textId="77777777" w:rsidR="00AA12F9" w:rsidRPr="00630759" w:rsidRDefault="00AA12F9" w:rsidP="003235E7">
            <w:pPr>
              <w:spacing w:after="0" w:line="240" w:lineRule="auto"/>
              <w:ind w:right="103"/>
              <w:jc w:val="right"/>
              <w:rPr>
                <w:rFonts w:cs="Arial"/>
                <w:sz w:val="18"/>
                <w:szCs w:val="18"/>
                <w:lang w:val="en-US"/>
              </w:rPr>
            </w:pPr>
          </w:p>
        </w:tc>
      </w:tr>
    </w:tbl>
    <w:p w14:paraId="3A29FC9A" w14:textId="77777777" w:rsidR="00AA12F9" w:rsidRDefault="00AA12F9" w:rsidP="003235E7">
      <w:pPr>
        <w:spacing w:after="0" w:line="240" w:lineRule="auto"/>
        <w:jc w:val="both"/>
      </w:pPr>
    </w:p>
    <w:p w14:paraId="77CC77AF" w14:textId="77777777" w:rsidR="00AA12F9" w:rsidRPr="00E512C6" w:rsidRDefault="00AA12F9" w:rsidP="008F0275">
      <w:pPr>
        <w:spacing w:after="0" w:line="240" w:lineRule="auto"/>
        <w:ind w:right="-35"/>
        <w:jc w:val="both"/>
        <w:rPr>
          <w:rFonts w:cs="Arial"/>
          <w:b/>
          <w:sz w:val="20"/>
          <w:szCs w:val="18"/>
        </w:rPr>
      </w:pPr>
      <w:r w:rsidRPr="00E512C6">
        <w:rPr>
          <w:rFonts w:cs="Arial"/>
          <w:b/>
          <w:sz w:val="20"/>
          <w:szCs w:val="18"/>
        </w:rPr>
        <w:t>Commenting on the results, Patrick Coveney, Chief Executive Officer, said:</w:t>
      </w:r>
      <w:r w:rsidRPr="00670490">
        <w:rPr>
          <w:rFonts w:cs="Arial"/>
          <w:noProof/>
          <w:sz w:val="18"/>
          <w:szCs w:val="18"/>
        </w:rPr>
        <w:t xml:space="preserve"> </w:t>
      </w:r>
    </w:p>
    <w:p w14:paraId="7A18694F" w14:textId="77777777" w:rsidR="00AA12F9" w:rsidRDefault="00AA12F9" w:rsidP="008F0275">
      <w:pPr>
        <w:spacing w:after="0" w:line="240" w:lineRule="auto"/>
        <w:ind w:right="-35"/>
        <w:jc w:val="both"/>
        <w:rPr>
          <w:rFonts w:cs="Arial"/>
          <w:sz w:val="18"/>
          <w:szCs w:val="18"/>
        </w:rPr>
      </w:pPr>
    </w:p>
    <w:p w14:paraId="158CFBE8" w14:textId="77777777" w:rsidR="00AA12F9" w:rsidRPr="003C4E78" w:rsidRDefault="00AA12F9" w:rsidP="008F0275">
      <w:pPr>
        <w:spacing w:after="0" w:line="240" w:lineRule="auto"/>
        <w:ind w:right="-35"/>
        <w:jc w:val="both"/>
        <w:rPr>
          <w:rFonts w:cs="Arial"/>
          <w:i/>
          <w:sz w:val="18"/>
          <w:szCs w:val="18"/>
        </w:rPr>
      </w:pPr>
      <w:r w:rsidRPr="003C4E78">
        <w:rPr>
          <w:rFonts w:cs="Arial"/>
          <w:i/>
          <w:sz w:val="18"/>
          <w:szCs w:val="18"/>
        </w:rPr>
        <w:t xml:space="preserve">“This has been </w:t>
      </w:r>
      <w:r w:rsidR="00A01B54">
        <w:rPr>
          <w:rFonts w:cs="Arial"/>
          <w:i/>
          <w:sz w:val="18"/>
          <w:szCs w:val="18"/>
        </w:rPr>
        <w:t>a</w:t>
      </w:r>
      <w:r w:rsidR="00A01B54" w:rsidRPr="003C4E78">
        <w:rPr>
          <w:rFonts w:cs="Arial"/>
          <w:i/>
          <w:sz w:val="18"/>
          <w:szCs w:val="18"/>
        </w:rPr>
        <w:t xml:space="preserve"> </w:t>
      </w:r>
      <w:r w:rsidRPr="003C4E78">
        <w:rPr>
          <w:rFonts w:cs="Arial"/>
          <w:i/>
          <w:sz w:val="18"/>
          <w:szCs w:val="18"/>
        </w:rPr>
        <w:t xml:space="preserve">challenging period for Greencore, but the </w:t>
      </w:r>
      <w:r w:rsidR="001F0043">
        <w:rPr>
          <w:rFonts w:cs="Arial"/>
          <w:i/>
          <w:sz w:val="18"/>
          <w:szCs w:val="18"/>
        </w:rPr>
        <w:t>consistent build</w:t>
      </w:r>
      <w:r w:rsidR="001F0043" w:rsidRPr="003C4E78">
        <w:rPr>
          <w:rFonts w:cs="Arial"/>
          <w:i/>
          <w:sz w:val="18"/>
          <w:szCs w:val="18"/>
        </w:rPr>
        <w:t xml:space="preserve"> </w:t>
      </w:r>
      <w:r w:rsidRPr="003C4E78">
        <w:rPr>
          <w:rFonts w:cs="Arial"/>
          <w:i/>
          <w:sz w:val="18"/>
          <w:szCs w:val="18"/>
        </w:rPr>
        <w:t xml:space="preserve">in our revenues </w:t>
      </w:r>
      <w:r w:rsidR="001F0043">
        <w:rPr>
          <w:rFonts w:cs="Arial"/>
          <w:i/>
          <w:sz w:val="18"/>
          <w:szCs w:val="18"/>
        </w:rPr>
        <w:t xml:space="preserve">since early March </w:t>
      </w:r>
      <w:r w:rsidRPr="003C4E78">
        <w:rPr>
          <w:rFonts w:cs="Arial"/>
          <w:i/>
          <w:sz w:val="18"/>
          <w:szCs w:val="18"/>
        </w:rPr>
        <w:t xml:space="preserve">as lockdown measures have eased </w:t>
      </w:r>
      <w:r w:rsidR="009C78F9">
        <w:rPr>
          <w:rFonts w:cs="Arial"/>
          <w:i/>
          <w:sz w:val="18"/>
          <w:szCs w:val="18"/>
        </w:rPr>
        <w:t xml:space="preserve">and COVID-19 cases have fallen </w:t>
      </w:r>
      <w:r w:rsidRPr="003C4E78">
        <w:rPr>
          <w:rFonts w:cs="Arial"/>
          <w:i/>
          <w:sz w:val="18"/>
          <w:szCs w:val="18"/>
        </w:rPr>
        <w:t>give us real cause for optimism. Our focus now is on rebuilding revenue, profitability and cash flow momentum as the UK economy reopens</w:t>
      </w:r>
      <w:r w:rsidR="00A01B54">
        <w:rPr>
          <w:rFonts w:cs="Arial"/>
          <w:i/>
          <w:sz w:val="18"/>
          <w:szCs w:val="18"/>
        </w:rPr>
        <w:t>. O</w:t>
      </w:r>
      <w:r w:rsidRPr="003C4E78">
        <w:rPr>
          <w:rFonts w:cs="Arial"/>
          <w:i/>
          <w:sz w:val="18"/>
          <w:szCs w:val="18"/>
        </w:rPr>
        <w:t xml:space="preserve">ur recent business wins are a great endorsement of our continuing relevance in the UK convenience food landscape. </w:t>
      </w:r>
      <w:r w:rsidR="001F0043">
        <w:rPr>
          <w:rFonts w:cs="Arial"/>
          <w:i/>
          <w:sz w:val="18"/>
          <w:szCs w:val="18"/>
        </w:rPr>
        <w:t xml:space="preserve">Underpinned by </w:t>
      </w:r>
      <w:r w:rsidRPr="003C4E78">
        <w:rPr>
          <w:rFonts w:cs="Arial"/>
          <w:i/>
          <w:sz w:val="18"/>
          <w:szCs w:val="18"/>
        </w:rPr>
        <w:t>the quality of our people, our new sustainability strategy and the strength of our long-standing customer relationships, we are confident of being able to build back the business rapidly and profitably, and are optimistic about the medium-term prospects for Greencore.”</w:t>
      </w:r>
    </w:p>
    <w:p w14:paraId="5CA89EAA" w14:textId="77777777" w:rsidR="00AA12F9" w:rsidRPr="0059656F" w:rsidRDefault="00AA12F9" w:rsidP="008F0275">
      <w:pPr>
        <w:spacing w:after="0" w:line="240" w:lineRule="auto"/>
        <w:ind w:right="-35"/>
        <w:jc w:val="both"/>
        <w:rPr>
          <w:rFonts w:cs="Arial"/>
          <w:b/>
          <w:sz w:val="18"/>
          <w:szCs w:val="18"/>
        </w:rPr>
      </w:pPr>
      <w:r w:rsidRPr="001028A0">
        <w:rPr>
          <w:rFonts w:cs="Arial"/>
          <w:b/>
          <w:sz w:val="18"/>
          <w:szCs w:val="18"/>
        </w:rPr>
        <w:t>__________________________________________________________________________________</w:t>
      </w:r>
      <w:r>
        <w:rPr>
          <w:rFonts w:cs="Arial"/>
          <w:b/>
          <w:sz w:val="18"/>
          <w:szCs w:val="18"/>
        </w:rPr>
        <w:t>_________________________</w:t>
      </w:r>
    </w:p>
    <w:p w14:paraId="4BDBC01D" w14:textId="77777777" w:rsidR="00AA12F9" w:rsidRPr="00703180" w:rsidRDefault="00AA12F9" w:rsidP="008F0275">
      <w:pPr>
        <w:adjustRightInd w:val="0"/>
        <w:spacing w:after="0" w:line="240" w:lineRule="auto"/>
        <w:ind w:right="-35"/>
        <w:jc w:val="both"/>
        <w:rPr>
          <w:sz w:val="16"/>
          <w:szCs w:val="16"/>
        </w:rPr>
      </w:pPr>
      <w:r w:rsidRPr="00703180">
        <w:rPr>
          <w:sz w:val="16"/>
          <w:szCs w:val="16"/>
          <w:vertAlign w:val="superscript"/>
        </w:rPr>
        <w:t xml:space="preserve">1 </w:t>
      </w:r>
      <w:r w:rsidRPr="00703180">
        <w:rPr>
          <w:sz w:val="16"/>
          <w:szCs w:val="16"/>
        </w:rPr>
        <w:t>The Group uses Alternative Performance Measures ('APMs') which are non-IFRS measures to monitor the performance of its operations and of the Group as a whole. These APMs along with their definitions are provided in the Appendix to the Interim Financial Report.</w:t>
      </w:r>
    </w:p>
    <w:p w14:paraId="48660901" w14:textId="77777777" w:rsidR="00AA12F9" w:rsidRDefault="00AA12F9" w:rsidP="008F0275">
      <w:pPr>
        <w:widowControl w:val="0"/>
        <w:autoSpaceDE w:val="0"/>
        <w:autoSpaceDN w:val="0"/>
        <w:spacing w:after="0" w:line="240" w:lineRule="auto"/>
        <w:ind w:right="338"/>
        <w:jc w:val="both"/>
        <w:rPr>
          <w:sz w:val="16"/>
          <w:szCs w:val="16"/>
        </w:rPr>
      </w:pPr>
    </w:p>
    <w:p w14:paraId="0D74377E" w14:textId="77777777" w:rsidR="00AA12F9" w:rsidRDefault="00AA12F9" w:rsidP="008F0275">
      <w:pPr>
        <w:spacing w:after="0" w:line="240" w:lineRule="auto"/>
        <w:ind w:right="338"/>
        <w:jc w:val="both"/>
        <w:rPr>
          <w:rFonts w:cs="Arial"/>
          <w:b/>
          <w:sz w:val="20"/>
          <w:szCs w:val="18"/>
        </w:rPr>
      </w:pPr>
    </w:p>
    <w:p w14:paraId="3E81A53B" w14:textId="77777777" w:rsidR="00AA12F9" w:rsidRDefault="00AA12F9" w:rsidP="008F0275">
      <w:pPr>
        <w:spacing w:after="0" w:line="240" w:lineRule="auto"/>
        <w:ind w:right="-35"/>
        <w:jc w:val="both"/>
        <w:rPr>
          <w:rFonts w:cs="Arial"/>
          <w:b/>
          <w:sz w:val="20"/>
          <w:szCs w:val="18"/>
        </w:rPr>
      </w:pPr>
      <w:r>
        <w:rPr>
          <w:rFonts w:cs="Arial"/>
          <w:b/>
          <w:sz w:val="20"/>
          <w:szCs w:val="18"/>
        </w:rPr>
        <w:t>COVID-19 UPDATE</w:t>
      </w:r>
      <w:r>
        <w:rPr>
          <w:rFonts w:cs="Arial"/>
          <w:b/>
          <w:sz w:val="20"/>
          <w:szCs w:val="18"/>
          <w:vertAlign w:val="superscript"/>
        </w:rPr>
        <w:t>1</w:t>
      </w:r>
    </w:p>
    <w:p w14:paraId="0EAC94B7" w14:textId="77777777" w:rsidR="00AA12F9" w:rsidRDefault="00AA12F9" w:rsidP="008F0275">
      <w:pPr>
        <w:tabs>
          <w:tab w:val="num" w:pos="426"/>
        </w:tabs>
        <w:spacing w:after="0" w:line="240" w:lineRule="auto"/>
        <w:ind w:right="-35"/>
        <w:jc w:val="both"/>
        <w:rPr>
          <w:rFonts w:cs="Arial"/>
          <w:sz w:val="18"/>
          <w:szCs w:val="18"/>
          <w:highlight w:val="yellow"/>
        </w:rPr>
      </w:pPr>
      <w:r w:rsidRPr="00703180">
        <w:rPr>
          <w:rFonts w:cs="Arial"/>
          <w:sz w:val="18"/>
          <w:szCs w:val="18"/>
        </w:rPr>
        <w:t xml:space="preserve">In H1 21 </w:t>
      </w:r>
      <w:r>
        <w:rPr>
          <w:rFonts w:cs="Arial"/>
          <w:sz w:val="18"/>
          <w:szCs w:val="18"/>
        </w:rPr>
        <w:t xml:space="preserve">the </w:t>
      </w:r>
      <w:r w:rsidRPr="00703180">
        <w:rPr>
          <w:rFonts w:cs="Arial"/>
          <w:sz w:val="18"/>
          <w:szCs w:val="18"/>
        </w:rPr>
        <w:t>Group</w:t>
      </w:r>
      <w:r>
        <w:rPr>
          <w:rFonts w:cs="Arial"/>
          <w:sz w:val="18"/>
          <w:szCs w:val="18"/>
        </w:rPr>
        <w:t xml:space="preserve"> continued to</w:t>
      </w:r>
      <w:r w:rsidRPr="00703180">
        <w:rPr>
          <w:rFonts w:cs="Arial"/>
          <w:sz w:val="18"/>
          <w:szCs w:val="18"/>
        </w:rPr>
        <w:t xml:space="preserve"> manage through </w:t>
      </w:r>
      <w:r>
        <w:rPr>
          <w:rFonts w:cs="Arial"/>
          <w:sz w:val="18"/>
          <w:szCs w:val="18"/>
        </w:rPr>
        <w:t>the</w:t>
      </w:r>
      <w:r w:rsidRPr="00703180">
        <w:rPr>
          <w:rFonts w:cs="Arial"/>
          <w:sz w:val="18"/>
          <w:szCs w:val="18"/>
        </w:rPr>
        <w:t xml:space="preserve"> challenging trading environment </w:t>
      </w:r>
      <w:r>
        <w:rPr>
          <w:rFonts w:cs="Arial"/>
          <w:sz w:val="18"/>
          <w:szCs w:val="18"/>
        </w:rPr>
        <w:t xml:space="preserve">focused on </w:t>
      </w:r>
      <w:r w:rsidRPr="00703180">
        <w:rPr>
          <w:rFonts w:cs="Arial"/>
          <w:sz w:val="18"/>
          <w:szCs w:val="18"/>
        </w:rPr>
        <w:t>three</w:t>
      </w:r>
      <w:r>
        <w:rPr>
          <w:rFonts w:cs="Arial"/>
          <w:sz w:val="18"/>
          <w:szCs w:val="18"/>
        </w:rPr>
        <w:t xml:space="preserve"> key</w:t>
      </w:r>
      <w:r w:rsidRPr="00703180">
        <w:rPr>
          <w:rFonts w:cs="Arial"/>
          <w:sz w:val="18"/>
          <w:szCs w:val="18"/>
        </w:rPr>
        <w:t xml:space="preserve"> priorities – keeping our people safe, feeding the </w:t>
      </w:r>
      <w:r>
        <w:rPr>
          <w:rFonts w:cs="Arial"/>
          <w:sz w:val="18"/>
          <w:szCs w:val="18"/>
        </w:rPr>
        <w:t>UK, and protecting our business. These priorities are aligned with</w:t>
      </w:r>
      <w:r w:rsidRPr="002E6D24">
        <w:rPr>
          <w:rFonts w:cs="Arial"/>
          <w:sz w:val="18"/>
          <w:szCs w:val="18"/>
        </w:rPr>
        <w:t xml:space="preserve"> the Group’s purpose and its distinctive, repeatable ‘Greencore Way’ of working</w:t>
      </w:r>
      <w:r>
        <w:rPr>
          <w:rFonts w:cs="Arial"/>
          <w:sz w:val="18"/>
          <w:szCs w:val="18"/>
        </w:rPr>
        <w:t>.</w:t>
      </w:r>
      <w:r w:rsidRPr="00703180">
        <w:rPr>
          <w:rFonts w:cs="Arial"/>
          <w:sz w:val="18"/>
          <w:szCs w:val="18"/>
        </w:rPr>
        <w:t xml:space="preserve"> </w:t>
      </w:r>
    </w:p>
    <w:p w14:paraId="0DD1E083" w14:textId="77777777" w:rsidR="00AA12F9" w:rsidRPr="004F5645" w:rsidRDefault="00AA12F9" w:rsidP="008F0275">
      <w:pPr>
        <w:tabs>
          <w:tab w:val="num" w:pos="426"/>
        </w:tabs>
        <w:spacing w:after="0" w:line="240" w:lineRule="auto"/>
        <w:ind w:right="-35"/>
        <w:jc w:val="both"/>
        <w:rPr>
          <w:rFonts w:cs="Arial"/>
          <w:sz w:val="18"/>
          <w:szCs w:val="18"/>
          <w:highlight w:val="yellow"/>
        </w:rPr>
      </w:pPr>
    </w:p>
    <w:p w14:paraId="479EC5A0" w14:textId="77777777" w:rsidR="00AA12F9" w:rsidRPr="00703180" w:rsidRDefault="00AA12F9" w:rsidP="008F0275">
      <w:pPr>
        <w:tabs>
          <w:tab w:val="num" w:pos="426"/>
        </w:tabs>
        <w:spacing w:after="0" w:line="240" w:lineRule="auto"/>
        <w:ind w:right="-35"/>
        <w:jc w:val="both"/>
        <w:rPr>
          <w:rFonts w:cs="Arial"/>
          <w:sz w:val="18"/>
          <w:szCs w:val="18"/>
        </w:rPr>
      </w:pPr>
      <w:r w:rsidRPr="00703180">
        <w:rPr>
          <w:rFonts w:cs="Arial"/>
          <w:sz w:val="18"/>
          <w:szCs w:val="18"/>
        </w:rPr>
        <w:t xml:space="preserve">The food industry has continued to play an essential role in the UK throughout the pandemic and Greencore recognises, and is proud of, its own important responsibilities in this regard. The organisation, supply chain and production network all functioned well in the first half, enabling the Group to maintain its high levels of customer service and satisfaction in this </w:t>
      </w:r>
      <w:r>
        <w:rPr>
          <w:rFonts w:cs="Arial"/>
          <w:sz w:val="18"/>
          <w:szCs w:val="18"/>
        </w:rPr>
        <w:t xml:space="preserve">hugely </w:t>
      </w:r>
      <w:r w:rsidRPr="00703180">
        <w:rPr>
          <w:rFonts w:cs="Arial"/>
          <w:sz w:val="18"/>
          <w:szCs w:val="18"/>
        </w:rPr>
        <w:t>challenging operating environment.</w:t>
      </w:r>
    </w:p>
    <w:p w14:paraId="31106245" w14:textId="77777777" w:rsidR="00AA12F9" w:rsidRPr="00703180" w:rsidRDefault="00AA12F9" w:rsidP="008F0275">
      <w:pPr>
        <w:tabs>
          <w:tab w:val="num" w:pos="426"/>
        </w:tabs>
        <w:spacing w:after="0" w:line="240" w:lineRule="auto"/>
        <w:ind w:right="-35"/>
        <w:jc w:val="both"/>
        <w:rPr>
          <w:rFonts w:cs="Arial"/>
          <w:sz w:val="18"/>
          <w:szCs w:val="18"/>
        </w:rPr>
      </w:pPr>
    </w:p>
    <w:p w14:paraId="5C96AE0E" w14:textId="77777777" w:rsidR="00AA12F9" w:rsidRPr="00703180" w:rsidRDefault="00AA12F9" w:rsidP="008F0275">
      <w:pPr>
        <w:spacing w:after="0" w:line="240" w:lineRule="auto"/>
        <w:ind w:right="-35"/>
        <w:jc w:val="both"/>
        <w:rPr>
          <w:rFonts w:cs="Arial"/>
          <w:b/>
          <w:sz w:val="18"/>
          <w:szCs w:val="18"/>
        </w:rPr>
      </w:pPr>
      <w:r w:rsidRPr="00703180">
        <w:rPr>
          <w:rFonts w:cs="Arial"/>
          <w:b/>
          <w:sz w:val="18"/>
          <w:szCs w:val="18"/>
        </w:rPr>
        <w:t xml:space="preserve">Keeping </w:t>
      </w:r>
      <w:r>
        <w:rPr>
          <w:rFonts w:cs="Arial"/>
          <w:b/>
          <w:sz w:val="18"/>
          <w:szCs w:val="18"/>
        </w:rPr>
        <w:t xml:space="preserve">our </w:t>
      </w:r>
      <w:r w:rsidRPr="00703180">
        <w:rPr>
          <w:rFonts w:cs="Arial"/>
          <w:b/>
          <w:sz w:val="18"/>
          <w:szCs w:val="18"/>
        </w:rPr>
        <w:t xml:space="preserve">people safe </w:t>
      </w:r>
    </w:p>
    <w:p w14:paraId="1BA049BF" w14:textId="77777777" w:rsidR="00AA12F9" w:rsidRDefault="00AA12F9" w:rsidP="008F0275">
      <w:pPr>
        <w:tabs>
          <w:tab w:val="num" w:pos="426"/>
        </w:tabs>
        <w:spacing w:after="0" w:line="240" w:lineRule="auto"/>
        <w:ind w:right="-35"/>
        <w:jc w:val="both"/>
        <w:rPr>
          <w:rFonts w:cs="Arial"/>
          <w:sz w:val="18"/>
          <w:szCs w:val="18"/>
        </w:rPr>
      </w:pPr>
      <w:r>
        <w:rPr>
          <w:rFonts w:cs="Arial"/>
          <w:sz w:val="18"/>
          <w:szCs w:val="18"/>
        </w:rPr>
        <w:t>Greencore’s</w:t>
      </w:r>
      <w:r w:rsidRPr="002E6D24">
        <w:rPr>
          <w:rFonts w:cs="Arial"/>
          <w:sz w:val="18"/>
          <w:szCs w:val="18"/>
        </w:rPr>
        <w:t xml:space="preserve"> people are at the core of its </w:t>
      </w:r>
      <w:r>
        <w:rPr>
          <w:rFonts w:cs="Arial"/>
          <w:sz w:val="18"/>
          <w:szCs w:val="18"/>
        </w:rPr>
        <w:t xml:space="preserve">purpose and its </w:t>
      </w:r>
      <w:r w:rsidRPr="002E6D24">
        <w:rPr>
          <w:rFonts w:cs="Arial"/>
          <w:sz w:val="18"/>
          <w:szCs w:val="18"/>
        </w:rPr>
        <w:t xml:space="preserve">success, and keeping </w:t>
      </w:r>
      <w:r>
        <w:rPr>
          <w:rFonts w:cs="Arial"/>
          <w:sz w:val="18"/>
          <w:szCs w:val="18"/>
        </w:rPr>
        <w:t>colleagues</w:t>
      </w:r>
      <w:r w:rsidRPr="002E6D24">
        <w:rPr>
          <w:rFonts w:cs="Arial"/>
          <w:sz w:val="18"/>
          <w:szCs w:val="18"/>
        </w:rPr>
        <w:t xml:space="preserve"> safe has remained a </w:t>
      </w:r>
      <w:r>
        <w:rPr>
          <w:rFonts w:cs="Arial"/>
          <w:sz w:val="18"/>
          <w:szCs w:val="18"/>
        </w:rPr>
        <w:t xml:space="preserve">key </w:t>
      </w:r>
      <w:r w:rsidRPr="002E6D24">
        <w:rPr>
          <w:rFonts w:cs="Arial"/>
          <w:sz w:val="18"/>
          <w:szCs w:val="18"/>
        </w:rPr>
        <w:t>priority through COVID-19.</w:t>
      </w:r>
      <w:r>
        <w:rPr>
          <w:rFonts w:cs="Arial"/>
          <w:sz w:val="18"/>
          <w:szCs w:val="18"/>
        </w:rPr>
        <w:t xml:space="preserve"> </w:t>
      </w:r>
      <w:r w:rsidRPr="00E62AEA">
        <w:rPr>
          <w:rFonts w:cs="Arial"/>
          <w:sz w:val="18"/>
          <w:szCs w:val="18"/>
        </w:rPr>
        <w:t xml:space="preserve">The increasing number of cases and the severity of the new virus strains during H1 21 required the Group to take incremental safety actions to ensure that all is being done within the business to </w:t>
      </w:r>
      <w:r>
        <w:rPr>
          <w:rFonts w:cs="Arial"/>
          <w:sz w:val="18"/>
          <w:szCs w:val="18"/>
        </w:rPr>
        <w:t>mitigate the impact of</w:t>
      </w:r>
      <w:r w:rsidRPr="00E62AEA">
        <w:rPr>
          <w:rFonts w:cs="Arial"/>
          <w:sz w:val="18"/>
          <w:szCs w:val="18"/>
        </w:rPr>
        <w:t xml:space="preserve"> the virus and to keep colleagues safe. </w:t>
      </w:r>
    </w:p>
    <w:p w14:paraId="6F39E51F" w14:textId="77777777" w:rsidR="00AA12F9" w:rsidRDefault="00AA12F9" w:rsidP="008F0275">
      <w:pPr>
        <w:tabs>
          <w:tab w:val="num" w:pos="426"/>
        </w:tabs>
        <w:spacing w:after="0" w:line="240" w:lineRule="auto"/>
        <w:ind w:right="-35"/>
        <w:jc w:val="both"/>
        <w:rPr>
          <w:rFonts w:cs="Arial"/>
          <w:sz w:val="18"/>
          <w:szCs w:val="18"/>
        </w:rPr>
      </w:pPr>
    </w:p>
    <w:p w14:paraId="1B17D412" w14:textId="77777777" w:rsidR="00AA12F9" w:rsidRPr="00E62AEA" w:rsidRDefault="00AA12F9" w:rsidP="008F0275">
      <w:pPr>
        <w:tabs>
          <w:tab w:val="num" w:pos="426"/>
        </w:tabs>
        <w:spacing w:after="0" w:line="240" w:lineRule="auto"/>
        <w:ind w:right="-35"/>
        <w:jc w:val="both"/>
        <w:rPr>
          <w:rFonts w:cs="Arial"/>
          <w:sz w:val="18"/>
          <w:szCs w:val="18"/>
        </w:rPr>
      </w:pPr>
      <w:r>
        <w:rPr>
          <w:rFonts w:cs="Arial"/>
          <w:sz w:val="18"/>
          <w:szCs w:val="18"/>
        </w:rPr>
        <w:t>In addition to undertaking</w:t>
      </w:r>
      <w:r w:rsidRPr="00E62AEA">
        <w:rPr>
          <w:rFonts w:cs="Arial"/>
          <w:sz w:val="18"/>
          <w:szCs w:val="18"/>
        </w:rPr>
        <w:t xml:space="preserve"> COVID-19 risk assessments and site-specific action plans across every manufacturing location and distribution facility, </w:t>
      </w:r>
      <w:r>
        <w:rPr>
          <w:rFonts w:cs="Arial"/>
          <w:sz w:val="18"/>
          <w:szCs w:val="18"/>
        </w:rPr>
        <w:t>t</w:t>
      </w:r>
      <w:r w:rsidRPr="00E62AEA">
        <w:rPr>
          <w:rFonts w:cs="Arial"/>
          <w:sz w:val="18"/>
          <w:szCs w:val="18"/>
        </w:rPr>
        <w:t xml:space="preserve">he Group also worked with the UK Department of Health and Social Care to implement weekly lateral flow testing across </w:t>
      </w:r>
      <w:r w:rsidR="001F0043">
        <w:rPr>
          <w:rFonts w:cs="Arial"/>
          <w:sz w:val="18"/>
          <w:szCs w:val="18"/>
        </w:rPr>
        <w:t xml:space="preserve">seven manufacturing </w:t>
      </w:r>
      <w:r w:rsidRPr="00E62AEA">
        <w:rPr>
          <w:rFonts w:cs="Arial"/>
          <w:sz w:val="18"/>
          <w:szCs w:val="18"/>
        </w:rPr>
        <w:t xml:space="preserve">sites </w:t>
      </w:r>
      <w:r w:rsidR="001F0043">
        <w:rPr>
          <w:rFonts w:cs="Arial"/>
          <w:sz w:val="18"/>
          <w:szCs w:val="18"/>
        </w:rPr>
        <w:t xml:space="preserve">and one Direct-to-Store depot </w:t>
      </w:r>
      <w:r w:rsidR="00B675F0">
        <w:rPr>
          <w:rFonts w:cs="Arial"/>
          <w:sz w:val="18"/>
          <w:szCs w:val="18"/>
        </w:rPr>
        <w:t>providing access to testing</w:t>
      </w:r>
      <w:r w:rsidR="00B675F0" w:rsidRPr="00E62AEA">
        <w:rPr>
          <w:rFonts w:cs="Arial"/>
          <w:sz w:val="18"/>
          <w:szCs w:val="18"/>
        </w:rPr>
        <w:t xml:space="preserve"> </w:t>
      </w:r>
      <w:r w:rsidRPr="00E62AEA">
        <w:rPr>
          <w:rFonts w:cs="Arial"/>
          <w:sz w:val="18"/>
          <w:szCs w:val="18"/>
        </w:rPr>
        <w:t xml:space="preserve">for </w:t>
      </w:r>
      <w:r w:rsidR="001F0043">
        <w:rPr>
          <w:rFonts w:cs="Arial"/>
          <w:sz w:val="18"/>
          <w:szCs w:val="18"/>
        </w:rPr>
        <w:t xml:space="preserve">over half </w:t>
      </w:r>
      <w:r w:rsidRPr="00E62AEA">
        <w:rPr>
          <w:rFonts w:cs="Arial"/>
          <w:sz w:val="18"/>
          <w:szCs w:val="18"/>
        </w:rPr>
        <w:t xml:space="preserve">of Group employees. </w:t>
      </w:r>
    </w:p>
    <w:p w14:paraId="7C2F691D" w14:textId="77777777" w:rsidR="00AA12F9" w:rsidRPr="004F5645" w:rsidRDefault="00AA12F9" w:rsidP="008F0275">
      <w:pPr>
        <w:tabs>
          <w:tab w:val="num" w:pos="426"/>
        </w:tabs>
        <w:spacing w:after="0" w:line="240" w:lineRule="auto"/>
        <w:ind w:right="-35"/>
        <w:jc w:val="both"/>
        <w:rPr>
          <w:rFonts w:cs="Arial"/>
          <w:sz w:val="18"/>
          <w:szCs w:val="18"/>
          <w:highlight w:val="yellow"/>
        </w:rPr>
      </w:pPr>
    </w:p>
    <w:p w14:paraId="41E06EAD" w14:textId="77777777" w:rsidR="00AA12F9" w:rsidRPr="00C04B38" w:rsidRDefault="00AA12F9" w:rsidP="008F0275">
      <w:pPr>
        <w:spacing w:after="0" w:line="240" w:lineRule="auto"/>
        <w:ind w:right="-35"/>
        <w:jc w:val="both"/>
        <w:rPr>
          <w:rFonts w:cs="Arial"/>
          <w:b/>
          <w:sz w:val="18"/>
          <w:szCs w:val="18"/>
        </w:rPr>
      </w:pPr>
      <w:r w:rsidRPr="00C04B38">
        <w:rPr>
          <w:rFonts w:cs="Arial"/>
          <w:b/>
          <w:sz w:val="18"/>
          <w:szCs w:val="18"/>
        </w:rPr>
        <w:t xml:space="preserve">Feeding the UK </w:t>
      </w:r>
    </w:p>
    <w:p w14:paraId="5A02C77A" w14:textId="77777777" w:rsidR="00AA12F9" w:rsidRPr="00C04B38" w:rsidRDefault="00AA12F9" w:rsidP="008F0275">
      <w:pPr>
        <w:tabs>
          <w:tab w:val="num" w:pos="426"/>
        </w:tabs>
        <w:spacing w:after="0" w:line="240" w:lineRule="auto"/>
        <w:ind w:right="-35"/>
        <w:jc w:val="both"/>
        <w:rPr>
          <w:rFonts w:cs="Arial"/>
          <w:sz w:val="18"/>
          <w:szCs w:val="18"/>
        </w:rPr>
      </w:pPr>
      <w:r w:rsidRPr="00FE61F5">
        <w:rPr>
          <w:rFonts w:cs="Arial"/>
          <w:sz w:val="18"/>
          <w:szCs w:val="18"/>
        </w:rPr>
        <w:t xml:space="preserve">The Group’s priority to feed the UK is underpinned by intensive and collaborative engagement with customers and is also aligned with our purpose that includes the commitment to producing </w:t>
      </w:r>
      <w:r>
        <w:rPr>
          <w:rFonts w:cs="Arial"/>
          <w:sz w:val="18"/>
          <w:szCs w:val="18"/>
        </w:rPr>
        <w:t>G</w:t>
      </w:r>
      <w:r w:rsidRPr="00FE61F5">
        <w:rPr>
          <w:rFonts w:cs="Arial"/>
          <w:sz w:val="18"/>
          <w:szCs w:val="18"/>
        </w:rPr>
        <w:t xml:space="preserve">reat </w:t>
      </w:r>
      <w:r>
        <w:rPr>
          <w:rFonts w:cs="Arial"/>
          <w:sz w:val="18"/>
          <w:szCs w:val="18"/>
        </w:rPr>
        <w:t>F</w:t>
      </w:r>
      <w:r w:rsidRPr="00FE61F5">
        <w:rPr>
          <w:rFonts w:cs="Arial"/>
          <w:sz w:val="18"/>
          <w:szCs w:val="18"/>
        </w:rPr>
        <w:t xml:space="preserve">ood. </w:t>
      </w:r>
      <w:r w:rsidRPr="00C04B38">
        <w:rPr>
          <w:rFonts w:cs="Arial"/>
          <w:sz w:val="18"/>
          <w:szCs w:val="18"/>
        </w:rPr>
        <w:t xml:space="preserve">In H1 21 the Group </w:t>
      </w:r>
      <w:r>
        <w:rPr>
          <w:rFonts w:cs="Arial"/>
          <w:sz w:val="18"/>
          <w:szCs w:val="18"/>
        </w:rPr>
        <w:t xml:space="preserve">once again </w:t>
      </w:r>
      <w:r w:rsidRPr="00C04B38">
        <w:rPr>
          <w:rFonts w:cs="Arial"/>
          <w:sz w:val="18"/>
          <w:szCs w:val="18"/>
        </w:rPr>
        <w:t xml:space="preserve">responded rapidly to the volatile demand patterns associated with the changing mobility restrictions and lockdowns that were introduced across the UK during the period. The principal focus </w:t>
      </w:r>
      <w:r>
        <w:rPr>
          <w:rFonts w:cs="Arial"/>
          <w:sz w:val="18"/>
          <w:szCs w:val="18"/>
        </w:rPr>
        <w:t>remains</w:t>
      </w:r>
      <w:r w:rsidRPr="00C04B38">
        <w:rPr>
          <w:rFonts w:cs="Arial"/>
          <w:sz w:val="18"/>
          <w:szCs w:val="18"/>
        </w:rPr>
        <w:t xml:space="preserve"> working with existing customers on </w:t>
      </w:r>
      <w:r>
        <w:rPr>
          <w:rFonts w:cs="Arial"/>
          <w:sz w:val="18"/>
          <w:szCs w:val="18"/>
        </w:rPr>
        <w:t xml:space="preserve">driving category growth and </w:t>
      </w:r>
      <w:r w:rsidRPr="00C04B38">
        <w:rPr>
          <w:rFonts w:cs="Arial"/>
          <w:sz w:val="18"/>
          <w:szCs w:val="18"/>
        </w:rPr>
        <w:t xml:space="preserve">range </w:t>
      </w:r>
      <w:r>
        <w:rPr>
          <w:rFonts w:cs="Arial"/>
          <w:sz w:val="18"/>
          <w:szCs w:val="18"/>
        </w:rPr>
        <w:t>launches</w:t>
      </w:r>
      <w:r w:rsidRPr="00C04B38">
        <w:rPr>
          <w:rFonts w:cs="Arial"/>
          <w:sz w:val="18"/>
          <w:szCs w:val="18"/>
        </w:rPr>
        <w:t xml:space="preserve"> as the economy reopens</w:t>
      </w:r>
      <w:r>
        <w:rPr>
          <w:rFonts w:cs="Arial"/>
          <w:sz w:val="18"/>
          <w:szCs w:val="18"/>
        </w:rPr>
        <w:t>,</w:t>
      </w:r>
      <w:r w:rsidRPr="00C04B38">
        <w:rPr>
          <w:rFonts w:cs="Arial"/>
          <w:sz w:val="18"/>
          <w:szCs w:val="18"/>
        </w:rPr>
        <w:t xml:space="preserve"> </w:t>
      </w:r>
      <w:r>
        <w:rPr>
          <w:rFonts w:cs="Arial"/>
          <w:sz w:val="18"/>
          <w:szCs w:val="18"/>
        </w:rPr>
        <w:t>as well as</w:t>
      </w:r>
      <w:r w:rsidRPr="00C04B38">
        <w:rPr>
          <w:rFonts w:cs="Arial"/>
          <w:sz w:val="18"/>
          <w:szCs w:val="18"/>
        </w:rPr>
        <w:t xml:space="preserve"> onboarding new </w:t>
      </w:r>
      <w:r>
        <w:rPr>
          <w:rFonts w:cs="Arial"/>
          <w:sz w:val="18"/>
          <w:szCs w:val="18"/>
        </w:rPr>
        <w:t xml:space="preserve">business </w:t>
      </w:r>
      <w:r w:rsidRPr="00C04B38">
        <w:rPr>
          <w:rFonts w:cs="Arial"/>
          <w:sz w:val="18"/>
          <w:szCs w:val="18"/>
        </w:rPr>
        <w:t>successfully.</w:t>
      </w:r>
    </w:p>
    <w:p w14:paraId="37AB6AFD" w14:textId="77777777" w:rsidR="00AA12F9" w:rsidRPr="004F5645" w:rsidRDefault="00AA12F9" w:rsidP="008F0275">
      <w:pPr>
        <w:tabs>
          <w:tab w:val="num" w:pos="426"/>
        </w:tabs>
        <w:spacing w:after="0" w:line="240" w:lineRule="auto"/>
        <w:ind w:right="-35"/>
        <w:jc w:val="both"/>
        <w:rPr>
          <w:rFonts w:cs="Arial"/>
          <w:sz w:val="18"/>
          <w:szCs w:val="18"/>
          <w:highlight w:val="yellow"/>
        </w:rPr>
      </w:pPr>
    </w:p>
    <w:p w14:paraId="46343351" w14:textId="77777777" w:rsidR="00AA12F9" w:rsidRPr="00C04B38" w:rsidRDefault="00AA12F9" w:rsidP="008F0275">
      <w:pPr>
        <w:tabs>
          <w:tab w:val="num" w:pos="426"/>
        </w:tabs>
        <w:spacing w:after="0" w:line="240" w:lineRule="auto"/>
        <w:ind w:right="-35"/>
        <w:jc w:val="both"/>
        <w:rPr>
          <w:rFonts w:cs="Arial"/>
          <w:sz w:val="18"/>
          <w:szCs w:val="18"/>
        </w:rPr>
      </w:pPr>
      <w:r w:rsidRPr="00C04B38">
        <w:rPr>
          <w:rFonts w:cs="Arial"/>
          <w:sz w:val="18"/>
          <w:szCs w:val="18"/>
        </w:rPr>
        <w:t>The Group also continued to take a purposeful and community-led approach to support</w:t>
      </w:r>
      <w:r>
        <w:rPr>
          <w:rFonts w:cs="Arial"/>
          <w:sz w:val="18"/>
          <w:szCs w:val="18"/>
        </w:rPr>
        <w:t>ing</w:t>
      </w:r>
      <w:r w:rsidRPr="00C04B38">
        <w:rPr>
          <w:rFonts w:cs="Arial"/>
          <w:sz w:val="18"/>
          <w:szCs w:val="18"/>
        </w:rPr>
        <w:t xml:space="preserve"> initiatives at local, regional and national levels to </w:t>
      </w:r>
      <w:r>
        <w:rPr>
          <w:rFonts w:cs="Arial"/>
          <w:sz w:val="18"/>
          <w:szCs w:val="18"/>
        </w:rPr>
        <w:t>help</w:t>
      </w:r>
      <w:r w:rsidRPr="00C04B38">
        <w:rPr>
          <w:rFonts w:cs="Arial"/>
          <w:sz w:val="18"/>
          <w:szCs w:val="18"/>
        </w:rPr>
        <w:t xml:space="preserve"> vulnerable </w:t>
      </w:r>
      <w:r>
        <w:rPr>
          <w:rFonts w:cs="Arial"/>
          <w:sz w:val="18"/>
          <w:szCs w:val="18"/>
        </w:rPr>
        <w:t xml:space="preserve">people </w:t>
      </w:r>
      <w:r w:rsidRPr="00C04B38">
        <w:rPr>
          <w:rFonts w:cs="Arial"/>
          <w:sz w:val="18"/>
          <w:szCs w:val="18"/>
        </w:rPr>
        <w:t xml:space="preserve">and those in need of quality food all over the UK.   </w:t>
      </w:r>
    </w:p>
    <w:p w14:paraId="5BA1883C" w14:textId="77777777" w:rsidR="00AA12F9" w:rsidRPr="004F5645" w:rsidRDefault="00AA12F9" w:rsidP="008F0275">
      <w:pPr>
        <w:tabs>
          <w:tab w:val="num" w:pos="426"/>
        </w:tabs>
        <w:spacing w:after="0" w:line="240" w:lineRule="auto"/>
        <w:ind w:right="-35"/>
        <w:jc w:val="both"/>
        <w:rPr>
          <w:rFonts w:cs="Arial"/>
          <w:sz w:val="18"/>
          <w:szCs w:val="18"/>
          <w:highlight w:val="yellow"/>
        </w:rPr>
      </w:pPr>
    </w:p>
    <w:p w14:paraId="5EF44F85" w14:textId="77777777" w:rsidR="00AA12F9" w:rsidRPr="00C04B38" w:rsidRDefault="00AA12F9" w:rsidP="008F0275">
      <w:pPr>
        <w:spacing w:after="0" w:line="240" w:lineRule="auto"/>
        <w:ind w:right="-35"/>
        <w:jc w:val="both"/>
        <w:rPr>
          <w:rFonts w:cs="Arial"/>
          <w:b/>
          <w:sz w:val="18"/>
          <w:szCs w:val="18"/>
        </w:rPr>
      </w:pPr>
      <w:r w:rsidRPr="00C04B38">
        <w:rPr>
          <w:rFonts w:cs="Arial"/>
          <w:b/>
          <w:sz w:val="18"/>
          <w:szCs w:val="18"/>
        </w:rPr>
        <w:t>Protecting our business</w:t>
      </w:r>
    </w:p>
    <w:p w14:paraId="5D9B8678" w14:textId="77777777" w:rsidR="00AA12F9" w:rsidRPr="00C04B38" w:rsidRDefault="00AA12F9" w:rsidP="008F0275">
      <w:pPr>
        <w:spacing w:after="0" w:line="240" w:lineRule="auto"/>
        <w:ind w:right="-35"/>
        <w:jc w:val="both"/>
        <w:rPr>
          <w:rFonts w:cs="Arial"/>
          <w:sz w:val="18"/>
          <w:szCs w:val="18"/>
        </w:rPr>
      </w:pPr>
      <w:r>
        <w:rPr>
          <w:rFonts w:cs="Arial"/>
          <w:sz w:val="18"/>
          <w:szCs w:val="18"/>
        </w:rPr>
        <w:t>In H1 21 t</w:t>
      </w:r>
      <w:r w:rsidRPr="00C04B38">
        <w:rPr>
          <w:rFonts w:cs="Arial"/>
          <w:sz w:val="18"/>
          <w:szCs w:val="18"/>
        </w:rPr>
        <w:t xml:space="preserve">he Group </w:t>
      </w:r>
      <w:r>
        <w:rPr>
          <w:rFonts w:cs="Arial"/>
          <w:sz w:val="18"/>
          <w:szCs w:val="18"/>
        </w:rPr>
        <w:t>implemented</w:t>
      </w:r>
      <w:r w:rsidRPr="00C04B38">
        <w:rPr>
          <w:rFonts w:cs="Arial"/>
          <w:sz w:val="18"/>
          <w:szCs w:val="18"/>
        </w:rPr>
        <w:t xml:space="preserve"> a comprehensive set of actions to alleviate the material short term impact on the business as a result of COVID-19, and to build back the business profitably as the pandemic eases. </w:t>
      </w:r>
      <w:r w:rsidRPr="00FE61F5">
        <w:rPr>
          <w:rFonts w:cs="Arial"/>
          <w:sz w:val="18"/>
          <w:szCs w:val="18"/>
        </w:rPr>
        <w:t xml:space="preserve">The Group’s purpose </w:t>
      </w:r>
      <w:r>
        <w:rPr>
          <w:rFonts w:cs="Arial"/>
          <w:sz w:val="18"/>
          <w:szCs w:val="18"/>
        </w:rPr>
        <w:t xml:space="preserve">underpins this through </w:t>
      </w:r>
      <w:r w:rsidRPr="00FE61F5">
        <w:rPr>
          <w:rFonts w:cs="Arial"/>
          <w:sz w:val="18"/>
          <w:szCs w:val="18"/>
        </w:rPr>
        <w:t xml:space="preserve">both an aspiration for excellence in all that it does, and a desire to continuously improve the sustainability of </w:t>
      </w:r>
      <w:r>
        <w:rPr>
          <w:rFonts w:cs="Arial"/>
          <w:sz w:val="18"/>
          <w:szCs w:val="18"/>
        </w:rPr>
        <w:t xml:space="preserve">the </w:t>
      </w:r>
      <w:r w:rsidRPr="00FE61F5">
        <w:rPr>
          <w:rFonts w:cs="Arial"/>
          <w:sz w:val="18"/>
          <w:szCs w:val="18"/>
        </w:rPr>
        <w:t xml:space="preserve">business. </w:t>
      </w:r>
      <w:r w:rsidRPr="00C04B38">
        <w:rPr>
          <w:rFonts w:cs="Arial"/>
          <w:sz w:val="18"/>
          <w:szCs w:val="18"/>
        </w:rPr>
        <w:t xml:space="preserve">As such </w:t>
      </w:r>
      <w:r>
        <w:rPr>
          <w:rFonts w:cs="Arial"/>
          <w:sz w:val="18"/>
          <w:szCs w:val="18"/>
        </w:rPr>
        <w:t>the Group</w:t>
      </w:r>
      <w:r w:rsidRPr="00C04B38">
        <w:rPr>
          <w:rFonts w:cs="Arial"/>
          <w:sz w:val="18"/>
          <w:szCs w:val="18"/>
        </w:rPr>
        <w:t xml:space="preserve"> is well positioned to be one of the longer term winners in UK convenience food.</w:t>
      </w:r>
    </w:p>
    <w:p w14:paraId="32828BAD" w14:textId="77777777" w:rsidR="00AA12F9" w:rsidRPr="00C04B38" w:rsidRDefault="00AA12F9" w:rsidP="008F0275">
      <w:pPr>
        <w:spacing w:after="0" w:line="240" w:lineRule="auto"/>
        <w:ind w:right="-35"/>
        <w:jc w:val="both"/>
        <w:rPr>
          <w:rFonts w:cs="Arial"/>
          <w:sz w:val="18"/>
          <w:szCs w:val="18"/>
        </w:rPr>
      </w:pPr>
    </w:p>
    <w:p w14:paraId="55353CC5" w14:textId="77777777" w:rsidR="00AA12F9" w:rsidRPr="00CB0FF1" w:rsidRDefault="00AA12F9" w:rsidP="008F0275">
      <w:pPr>
        <w:spacing w:after="0" w:line="240" w:lineRule="auto"/>
        <w:ind w:right="-35"/>
        <w:jc w:val="both"/>
        <w:rPr>
          <w:rFonts w:cs="Arial"/>
          <w:sz w:val="18"/>
          <w:szCs w:val="18"/>
        </w:rPr>
      </w:pPr>
      <w:r w:rsidRPr="00C04B38">
        <w:rPr>
          <w:rFonts w:cs="Arial"/>
          <w:sz w:val="18"/>
          <w:szCs w:val="18"/>
        </w:rPr>
        <w:t xml:space="preserve">Cost mitigants to protect the business </w:t>
      </w:r>
      <w:r>
        <w:rPr>
          <w:rFonts w:cs="Arial"/>
          <w:sz w:val="18"/>
          <w:szCs w:val="18"/>
        </w:rPr>
        <w:t xml:space="preserve">in H1 21 </w:t>
      </w:r>
      <w:r w:rsidRPr="00C04B38">
        <w:rPr>
          <w:rFonts w:cs="Arial"/>
          <w:sz w:val="18"/>
          <w:szCs w:val="18"/>
        </w:rPr>
        <w:t xml:space="preserve">include the </w:t>
      </w:r>
      <w:r>
        <w:rPr>
          <w:rFonts w:cs="Arial"/>
          <w:sz w:val="18"/>
          <w:szCs w:val="18"/>
        </w:rPr>
        <w:t>continued</w:t>
      </w:r>
      <w:r w:rsidRPr="00C04B38">
        <w:rPr>
          <w:rFonts w:cs="Arial"/>
          <w:sz w:val="18"/>
          <w:szCs w:val="18"/>
        </w:rPr>
        <w:t xml:space="preserve"> use of furlough supports, pay freezes, and the elimination of discretionary spending. The outcome of these</w:t>
      </w:r>
      <w:r w:rsidR="009C78F9">
        <w:rPr>
          <w:rFonts w:cs="Arial"/>
          <w:sz w:val="18"/>
          <w:szCs w:val="18"/>
        </w:rPr>
        <w:t>,</w:t>
      </w:r>
      <w:r w:rsidRPr="00C04B38">
        <w:rPr>
          <w:rFonts w:cs="Arial"/>
          <w:sz w:val="18"/>
          <w:szCs w:val="18"/>
        </w:rPr>
        <w:t xml:space="preserve"> and other measures</w:t>
      </w:r>
      <w:r w:rsidR="009C78F9">
        <w:rPr>
          <w:rFonts w:cs="Arial"/>
          <w:sz w:val="18"/>
          <w:szCs w:val="18"/>
        </w:rPr>
        <w:t>,</w:t>
      </w:r>
      <w:r w:rsidRPr="00C04B38">
        <w:rPr>
          <w:rFonts w:cs="Arial"/>
          <w:sz w:val="18"/>
          <w:szCs w:val="18"/>
        </w:rPr>
        <w:t xml:space="preserve"> in H1 21 was the delivery of positive Adjusted Operating Profit in the period, notwithstanding the significant reduction in Group revenues</w:t>
      </w:r>
      <w:r>
        <w:rPr>
          <w:rFonts w:cs="Arial"/>
          <w:sz w:val="18"/>
          <w:szCs w:val="18"/>
        </w:rPr>
        <w:t xml:space="preserve"> and </w:t>
      </w:r>
      <w:r w:rsidRPr="00F55D04">
        <w:rPr>
          <w:rFonts w:cs="Arial"/>
          <w:sz w:val="18"/>
          <w:szCs w:val="18"/>
        </w:rPr>
        <w:t>ongoing COVID-19 related operating costs</w:t>
      </w:r>
      <w:r w:rsidRPr="00C04B38">
        <w:rPr>
          <w:rFonts w:cs="Arial"/>
          <w:sz w:val="18"/>
          <w:szCs w:val="18"/>
        </w:rPr>
        <w:t xml:space="preserve">. </w:t>
      </w:r>
    </w:p>
    <w:p w14:paraId="766931FF" w14:textId="77777777" w:rsidR="00AA12F9" w:rsidRPr="004F5645" w:rsidRDefault="00AA12F9" w:rsidP="008F0275">
      <w:pPr>
        <w:spacing w:after="0" w:line="240" w:lineRule="auto"/>
        <w:ind w:right="-35"/>
        <w:jc w:val="both"/>
        <w:rPr>
          <w:rFonts w:cs="Arial"/>
          <w:sz w:val="18"/>
          <w:szCs w:val="18"/>
          <w:highlight w:val="yellow"/>
        </w:rPr>
      </w:pPr>
    </w:p>
    <w:p w14:paraId="3CAFFB13" w14:textId="77777777" w:rsidR="00AA12F9" w:rsidRPr="00104030" w:rsidRDefault="00AA12F9" w:rsidP="008F0275">
      <w:pPr>
        <w:adjustRightInd w:val="0"/>
        <w:spacing w:after="0" w:line="240" w:lineRule="auto"/>
        <w:ind w:right="-35"/>
        <w:jc w:val="both"/>
        <w:rPr>
          <w:sz w:val="18"/>
          <w:szCs w:val="18"/>
        </w:rPr>
      </w:pPr>
      <w:r w:rsidRPr="00104030">
        <w:rPr>
          <w:sz w:val="18"/>
          <w:szCs w:val="18"/>
        </w:rPr>
        <w:t>The Group managed cash flow in the period through reducing planned levels of capital expenditure, deferring cash contributions to def</w:t>
      </w:r>
      <w:r>
        <w:rPr>
          <w:sz w:val="18"/>
          <w:szCs w:val="18"/>
        </w:rPr>
        <w:t>ined</w:t>
      </w:r>
      <w:r w:rsidRPr="00104030">
        <w:rPr>
          <w:sz w:val="18"/>
          <w:szCs w:val="18"/>
        </w:rPr>
        <w:t xml:space="preserve"> benefit pension schemes, and suspending dividend payments</w:t>
      </w:r>
      <w:r>
        <w:rPr>
          <w:sz w:val="18"/>
          <w:szCs w:val="18"/>
        </w:rPr>
        <w:t>, while continuing to execute disciplined investment in automation and to support future growth in the business</w:t>
      </w:r>
      <w:r w:rsidRPr="00104030">
        <w:rPr>
          <w:sz w:val="18"/>
          <w:szCs w:val="18"/>
        </w:rPr>
        <w:t>.</w:t>
      </w:r>
      <w:r>
        <w:rPr>
          <w:sz w:val="18"/>
          <w:szCs w:val="18"/>
        </w:rPr>
        <w:t xml:space="preserve"> </w:t>
      </w:r>
      <w:r w:rsidRPr="00104030">
        <w:rPr>
          <w:sz w:val="18"/>
          <w:szCs w:val="18"/>
        </w:rPr>
        <w:t>These measures, combined with the proceeds from the equity placing in November 2020 and from the sale of the Group’s molasses businesses in December 2020, resulted in a £</w:t>
      </w:r>
      <w:r>
        <w:rPr>
          <w:sz w:val="18"/>
          <w:szCs w:val="18"/>
        </w:rPr>
        <w:t>79.2</w:t>
      </w:r>
      <w:r w:rsidRPr="00104030">
        <w:rPr>
          <w:sz w:val="18"/>
          <w:szCs w:val="18"/>
        </w:rPr>
        <w:t>m reduction in Net Debt (excluding leas</w:t>
      </w:r>
      <w:r>
        <w:rPr>
          <w:sz w:val="18"/>
          <w:szCs w:val="18"/>
        </w:rPr>
        <w:t>e</w:t>
      </w:r>
      <w:r w:rsidRPr="00104030">
        <w:rPr>
          <w:sz w:val="18"/>
          <w:szCs w:val="18"/>
        </w:rPr>
        <w:t xml:space="preserve"> liabilities) in the first half of the year.</w:t>
      </w:r>
    </w:p>
    <w:p w14:paraId="463FD00F" w14:textId="77777777" w:rsidR="00AA12F9" w:rsidRDefault="00AA12F9" w:rsidP="008F0275">
      <w:pPr>
        <w:spacing w:after="0" w:line="240" w:lineRule="auto"/>
        <w:ind w:right="-35"/>
        <w:jc w:val="both"/>
        <w:rPr>
          <w:rFonts w:cs="Arial"/>
          <w:sz w:val="18"/>
          <w:szCs w:val="18"/>
          <w:highlight w:val="yellow"/>
        </w:rPr>
      </w:pPr>
    </w:p>
    <w:p w14:paraId="191DA638" w14:textId="77777777" w:rsidR="00AA12F9" w:rsidRPr="004F5645" w:rsidRDefault="00AA12F9" w:rsidP="008F0275">
      <w:pPr>
        <w:adjustRightInd w:val="0"/>
        <w:spacing w:after="0" w:line="240" w:lineRule="auto"/>
        <w:ind w:right="-35"/>
        <w:jc w:val="both"/>
        <w:rPr>
          <w:sz w:val="18"/>
          <w:szCs w:val="18"/>
          <w:highlight w:val="yellow"/>
        </w:rPr>
      </w:pPr>
      <w:r w:rsidRPr="00104030">
        <w:rPr>
          <w:sz w:val="18"/>
          <w:szCs w:val="18"/>
        </w:rPr>
        <w:t>The Group’s balance sheet and liquidity position strengthened, with cash and undrawn committed bank facilities of £</w:t>
      </w:r>
      <w:r>
        <w:rPr>
          <w:sz w:val="18"/>
          <w:szCs w:val="18"/>
        </w:rPr>
        <w:t>302.0</w:t>
      </w:r>
      <w:r w:rsidRPr="00104030">
        <w:rPr>
          <w:sz w:val="18"/>
          <w:szCs w:val="18"/>
        </w:rPr>
        <w:t>m at 26 March 2021. Committed debt facilities totalled £</w:t>
      </w:r>
      <w:r>
        <w:rPr>
          <w:sz w:val="18"/>
          <w:szCs w:val="18"/>
        </w:rPr>
        <w:t>570.7</w:t>
      </w:r>
      <w:r w:rsidRPr="00104030">
        <w:rPr>
          <w:sz w:val="18"/>
          <w:szCs w:val="18"/>
        </w:rPr>
        <w:t>m at period end, with a weighted average maturity of</w:t>
      </w:r>
      <w:r>
        <w:rPr>
          <w:sz w:val="18"/>
          <w:szCs w:val="18"/>
        </w:rPr>
        <w:t xml:space="preserve"> 3.2</w:t>
      </w:r>
      <w:r w:rsidRPr="00104030">
        <w:rPr>
          <w:sz w:val="18"/>
          <w:szCs w:val="18"/>
        </w:rPr>
        <w:t xml:space="preserve"> years. </w:t>
      </w:r>
    </w:p>
    <w:p w14:paraId="217E72DC" w14:textId="77777777" w:rsidR="006137AE" w:rsidRDefault="006137AE" w:rsidP="008F0275">
      <w:pPr>
        <w:spacing w:after="0" w:line="240" w:lineRule="auto"/>
        <w:ind w:right="-35"/>
        <w:jc w:val="both"/>
        <w:rPr>
          <w:rFonts w:cs="Arial"/>
          <w:b/>
          <w:sz w:val="20"/>
          <w:szCs w:val="18"/>
        </w:rPr>
      </w:pPr>
    </w:p>
    <w:p w14:paraId="0B092476" w14:textId="77777777" w:rsidR="00AA12F9" w:rsidRPr="00806816" w:rsidRDefault="00AA12F9" w:rsidP="008F0275">
      <w:pPr>
        <w:spacing w:after="0" w:line="240" w:lineRule="auto"/>
        <w:ind w:right="-35"/>
        <w:jc w:val="both"/>
        <w:rPr>
          <w:rFonts w:cs="Arial"/>
          <w:b/>
          <w:sz w:val="20"/>
          <w:szCs w:val="18"/>
        </w:rPr>
      </w:pPr>
      <w:r w:rsidRPr="00803128">
        <w:rPr>
          <w:rFonts w:cs="Arial"/>
          <w:b/>
          <w:sz w:val="20"/>
          <w:szCs w:val="18"/>
        </w:rPr>
        <w:lastRenderedPageBreak/>
        <w:t>SUSTAINABILITY</w:t>
      </w:r>
    </w:p>
    <w:p w14:paraId="78C881BB" w14:textId="77777777" w:rsidR="00AA12F9" w:rsidRPr="00803128" w:rsidRDefault="00AA12F9" w:rsidP="008F0275">
      <w:pPr>
        <w:spacing w:after="0" w:line="240" w:lineRule="auto"/>
        <w:ind w:right="-35"/>
        <w:jc w:val="both"/>
        <w:rPr>
          <w:rFonts w:cs="Arial"/>
          <w:sz w:val="18"/>
          <w:szCs w:val="18"/>
        </w:rPr>
      </w:pPr>
      <w:r w:rsidRPr="00803128">
        <w:rPr>
          <w:rFonts w:cs="Arial"/>
          <w:sz w:val="18"/>
          <w:szCs w:val="18"/>
        </w:rPr>
        <w:t xml:space="preserve">The Group’s sustainability strategy was launched in November 2020 and was </w:t>
      </w:r>
      <w:r>
        <w:rPr>
          <w:rFonts w:cs="Arial"/>
          <w:sz w:val="18"/>
          <w:szCs w:val="18"/>
        </w:rPr>
        <w:t>presented</w:t>
      </w:r>
      <w:r w:rsidRPr="00803128">
        <w:rPr>
          <w:rFonts w:cs="Arial"/>
          <w:sz w:val="18"/>
          <w:szCs w:val="18"/>
        </w:rPr>
        <w:t xml:space="preserve"> in detail at a seminar for the investment community in February 2021. The strategy is grounded in both aspiration and substance, is reflective of the Group’s specific business context, and is embedded in the business model and culture. </w:t>
      </w:r>
    </w:p>
    <w:p w14:paraId="3F25CBFC" w14:textId="77777777" w:rsidR="00AA12F9" w:rsidRDefault="00AA12F9" w:rsidP="008F0275">
      <w:pPr>
        <w:spacing w:after="0" w:line="240" w:lineRule="auto"/>
        <w:ind w:right="-35"/>
        <w:jc w:val="both"/>
        <w:rPr>
          <w:rFonts w:cs="Arial"/>
          <w:sz w:val="18"/>
          <w:szCs w:val="18"/>
          <w:highlight w:val="yellow"/>
        </w:rPr>
      </w:pPr>
    </w:p>
    <w:p w14:paraId="280F4F80" w14:textId="77777777" w:rsidR="00AA12F9" w:rsidRDefault="00AA12F9" w:rsidP="008F0275">
      <w:pPr>
        <w:spacing w:after="0" w:line="240" w:lineRule="auto"/>
        <w:ind w:right="-35"/>
        <w:jc w:val="both"/>
        <w:rPr>
          <w:rFonts w:cs="Arial"/>
          <w:sz w:val="18"/>
          <w:szCs w:val="18"/>
        </w:rPr>
      </w:pPr>
      <w:r w:rsidRPr="00803128">
        <w:rPr>
          <w:rFonts w:cs="Arial"/>
          <w:sz w:val="18"/>
          <w:szCs w:val="18"/>
        </w:rPr>
        <w:t xml:space="preserve">The Group’s sustainability strategy is built around three pillars: Sourcing with Integrity, Making with Care, and Feeding with Pride. Each pillar contains a set of priorities – an aspirational goal supported by specific milestone targets and short term actions that relate to the most material sustainability challenges, risks and opportunities facing the business. </w:t>
      </w:r>
      <w:r>
        <w:rPr>
          <w:rFonts w:cs="Arial"/>
          <w:sz w:val="18"/>
          <w:szCs w:val="18"/>
        </w:rPr>
        <w:t>The Group is also implementing measures to ensure s</w:t>
      </w:r>
      <w:r w:rsidRPr="00803128">
        <w:rPr>
          <w:rFonts w:cs="Arial"/>
          <w:sz w:val="18"/>
          <w:szCs w:val="18"/>
        </w:rPr>
        <w:t xml:space="preserve">ustainability </w:t>
      </w:r>
      <w:r>
        <w:rPr>
          <w:rFonts w:cs="Arial"/>
          <w:sz w:val="18"/>
          <w:szCs w:val="18"/>
        </w:rPr>
        <w:t xml:space="preserve">becomes </w:t>
      </w:r>
      <w:r w:rsidRPr="00803128">
        <w:rPr>
          <w:rFonts w:cs="Arial"/>
          <w:sz w:val="18"/>
          <w:szCs w:val="18"/>
        </w:rPr>
        <w:t xml:space="preserve">embedded </w:t>
      </w:r>
      <w:r w:rsidR="009C78F9">
        <w:rPr>
          <w:rFonts w:cs="Arial"/>
          <w:sz w:val="18"/>
          <w:szCs w:val="18"/>
        </w:rPr>
        <w:t>in its</w:t>
      </w:r>
      <w:r w:rsidRPr="00803128">
        <w:rPr>
          <w:rFonts w:cs="Arial"/>
          <w:sz w:val="18"/>
          <w:szCs w:val="18"/>
        </w:rPr>
        <w:t xml:space="preserve"> accountabilities and disclosure practices.</w:t>
      </w:r>
    </w:p>
    <w:p w14:paraId="6E69A9E1" w14:textId="77777777" w:rsidR="00AA12F9" w:rsidRDefault="00AA12F9" w:rsidP="008F0275">
      <w:pPr>
        <w:spacing w:after="0" w:line="240" w:lineRule="auto"/>
        <w:ind w:right="-35"/>
        <w:jc w:val="both"/>
        <w:rPr>
          <w:rFonts w:cs="Arial"/>
          <w:sz w:val="18"/>
          <w:szCs w:val="18"/>
        </w:rPr>
      </w:pPr>
    </w:p>
    <w:p w14:paraId="66A70869" w14:textId="77777777" w:rsidR="00AA12F9" w:rsidRDefault="00AA12F9" w:rsidP="008F0275">
      <w:pPr>
        <w:spacing w:after="0" w:line="240" w:lineRule="auto"/>
        <w:ind w:right="-35"/>
        <w:jc w:val="both"/>
        <w:rPr>
          <w:rFonts w:cs="Arial"/>
          <w:sz w:val="18"/>
          <w:szCs w:val="18"/>
        </w:rPr>
      </w:pPr>
      <w:r>
        <w:rPr>
          <w:rFonts w:cs="Arial"/>
          <w:sz w:val="18"/>
          <w:szCs w:val="18"/>
        </w:rPr>
        <w:t xml:space="preserve">Good progress has been made on </w:t>
      </w:r>
      <w:r w:rsidR="009C78F9">
        <w:rPr>
          <w:rFonts w:cs="Arial"/>
          <w:sz w:val="18"/>
          <w:szCs w:val="18"/>
        </w:rPr>
        <w:t xml:space="preserve">the Group’s </w:t>
      </w:r>
      <w:r>
        <w:rPr>
          <w:rFonts w:cs="Arial"/>
          <w:sz w:val="18"/>
          <w:szCs w:val="18"/>
        </w:rPr>
        <w:t xml:space="preserve">short term actions in H1 21. The Group is developing a </w:t>
      </w:r>
      <w:r w:rsidRPr="00CF65CE">
        <w:rPr>
          <w:rFonts w:cs="Arial"/>
          <w:sz w:val="18"/>
          <w:szCs w:val="18"/>
        </w:rPr>
        <w:t xml:space="preserve">fully recyclable </w:t>
      </w:r>
      <w:r>
        <w:rPr>
          <w:rFonts w:cs="Arial"/>
          <w:sz w:val="18"/>
          <w:szCs w:val="18"/>
        </w:rPr>
        <w:t xml:space="preserve">sandwich </w:t>
      </w:r>
      <w:r w:rsidRPr="00CF65CE">
        <w:rPr>
          <w:rFonts w:cs="Arial"/>
          <w:sz w:val="18"/>
          <w:szCs w:val="18"/>
        </w:rPr>
        <w:t xml:space="preserve">skillet </w:t>
      </w:r>
      <w:r>
        <w:rPr>
          <w:rFonts w:cs="Arial"/>
          <w:sz w:val="18"/>
          <w:szCs w:val="18"/>
        </w:rPr>
        <w:t xml:space="preserve">to offer </w:t>
      </w:r>
      <w:r w:rsidRPr="00CF65CE">
        <w:rPr>
          <w:rFonts w:cs="Arial"/>
          <w:sz w:val="18"/>
          <w:szCs w:val="18"/>
        </w:rPr>
        <w:t xml:space="preserve">to customers </w:t>
      </w:r>
      <w:r>
        <w:rPr>
          <w:rFonts w:cs="Arial"/>
          <w:sz w:val="18"/>
          <w:szCs w:val="18"/>
        </w:rPr>
        <w:t xml:space="preserve">in FY21 and is currently assessing </w:t>
      </w:r>
      <w:r w:rsidRPr="00CF65CE">
        <w:rPr>
          <w:rFonts w:cs="Arial"/>
          <w:sz w:val="18"/>
          <w:szCs w:val="18"/>
        </w:rPr>
        <w:t xml:space="preserve">the whole life sustainability impacts of </w:t>
      </w:r>
      <w:r>
        <w:rPr>
          <w:rFonts w:cs="Arial"/>
          <w:sz w:val="18"/>
          <w:szCs w:val="18"/>
        </w:rPr>
        <w:t xml:space="preserve">the various </w:t>
      </w:r>
      <w:r w:rsidRPr="00CF65CE">
        <w:rPr>
          <w:rFonts w:cs="Arial"/>
          <w:sz w:val="18"/>
          <w:szCs w:val="18"/>
        </w:rPr>
        <w:t xml:space="preserve">options </w:t>
      </w:r>
      <w:r>
        <w:rPr>
          <w:rFonts w:cs="Arial"/>
          <w:sz w:val="18"/>
          <w:szCs w:val="18"/>
        </w:rPr>
        <w:t xml:space="preserve">under review. A </w:t>
      </w:r>
      <w:r w:rsidRPr="00CF65CE">
        <w:rPr>
          <w:rFonts w:cs="Arial"/>
          <w:sz w:val="18"/>
          <w:szCs w:val="18"/>
        </w:rPr>
        <w:t xml:space="preserve">carbon reduction target </w:t>
      </w:r>
      <w:r>
        <w:rPr>
          <w:rFonts w:cs="Arial"/>
          <w:sz w:val="18"/>
          <w:szCs w:val="18"/>
        </w:rPr>
        <w:t xml:space="preserve">is being developed that will be </w:t>
      </w:r>
      <w:r w:rsidRPr="00CF65CE">
        <w:rPr>
          <w:rFonts w:cs="Arial"/>
          <w:sz w:val="18"/>
          <w:szCs w:val="18"/>
        </w:rPr>
        <w:t>approved externally by the Science Based Target initiative</w:t>
      </w:r>
      <w:r>
        <w:rPr>
          <w:rFonts w:cs="Arial"/>
          <w:sz w:val="18"/>
          <w:szCs w:val="18"/>
        </w:rPr>
        <w:t xml:space="preserve"> in FY21</w:t>
      </w:r>
      <w:r w:rsidRPr="00CF65CE">
        <w:rPr>
          <w:rFonts w:cs="Arial"/>
          <w:sz w:val="18"/>
          <w:szCs w:val="18"/>
        </w:rPr>
        <w:t xml:space="preserve">, for both </w:t>
      </w:r>
      <w:r>
        <w:rPr>
          <w:rFonts w:cs="Arial"/>
          <w:sz w:val="18"/>
          <w:szCs w:val="18"/>
        </w:rPr>
        <w:t>the Group’s</w:t>
      </w:r>
      <w:r w:rsidRPr="00CF65CE">
        <w:rPr>
          <w:rFonts w:cs="Arial"/>
          <w:sz w:val="18"/>
          <w:szCs w:val="18"/>
        </w:rPr>
        <w:t xml:space="preserve"> direct greenhouse gas emissions (Scope 1 and 2), as well as the indirect emissions that come </w:t>
      </w:r>
      <w:r>
        <w:rPr>
          <w:rFonts w:cs="Arial"/>
          <w:sz w:val="18"/>
          <w:szCs w:val="18"/>
        </w:rPr>
        <w:t xml:space="preserve">from the supply chain (Scope 3). The Group has also rolled out specific community engagement plans across a number of sites and is on track to implement this across all production sites by the end of FY21. </w:t>
      </w:r>
    </w:p>
    <w:p w14:paraId="30FA7EBC" w14:textId="77777777" w:rsidR="00AA12F9" w:rsidRDefault="00AA12F9" w:rsidP="008F0275">
      <w:pPr>
        <w:spacing w:after="0" w:line="240" w:lineRule="auto"/>
        <w:ind w:right="-35"/>
        <w:jc w:val="both"/>
        <w:rPr>
          <w:rFonts w:cs="Arial"/>
          <w:sz w:val="18"/>
          <w:szCs w:val="18"/>
        </w:rPr>
      </w:pPr>
    </w:p>
    <w:p w14:paraId="14DCBCEE" w14:textId="77777777" w:rsidR="00AA12F9" w:rsidRDefault="00AA12F9" w:rsidP="008F0275">
      <w:pPr>
        <w:spacing w:after="0" w:line="240" w:lineRule="auto"/>
        <w:ind w:right="-35"/>
        <w:jc w:val="both"/>
        <w:rPr>
          <w:rFonts w:cs="Arial"/>
          <w:sz w:val="18"/>
          <w:szCs w:val="18"/>
        </w:rPr>
      </w:pPr>
      <w:r>
        <w:rPr>
          <w:rFonts w:cs="Arial"/>
          <w:sz w:val="18"/>
          <w:szCs w:val="18"/>
        </w:rPr>
        <w:t>Notable sustainability pledges that the Group has made include:</w:t>
      </w:r>
    </w:p>
    <w:p w14:paraId="7348A6A3" w14:textId="77777777" w:rsidR="00AA12F9" w:rsidRDefault="00AA12F9" w:rsidP="008F0275">
      <w:pPr>
        <w:spacing w:after="0" w:line="240" w:lineRule="auto"/>
        <w:ind w:left="-284" w:right="-35"/>
        <w:jc w:val="both"/>
        <w:rPr>
          <w:rFonts w:cs="Arial"/>
          <w:sz w:val="18"/>
          <w:szCs w:val="18"/>
        </w:rPr>
      </w:pPr>
    </w:p>
    <w:p w14:paraId="452DB38D" w14:textId="77777777" w:rsidR="00AA12F9"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Pr>
          <w:rFonts w:cs="Arial"/>
          <w:sz w:val="18"/>
          <w:szCs w:val="18"/>
        </w:rPr>
        <w:t>All packaging will be recyclable or reusable by 2025</w:t>
      </w:r>
    </w:p>
    <w:p w14:paraId="054DF747" w14:textId="77777777" w:rsidR="00AA12F9"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Pr>
          <w:rFonts w:cs="Arial"/>
          <w:sz w:val="18"/>
          <w:szCs w:val="18"/>
        </w:rPr>
        <w:t>Food waste will be reduced by 50% by 2030</w:t>
      </w:r>
    </w:p>
    <w:p w14:paraId="1B14041C" w14:textId="77777777" w:rsidR="00AA12F9"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Pr>
          <w:rFonts w:cs="Arial"/>
          <w:sz w:val="18"/>
          <w:szCs w:val="18"/>
        </w:rPr>
        <w:t>The Group will operate with net zero emissions by 2040</w:t>
      </w:r>
    </w:p>
    <w:p w14:paraId="69EE6B2E" w14:textId="77777777" w:rsidR="00AA12F9" w:rsidRPr="00D74C23"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sidRPr="00D74C23">
        <w:rPr>
          <w:rFonts w:cs="Arial"/>
          <w:sz w:val="18"/>
          <w:szCs w:val="18"/>
        </w:rPr>
        <w:t xml:space="preserve">A fully recyclable sandwich skillet will be developed and brought to market in </w:t>
      </w:r>
      <w:r>
        <w:rPr>
          <w:rFonts w:cs="Arial"/>
          <w:sz w:val="18"/>
          <w:szCs w:val="18"/>
        </w:rPr>
        <w:t>FY21</w:t>
      </w:r>
    </w:p>
    <w:p w14:paraId="7A92A8B6" w14:textId="77777777" w:rsidR="00AA12F9" w:rsidRPr="00D74C23"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sidRPr="00D74C23">
        <w:rPr>
          <w:rFonts w:cs="Arial"/>
          <w:sz w:val="18"/>
          <w:szCs w:val="18"/>
        </w:rPr>
        <w:t xml:space="preserve">A deforestation-free supply chain by 2025 </w:t>
      </w:r>
    </w:p>
    <w:p w14:paraId="675F489F" w14:textId="77777777" w:rsidR="00AA12F9" w:rsidRPr="00D74C23"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sidRPr="00D74C23">
        <w:rPr>
          <w:rFonts w:cs="Arial"/>
          <w:sz w:val="18"/>
          <w:szCs w:val="18"/>
        </w:rPr>
        <w:t>All raw materials will be sustainably sourced by 2030</w:t>
      </w:r>
    </w:p>
    <w:p w14:paraId="4D71FB5D" w14:textId="77777777" w:rsidR="00AA12F9" w:rsidRPr="00D74C23"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sidRPr="00D74C23">
        <w:rPr>
          <w:rFonts w:cs="Arial"/>
          <w:sz w:val="18"/>
          <w:szCs w:val="18"/>
        </w:rPr>
        <w:t>All surplus product will be donated to local communities by 2022</w:t>
      </w:r>
    </w:p>
    <w:p w14:paraId="28C50570" w14:textId="77777777" w:rsidR="00AA12F9" w:rsidRPr="00D74C23" w:rsidRDefault="00AA12F9" w:rsidP="008F0275">
      <w:pPr>
        <w:pStyle w:val="ListParagraph"/>
        <w:widowControl w:val="0"/>
        <w:numPr>
          <w:ilvl w:val="0"/>
          <w:numId w:val="17"/>
        </w:numPr>
        <w:autoSpaceDE w:val="0"/>
        <w:autoSpaceDN w:val="0"/>
        <w:spacing w:after="0" w:line="240" w:lineRule="auto"/>
        <w:ind w:left="426" w:right="-35"/>
        <w:contextualSpacing w:val="0"/>
        <w:jc w:val="both"/>
        <w:rPr>
          <w:rFonts w:cs="Arial"/>
          <w:sz w:val="18"/>
          <w:szCs w:val="18"/>
        </w:rPr>
      </w:pPr>
      <w:r w:rsidRPr="00D74C23">
        <w:rPr>
          <w:rFonts w:cs="Arial"/>
          <w:sz w:val="18"/>
          <w:szCs w:val="18"/>
        </w:rPr>
        <w:t>Product development will be equally split between animal protein versus plant-rich alternatives by 2030</w:t>
      </w:r>
    </w:p>
    <w:p w14:paraId="296E6DAF" w14:textId="77777777" w:rsidR="00AA12F9" w:rsidRDefault="00AA12F9" w:rsidP="008F0275">
      <w:pPr>
        <w:spacing w:after="0" w:line="240" w:lineRule="auto"/>
        <w:ind w:left="-284" w:right="-35"/>
        <w:jc w:val="both"/>
        <w:rPr>
          <w:rFonts w:cs="Arial"/>
          <w:sz w:val="18"/>
          <w:szCs w:val="18"/>
        </w:rPr>
      </w:pPr>
    </w:p>
    <w:p w14:paraId="0C729DCE" w14:textId="77777777" w:rsidR="00AA12F9" w:rsidRPr="00B617F6" w:rsidRDefault="00AA12F9" w:rsidP="008F0275">
      <w:pPr>
        <w:spacing w:after="0" w:line="240" w:lineRule="auto"/>
        <w:ind w:right="-35"/>
        <w:jc w:val="both"/>
        <w:rPr>
          <w:rFonts w:cs="Arial"/>
          <w:b/>
          <w:sz w:val="20"/>
          <w:szCs w:val="18"/>
        </w:rPr>
      </w:pPr>
      <w:r w:rsidRPr="00B617F6">
        <w:rPr>
          <w:rFonts w:cs="Arial"/>
          <w:b/>
          <w:sz w:val="20"/>
          <w:szCs w:val="18"/>
        </w:rPr>
        <w:t>CURRENT TRADING AND OUTLOOK</w:t>
      </w:r>
      <w:r w:rsidRPr="00B617F6">
        <w:rPr>
          <w:rFonts w:cs="Arial"/>
          <w:b/>
          <w:sz w:val="20"/>
          <w:szCs w:val="18"/>
          <w:vertAlign w:val="superscript"/>
        </w:rPr>
        <w:t>1</w:t>
      </w:r>
    </w:p>
    <w:p w14:paraId="241CA966" w14:textId="77777777" w:rsidR="00AA12F9" w:rsidRDefault="00AA12F9" w:rsidP="008F0275">
      <w:pPr>
        <w:spacing w:after="0" w:line="240" w:lineRule="auto"/>
        <w:ind w:right="-35"/>
        <w:jc w:val="both"/>
        <w:rPr>
          <w:rFonts w:cs="Arial"/>
          <w:sz w:val="18"/>
          <w:szCs w:val="18"/>
        </w:rPr>
      </w:pPr>
      <w:r w:rsidRPr="00FF0A90">
        <w:rPr>
          <w:rFonts w:cs="Arial"/>
          <w:sz w:val="18"/>
          <w:szCs w:val="18"/>
        </w:rPr>
        <w:t xml:space="preserve">The UK </w:t>
      </w:r>
      <w:r>
        <w:rPr>
          <w:rFonts w:cs="Arial"/>
          <w:sz w:val="18"/>
          <w:szCs w:val="18"/>
        </w:rPr>
        <w:t xml:space="preserve">Government has established a clear roadmap out of lockdown </w:t>
      </w:r>
      <w:r w:rsidR="009C78F9">
        <w:rPr>
          <w:rFonts w:cs="Arial"/>
          <w:sz w:val="18"/>
          <w:szCs w:val="18"/>
        </w:rPr>
        <w:t xml:space="preserve">and </w:t>
      </w:r>
      <w:r>
        <w:rPr>
          <w:rFonts w:cs="Arial"/>
          <w:sz w:val="18"/>
          <w:szCs w:val="18"/>
        </w:rPr>
        <w:t xml:space="preserve">the first phase </w:t>
      </w:r>
      <w:r w:rsidR="00481AEA">
        <w:rPr>
          <w:rFonts w:cs="Arial"/>
          <w:sz w:val="18"/>
          <w:szCs w:val="18"/>
        </w:rPr>
        <w:t xml:space="preserve">commenced </w:t>
      </w:r>
      <w:r>
        <w:rPr>
          <w:rFonts w:cs="Arial"/>
          <w:sz w:val="18"/>
          <w:szCs w:val="18"/>
        </w:rPr>
        <w:t xml:space="preserve">on 8 March 2021. </w:t>
      </w:r>
      <w:r w:rsidRPr="00FF0A90">
        <w:rPr>
          <w:rFonts w:cs="Arial"/>
          <w:sz w:val="18"/>
          <w:szCs w:val="18"/>
        </w:rPr>
        <w:t xml:space="preserve">Since 17 </w:t>
      </w:r>
      <w:r w:rsidRPr="001F1616">
        <w:rPr>
          <w:rFonts w:cs="Arial"/>
          <w:sz w:val="18"/>
          <w:szCs w:val="18"/>
        </w:rPr>
        <w:t xml:space="preserve">May </w:t>
      </w:r>
      <w:r w:rsidR="00E61E60" w:rsidRPr="001F1616">
        <w:rPr>
          <w:rFonts w:cs="Arial"/>
          <w:sz w:val="18"/>
          <w:szCs w:val="18"/>
        </w:rPr>
        <w:t xml:space="preserve">2021 </w:t>
      </w:r>
      <w:r w:rsidRPr="001F1616">
        <w:rPr>
          <w:rFonts w:cs="Arial"/>
          <w:sz w:val="18"/>
          <w:szCs w:val="18"/>
        </w:rPr>
        <w:t>there has been</w:t>
      </w:r>
      <w:r w:rsidRPr="00FF0A90">
        <w:rPr>
          <w:rFonts w:cs="Arial"/>
          <w:sz w:val="18"/>
          <w:szCs w:val="18"/>
        </w:rPr>
        <w:t xml:space="preserve"> a further easing of limits on social gatherings and most businesses in all but the highest risk sectors have been </w:t>
      </w:r>
      <w:r w:rsidRPr="001142F2">
        <w:rPr>
          <w:rFonts w:cs="Arial"/>
          <w:sz w:val="18"/>
          <w:szCs w:val="18"/>
        </w:rPr>
        <w:t xml:space="preserve">permitted </w:t>
      </w:r>
      <w:r w:rsidRPr="00FF0A90">
        <w:rPr>
          <w:rFonts w:cs="Arial"/>
          <w:sz w:val="18"/>
          <w:szCs w:val="18"/>
        </w:rPr>
        <w:t>to reopen</w:t>
      </w:r>
      <w:r>
        <w:rPr>
          <w:rFonts w:cs="Arial"/>
          <w:sz w:val="18"/>
          <w:szCs w:val="18"/>
        </w:rPr>
        <w:t xml:space="preserve"> in some form</w:t>
      </w:r>
      <w:r w:rsidRPr="00FF0A90">
        <w:rPr>
          <w:rFonts w:cs="Arial"/>
          <w:sz w:val="18"/>
          <w:szCs w:val="18"/>
        </w:rPr>
        <w:t xml:space="preserve">. </w:t>
      </w:r>
    </w:p>
    <w:p w14:paraId="7A9B856B" w14:textId="77777777" w:rsidR="00AA12F9" w:rsidRPr="00FF0A90" w:rsidRDefault="00AA12F9" w:rsidP="008F0275">
      <w:pPr>
        <w:spacing w:after="0" w:line="240" w:lineRule="auto"/>
        <w:ind w:right="-35"/>
        <w:jc w:val="both"/>
        <w:rPr>
          <w:rFonts w:cs="Arial"/>
          <w:sz w:val="18"/>
          <w:szCs w:val="18"/>
        </w:rPr>
      </w:pPr>
    </w:p>
    <w:p w14:paraId="3B5A5222" w14:textId="77777777" w:rsidR="00AA12F9" w:rsidRDefault="00AA12F9" w:rsidP="008F0275">
      <w:pPr>
        <w:spacing w:after="0" w:line="240" w:lineRule="auto"/>
        <w:ind w:right="-35"/>
        <w:jc w:val="both"/>
        <w:rPr>
          <w:rFonts w:cs="Arial"/>
          <w:sz w:val="18"/>
          <w:szCs w:val="18"/>
        </w:rPr>
      </w:pPr>
      <w:r w:rsidRPr="001F1616">
        <w:rPr>
          <w:rFonts w:cs="Arial"/>
          <w:sz w:val="18"/>
          <w:szCs w:val="18"/>
        </w:rPr>
        <w:t xml:space="preserve">Consumer demand, in particular in the Group’s food to go categories, is responding positively as these mobility restrictions have eased. </w:t>
      </w:r>
      <w:r w:rsidR="00B675F0" w:rsidRPr="001F1616">
        <w:rPr>
          <w:rFonts w:cs="Arial"/>
          <w:sz w:val="18"/>
          <w:szCs w:val="18"/>
        </w:rPr>
        <w:t xml:space="preserve">In the first </w:t>
      </w:r>
      <w:r w:rsidR="00E61E60" w:rsidRPr="001F1616">
        <w:rPr>
          <w:rFonts w:cs="Arial"/>
          <w:sz w:val="18"/>
          <w:szCs w:val="18"/>
        </w:rPr>
        <w:t>seven</w:t>
      </w:r>
      <w:r w:rsidR="00B675F0" w:rsidRPr="001F1616">
        <w:rPr>
          <w:rFonts w:cs="Arial"/>
          <w:sz w:val="18"/>
          <w:szCs w:val="18"/>
        </w:rPr>
        <w:t xml:space="preserve"> weeks of H2 21 </w:t>
      </w:r>
      <w:r w:rsidR="009C78F9">
        <w:rPr>
          <w:rFonts w:cs="Arial"/>
          <w:sz w:val="18"/>
          <w:szCs w:val="18"/>
        </w:rPr>
        <w:t>pro forma revenue</w:t>
      </w:r>
      <w:r w:rsidR="009C78F9" w:rsidRPr="001F1616">
        <w:rPr>
          <w:rFonts w:cs="Arial"/>
          <w:sz w:val="18"/>
          <w:szCs w:val="18"/>
        </w:rPr>
        <w:t xml:space="preserve"> </w:t>
      </w:r>
      <w:r w:rsidR="00B675F0" w:rsidRPr="001F1616">
        <w:rPr>
          <w:rFonts w:cs="Arial"/>
          <w:sz w:val="18"/>
          <w:szCs w:val="18"/>
        </w:rPr>
        <w:t xml:space="preserve">in the Group’s food to go categories was </w:t>
      </w:r>
      <w:r w:rsidR="00F41A23">
        <w:rPr>
          <w:rFonts w:cs="Arial"/>
          <w:sz w:val="18"/>
          <w:szCs w:val="18"/>
        </w:rPr>
        <w:t>approximately 123</w:t>
      </w:r>
      <w:r w:rsidR="00B675F0" w:rsidRPr="001F1616">
        <w:rPr>
          <w:rFonts w:cs="Arial"/>
          <w:sz w:val="18"/>
          <w:szCs w:val="18"/>
        </w:rPr>
        <w:t xml:space="preserve">% above prior year levels, while demand in the Group’s other convenience categories was approximately </w:t>
      </w:r>
      <w:r w:rsidR="00E61E60" w:rsidRPr="001F1616">
        <w:rPr>
          <w:rFonts w:cs="Arial"/>
          <w:sz w:val="18"/>
          <w:szCs w:val="18"/>
        </w:rPr>
        <w:t>12</w:t>
      </w:r>
      <w:r w:rsidR="00B675F0" w:rsidRPr="001F1616">
        <w:rPr>
          <w:rFonts w:cs="Arial"/>
          <w:sz w:val="18"/>
          <w:szCs w:val="18"/>
        </w:rPr>
        <w:t xml:space="preserve">% above prior year levels. </w:t>
      </w:r>
      <w:r w:rsidR="00231BBF" w:rsidRPr="001F1616">
        <w:rPr>
          <w:rFonts w:cs="Arial"/>
          <w:sz w:val="18"/>
          <w:szCs w:val="18"/>
        </w:rPr>
        <w:t xml:space="preserve">As a result the Group’s pro forma revenue was approximately </w:t>
      </w:r>
      <w:r w:rsidR="009E4F96" w:rsidRPr="001F1616">
        <w:rPr>
          <w:rFonts w:cs="Arial"/>
          <w:sz w:val="18"/>
          <w:szCs w:val="18"/>
        </w:rPr>
        <w:t>64</w:t>
      </w:r>
      <w:r w:rsidR="00231BBF" w:rsidRPr="001F1616">
        <w:rPr>
          <w:rFonts w:cs="Arial"/>
          <w:sz w:val="18"/>
          <w:szCs w:val="18"/>
        </w:rPr>
        <w:t xml:space="preserve">% </w:t>
      </w:r>
      <w:r w:rsidR="00E61E60" w:rsidRPr="001F1616">
        <w:rPr>
          <w:rFonts w:cs="Arial"/>
          <w:sz w:val="18"/>
          <w:szCs w:val="18"/>
        </w:rPr>
        <w:t>above</w:t>
      </w:r>
      <w:r w:rsidR="00231BBF" w:rsidRPr="001F1616">
        <w:rPr>
          <w:rFonts w:cs="Arial"/>
          <w:sz w:val="18"/>
          <w:szCs w:val="18"/>
        </w:rPr>
        <w:t xml:space="preserve"> prior year levels. </w:t>
      </w:r>
      <w:r w:rsidR="00B675F0" w:rsidRPr="001F1616">
        <w:rPr>
          <w:rFonts w:cs="Arial"/>
          <w:sz w:val="18"/>
          <w:szCs w:val="18"/>
        </w:rPr>
        <w:t>When compared to the equivalent pre-COVID levels in FY19, i</w:t>
      </w:r>
      <w:r w:rsidRPr="001F1616">
        <w:rPr>
          <w:rFonts w:cs="Arial"/>
          <w:sz w:val="18"/>
          <w:szCs w:val="18"/>
        </w:rPr>
        <w:t xml:space="preserve">n the first </w:t>
      </w:r>
      <w:r w:rsidR="00E61E60" w:rsidRPr="001F1616">
        <w:rPr>
          <w:rFonts w:cs="Arial"/>
          <w:sz w:val="18"/>
          <w:szCs w:val="18"/>
        </w:rPr>
        <w:t>seven</w:t>
      </w:r>
      <w:r w:rsidRPr="001F1616">
        <w:rPr>
          <w:rFonts w:cs="Arial"/>
          <w:sz w:val="18"/>
          <w:szCs w:val="18"/>
        </w:rPr>
        <w:t xml:space="preserve"> weeks of H2 21 </w:t>
      </w:r>
      <w:r w:rsidR="005736C9">
        <w:rPr>
          <w:rFonts w:cs="Arial"/>
          <w:sz w:val="18"/>
          <w:szCs w:val="18"/>
        </w:rPr>
        <w:t>pro forma revenue</w:t>
      </w:r>
      <w:r w:rsidR="005736C9" w:rsidRPr="001F1616">
        <w:rPr>
          <w:rFonts w:cs="Arial"/>
          <w:sz w:val="18"/>
          <w:szCs w:val="18"/>
        </w:rPr>
        <w:t xml:space="preserve"> </w:t>
      </w:r>
      <w:r w:rsidRPr="001F1616">
        <w:rPr>
          <w:rFonts w:cs="Arial"/>
          <w:sz w:val="18"/>
          <w:szCs w:val="18"/>
        </w:rPr>
        <w:t xml:space="preserve">in the Group’s food to go categories was approximately </w:t>
      </w:r>
      <w:r w:rsidR="00E61E60" w:rsidRPr="001F1616">
        <w:rPr>
          <w:rFonts w:cs="Arial"/>
          <w:sz w:val="18"/>
          <w:szCs w:val="18"/>
        </w:rPr>
        <w:t>14</w:t>
      </w:r>
      <w:r w:rsidRPr="001F1616">
        <w:rPr>
          <w:rFonts w:cs="Arial"/>
          <w:sz w:val="18"/>
          <w:szCs w:val="18"/>
        </w:rPr>
        <w:t xml:space="preserve">% below equivalent pre-COVID levels, while demand in the Group’s other convenience categories was approximately </w:t>
      </w:r>
      <w:r w:rsidR="00E61E60" w:rsidRPr="001F1616">
        <w:rPr>
          <w:rFonts w:cs="Arial"/>
          <w:sz w:val="18"/>
          <w:szCs w:val="18"/>
        </w:rPr>
        <w:t>1</w:t>
      </w:r>
      <w:r w:rsidR="009E4F96" w:rsidRPr="001F1616">
        <w:rPr>
          <w:rFonts w:cs="Arial"/>
          <w:sz w:val="18"/>
          <w:szCs w:val="18"/>
        </w:rPr>
        <w:t>4</w:t>
      </w:r>
      <w:r w:rsidRPr="001F1616">
        <w:rPr>
          <w:rFonts w:cs="Arial"/>
          <w:sz w:val="18"/>
          <w:szCs w:val="18"/>
        </w:rPr>
        <w:t xml:space="preserve">% </w:t>
      </w:r>
      <w:r w:rsidR="00E61E60" w:rsidRPr="001F1616">
        <w:rPr>
          <w:rFonts w:cs="Arial"/>
          <w:sz w:val="18"/>
          <w:szCs w:val="18"/>
        </w:rPr>
        <w:t>above</w:t>
      </w:r>
      <w:r w:rsidRPr="001F1616">
        <w:rPr>
          <w:rFonts w:cs="Arial"/>
          <w:sz w:val="18"/>
          <w:szCs w:val="18"/>
        </w:rPr>
        <w:t xml:space="preserve"> pre-COVID levels. </w:t>
      </w:r>
      <w:r w:rsidR="00F41A23">
        <w:rPr>
          <w:rFonts w:cs="Arial"/>
          <w:sz w:val="18"/>
          <w:szCs w:val="18"/>
        </w:rPr>
        <w:t>For this period</w:t>
      </w:r>
      <w:r w:rsidR="00231BBF" w:rsidRPr="001F1616">
        <w:rPr>
          <w:rFonts w:cs="Arial"/>
          <w:sz w:val="18"/>
          <w:szCs w:val="18"/>
        </w:rPr>
        <w:t xml:space="preserve"> the Group’s pro forma revenue was approximately </w:t>
      </w:r>
      <w:r w:rsidR="00E61E60" w:rsidRPr="001F1616">
        <w:rPr>
          <w:rFonts w:cs="Arial"/>
          <w:sz w:val="18"/>
          <w:szCs w:val="18"/>
        </w:rPr>
        <w:t>5</w:t>
      </w:r>
      <w:r w:rsidR="00231BBF" w:rsidRPr="001F1616">
        <w:rPr>
          <w:rFonts w:cs="Arial"/>
          <w:sz w:val="18"/>
          <w:szCs w:val="18"/>
        </w:rPr>
        <w:t>% below equivalent pre-COVID levels</w:t>
      </w:r>
      <w:r w:rsidR="005736C9">
        <w:rPr>
          <w:rFonts w:cs="Arial"/>
          <w:sz w:val="18"/>
          <w:szCs w:val="18"/>
        </w:rPr>
        <w:t xml:space="preserve"> in FY19</w:t>
      </w:r>
      <w:r w:rsidR="00231BBF" w:rsidRPr="001F1616">
        <w:rPr>
          <w:rFonts w:cs="Arial"/>
          <w:sz w:val="18"/>
          <w:szCs w:val="18"/>
        </w:rPr>
        <w:t>.</w:t>
      </w:r>
    </w:p>
    <w:p w14:paraId="130DAA5C" w14:textId="77777777" w:rsidR="00AA12F9" w:rsidRDefault="00AA12F9" w:rsidP="008F0275">
      <w:pPr>
        <w:spacing w:after="0" w:line="240" w:lineRule="auto"/>
        <w:ind w:right="-35"/>
        <w:jc w:val="both"/>
        <w:rPr>
          <w:rFonts w:cs="Arial"/>
          <w:sz w:val="18"/>
          <w:szCs w:val="18"/>
        </w:rPr>
      </w:pPr>
    </w:p>
    <w:p w14:paraId="0E4D5441" w14:textId="77777777" w:rsidR="00231BBF" w:rsidRPr="00FF0A90" w:rsidRDefault="00231BBF" w:rsidP="008F0275">
      <w:pPr>
        <w:spacing w:after="0" w:line="240" w:lineRule="auto"/>
        <w:ind w:right="-35"/>
        <w:jc w:val="both"/>
        <w:rPr>
          <w:rFonts w:cs="Arial"/>
          <w:sz w:val="18"/>
          <w:szCs w:val="18"/>
        </w:rPr>
      </w:pPr>
      <w:r w:rsidRPr="00FF0A90">
        <w:rPr>
          <w:rFonts w:cs="Arial"/>
          <w:sz w:val="18"/>
          <w:szCs w:val="18"/>
        </w:rPr>
        <w:t xml:space="preserve">The ongoing uncertainty regarding the duration and impact of COVID-19 on the Group’s trading environment continues to make FY21 forecasting difficult, with limited visibility of Q4 demand patterns. However, </w:t>
      </w:r>
      <w:r>
        <w:rPr>
          <w:rFonts w:cs="Arial"/>
          <w:sz w:val="18"/>
          <w:szCs w:val="18"/>
        </w:rPr>
        <w:t xml:space="preserve">a continued reopening of the UK in line with the current </w:t>
      </w:r>
      <w:r w:rsidRPr="001F1616">
        <w:rPr>
          <w:rFonts w:cs="Arial"/>
          <w:sz w:val="18"/>
          <w:szCs w:val="18"/>
        </w:rPr>
        <w:t xml:space="preserve">roadmap and a consequential rebuild of Group Revenue would be expected to generate a FY21 Adjusted Operating Profit outturn </w:t>
      </w:r>
      <w:r w:rsidR="00863458" w:rsidRPr="001F1616">
        <w:rPr>
          <w:rFonts w:cs="Arial"/>
          <w:sz w:val="18"/>
          <w:szCs w:val="18"/>
        </w:rPr>
        <w:t xml:space="preserve">above </w:t>
      </w:r>
      <w:r w:rsidRPr="001F1616">
        <w:rPr>
          <w:rFonts w:cs="Arial"/>
          <w:sz w:val="18"/>
          <w:szCs w:val="18"/>
        </w:rPr>
        <w:t xml:space="preserve">FY20 levels. Net Debt (excluding lease liabilities) </w:t>
      </w:r>
      <w:r w:rsidR="00E61E60" w:rsidRPr="001F1616">
        <w:rPr>
          <w:rFonts w:cs="Arial"/>
          <w:sz w:val="18"/>
          <w:szCs w:val="18"/>
        </w:rPr>
        <w:t>is</w:t>
      </w:r>
      <w:r w:rsidRPr="001F1616">
        <w:rPr>
          <w:rFonts w:cs="Arial"/>
          <w:sz w:val="18"/>
          <w:szCs w:val="18"/>
        </w:rPr>
        <w:t xml:space="preserve"> expected to reduce further from H1 21 levels under this scenario.</w:t>
      </w:r>
    </w:p>
    <w:p w14:paraId="47A60A5E" w14:textId="77777777" w:rsidR="00231BBF" w:rsidRDefault="00231BBF" w:rsidP="008F0275">
      <w:pPr>
        <w:spacing w:after="0" w:line="240" w:lineRule="auto"/>
        <w:ind w:right="-35"/>
        <w:jc w:val="both"/>
        <w:rPr>
          <w:rFonts w:cs="Arial"/>
          <w:sz w:val="18"/>
          <w:szCs w:val="18"/>
        </w:rPr>
      </w:pPr>
    </w:p>
    <w:p w14:paraId="47E8A04C" w14:textId="77777777" w:rsidR="00392C47" w:rsidRPr="001F1616" w:rsidRDefault="00AA12F9" w:rsidP="008F0275">
      <w:pPr>
        <w:spacing w:after="0" w:line="240" w:lineRule="auto"/>
        <w:ind w:right="-35"/>
        <w:jc w:val="both"/>
        <w:rPr>
          <w:rFonts w:cs="Arial"/>
          <w:sz w:val="18"/>
          <w:szCs w:val="18"/>
        </w:rPr>
      </w:pPr>
      <w:r w:rsidRPr="003763E9">
        <w:rPr>
          <w:rFonts w:cs="Arial"/>
          <w:sz w:val="18"/>
          <w:szCs w:val="18"/>
        </w:rPr>
        <w:t xml:space="preserve">New business wins already secured have supported the revenue build back </w:t>
      </w:r>
      <w:r w:rsidR="006137AE">
        <w:rPr>
          <w:rFonts w:cs="Arial"/>
          <w:sz w:val="18"/>
          <w:szCs w:val="18"/>
        </w:rPr>
        <w:t xml:space="preserve">and there remains a pipeline of exciting opportunities being actively pursued. In addition, </w:t>
      </w:r>
      <w:r w:rsidR="00A01B54">
        <w:rPr>
          <w:rFonts w:cs="Arial"/>
          <w:sz w:val="18"/>
          <w:szCs w:val="18"/>
        </w:rPr>
        <w:t>the Group is w</w:t>
      </w:r>
      <w:r w:rsidR="00A01B54" w:rsidRPr="00A01B54">
        <w:rPr>
          <w:rFonts w:cs="Arial"/>
          <w:sz w:val="18"/>
          <w:szCs w:val="18"/>
        </w:rPr>
        <w:t>orking with key customers to</w:t>
      </w:r>
      <w:r w:rsidR="00231BBF">
        <w:rPr>
          <w:rFonts w:cs="Arial"/>
          <w:sz w:val="18"/>
          <w:szCs w:val="18"/>
        </w:rPr>
        <w:t xml:space="preserve"> renew and extend commercial relationships. This </w:t>
      </w:r>
      <w:r w:rsidR="00A01B54" w:rsidRPr="00A01B54">
        <w:rPr>
          <w:rFonts w:cs="Arial"/>
          <w:sz w:val="18"/>
          <w:szCs w:val="18"/>
        </w:rPr>
        <w:t xml:space="preserve">will result in near term investment in capabilities, capital, and </w:t>
      </w:r>
      <w:r w:rsidR="00E61E60">
        <w:rPr>
          <w:rFonts w:cs="Arial"/>
          <w:sz w:val="18"/>
          <w:szCs w:val="18"/>
        </w:rPr>
        <w:t xml:space="preserve">commercial </w:t>
      </w:r>
      <w:r w:rsidR="00A01B54" w:rsidRPr="00A01B54">
        <w:rPr>
          <w:rFonts w:cs="Arial"/>
          <w:sz w:val="18"/>
          <w:szCs w:val="18"/>
        </w:rPr>
        <w:t xml:space="preserve">terms that secure and support growth in key categories and </w:t>
      </w:r>
      <w:r w:rsidR="00A01B54" w:rsidRPr="001F1616">
        <w:rPr>
          <w:rFonts w:cs="Arial"/>
          <w:sz w:val="18"/>
          <w:szCs w:val="18"/>
        </w:rPr>
        <w:t>open up growth opportunities with these customers in additional categories and formats</w:t>
      </w:r>
      <w:r w:rsidRPr="001F1616">
        <w:rPr>
          <w:rFonts w:cs="Arial"/>
          <w:sz w:val="18"/>
          <w:szCs w:val="18"/>
        </w:rPr>
        <w:t>.</w:t>
      </w:r>
      <w:r w:rsidR="002A43ED" w:rsidRPr="001F1616">
        <w:rPr>
          <w:rFonts w:cs="Arial"/>
          <w:sz w:val="18"/>
          <w:szCs w:val="18"/>
        </w:rPr>
        <w:t xml:space="preserve"> </w:t>
      </w:r>
    </w:p>
    <w:p w14:paraId="425A6FE2" w14:textId="77777777" w:rsidR="00392C47" w:rsidRPr="001F1616" w:rsidRDefault="00392C47" w:rsidP="008F0275">
      <w:pPr>
        <w:spacing w:after="0" w:line="240" w:lineRule="auto"/>
        <w:ind w:right="-35"/>
        <w:jc w:val="both"/>
        <w:rPr>
          <w:rFonts w:cs="Arial"/>
          <w:sz w:val="18"/>
          <w:szCs w:val="18"/>
        </w:rPr>
      </w:pPr>
    </w:p>
    <w:p w14:paraId="2282F6A3" w14:textId="77777777" w:rsidR="00AA12F9" w:rsidRDefault="00AA12F9" w:rsidP="008F0275">
      <w:pPr>
        <w:spacing w:after="0" w:line="240" w:lineRule="auto"/>
        <w:ind w:right="-35"/>
        <w:jc w:val="both"/>
        <w:rPr>
          <w:rFonts w:cs="Arial"/>
          <w:sz w:val="18"/>
          <w:szCs w:val="18"/>
        </w:rPr>
      </w:pPr>
      <w:r w:rsidRPr="001F1616">
        <w:rPr>
          <w:rFonts w:cs="Arial"/>
          <w:sz w:val="18"/>
          <w:szCs w:val="18"/>
        </w:rPr>
        <w:t xml:space="preserve">The Group is confident in its ability to </w:t>
      </w:r>
      <w:r w:rsidR="00E61E60" w:rsidRPr="001F1616">
        <w:rPr>
          <w:rFonts w:cs="Arial"/>
          <w:sz w:val="18"/>
          <w:szCs w:val="18"/>
        </w:rPr>
        <w:t xml:space="preserve">rebuild its economic model notwithstanding </w:t>
      </w:r>
      <w:r w:rsidRPr="001F1616">
        <w:rPr>
          <w:rFonts w:cs="Arial"/>
          <w:sz w:val="18"/>
          <w:szCs w:val="18"/>
        </w:rPr>
        <w:t xml:space="preserve">the uncertainties and challenges of FY21 and remains fully focused on optimising its growth potential in UK convenience food markets. </w:t>
      </w:r>
      <w:r w:rsidR="00E61E60" w:rsidRPr="001F1616">
        <w:rPr>
          <w:rFonts w:cs="Arial"/>
          <w:sz w:val="18"/>
          <w:szCs w:val="18"/>
        </w:rPr>
        <w:t>This recovery will be led by volume growth, with the pace of p</w:t>
      </w:r>
      <w:r w:rsidR="00392C47" w:rsidRPr="001F1616">
        <w:rPr>
          <w:rFonts w:cs="Arial"/>
          <w:sz w:val="18"/>
          <w:szCs w:val="18"/>
        </w:rPr>
        <w:t xml:space="preserve">rofit conversion </w:t>
      </w:r>
      <w:r w:rsidR="00E61E60" w:rsidRPr="001F1616">
        <w:rPr>
          <w:rFonts w:cs="Arial"/>
          <w:sz w:val="18"/>
          <w:szCs w:val="18"/>
        </w:rPr>
        <w:t xml:space="preserve">and operating efficiencies building over time. </w:t>
      </w:r>
      <w:r w:rsidRPr="001F1616">
        <w:rPr>
          <w:rFonts w:cs="Arial"/>
          <w:sz w:val="18"/>
          <w:szCs w:val="18"/>
        </w:rPr>
        <w:t>The Group also remains highly vigilant around the potential for further disruption to demand if mobility restrictions are re-implemented, and remains</w:t>
      </w:r>
      <w:r w:rsidRPr="00FF0A90">
        <w:rPr>
          <w:rFonts w:cs="Arial"/>
          <w:sz w:val="18"/>
          <w:szCs w:val="18"/>
        </w:rPr>
        <w:t xml:space="preserve"> well prepared for such </w:t>
      </w:r>
      <w:r>
        <w:rPr>
          <w:rFonts w:cs="Arial"/>
          <w:sz w:val="18"/>
          <w:szCs w:val="18"/>
        </w:rPr>
        <w:t>an eventuality</w:t>
      </w:r>
      <w:r w:rsidRPr="00FF0A90">
        <w:rPr>
          <w:rFonts w:cs="Arial"/>
          <w:sz w:val="18"/>
          <w:szCs w:val="18"/>
        </w:rPr>
        <w:t>.</w:t>
      </w:r>
    </w:p>
    <w:p w14:paraId="153C9446" w14:textId="77777777" w:rsidR="00EA0555" w:rsidRDefault="00EA0555" w:rsidP="008F0275">
      <w:pPr>
        <w:spacing w:after="0" w:line="240" w:lineRule="auto"/>
        <w:ind w:right="-35"/>
        <w:jc w:val="both"/>
        <w:rPr>
          <w:rFonts w:cs="Arial"/>
          <w:b/>
          <w:bCs/>
          <w:sz w:val="20"/>
          <w:szCs w:val="18"/>
        </w:rPr>
      </w:pPr>
    </w:p>
    <w:p w14:paraId="5010F8BA" w14:textId="77777777" w:rsidR="00AA12F9" w:rsidRPr="00E512C6" w:rsidRDefault="00AA12F9" w:rsidP="008F0275">
      <w:pPr>
        <w:spacing w:after="0" w:line="240" w:lineRule="auto"/>
        <w:ind w:right="-35"/>
        <w:jc w:val="both"/>
        <w:rPr>
          <w:rFonts w:cs="Arial"/>
          <w:sz w:val="20"/>
          <w:szCs w:val="18"/>
          <w:highlight w:val="yellow"/>
        </w:rPr>
      </w:pPr>
      <w:r w:rsidRPr="00E512C6">
        <w:rPr>
          <w:rFonts w:cs="Arial"/>
          <w:b/>
          <w:bCs/>
          <w:sz w:val="20"/>
          <w:szCs w:val="18"/>
        </w:rPr>
        <w:t>Forward‐looking statements</w:t>
      </w:r>
    </w:p>
    <w:p w14:paraId="3622D35C" w14:textId="77777777" w:rsidR="003235E7" w:rsidRDefault="00AA12F9" w:rsidP="008F0275">
      <w:pPr>
        <w:spacing w:after="0" w:line="240" w:lineRule="auto"/>
        <w:ind w:right="-35"/>
        <w:jc w:val="both"/>
        <w:rPr>
          <w:rFonts w:cs="Arial"/>
          <w:bCs/>
          <w:sz w:val="18"/>
          <w:szCs w:val="18"/>
        </w:rPr>
      </w:pPr>
      <w:r w:rsidRPr="00B617F6">
        <w:rPr>
          <w:rFonts w:cs="Arial"/>
          <w:bCs/>
          <w:sz w:val="18"/>
          <w:szCs w:val="18"/>
        </w:rPr>
        <w:t xml:space="preserve">Certain statements made in this document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‘will’, ‘aims’, ‘anticipates’, ‘continue’, ‘could’, ‘should’, ‘expects’, ‘is expected to’, ‘may’, ‘estimates’, ‘believes’, ‘intends’, ‘projects’, ‘targets’, or the negative thereof, or similar expressions. </w:t>
      </w:r>
    </w:p>
    <w:p w14:paraId="71133774" w14:textId="77777777" w:rsidR="00AA12F9" w:rsidRPr="00B617F6" w:rsidRDefault="00AA12F9" w:rsidP="008F0275">
      <w:pPr>
        <w:spacing w:after="0" w:line="240" w:lineRule="auto"/>
        <w:ind w:right="-35"/>
        <w:jc w:val="both"/>
        <w:rPr>
          <w:rFonts w:cs="Arial"/>
          <w:bCs/>
          <w:sz w:val="18"/>
          <w:szCs w:val="18"/>
        </w:rPr>
      </w:pPr>
      <w:r w:rsidRPr="00B617F6">
        <w:rPr>
          <w:rFonts w:cs="Arial"/>
          <w:bCs/>
          <w:sz w:val="18"/>
          <w:szCs w:val="18"/>
        </w:rPr>
        <w:lastRenderedPageBreak/>
        <w:t xml:space="preserve"> </w:t>
      </w:r>
    </w:p>
    <w:p w14:paraId="09433E7A" w14:textId="77777777" w:rsidR="00AA12F9" w:rsidRPr="00CB42AB" w:rsidRDefault="00AA12F9" w:rsidP="008F0275">
      <w:pPr>
        <w:spacing w:after="0" w:line="240" w:lineRule="auto"/>
        <w:ind w:right="-35"/>
        <w:jc w:val="both"/>
        <w:rPr>
          <w:rFonts w:cs="Arial"/>
          <w:bCs/>
          <w:sz w:val="18"/>
          <w:szCs w:val="18"/>
        </w:rPr>
      </w:pPr>
      <w:r w:rsidRPr="00B617F6">
        <w:rPr>
          <w:rFonts w:cs="Arial"/>
          <w:bCs/>
          <w:sz w:val="18"/>
          <w:szCs w:val="18"/>
        </w:rPr>
        <w:t xml:space="preserve">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You should not place undue reliance on any forward-looking statements.  These forward-looking statements are made as of the date of this announcement. The Group expressly disclaims any obligation to publicly update or review these forward-looking statements other than as required by law. </w:t>
      </w:r>
    </w:p>
    <w:p w14:paraId="73C07FFF" w14:textId="77777777" w:rsidR="00AA12F9" w:rsidRDefault="00AA12F9" w:rsidP="008F0275">
      <w:pPr>
        <w:spacing w:after="0" w:line="240" w:lineRule="auto"/>
        <w:ind w:right="-35"/>
        <w:jc w:val="both"/>
        <w:rPr>
          <w:rFonts w:cs="Arial"/>
          <w:b/>
          <w:sz w:val="20"/>
          <w:szCs w:val="18"/>
        </w:rPr>
      </w:pPr>
    </w:p>
    <w:p w14:paraId="3AFB43E3" w14:textId="77777777" w:rsidR="00AA12F9" w:rsidRPr="00E512C6" w:rsidRDefault="00AA12F9" w:rsidP="008F0275">
      <w:pPr>
        <w:spacing w:after="0" w:line="240" w:lineRule="auto"/>
        <w:ind w:right="-35"/>
        <w:jc w:val="both"/>
        <w:rPr>
          <w:rFonts w:cs="Arial"/>
          <w:b/>
          <w:sz w:val="20"/>
          <w:szCs w:val="18"/>
        </w:rPr>
      </w:pPr>
      <w:r>
        <w:rPr>
          <w:rFonts w:cs="Arial"/>
          <w:b/>
          <w:sz w:val="20"/>
          <w:szCs w:val="18"/>
        </w:rPr>
        <w:t>CONFERENCE CALL</w:t>
      </w:r>
    </w:p>
    <w:p w14:paraId="546824D2" w14:textId="77777777" w:rsidR="00AA12F9" w:rsidRDefault="00AA12F9" w:rsidP="008F0275">
      <w:pPr>
        <w:spacing w:after="0" w:line="240" w:lineRule="auto"/>
        <w:ind w:right="-35"/>
        <w:jc w:val="both"/>
        <w:rPr>
          <w:rFonts w:cs="Arial"/>
          <w:sz w:val="18"/>
          <w:szCs w:val="18"/>
        </w:rPr>
      </w:pPr>
    </w:p>
    <w:p w14:paraId="3A595F76" w14:textId="77777777" w:rsidR="00AA12F9" w:rsidRDefault="00AA12F9" w:rsidP="008F0275">
      <w:pPr>
        <w:spacing w:after="0" w:line="240" w:lineRule="auto"/>
        <w:ind w:right="-35"/>
        <w:jc w:val="both"/>
        <w:rPr>
          <w:rFonts w:cs="Arial"/>
          <w:sz w:val="18"/>
          <w:szCs w:val="18"/>
        </w:rPr>
      </w:pPr>
      <w:r w:rsidRPr="002B51D9">
        <w:rPr>
          <w:rFonts w:cs="Arial"/>
          <w:sz w:val="18"/>
          <w:szCs w:val="18"/>
        </w:rPr>
        <w:t>A conference call for investors and analysts will be held at 8.30am today.  Registration and dial in details are available at www. greencore.com/investor-relations/</w:t>
      </w:r>
    </w:p>
    <w:p w14:paraId="11AFFD2C" w14:textId="77777777" w:rsidR="00AA12F9" w:rsidRDefault="00AA12F9" w:rsidP="008F0275">
      <w:pPr>
        <w:spacing w:after="0" w:line="240" w:lineRule="auto"/>
        <w:ind w:right="-35"/>
        <w:jc w:val="both"/>
        <w:rPr>
          <w:sz w:val="16"/>
          <w:szCs w:val="16"/>
        </w:rPr>
      </w:pPr>
    </w:p>
    <w:p w14:paraId="27904984" w14:textId="77777777" w:rsidR="00AA12F9" w:rsidRDefault="00AA12F9" w:rsidP="008F0275">
      <w:pPr>
        <w:spacing w:after="0" w:line="240" w:lineRule="auto"/>
        <w:ind w:right="-35"/>
        <w:jc w:val="both"/>
        <w:rPr>
          <w:rFonts w:cs="Arial"/>
          <w:b/>
          <w:sz w:val="20"/>
          <w:szCs w:val="18"/>
        </w:rPr>
      </w:pPr>
      <w:r w:rsidRPr="00E512C6">
        <w:rPr>
          <w:rFonts w:cs="Arial"/>
          <w:b/>
          <w:sz w:val="20"/>
          <w:szCs w:val="18"/>
        </w:rPr>
        <w:t>For further information, please contact:</w:t>
      </w:r>
    </w:p>
    <w:p w14:paraId="65612032" w14:textId="77777777" w:rsidR="00AA12F9" w:rsidRDefault="00AA12F9" w:rsidP="003235E7">
      <w:pPr>
        <w:spacing w:after="0" w:line="240" w:lineRule="auto"/>
        <w:jc w:val="both"/>
        <w:rPr>
          <w:rFonts w:cs="Arial"/>
          <w:b/>
          <w:sz w:val="20"/>
          <w:szCs w:val="18"/>
        </w:rPr>
      </w:pPr>
    </w:p>
    <w:tbl>
      <w:tblPr>
        <w:tblW w:w="8820" w:type="dxa"/>
        <w:jc w:val="center"/>
        <w:tblLayout w:type="fixed"/>
        <w:tblCellMar>
          <w:left w:w="0" w:type="dxa"/>
        </w:tblCellMar>
        <w:tblLook w:val="04A0" w:firstRow="1" w:lastRow="0" w:firstColumn="1" w:lastColumn="0" w:noHBand="0" w:noVBand="1"/>
      </w:tblPr>
      <w:tblGrid>
        <w:gridCol w:w="3402"/>
        <w:gridCol w:w="3119"/>
        <w:gridCol w:w="2299"/>
      </w:tblGrid>
      <w:tr w:rsidR="00AA12F9" w14:paraId="7AD69EF4" w14:textId="77777777" w:rsidTr="00AA12F9">
        <w:trPr>
          <w:jc w:val="center"/>
        </w:trPr>
        <w:tc>
          <w:tcPr>
            <w:tcW w:w="3402" w:type="dxa"/>
            <w:shd w:val="clear" w:color="auto" w:fill="auto"/>
            <w:hideMark/>
          </w:tcPr>
          <w:p w14:paraId="5A1D16CC"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Patrick Coveney</w:t>
            </w:r>
          </w:p>
        </w:tc>
        <w:tc>
          <w:tcPr>
            <w:tcW w:w="3119" w:type="dxa"/>
            <w:shd w:val="clear" w:color="auto" w:fill="auto"/>
            <w:hideMark/>
          </w:tcPr>
          <w:p w14:paraId="29007AE2"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Chief Executive Officer</w:t>
            </w:r>
          </w:p>
        </w:tc>
        <w:tc>
          <w:tcPr>
            <w:tcW w:w="2299" w:type="dxa"/>
            <w:shd w:val="clear" w:color="auto" w:fill="auto"/>
            <w:hideMark/>
          </w:tcPr>
          <w:p w14:paraId="127703BA"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Tel: +353 (0) 1 486 3313</w:t>
            </w:r>
          </w:p>
        </w:tc>
      </w:tr>
      <w:tr w:rsidR="00AA12F9" w14:paraId="371047AA" w14:textId="77777777" w:rsidTr="00AA12F9">
        <w:trPr>
          <w:jc w:val="center"/>
        </w:trPr>
        <w:tc>
          <w:tcPr>
            <w:tcW w:w="3402" w:type="dxa"/>
            <w:shd w:val="clear" w:color="auto" w:fill="auto"/>
            <w:hideMark/>
          </w:tcPr>
          <w:p w14:paraId="169CF32D"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Emma Hynes</w:t>
            </w:r>
          </w:p>
        </w:tc>
        <w:tc>
          <w:tcPr>
            <w:tcW w:w="3119" w:type="dxa"/>
            <w:shd w:val="clear" w:color="auto" w:fill="auto"/>
            <w:hideMark/>
          </w:tcPr>
          <w:p w14:paraId="1E29B4A1"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Chief Financial Officer</w:t>
            </w:r>
          </w:p>
        </w:tc>
        <w:tc>
          <w:tcPr>
            <w:tcW w:w="2299" w:type="dxa"/>
            <w:shd w:val="clear" w:color="auto" w:fill="auto"/>
            <w:hideMark/>
          </w:tcPr>
          <w:p w14:paraId="41034F91"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Tel: +353 (0) 1 486 3307</w:t>
            </w:r>
          </w:p>
        </w:tc>
      </w:tr>
      <w:tr w:rsidR="00AA12F9" w14:paraId="41267C34" w14:textId="77777777" w:rsidTr="00AA12F9">
        <w:trPr>
          <w:jc w:val="center"/>
        </w:trPr>
        <w:tc>
          <w:tcPr>
            <w:tcW w:w="3402" w:type="dxa"/>
            <w:shd w:val="clear" w:color="auto" w:fill="auto"/>
            <w:hideMark/>
          </w:tcPr>
          <w:p w14:paraId="069A245F"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Jack Gorman</w:t>
            </w:r>
          </w:p>
        </w:tc>
        <w:tc>
          <w:tcPr>
            <w:tcW w:w="3119" w:type="dxa"/>
            <w:shd w:val="clear" w:color="auto" w:fill="auto"/>
            <w:hideMark/>
          </w:tcPr>
          <w:p w14:paraId="6271FB4B"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299" w:type="dxa"/>
            <w:shd w:val="clear" w:color="auto" w:fill="auto"/>
            <w:hideMark/>
          </w:tcPr>
          <w:p w14:paraId="49C26195"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Tel: +353 (0) 1 486 3308</w:t>
            </w:r>
          </w:p>
        </w:tc>
      </w:tr>
      <w:tr w:rsidR="00AA12F9" w14:paraId="553FC9E8" w14:textId="77777777" w:rsidTr="00AA12F9">
        <w:trPr>
          <w:jc w:val="center"/>
        </w:trPr>
        <w:tc>
          <w:tcPr>
            <w:tcW w:w="3402" w:type="dxa"/>
            <w:shd w:val="clear" w:color="auto" w:fill="auto"/>
          </w:tcPr>
          <w:p w14:paraId="7C77A004" w14:textId="77777777" w:rsidR="00AA12F9" w:rsidRPr="00E509A4" w:rsidRDefault="00AA12F9" w:rsidP="003235E7">
            <w:pPr>
              <w:spacing w:after="0" w:line="240" w:lineRule="auto"/>
              <w:jc w:val="both"/>
              <w:rPr>
                <w:rFonts w:cs="Arial"/>
                <w:bCs/>
                <w:sz w:val="18"/>
                <w:szCs w:val="18"/>
                <w:lang w:val="en-US"/>
              </w:rPr>
            </w:pPr>
          </w:p>
        </w:tc>
        <w:tc>
          <w:tcPr>
            <w:tcW w:w="3119" w:type="dxa"/>
            <w:shd w:val="clear" w:color="auto" w:fill="auto"/>
          </w:tcPr>
          <w:p w14:paraId="1442C473" w14:textId="77777777" w:rsidR="00AA12F9" w:rsidRPr="00E509A4" w:rsidRDefault="00AA12F9" w:rsidP="003235E7">
            <w:pPr>
              <w:spacing w:after="0" w:line="240" w:lineRule="auto"/>
              <w:jc w:val="both"/>
              <w:rPr>
                <w:rFonts w:cs="Arial"/>
                <w:bCs/>
                <w:sz w:val="18"/>
                <w:szCs w:val="18"/>
                <w:lang w:val="en-US"/>
              </w:rPr>
            </w:pPr>
          </w:p>
        </w:tc>
        <w:tc>
          <w:tcPr>
            <w:tcW w:w="2299" w:type="dxa"/>
            <w:shd w:val="clear" w:color="auto" w:fill="auto"/>
          </w:tcPr>
          <w:p w14:paraId="60772127" w14:textId="77777777" w:rsidR="00AA12F9" w:rsidRPr="00E509A4" w:rsidRDefault="00AA12F9" w:rsidP="003235E7">
            <w:pPr>
              <w:spacing w:after="0" w:line="240" w:lineRule="auto"/>
              <w:jc w:val="both"/>
              <w:rPr>
                <w:rFonts w:cs="Arial"/>
                <w:bCs/>
                <w:sz w:val="18"/>
                <w:szCs w:val="18"/>
                <w:lang w:val="en-US"/>
              </w:rPr>
            </w:pPr>
          </w:p>
        </w:tc>
      </w:tr>
      <w:tr w:rsidR="00AA12F9" w14:paraId="358A02CD" w14:textId="77777777" w:rsidTr="00AA12F9">
        <w:trPr>
          <w:jc w:val="center"/>
        </w:trPr>
        <w:tc>
          <w:tcPr>
            <w:tcW w:w="3402" w:type="dxa"/>
            <w:shd w:val="clear" w:color="auto" w:fill="auto"/>
            <w:hideMark/>
          </w:tcPr>
          <w:p w14:paraId="0B31A2F9" w14:textId="77777777" w:rsidR="00AA12F9" w:rsidRPr="00E509A4" w:rsidRDefault="00AA12F9" w:rsidP="003235E7">
            <w:pPr>
              <w:spacing w:after="0" w:line="240" w:lineRule="auto"/>
              <w:jc w:val="both"/>
              <w:rPr>
                <w:rFonts w:cs="Arial"/>
                <w:bCs/>
                <w:sz w:val="18"/>
                <w:szCs w:val="18"/>
                <w:lang w:val="en-US"/>
              </w:rPr>
            </w:pPr>
          </w:p>
        </w:tc>
        <w:tc>
          <w:tcPr>
            <w:tcW w:w="3119" w:type="dxa"/>
            <w:shd w:val="clear" w:color="auto" w:fill="auto"/>
            <w:hideMark/>
          </w:tcPr>
          <w:p w14:paraId="0A45EE32" w14:textId="77777777" w:rsidR="00AA12F9" w:rsidRPr="00E509A4" w:rsidRDefault="00AA12F9" w:rsidP="003235E7">
            <w:pPr>
              <w:spacing w:after="0" w:line="240" w:lineRule="auto"/>
              <w:jc w:val="both"/>
              <w:rPr>
                <w:rFonts w:cs="Arial"/>
                <w:bCs/>
                <w:sz w:val="18"/>
                <w:szCs w:val="18"/>
                <w:lang w:val="en-US"/>
              </w:rPr>
            </w:pPr>
          </w:p>
        </w:tc>
        <w:tc>
          <w:tcPr>
            <w:tcW w:w="2299" w:type="dxa"/>
            <w:shd w:val="clear" w:color="auto" w:fill="auto"/>
            <w:hideMark/>
          </w:tcPr>
          <w:p w14:paraId="37CFAF6F" w14:textId="77777777" w:rsidR="00AA12F9" w:rsidRPr="00E509A4" w:rsidRDefault="00AA12F9" w:rsidP="003235E7">
            <w:pPr>
              <w:spacing w:after="0" w:line="240" w:lineRule="auto"/>
              <w:jc w:val="both"/>
              <w:rPr>
                <w:rFonts w:cs="Arial"/>
                <w:bCs/>
                <w:sz w:val="18"/>
                <w:szCs w:val="18"/>
                <w:lang w:val="en-US"/>
              </w:rPr>
            </w:pPr>
          </w:p>
        </w:tc>
      </w:tr>
      <w:tr w:rsidR="00AA12F9" w14:paraId="06B9C61B" w14:textId="77777777" w:rsidTr="00AA12F9">
        <w:trPr>
          <w:jc w:val="center"/>
        </w:trPr>
        <w:tc>
          <w:tcPr>
            <w:tcW w:w="3402" w:type="dxa"/>
            <w:shd w:val="clear" w:color="auto" w:fill="auto"/>
            <w:hideMark/>
          </w:tcPr>
          <w:p w14:paraId="0A9A4546" w14:textId="77777777" w:rsidR="00AA12F9" w:rsidRPr="00E509A4" w:rsidRDefault="00AA12F9" w:rsidP="006137AE">
            <w:pPr>
              <w:spacing w:after="0" w:line="240" w:lineRule="auto"/>
              <w:jc w:val="both"/>
              <w:rPr>
                <w:rFonts w:cs="Arial"/>
                <w:bCs/>
                <w:sz w:val="18"/>
                <w:szCs w:val="18"/>
                <w:lang w:val="en-US"/>
              </w:rPr>
            </w:pPr>
            <w:r w:rsidRPr="00E509A4">
              <w:rPr>
                <w:rFonts w:cs="Arial"/>
                <w:bCs/>
                <w:sz w:val="18"/>
                <w:szCs w:val="18"/>
                <w:lang w:val="en-US"/>
              </w:rPr>
              <w:t>Rob Greening</w:t>
            </w:r>
            <w:r>
              <w:rPr>
                <w:rFonts w:cs="Arial"/>
                <w:bCs/>
                <w:sz w:val="18"/>
                <w:szCs w:val="18"/>
                <w:lang w:val="en-US"/>
              </w:rPr>
              <w:t>/ Nick Hayns/</w:t>
            </w:r>
            <w:r w:rsidRPr="00E509A4">
              <w:rPr>
                <w:rFonts w:cs="Arial"/>
                <w:bCs/>
                <w:sz w:val="18"/>
                <w:szCs w:val="18"/>
                <w:lang w:val="en-US"/>
              </w:rPr>
              <w:t xml:space="preserve"> Sam Austrums</w:t>
            </w:r>
          </w:p>
        </w:tc>
        <w:tc>
          <w:tcPr>
            <w:tcW w:w="3119" w:type="dxa"/>
            <w:shd w:val="clear" w:color="auto" w:fill="auto"/>
            <w:hideMark/>
          </w:tcPr>
          <w:p w14:paraId="5B6036E4"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Powerscourt</w:t>
            </w:r>
          </w:p>
        </w:tc>
        <w:tc>
          <w:tcPr>
            <w:tcW w:w="2299" w:type="dxa"/>
            <w:shd w:val="clear" w:color="auto" w:fill="auto"/>
            <w:hideMark/>
          </w:tcPr>
          <w:p w14:paraId="1526A5F8"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Tel: +44 (0) 20 7250 1446</w:t>
            </w:r>
          </w:p>
        </w:tc>
      </w:tr>
      <w:tr w:rsidR="00AA12F9" w14:paraId="3E63A132" w14:textId="77777777" w:rsidTr="00AA12F9">
        <w:trPr>
          <w:jc w:val="center"/>
        </w:trPr>
        <w:tc>
          <w:tcPr>
            <w:tcW w:w="3402" w:type="dxa"/>
            <w:shd w:val="clear" w:color="auto" w:fill="auto"/>
            <w:hideMark/>
          </w:tcPr>
          <w:p w14:paraId="1FF1B754"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Billy Murphy or Louise Walsh</w:t>
            </w:r>
          </w:p>
        </w:tc>
        <w:tc>
          <w:tcPr>
            <w:tcW w:w="3119" w:type="dxa"/>
            <w:shd w:val="clear" w:color="auto" w:fill="auto"/>
            <w:hideMark/>
          </w:tcPr>
          <w:p w14:paraId="1712C9DD"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299" w:type="dxa"/>
            <w:shd w:val="clear" w:color="auto" w:fill="auto"/>
            <w:hideMark/>
          </w:tcPr>
          <w:p w14:paraId="46D6ED8A" w14:textId="77777777" w:rsidR="00AA12F9" w:rsidRPr="00E509A4" w:rsidRDefault="00AA12F9" w:rsidP="003235E7">
            <w:pPr>
              <w:spacing w:after="0" w:line="240" w:lineRule="auto"/>
              <w:jc w:val="both"/>
              <w:rPr>
                <w:rFonts w:cs="Arial"/>
                <w:bCs/>
                <w:sz w:val="18"/>
                <w:szCs w:val="18"/>
                <w:lang w:val="en-US"/>
              </w:rPr>
            </w:pPr>
            <w:r w:rsidRPr="00E509A4">
              <w:rPr>
                <w:rFonts w:cs="Arial"/>
                <w:bCs/>
                <w:sz w:val="18"/>
                <w:szCs w:val="18"/>
                <w:lang w:val="en-US"/>
              </w:rPr>
              <w:t>Tel: +353 (0) 1 260 5000</w:t>
            </w:r>
          </w:p>
        </w:tc>
      </w:tr>
    </w:tbl>
    <w:p w14:paraId="0F2BE1BF" w14:textId="77777777" w:rsidR="00AA12F9" w:rsidRPr="00FF4280" w:rsidRDefault="00AA12F9" w:rsidP="003235E7">
      <w:pPr>
        <w:spacing w:after="0" w:line="240" w:lineRule="auto"/>
        <w:jc w:val="both"/>
        <w:rPr>
          <w:rFonts w:cs="Arial"/>
          <w:sz w:val="18"/>
          <w:szCs w:val="18"/>
        </w:rPr>
      </w:pPr>
    </w:p>
    <w:p w14:paraId="2180030D" w14:textId="77777777" w:rsidR="00AA12F9" w:rsidRPr="00E512C6" w:rsidRDefault="00AA12F9" w:rsidP="008F0275">
      <w:pPr>
        <w:adjustRightInd w:val="0"/>
        <w:spacing w:after="0" w:line="240" w:lineRule="auto"/>
        <w:ind w:right="-35"/>
        <w:jc w:val="both"/>
        <w:rPr>
          <w:b/>
          <w:bCs/>
          <w:color w:val="000000"/>
          <w:sz w:val="20"/>
          <w:szCs w:val="18"/>
        </w:rPr>
      </w:pPr>
      <w:r w:rsidRPr="00E512C6">
        <w:rPr>
          <w:b/>
          <w:bCs/>
          <w:color w:val="000000"/>
          <w:sz w:val="20"/>
          <w:szCs w:val="18"/>
        </w:rPr>
        <w:t xml:space="preserve">About Greencore </w:t>
      </w:r>
    </w:p>
    <w:p w14:paraId="4701D912" w14:textId="77777777" w:rsidR="00AA12F9" w:rsidRDefault="00AA12F9" w:rsidP="008F0275">
      <w:pPr>
        <w:spacing w:after="0" w:line="240" w:lineRule="auto"/>
        <w:ind w:right="-35"/>
        <w:jc w:val="both"/>
        <w:rPr>
          <w:color w:val="000000"/>
          <w:sz w:val="18"/>
          <w:szCs w:val="18"/>
        </w:rPr>
      </w:pPr>
    </w:p>
    <w:p w14:paraId="2CF16F17" w14:textId="77777777" w:rsidR="00AA12F9" w:rsidRPr="002B4347" w:rsidRDefault="00AA12F9" w:rsidP="008F0275">
      <w:pPr>
        <w:spacing w:after="0" w:line="240" w:lineRule="auto"/>
        <w:ind w:right="-35"/>
        <w:jc w:val="both"/>
        <w:rPr>
          <w:color w:val="000000"/>
          <w:sz w:val="18"/>
          <w:szCs w:val="18"/>
        </w:rPr>
      </w:pPr>
      <w:r w:rsidRPr="002B4347">
        <w:rPr>
          <w:color w:val="000000"/>
          <w:sz w:val="18"/>
          <w:szCs w:val="18"/>
        </w:rPr>
        <w:t xml:space="preserve">We are a leading manufacturer of convenience food in the UK and our purpose is to make every day taste better. We supply foodservice, grocery and other retailers, including all of the major UK supermarkets. We have strong market positions in a range of categories including sandwiches, salads, sushi, chilled ready meals, chilled soups and sauces, chilled quiche, ambient sauces and pickles, and frozen Yorkshire Puddings. </w:t>
      </w:r>
    </w:p>
    <w:p w14:paraId="453FA03E" w14:textId="77777777" w:rsidR="00AA12F9" w:rsidRPr="002B4347" w:rsidRDefault="00AA12F9" w:rsidP="008F0275">
      <w:pPr>
        <w:spacing w:after="0" w:line="240" w:lineRule="auto"/>
        <w:ind w:right="-35"/>
        <w:jc w:val="both"/>
        <w:rPr>
          <w:color w:val="000000"/>
          <w:sz w:val="18"/>
          <w:szCs w:val="18"/>
        </w:rPr>
      </w:pPr>
    </w:p>
    <w:p w14:paraId="34F35107" w14:textId="77777777" w:rsidR="00AA12F9" w:rsidRPr="002B4347" w:rsidRDefault="00AA12F9" w:rsidP="008F0275">
      <w:pPr>
        <w:spacing w:after="0" w:line="240" w:lineRule="auto"/>
        <w:ind w:right="-35"/>
        <w:jc w:val="both"/>
        <w:rPr>
          <w:color w:val="000000"/>
          <w:sz w:val="18"/>
          <w:szCs w:val="18"/>
        </w:rPr>
      </w:pPr>
      <w:r w:rsidRPr="002B4347">
        <w:rPr>
          <w:color w:val="000000"/>
          <w:sz w:val="18"/>
          <w:szCs w:val="18"/>
        </w:rPr>
        <w:t>In FY20 we manufactured 619</w:t>
      </w:r>
      <w:r>
        <w:rPr>
          <w:color w:val="000000"/>
          <w:sz w:val="18"/>
          <w:szCs w:val="18"/>
        </w:rPr>
        <w:t>m</w:t>
      </w:r>
      <w:r w:rsidRPr="002B4347">
        <w:rPr>
          <w:color w:val="000000"/>
          <w:sz w:val="18"/>
          <w:szCs w:val="18"/>
        </w:rPr>
        <w:t xml:space="preserve"> sandwiches and other food to go products, 116</w:t>
      </w:r>
      <w:r>
        <w:rPr>
          <w:color w:val="000000"/>
          <w:sz w:val="18"/>
          <w:szCs w:val="18"/>
        </w:rPr>
        <w:t>m</w:t>
      </w:r>
      <w:r w:rsidRPr="002B4347">
        <w:rPr>
          <w:color w:val="000000"/>
          <w:sz w:val="18"/>
          <w:szCs w:val="18"/>
        </w:rPr>
        <w:t xml:space="preserve"> chilled prepared meals, and 264</w:t>
      </w:r>
      <w:r>
        <w:rPr>
          <w:color w:val="000000"/>
          <w:sz w:val="18"/>
          <w:szCs w:val="18"/>
        </w:rPr>
        <w:t>m</w:t>
      </w:r>
      <w:r w:rsidRPr="002B4347">
        <w:rPr>
          <w:color w:val="000000"/>
          <w:sz w:val="18"/>
          <w:szCs w:val="18"/>
        </w:rPr>
        <w:t xml:space="preserve"> bottles of cooking sauces, pickles and condiments. We carry out more than 10,000 direct to store deliveries each day. We have 16 world-class manufacturing sites in the UK, with industry-leading technology and supply chain capabilities. </w:t>
      </w:r>
      <w:r>
        <w:rPr>
          <w:color w:val="000000"/>
          <w:sz w:val="18"/>
          <w:szCs w:val="18"/>
        </w:rPr>
        <w:t xml:space="preserve">We generated revenues of £1.3bn in </w:t>
      </w:r>
      <w:r w:rsidRPr="002B4347">
        <w:rPr>
          <w:color w:val="000000"/>
          <w:sz w:val="18"/>
          <w:szCs w:val="18"/>
        </w:rPr>
        <w:t>FY20 and employ approximately 12,200 people. We are headquartered in Dublin, Ireland.</w:t>
      </w:r>
    </w:p>
    <w:p w14:paraId="75783F99" w14:textId="77777777" w:rsidR="00AA12F9" w:rsidRPr="002B4347" w:rsidRDefault="00AA12F9" w:rsidP="008F0275">
      <w:pPr>
        <w:spacing w:after="0" w:line="240" w:lineRule="auto"/>
        <w:ind w:right="-35"/>
        <w:jc w:val="both"/>
        <w:rPr>
          <w:color w:val="000000"/>
          <w:sz w:val="18"/>
          <w:szCs w:val="18"/>
        </w:rPr>
      </w:pPr>
    </w:p>
    <w:p w14:paraId="212CCA6B" w14:textId="77777777" w:rsidR="00AA12F9" w:rsidRPr="00C860C1" w:rsidRDefault="00AA12F9" w:rsidP="008F0275">
      <w:pPr>
        <w:spacing w:after="0" w:line="240" w:lineRule="auto"/>
        <w:ind w:right="-35"/>
        <w:jc w:val="both"/>
        <w:rPr>
          <w:color w:val="000000"/>
          <w:sz w:val="18"/>
          <w:szCs w:val="18"/>
          <w:highlight w:val="yellow"/>
        </w:rPr>
      </w:pPr>
      <w:r w:rsidRPr="002B4347">
        <w:rPr>
          <w:color w:val="000000"/>
          <w:sz w:val="18"/>
          <w:szCs w:val="18"/>
        </w:rPr>
        <w:t xml:space="preserve">For further information go to </w:t>
      </w:r>
      <w:hyperlink r:id="rId8" w:history="1">
        <w:r w:rsidRPr="002B4347">
          <w:rPr>
            <w:rStyle w:val="Hyperlink"/>
            <w:rFonts w:cs="Calibri"/>
            <w:sz w:val="18"/>
            <w:szCs w:val="18"/>
          </w:rPr>
          <w:t>www.greencore.com</w:t>
        </w:r>
      </w:hyperlink>
      <w:r w:rsidRPr="002B4347">
        <w:rPr>
          <w:color w:val="000000"/>
          <w:sz w:val="18"/>
          <w:szCs w:val="18"/>
        </w:rPr>
        <w:t xml:space="preserve"> or follow Greencore on social media.</w:t>
      </w:r>
    </w:p>
    <w:p w14:paraId="4E5E2BD5" w14:textId="52E214D9" w:rsidR="00AA12F9" w:rsidRDefault="00AA12F9" w:rsidP="008F0275">
      <w:pPr>
        <w:spacing w:after="0" w:line="240" w:lineRule="auto"/>
        <w:jc w:val="both"/>
        <w:rPr>
          <w:rFonts w:cs="Arial"/>
          <w:b/>
          <w:sz w:val="20"/>
          <w:szCs w:val="18"/>
        </w:rPr>
      </w:pPr>
    </w:p>
    <w:p w14:paraId="0DC476BB" w14:textId="77777777" w:rsidR="00AA12F9" w:rsidRPr="00502725" w:rsidRDefault="00AA12F9" w:rsidP="008F0275">
      <w:pPr>
        <w:spacing w:after="0" w:line="240" w:lineRule="auto"/>
        <w:ind w:right="-330"/>
        <w:jc w:val="both"/>
        <w:rPr>
          <w:rFonts w:cs="Arial"/>
          <w:b/>
          <w:sz w:val="20"/>
          <w:szCs w:val="18"/>
        </w:rPr>
      </w:pPr>
      <w:r w:rsidRPr="006B7684">
        <w:rPr>
          <w:rFonts w:cs="Arial"/>
          <w:b/>
          <w:sz w:val="20"/>
          <w:szCs w:val="18"/>
        </w:rPr>
        <w:t>OPERATING REVIEW</w:t>
      </w:r>
      <w:r w:rsidRPr="006B7684">
        <w:rPr>
          <w:rFonts w:cs="Arial"/>
          <w:b/>
          <w:sz w:val="20"/>
          <w:szCs w:val="18"/>
          <w:vertAlign w:val="superscript"/>
        </w:rPr>
        <w:t>1</w:t>
      </w:r>
    </w:p>
    <w:p w14:paraId="450B8A12" w14:textId="77777777" w:rsidR="00AA12F9" w:rsidRPr="00502725" w:rsidRDefault="00AA12F9" w:rsidP="008F0275">
      <w:pPr>
        <w:spacing w:after="0" w:line="240" w:lineRule="auto"/>
        <w:ind w:right="-330"/>
        <w:jc w:val="both"/>
        <w:rPr>
          <w:rFonts w:cs="Arial"/>
          <w:b/>
          <w:sz w:val="18"/>
          <w:szCs w:val="18"/>
          <w:u w:val="single"/>
        </w:rPr>
      </w:pPr>
      <w:r w:rsidRPr="00502725">
        <w:rPr>
          <w:rFonts w:cs="Arial"/>
          <w:b/>
          <w:sz w:val="18"/>
          <w:szCs w:val="18"/>
          <w:u w:val="single"/>
        </w:rPr>
        <w:t>Convenience Foods UK &amp; Ireland</w:t>
      </w:r>
    </w:p>
    <w:p w14:paraId="66BCBFD6" w14:textId="77777777" w:rsidR="00AA12F9" w:rsidRPr="00502725" w:rsidRDefault="00AA12F9" w:rsidP="003235E7">
      <w:pPr>
        <w:spacing w:after="0" w:line="240" w:lineRule="auto"/>
        <w:jc w:val="both"/>
        <w:rPr>
          <w:rFonts w:cs="Arial"/>
          <w:b/>
          <w:sz w:val="18"/>
          <w:szCs w:val="18"/>
          <w:u w:val="single"/>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134"/>
        <w:gridCol w:w="1276"/>
        <w:gridCol w:w="1418"/>
        <w:gridCol w:w="1557"/>
      </w:tblGrid>
      <w:tr w:rsidR="00AA12F9" w:rsidRPr="00502725" w14:paraId="2C46A9CB" w14:textId="77777777" w:rsidTr="00AA12F9">
        <w:trPr>
          <w:jc w:val="center"/>
        </w:trPr>
        <w:tc>
          <w:tcPr>
            <w:tcW w:w="2984" w:type="dxa"/>
          </w:tcPr>
          <w:p w14:paraId="721852C6" w14:textId="77777777" w:rsidR="00AA12F9" w:rsidRPr="00502725" w:rsidRDefault="00AA12F9" w:rsidP="003235E7">
            <w:pPr>
              <w:spacing w:after="0" w:line="240" w:lineRule="auto"/>
              <w:jc w:val="both"/>
              <w:rPr>
                <w:rFonts w:cs="Arial"/>
                <w:b/>
                <w:sz w:val="18"/>
                <w:szCs w:val="18"/>
                <w:lang w:val="en-US"/>
              </w:rPr>
            </w:pPr>
          </w:p>
        </w:tc>
        <w:tc>
          <w:tcPr>
            <w:tcW w:w="1134" w:type="dxa"/>
            <w:hideMark/>
          </w:tcPr>
          <w:p w14:paraId="2A2C748F" w14:textId="77777777" w:rsidR="00AA12F9" w:rsidRPr="00502725" w:rsidRDefault="00AA12F9" w:rsidP="003235E7">
            <w:pPr>
              <w:spacing w:after="0" w:line="240" w:lineRule="auto"/>
              <w:jc w:val="right"/>
              <w:rPr>
                <w:rFonts w:cs="Arial"/>
                <w:b/>
                <w:sz w:val="18"/>
                <w:szCs w:val="18"/>
                <w:lang w:val="en-US"/>
              </w:rPr>
            </w:pPr>
            <w:r>
              <w:rPr>
                <w:rFonts w:cs="Arial"/>
                <w:b/>
                <w:sz w:val="18"/>
                <w:szCs w:val="18"/>
                <w:lang w:val="en-US"/>
              </w:rPr>
              <w:t>H1 21</w:t>
            </w:r>
          </w:p>
          <w:p w14:paraId="06806AE5"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£m</w:t>
            </w:r>
          </w:p>
        </w:tc>
        <w:tc>
          <w:tcPr>
            <w:tcW w:w="1276" w:type="dxa"/>
          </w:tcPr>
          <w:p w14:paraId="0791779C" w14:textId="77777777" w:rsidR="00AA12F9" w:rsidRPr="00502725" w:rsidRDefault="00AA12F9" w:rsidP="003235E7">
            <w:pPr>
              <w:spacing w:after="0" w:line="240" w:lineRule="auto"/>
              <w:jc w:val="right"/>
              <w:rPr>
                <w:rFonts w:cs="Arial"/>
                <w:b/>
                <w:sz w:val="18"/>
                <w:szCs w:val="18"/>
                <w:lang w:val="en-US"/>
              </w:rPr>
            </w:pPr>
            <w:r>
              <w:rPr>
                <w:rFonts w:cs="Arial"/>
                <w:b/>
                <w:sz w:val="18"/>
                <w:szCs w:val="18"/>
                <w:lang w:val="en-US"/>
              </w:rPr>
              <w:t>H1 20</w:t>
            </w:r>
          </w:p>
          <w:p w14:paraId="72A659C9"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£m</w:t>
            </w:r>
          </w:p>
        </w:tc>
        <w:tc>
          <w:tcPr>
            <w:tcW w:w="1418" w:type="dxa"/>
            <w:hideMark/>
          </w:tcPr>
          <w:p w14:paraId="72CF641C"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Change</w:t>
            </w:r>
          </w:p>
          <w:p w14:paraId="19407C30"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(As reported)</w:t>
            </w:r>
          </w:p>
        </w:tc>
        <w:tc>
          <w:tcPr>
            <w:tcW w:w="1557" w:type="dxa"/>
            <w:hideMark/>
          </w:tcPr>
          <w:p w14:paraId="59E8F435"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Change</w:t>
            </w:r>
          </w:p>
          <w:p w14:paraId="58ED8CFD"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(Pro Forma basis)</w:t>
            </w:r>
          </w:p>
        </w:tc>
      </w:tr>
      <w:tr w:rsidR="00AA12F9" w:rsidRPr="00502725" w14:paraId="4C2136B2" w14:textId="77777777" w:rsidTr="00AA12F9">
        <w:trPr>
          <w:jc w:val="center"/>
        </w:trPr>
        <w:tc>
          <w:tcPr>
            <w:tcW w:w="2984" w:type="dxa"/>
            <w:hideMark/>
          </w:tcPr>
          <w:p w14:paraId="2DEC8918" w14:textId="77777777" w:rsidR="00AA12F9" w:rsidRPr="00502725" w:rsidRDefault="00AA12F9" w:rsidP="003235E7">
            <w:pPr>
              <w:spacing w:after="0" w:line="240" w:lineRule="auto"/>
              <w:jc w:val="both"/>
              <w:rPr>
                <w:rFonts w:cs="Arial"/>
                <w:sz w:val="18"/>
                <w:szCs w:val="18"/>
                <w:lang w:val="en-US"/>
              </w:rPr>
            </w:pPr>
            <w:r w:rsidRPr="00502725">
              <w:rPr>
                <w:rFonts w:cs="Arial"/>
                <w:sz w:val="18"/>
                <w:szCs w:val="18"/>
                <w:lang w:val="en-US"/>
              </w:rPr>
              <w:t>Revenue</w:t>
            </w:r>
          </w:p>
        </w:tc>
        <w:tc>
          <w:tcPr>
            <w:tcW w:w="1134" w:type="dxa"/>
            <w:shd w:val="clear" w:color="auto" w:fill="auto"/>
          </w:tcPr>
          <w:p w14:paraId="665427F8"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5</w:t>
            </w:r>
            <w:r w:rsidR="002655F1">
              <w:rPr>
                <w:rFonts w:cs="Arial"/>
                <w:sz w:val="18"/>
                <w:szCs w:val="18"/>
                <w:lang w:val="en-US"/>
              </w:rPr>
              <w:t>77.1</w:t>
            </w:r>
          </w:p>
        </w:tc>
        <w:tc>
          <w:tcPr>
            <w:tcW w:w="1276" w:type="dxa"/>
            <w:shd w:val="clear" w:color="auto" w:fill="auto"/>
          </w:tcPr>
          <w:p w14:paraId="458E5585" w14:textId="77777777" w:rsidR="00AA12F9" w:rsidRPr="00502725" w:rsidRDefault="00AA12F9" w:rsidP="003235E7">
            <w:pPr>
              <w:spacing w:after="0" w:line="240" w:lineRule="auto"/>
              <w:jc w:val="right"/>
              <w:rPr>
                <w:rFonts w:cs="Arial"/>
                <w:sz w:val="18"/>
                <w:szCs w:val="18"/>
                <w:lang w:val="en-US"/>
              </w:rPr>
            </w:pPr>
            <w:r w:rsidRPr="003C7BC3">
              <w:rPr>
                <w:rFonts w:cs="Arial"/>
                <w:sz w:val="18"/>
                <w:szCs w:val="18"/>
                <w:lang w:val="en-US"/>
              </w:rPr>
              <w:t>712.7</w:t>
            </w:r>
          </w:p>
        </w:tc>
        <w:tc>
          <w:tcPr>
            <w:tcW w:w="1418" w:type="dxa"/>
            <w:shd w:val="clear" w:color="auto" w:fill="auto"/>
          </w:tcPr>
          <w:p w14:paraId="0073B5E6"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w:t>
            </w:r>
            <w:r w:rsidR="002655F1">
              <w:rPr>
                <w:rFonts w:cs="Arial"/>
                <w:sz w:val="18"/>
                <w:szCs w:val="18"/>
                <w:lang w:val="en-US"/>
              </w:rPr>
              <w:t>19.0</w:t>
            </w:r>
            <w:r w:rsidRPr="00502725">
              <w:rPr>
                <w:rFonts w:cs="Arial"/>
                <w:sz w:val="18"/>
                <w:szCs w:val="18"/>
                <w:lang w:val="en-US"/>
              </w:rPr>
              <w:t>%</w:t>
            </w:r>
          </w:p>
        </w:tc>
        <w:tc>
          <w:tcPr>
            <w:tcW w:w="1557" w:type="dxa"/>
          </w:tcPr>
          <w:p w14:paraId="7215DF37" w14:textId="77777777" w:rsidR="00AA12F9" w:rsidRPr="00502725" w:rsidRDefault="00AA12F9" w:rsidP="003235E7">
            <w:pPr>
              <w:tabs>
                <w:tab w:val="right" w:pos="1341"/>
              </w:tabs>
              <w:spacing w:after="0" w:line="240" w:lineRule="auto"/>
              <w:jc w:val="right"/>
              <w:rPr>
                <w:rFonts w:cs="Arial"/>
                <w:sz w:val="18"/>
                <w:szCs w:val="18"/>
                <w:lang w:val="en-US"/>
              </w:rPr>
            </w:pPr>
            <w:r>
              <w:rPr>
                <w:rFonts w:cs="Arial"/>
                <w:sz w:val="18"/>
                <w:szCs w:val="18"/>
                <w:lang w:val="en-US"/>
              </w:rPr>
              <w:t>-18.</w:t>
            </w:r>
            <w:r w:rsidR="002655F1">
              <w:rPr>
                <w:rFonts w:cs="Arial"/>
                <w:sz w:val="18"/>
                <w:szCs w:val="18"/>
                <w:lang w:val="en-US"/>
              </w:rPr>
              <w:t>6</w:t>
            </w:r>
            <w:r w:rsidRPr="00502725">
              <w:rPr>
                <w:rFonts w:cs="Arial"/>
                <w:sz w:val="18"/>
                <w:szCs w:val="18"/>
                <w:lang w:val="en-US"/>
              </w:rPr>
              <w:t>%</w:t>
            </w:r>
          </w:p>
        </w:tc>
      </w:tr>
      <w:tr w:rsidR="004A6488" w:rsidRPr="00502725" w14:paraId="780502B5" w14:textId="77777777" w:rsidTr="00BB1985">
        <w:trPr>
          <w:jc w:val="center"/>
        </w:trPr>
        <w:tc>
          <w:tcPr>
            <w:tcW w:w="2984" w:type="dxa"/>
          </w:tcPr>
          <w:p w14:paraId="313C1777" w14:textId="77777777" w:rsidR="004A6488" w:rsidRPr="00502725" w:rsidRDefault="004A6488" w:rsidP="00BB1985">
            <w:pPr>
              <w:spacing w:after="0" w:line="240" w:lineRule="auto"/>
              <w:jc w:val="both"/>
              <w:rPr>
                <w:rFonts w:cs="Arial"/>
                <w:sz w:val="18"/>
                <w:szCs w:val="18"/>
                <w:lang w:val="en-US"/>
              </w:rPr>
            </w:pPr>
            <w:r w:rsidRPr="00502725">
              <w:rPr>
                <w:rFonts w:cs="Arial"/>
                <w:sz w:val="18"/>
                <w:szCs w:val="18"/>
                <w:lang w:val="en-US"/>
              </w:rPr>
              <w:t>Group Operating Profit</w:t>
            </w:r>
          </w:p>
        </w:tc>
        <w:tc>
          <w:tcPr>
            <w:tcW w:w="1134" w:type="dxa"/>
            <w:shd w:val="clear" w:color="auto" w:fill="auto"/>
          </w:tcPr>
          <w:p w14:paraId="695D1109" w14:textId="77777777" w:rsidR="004A6488" w:rsidRPr="00502725" w:rsidRDefault="004A6488" w:rsidP="00BB1985">
            <w:pPr>
              <w:spacing w:after="0" w:line="240" w:lineRule="auto"/>
              <w:jc w:val="right"/>
              <w:rPr>
                <w:rFonts w:cs="Arial"/>
                <w:sz w:val="18"/>
                <w:szCs w:val="18"/>
                <w:lang w:val="en-US"/>
              </w:rPr>
            </w:pPr>
            <w:r>
              <w:rPr>
                <w:rFonts w:cs="Arial"/>
                <w:sz w:val="18"/>
                <w:szCs w:val="18"/>
                <w:lang w:val="en-US"/>
              </w:rPr>
              <w:t>3.9</w:t>
            </w:r>
          </w:p>
        </w:tc>
        <w:tc>
          <w:tcPr>
            <w:tcW w:w="1276" w:type="dxa"/>
            <w:shd w:val="clear" w:color="auto" w:fill="auto"/>
          </w:tcPr>
          <w:p w14:paraId="32637A2F" w14:textId="77777777" w:rsidR="004A6488" w:rsidRPr="00502725" w:rsidRDefault="004A6488" w:rsidP="00BB1985">
            <w:pPr>
              <w:spacing w:after="0" w:line="240" w:lineRule="auto"/>
              <w:jc w:val="right"/>
              <w:rPr>
                <w:rFonts w:cs="Arial"/>
                <w:sz w:val="18"/>
                <w:szCs w:val="18"/>
                <w:lang w:val="en-US"/>
              </w:rPr>
            </w:pPr>
            <w:r w:rsidRPr="003C7BC3">
              <w:rPr>
                <w:rFonts w:cs="Arial"/>
                <w:sz w:val="18"/>
                <w:szCs w:val="18"/>
                <w:lang w:val="en-US"/>
              </w:rPr>
              <w:t>35.</w:t>
            </w:r>
            <w:r>
              <w:rPr>
                <w:rFonts w:cs="Arial"/>
                <w:sz w:val="18"/>
                <w:szCs w:val="18"/>
                <w:lang w:val="en-US"/>
              </w:rPr>
              <w:t>6</w:t>
            </w:r>
          </w:p>
        </w:tc>
        <w:tc>
          <w:tcPr>
            <w:tcW w:w="1418" w:type="dxa"/>
            <w:shd w:val="clear" w:color="auto" w:fill="auto"/>
          </w:tcPr>
          <w:p w14:paraId="2D5336D7" w14:textId="77777777" w:rsidR="004A6488" w:rsidRPr="00502725" w:rsidRDefault="004A6488" w:rsidP="00BB1985">
            <w:pPr>
              <w:spacing w:after="0" w:line="240" w:lineRule="auto"/>
              <w:jc w:val="right"/>
              <w:rPr>
                <w:rFonts w:cs="Arial"/>
                <w:sz w:val="18"/>
                <w:szCs w:val="18"/>
                <w:lang w:val="en-US"/>
              </w:rPr>
            </w:pPr>
            <w:r>
              <w:rPr>
                <w:rFonts w:cs="Arial"/>
                <w:sz w:val="18"/>
                <w:szCs w:val="18"/>
                <w:lang w:val="en-US"/>
              </w:rPr>
              <w:t>-89.0</w:t>
            </w:r>
            <w:r w:rsidRPr="00502725">
              <w:rPr>
                <w:rFonts w:cs="Arial"/>
                <w:sz w:val="18"/>
                <w:szCs w:val="18"/>
                <w:lang w:val="en-US"/>
              </w:rPr>
              <w:t>%</w:t>
            </w:r>
          </w:p>
        </w:tc>
        <w:tc>
          <w:tcPr>
            <w:tcW w:w="1557" w:type="dxa"/>
          </w:tcPr>
          <w:p w14:paraId="6C6BA0CE" w14:textId="77777777" w:rsidR="004A6488" w:rsidRPr="00502725" w:rsidRDefault="004A6488" w:rsidP="00BB1985">
            <w:pPr>
              <w:spacing w:after="0" w:line="240" w:lineRule="auto"/>
              <w:jc w:val="right"/>
              <w:rPr>
                <w:rFonts w:cs="Arial"/>
                <w:sz w:val="18"/>
                <w:szCs w:val="18"/>
                <w:lang w:val="en-US"/>
              </w:rPr>
            </w:pPr>
          </w:p>
        </w:tc>
      </w:tr>
      <w:tr w:rsidR="00AA12F9" w:rsidRPr="00502725" w14:paraId="049FFF5E" w14:textId="77777777" w:rsidTr="00AA12F9">
        <w:trPr>
          <w:jc w:val="center"/>
        </w:trPr>
        <w:tc>
          <w:tcPr>
            <w:tcW w:w="2984" w:type="dxa"/>
          </w:tcPr>
          <w:p w14:paraId="7345CDF7" w14:textId="77777777" w:rsidR="00AA12F9" w:rsidRPr="00502725" w:rsidRDefault="00AA12F9" w:rsidP="003235E7">
            <w:pPr>
              <w:spacing w:after="0" w:line="240" w:lineRule="auto"/>
              <w:jc w:val="both"/>
              <w:rPr>
                <w:rFonts w:cs="Arial"/>
                <w:sz w:val="18"/>
                <w:szCs w:val="18"/>
                <w:lang w:val="en-US"/>
              </w:rPr>
            </w:pPr>
            <w:r w:rsidRPr="00502725">
              <w:rPr>
                <w:rFonts w:cs="Arial"/>
                <w:sz w:val="18"/>
                <w:szCs w:val="18"/>
                <w:lang w:val="en-US"/>
              </w:rPr>
              <w:t>Adjusted Operating Profit</w:t>
            </w:r>
          </w:p>
        </w:tc>
        <w:tc>
          <w:tcPr>
            <w:tcW w:w="1134" w:type="dxa"/>
            <w:shd w:val="clear" w:color="auto" w:fill="auto"/>
          </w:tcPr>
          <w:p w14:paraId="57FB7271"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0.2</w:t>
            </w:r>
          </w:p>
        </w:tc>
        <w:tc>
          <w:tcPr>
            <w:tcW w:w="1276" w:type="dxa"/>
            <w:shd w:val="clear" w:color="auto" w:fill="auto"/>
          </w:tcPr>
          <w:p w14:paraId="646240AD" w14:textId="77777777" w:rsidR="00AA12F9" w:rsidRPr="00502725" w:rsidRDefault="00AA12F9" w:rsidP="003235E7">
            <w:pPr>
              <w:spacing w:after="0" w:line="240" w:lineRule="auto"/>
              <w:jc w:val="right"/>
              <w:rPr>
                <w:rFonts w:cs="Arial"/>
                <w:sz w:val="18"/>
                <w:szCs w:val="18"/>
                <w:lang w:val="en-US"/>
              </w:rPr>
            </w:pPr>
            <w:r w:rsidRPr="003C7BC3">
              <w:rPr>
                <w:rFonts w:cs="Arial"/>
                <w:sz w:val="18"/>
                <w:szCs w:val="18"/>
                <w:lang w:val="en-US"/>
              </w:rPr>
              <w:t>38.3</w:t>
            </w:r>
          </w:p>
        </w:tc>
        <w:tc>
          <w:tcPr>
            <w:tcW w:w="1418" w:type="dxa"/>
            <w:shd w:val="clear" w:color="auto" w:fill="auto"/>
          </w:tcPr>
          <w:p w14:paraId="28580EB5"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-99.5</w:t>
            </w:r>
            <w:r w:rsidRPr="00502725">
              <w:rPr>
                <w:rFonts w:cs="Arial"/>
                <w:sz w:val="18"/>
                <w:szCs w:val="18"/>
                <w:lang w:val="en-US"/>
              </w:rPr>
              <w:t>%</w:t>
            </w:r>
          </w:p>
        </w:tc>
        <w:tc>
          <w:tcPr>
            <w:tcW w:w="1557" w:type="dxa"/>
          </w:tcPr>
          <w:p w14:paraId="5538F1C5" w14:textId="77777777" w:rsidR="00AA12F9" w:rsidRPr="00502725" w:rsidRDefault="00AA12F9" w:rsidP="003235E7">
            <w:pPr>
              <w:spacing w:after="0" w:line="240" w:lineRule="auto"/>
              <w:jc w:val="right"/>
              <w:rPr>
                <w:rFonts w:cs="Arial"/>
                <w:sz w:val="18"/>
                <w:szCs w:val="18"/>
                <w:lang w:val="en-US"/>
              </w:rPr>
            </w:pPr>
          </w:p>
        </w:tc>
      </w:tr>
      <w:tr w:rsidR="00AA12F9" w:rsidRPr="00502725" w14:paraId="5355EF5F" w14:textId="77777777" w:rsidTr="00AA12F9">
        <w:trPr>
          <w:jc w:val="center"/>
        </w:trPr>
        <w:tc>
          <w:tcPr>
            <w:tcW w:w="2984" w:type="dxa"/>
            <w:hideMark/>
          </w:tcPr>
          <w:p w14:paraId="091462BD" w14:textId="77777777" w:rsidR="00AA12F9" w:rsidRPr="00502725" w:rsidRDefault="00AA12F9" w:rsidP="003235E7">
            <w:pPr>
              <w:spacing w:after="0" w:line="240" w:lineRule="auto"/>
              <w:jc w:val="both"/>
              <w:rPr>
                <w:rFonts w:cs="Arial"/>
                <w:sz w:val="18"/>
                <w:szCs w:val="18"/>
                <w:lang w:val="en-US"/>
              </w:rPr>
            </w:pPr>
            <w:r w:rsidRPr="00502725">
              <w:rPr>
                <w:rFonts w:cs="Arial"/>
                <w:sz w:val="18"/>
                <w:szCs w:val="18"/>
                <w:lang w:val="en-US"/>
              </w:rPr>
              <w:t>Adjusted Operating Margin %</w:t>
            </w:r>
          </w:p>
        </w:tc>
        <w:tc>
          <w:tcPr>
            <w:tcW w:w="1134" w:type="dxa"/>
            <w:shd w:val="clear" w:color="auto" w:fill="auto"/>
          </w:tcPr>
          <w:p w14:paraId="6E1C98DE"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0.0%</w:t>
            </w:r>
          </w:p>
        </w:tc>
        <w:tc>
          <w:tcPr>
            <w:tcW w:w="1276" w:type="dxa"/>
            <w:shd w:val="clear" w:color="auto" w:fill="auto"/>
          </w:tcPr>
          <w:p w14:paraId="5A215CEE" w14:textId="77777777" w:rsidR="00AA12F9" w:rsidRPr="00502725" w:rsidRDefault="00AA12F9" w:rsidP="003235E7">
            <w:pPr>
              <w:spacing w:after="0" w:line="240" w:lineRule="auto"/>
              <w:jc w:val="right"/>
              <w:rPr>
                <w:rFonts w:cs="Arial"/>
                <w:sz w:val="18"/>
                <w:szCs w:val="18"/>
                <w:lang w:val="en-US"/>
              </w:rPr>
            </w:pPr>
            <w:r w:rsidRPr="003C7BC3">
              <w:rPr>
                <w:rFonts w:cs="Arial"/>
                <w:sz w:val="18"/>
                <w:szCs w:val="18"/>
                <w:lang w:val="en-US"/>
              </w:rPr>
              <w:t>5.4%</w:t>
            </w:r>
          </w:p>
        </w:tc>
        <w:tc>
          <w:tcPr>
            <w:tcW w:w="1418" w:type="dxa"/>
            <w:shd w:val="clear" w:color="auto" w:fill="auto"/>
          </w:tcPr>
          <w:p w14:paraId="4CF70009"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-540bps</w:t>
            </w:r>
          </w:p>
        </w:tc>
        <w:tc>
          <w:tcPr>
            <w:tcW w:w="1557" w:type="dxa"/>
          </w:tcPr>
          <w:p w14:paraId="3AC9307D" w14:textId="77777777" w:rsidR="00AA12F9" w:rsidRPr="00502725" w:rsidRDefault="00AA12F9" w:rsidP="003235E7">
            <w:pPr>
              <w:spacing w:after="0" w:line="240" w:lineRule="auto"/>
              <w:jc w:val="right"/>
              <w:rPr>
                <w:rFonts w:cs="Arial"/>
                <w:sz w:val="18"/>
                <w:szCs w:val="18"/>
                <w:lang w:val="en-US"/>
              </w:rPr>
            </w:pPr>
          </w:p>
        </w:tc>
      </w:tr>
    </w:tbl>
    <w:p w14:paraId="22CCDFB0" w14:textId="77777777" w:rsidR="00AA12F9" w:rsidRPr="00502725" w:rsidRDefault="00AA12F9" w:rsidP="003235E7">
      <w:pPr>
        <w:spacing w:after="0" w:line="240" w:lineRule="auto"/>
        <w:jc w:val="both"/>
        <w:rPr>
          <w:rFonts w:cs="Arial"/>
          <w:b/>
          <w:sz w:val="18"/>
          <w:szCs w:val="18"/>
        </w:rPr>
      </w:pPr>
    </w:p>
    <w:p w14:paraId="28AE240D" w14:textId="77777777" w:rsidR="00AA12F9" w:rsidRPr="00502725" w:rsidRDefault="00AA12F9" w:rsidP="003235E7">
      <w:pPr>
        <w:spacing w:after="0" w:line="240" w:lineRule="auto"/>
        <w:jc w:val="both"/>
        <w:rPr>
          <w:rFonts w:cs="Arial"/>
          <w:b/>
          <w:sz w:val="18"/>
          <w:szCs w:val="18"/>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1134"/>
        <w:gridCol w:w="1134"/>
        <w:gridCol w:w="1135"/>
      </w:tblGrid>
      <w:tr w:rsidR="00863458" w:rsidRPr="00502725" w14:paraId="6CB58092" w14:textId="77777777" w:rsidTr="00AE207A">
        <w:trPr>
          <w:jc w:val="center"/>
        </w:trPr>
        <w:tc>
          <w:tcPr>
            <w:tcW w:w="2971" w:type="dxa"/>
          </w:tcPr>
          <w:p w14:paraId="3BA9DAA5" w14:textId="77777777" w:rsidR="00863458" w:rsidRPr="00502725" w:rsidRDefault="00863458" w:rsidP="003235E7">
            <w:pPr>
              <w:spacing w:after="0" w:line="240" w:lineRule="auto"/>
              <w:jc w:val="both"/>
              <w:rPr>
                <w:rFonts w:cs="Arial"/>
                <w:b/>
                <w:sz w:val="18"/>
                <w:szCs w:val="18"/>
                <w:lang w:val="en-US"/>
              </w:rPr>
            </w:pPr>
          </w:p>
        </w:tc>
        <w:tc>
          <w:tcPr>
            <w:tcW w:w="3403" w:type="dxa"/>
            <w:gridSpan w:val="3"/>
          </w:tcPr>
          <w:p w14:paraId="7E35B033" w14:textId="77777777" w:rsidR="00863458" w:rsidRPr="00502725" w:rsidRDefault="00863458">
            <w:pPr>
              <w:tabs>
                <w:tab w:val="left" w:pos="1154"/>
                <w:tab w:val="center" w:pos="2914"/>
              </w:tabs>
              <w:spacing w:after="0" w:line="240" w:lineRule="auto"/>
              <w:jc w:val="center"/>
              <w:rPr>
                <w:rFonts w:cs="Arial"/>
                <w:b/>
                <w:sz w:val="18"/>
                <w:szCs w:val="18"/>
                <w:lang w:val="en-US"/>
              </w:rPr>
            </w:pPr>
            <w:r>
              <w:rPr>
                <w:rFonts w:cs="Arial"/>
                <w:b/>
                <w:sz w:val="18"/>
                <w:szCs w:val="18"/>
                <w:lang w:val="en-US"/>
              </w:rPr>
              <w:t>Pro Forma Revenue Growth</w:t>
            </w:r>
            <w:r w:rsidR="00F41A23">
              <w:rPr>
                <w:rFonts w:cs="Arial"/>
                <w:b/>
                <w:sz w:val="18"/>
                <w:szCs w:val="18"/>
                <w:lang w:val="en-US"/>
              </w:rPr>
              <w:t xml:space="preserve"> (versus FY20)</w:t>
            </w:r>
          </w:p>
        </w:tc>
      </w:tr>
      <w:tr w:rsidR="00863458" w:rsidRPr="00502725" w14:paraId="69E96AF9" w14:textId="77777777" w:rsidTr="00AE207A">
        <w:trPr>
          <w:jc w:val="center"/>
        </w:trPr>
        <w:tc>
          <w:tcPr>
            <w:tcW w:w="2971" w:type="dxa"/>
          </w:tcPr>
          <w:p w14:paraId="0A125E8C" w14:textId="77777777" w:rsidR="00863458" w:rsidRPr="00502725" w:rsidRDefault="00863458" w:rsidP="00645D47">
            <w:pPr>
              <w:spacing w:after="0" w:line="240" w:lineRule="auto"/>
              <w:jc w:val="both"/>
              <w:rPr>
                <w:rFonts w:cs="Arial"/>
                <w:b/>
                <w:sz w:val="18"/>
                <w:szCs w:val="18"/>
                <w:lang w:val="en-US"/>
              </w:rPr>
            </w:pPr>
          </w:p>
        </w:tc>
        <w:tc>
          <w:tcPr>
            <w:tcW w:w="1134" w:type="dxa"/>
          </w:tcPr>
          <w:p w14:paraId="7DC1DDEC" w14:textId="77777777" w:rsidR="00863458" w:rsidRPr="00502725" w:rsidRDefault="00863458" w:rsidP="00645D47">
            <w:pPr>
              <w:spacing w:after="0" w:line="240" w:lineRule="auto"/>
              <w:jc w:val="right"/>
              <w:rPr>
                <w:rFonts w:cs="Arial"/>
                <w:b/>
                <w:sz w:val="18"/>
                <w:szCs w:val="18"/>
                <w:lang w:val="en-US"/>
              </w:rPr>
            </w:pPr>
            <w:r>
              <w:rPr>
                <w:rFonts w:cs="Arial"/>
                <w:b/>
                <w:sz w:val="18"/>
                <w:szCs w:val="18"/>
                <w:lang w:val="en-US"/>
              </w:rPr>
              <w:t>Q1 21</w:t>
            </w:r>
          </w:p>
        </w:tc>
        <w:tc>
          <w:tcPr>
            <w:tcW w:w="1134" w:type="dxa"/>
          </w:tcPr>
          <w:p w14:paraId="116BA85D" w14:textId="77777777" w:rsidR="00863458" w:rsidRPr="00502725" w:rsidRDefault="00863458" w:rsidP="00645D47">
            <w:pPr>
              <w:spacing w:after="0" w:line="240" w:lineRule="auto"/>
              <w:jc w:val="right"/>
              <w:rPr>
                <w:rFonts w:cs="Arial"/>
                <w:b/>
                <w:sz w:val="18"/>
                <w:szCs w:val="18"/>
                <w:lang w:val="en-US"/>
              </w:rPr>
            </w:pPr>
            <w:r>
              <w:rPr>
                <w:rFonts w:cs="Arial"/>
                <w:b/>
                <w:sz w:val="18"/>
                <w:szCs w:val="18"/>
                <w:lang w:val="en-US"/>
              </w:rPr>
              <w:t>Q2 21</w:t>
            </w:r>
          </w:p>
        </w:tc>
        <w:tc>
          <w:tcPr>
            <w:tcW w:w="1135" w:type="dxa"/>
          </w:tcPr>
          <w:p w14:paraId="6A26B48D" w14:textId="77777777" w:rsidR="00863458" w:rsidRPr="00502725" w:rsidRDefault="00863458">
            <w:pPr>
              <w:spacing w:after="0" w:line="240" w:lineRule="auto"/>
              <w:jc w:val="right"/>
              <w:rPr>
                <w:rFonts w:cs="Arial"/>
                <w:b/>
                <w:sz w:val="18"/>
                <w:szCs w:val="18"/>
                <w:lang w:val="en-US"/>
              </w:rPr>
            </w:pPr>
            <w:r>
              <w:rPr>
                <w:rFonts w:cs="Arial"/>
                <w:b/>
                <w:sz w:val="18"/>
                <w:szCs w:val="18"/>
                <w:lang w:val="en-US"/>
              </w:rPr>
              <w:t>H1 21</w:t>
            </w:r>
          </w:p>
        </w:tc>
      </w:tr>
      <w:tr w:rsidR="00863458" w:rsidRPr="00502725" w14:paraId="709C44F0" w14:textId="77777777" w:rsidTr="00AE207A">
        <w:trPr>
          <w:jc w:val="center"/>
        </w:trPr>
        <w:tc>
          <w:tcPr>
            <w:tcW w:w="2971" w:type="dxa"/>
            <w:hideMark/>
          </w:tcPr>
          <w:p w14:paraId="3AB9C5EC" w14:textId="77777777" w:rsidR="00863458" w:rsidRPr="00502725" w:rsidRDefault="00863458" w:rsidP="008F22FE">
            <w:pPr>
              <w:spacing w:after="0" w:line="240" w:lineRule="auto"/>
              <w:jc w:val="both"/>
              <w:rPr>
                <w:rFonts w:cs="Arial"/>
                <w:sz w:val="18"/>
                <w:szCs w:val="18"/>
                <w:lang w:val="en-US"/>
              </w:rPr>
            </w:pPr>
            <w:r w:rsidRPr="00502725">
              <w:rPr>
                <w:rFonts w:cs="Arial"/>
                <w:sz w:val="18"/>
                <w:szCs w:val="18"/>
                <w:lang w:val="en-US"/>
              </w:rPr>
              <w:t>Group</w:t>
            </w:r>
          </w:p>
        </w:tc>
        <w:tc>
          <w:tcPr>
            <w:tcW w:w="1134" w:type="dxa"/>
            <w:shd w:val="clear" w:color="auto" w:fill="auto"/>
          </w:tcPr>
          <w:p w14:paraId="03EAC50E" w14:textId="77777777" w:rsidR="00863458" w:rsidRPr="00502725" w:rsidRDefault="00863458" w:rsidP="008F22FE">
            <w:pPr>
              <w:spacing w:after="0" w:line="240" w:lineRule="auto"/>
              <w:jc w:val="right"/>
              <w:rPr>
                <w:rFonts w:cs="Arial"/>
                <w:sz w:val="18"/>
                <w:szCs w:val="18"/>
                <w:lang w:val="en-US"/>
              </w:rPr>
            </w:pPr>
            <w:r>
              <w:rPr>
                <w:rFonts w:cs="Arial"/>
                <w:sz w:val="18"/>
                <w:szCs w:val="18"/>
                <w:lang w:val="en-US"/>
              </w:rPr>
              <w:t>-15%</w:t>
            </w:r>
          </w:p>
        </w:tc>
        <w:tc>
          <w:tcPr>
            <w:tcW w:w="1134" w:type="dxa"/>
          </w:tcPr>
          <w:p w14:paraId="60966727" w14:textId="77777777" w:rsidR="00863458" w:rsidRDefault="00863458">
            <w:pPr>
              <w:spacing w:after="0" w:line="240" w:lineRule="auto"/>
              <w:jc w:val="right"/>
              <w:rPr>
                <w:rFonts w:cs="Arial"/>
                <w:sz w:val="18"/>
                <w:szCs w:val="18"/>
                <w:lang w:val="en-US"/>
              </w:rPr>
            </w:pPr>
            <w:r>
              <w:rPr>
                <w:rFonts w:cs="Arial"/>
                <w:sz w:val="18"/>
                <w:szCs w:val="18"/>
                <w:lang w:val="en-US"/>
              </w:rPr>
              <w:t>-22%</w:t>
            </w:r>
          </w:p>
        </w:tc>
        <w:tc>
          <w:tcPr>
            <w:tcW w:w="1135" w:type="dxa"/>
            <w:shd w:val="clear" w:color="auto" w:fill="auto"/>
          </w:tcPr>
          <w:p w14:paraId="05001E6F" w14:textId="77777777" w:rsidR="00863458" w:rsidRPr="00502725" w:rsidRDefault="00863458">
            <w:pPr>
              <w:spacing w:after="0" w:line="240" w:lineRule="auto"/>
              <w:jc w:val="right"/>
              <w:rPr>
                <w:rFonts w:cs="Arial"/>
                <w:sz w:val="18"/>
                <w:szCs w:val="18"/>
                <w:lang w:val="en-US"/>
              </w:rPr>
            </w:pPr>
            <w:r>
              <w:rPr>
                <w:rFonts w:cs="Arial"/>
                <w:sz w:val="18"/>
                <w:szCs w:val="18"/>
                <w:lang w:val="en-US"/>
              </w:rPr>
              <w:t>-19%</w:t>
            </w:r>
          </w:p>
        </w:tc>
      </w:tr>
      <w:tr w:rsidR="00863458" w:rsidRPr="00502725" w14:paraId="0CFBC061" w14:textId="77777777" w:rsidTr="00AE207A">
        <w:trPr>
          <w:jc w:val="center"/>
        </w:trPr>
        <w:tc>
          <w:tcPr>
            <w:tcW w:w="2971" w:type="dxa"/>
          </w:tcPr>
          <w:p w14:paraId="360DA95E" w14:textId="77777777" w:rsidR="00863458" w:rsidRPr="00502725" w:rsidRDefault="00863458" w:rsidP="008F22FE">
            <w:pPr>
              <w:spacing w:after="0" w:line="240" w:lineRule="auto"/>
              <w:jc w:val="both"/>
              <w:rPr>
                <w:rFonts w:cs="Arial"/>
                <w:sz w:val="18"/>
                <w:szCs w:val="18"/>
                <w:lang w:val="en-US"/>
              </w:rPr>
            </w:pPr>
            <w:r w:rsidRPr="00502725">
              <w:rPr>
                <w:rFonts w:cs="Arial"/>
                <w:sz w:val="18"/>
                <w:szCs w:val="18"/>
                <w:lang w:val="en-US"/>
              </w:rPr>
              <w:t>Food to go categories</w:t>
            </w:r>
          </w:p>
        </w:tc>
        <w:tc>
          <w:tcPr>
            <w:tcW w:w="1134" w:type="dxa"/>
            <w:shd w:val="clear" w:color="auto" w:fill="auto"/>
          </w:tcPr>
          <w:p w14:paraId="4527507E" w14:textId="77777777" w:rsidR="00863458" w:rsidRPr="00502725" w:rsidRDefault="00863458" w:rsidP="008F22FE">
            <w:pPr>
              <w:spacing w:after="0" w:line="240" w:lineRule="auto"/>
              <w:jc w:val="right"/>
              <w:rPr>
                <w:rFonts w:cs="Arial"/>
                <w:sz w:val="18"/>
                <w:szCs w:val="18"/>
                <w:lang w:val="en-US"/>
              </w:rPr>
            </w:pPr>
            <w:r>
              <w:rPr>
                <w:rFonts w:cs="Arial"/>
                <w:sz w:val="18"/>
                <w:szCs w:val="18"/>
                <w:lang w:val="en-US"/>
              </w:rPr>
              <w:t>-22%</w:t>
            </w:r>
          </w:p>
        </w:tc>
        <w:tc>
          <w:tcPr>
            <w:tcW w:w="1134" w:type="dxa"/>
          </w:tcPr>
          <w:p w14:paraId="1047C758" w14:textId="77777777" w:rsidR="00863458" w:rsidRDefault="00863458" w:rsidP="008F22FE">
            <w:pPr>
              <w:spacing w:after="0" w:line="240" w:lineRule="auto"/>
              <w:jc w:val="right"/>
              <w:rPr>
                <w:rFonts w:cs="Arial"/>
                <w:sz w:val="18"/>
                <w:szCs w:val="18"/>
                <w:lang w:val="en-US"/>
              </w:rPr>
            </w:pPr>
            <w:r>
              <w:rPr>
                <w:rFonts w:cs="Arial"/>
                <w:sz w:val="18"/>
                <w:szCs w:val="18"/>
                <w:lang w:val="en-US"/>
              </w:rPr>
              <w:t>-30%</w:t>
            </w:r>
          </w:p>
        </w:tc>
        <w:tc>
          <w:tcPr>
            <w:tcW w:w="1135" w:type="dxa"/>
            <w:shd w:val="clear" w:color="auto" w:fill="auto"/>
          </w:tcPr>
          <w:p w14:paraId="2CB73F14" w14:textId="77777777" w:rsidR="00863458" w:rsidRPr="00502725" w:rsidRDefault="00863458" w:rsidP="008F22FE">
            <w:pPr>
              <w:spacing w:after="0" w:line="240" w:lineRule="auto"/>
              <w:jc w:val="right"/>
              <w:rPr>
                <w:rFonts w:cs="Arial"/>
                <w:sz w:val="18"/>
                <w:szCs w:val="18"/>
                <w:lang w:val="en-US"/>
              </w:rPr>
            </w:pPr>
            <w:r>
              <w:rPr>
                <w:rFonts w:cs="Arial"/>
                <w:sz w:val="18"/>
                <w:szCs w:val="18"/>
                <w:lang w:val="en-US"/>
              </w:rPr>
              <w:t>-26%</w:t>
            </w:r>
          </w:p>
        </w:tc>
      </w:tr>
      <w:tr w:rsidR="00863458" w:rsidRPr="00502725" w14:paraId="14ABD3AC" w14:textId="77777777" w:rsidTr="00AE207A">
        <w:trPr>
          <w:jc w:val="center"/>
        </w:trPr>
        <w:tc>
          <w:tcPr>
            <w:tcW w:w="2971" w:type="dxa"/>
            <w:hideMark/>
          </w:tcPr>
          <w:p w14:paraId="3110021C" w14:textId="77777777" w:rsidR="00863458" w:rsidRPr="00502725" w:rsidRDefault="00863458" w:rsidP="008F22FE">
            <w:pPr>
              <w:spacing w:after="0" w:line="240" w:lineRule="auto"/>
              <w:jc w:val="both"/>
              <w:rPr>
                <w:rFonts w:cs="Arial"/>
                <w:sz w:val="18"/>
                <w:szCs w:val="18"/>
                <w:lang w:val="en-US"/>
              </w:rPr>
            </w:pPr>
            <w:r w:rsidRPr="00502725">
              <w:rPr>
                <w:rFonts w:cs="Arial"/>
                <w:sz w:val="18"/>
                <w:szCs w:val="18"/>
                <w:lang w:val="en-US"/>
              </w:rPr>
              <w:t>Other convenience food categories</w:t>
            </w:r>
          </w:p>
        </w:tc>
        <w:tc>
          <w:tcPr>
            <w:tcW w:w="1134" w:type="dxa"/>
            <w:shd w:val="clear" w:color="auto" w:fill="auto"/>
          </w:tcPr>
          <w:p w14:paraId="4E2DC0D7" w14:textId="77777777" w:rsidR="00863458" w:rsidRPr="00502725" w:rsidRDefault="00863458" w:rsidP="008F22FE">
            <w:pPr>
              <w:spacing w:after="0" w:line="240" w:lineRule="auto"/>
              <w:jc w:val="right"/>
              <w:rPr>
                <w:rFonts w:cs="Arial"/>
                <w:sz w:val="18"/>
                <w:szCs w:val="18"/>
                <w:lang w:val="en-US"/>
              </w:rPr>
            </w:pPr>
            <w:r>
              <w:rPr>
                <w:rFonts w:cs="Arial"/>
                <w:sz w:val="18"/>
                <w:szCs w:val="18"/>
                <w:lang w:val="en-US"/>
              </w:rPr>
              <w:t>-2%</w:t>
            </w:r>
          </w:p>
        </w:tc>
        <w:tc>
          <w:tcPr>
            <w:tcW w:w="1134" w:type="dxa"/>
          </w:tcPr>
          <w:p w14:paraId="4C4BDBAF" w14:textId="77777777" w:rsidR="00863458" w:rsidRDefault="00863458" w:rsidP="008F22FE">
            <w:pPr>
              <w:spacing w:after="0" w:line="240" w:lineRule="auto"/>
              <w:jc w:val="right"/>
              <w:rPr>
                <w:rFonts w:cs="Arial"/>
                <w:sz w:val="18"/>
                <w:szCs w:val="18"/>
                <w:lang w:val="en-US"/>
              </w:rPr>
            </w:pPr>
            <w:r>
              <w:rPr>
                <w:rFonts w:cs="Arial"/>
                <w:sz w:val="18"/>
                <w:szCs w:val="18"/>
                <w:lang w:val="en-US"/>
              </w:rPr>
              <w:t>-9%</w:t>
            </w:r>
          </w:p>
        </w:tc>
        <w:tc>
          <w:tcPr>
            <w:tcW w:w="1135" w:type="dxa"/>
            <w:shd w:val="clear" w:color="auto" w:fill="auto"/>
          </w:tcPr>
          <w:p w14:paraId="1537B1C7" w14:textId="77777777" w:rsidR="00863458" w:rsidRPr="00502725" w:rsidRDefault="00863458" w:rsidP="008F22FE">
            <w:pPr>
              <w:spacing w:after="0" w:line="240" w:lineRule="auto"/>
              <w:jc w:val="right"/>
              <w:rPr>
                <w:rFonts w:cs="Arial"/>
                <w:sz w:val="18"/>
                <w:szCs w:val="18"/>
                <w:lang w:val="en-US"/>
              </w:rPr>
            </w:pPr>
            <w:r>
              <w:rPr>
                <w:rFonts w:cs="Arial"/>
                <w:sz w:val="18"/>
                <w:szCs w:val="18"/>
                <w:lang w:val="en-US"/>
              </w:rPr>
              <w:t>-6%</w:t>
            </w:r>
          </w:p>
        </w:tc>
      </w:tr>
    </w:tbl>
    <w:p w14:paraId="1EE41FB0" w14:textId="77777777" w:rsidR="00AA12F9" w:rsidRPr="00502725" w:rsidRDefault="00AA12F9" w:rsidP="003235E7">
      <w:pPr>
        <w:spacing w:after="0" w:line="240" w:lineRule="auto"/>
        <w:jc w:val="both"/>
        <w:rPr>
          <w:rFonts w:cs="Arial"/>
          <w:b/>
          <w:sz w:val="18"/>
          <w:szCs w:val="18"/>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99"/>
        <w:gridCol w:w="1099"/>
        <w:gridCol w:w="1099"/>
        <w:gridCol w:w="1383"/>
      </w:tblGrid>
      <w:tr w:rsidR="00A81761" w:rsidRPr="00502725" w14:paraId="2512BCF6" w14:textId="77777777" w:rsidTr="00AE207A">
        <w:trPr>
          <w:jc w:val="center"/>
        </w:trPr>
        <w:tc>
          <w:tcPr>
            <w:tcW w:w="2970" w:type="dxa"/>
          </w:tcPr>
          <w:p w14:paraId="30A0713D" w14:textId="77777777" w:rsidR="00A81761" w:rsidRPr="00502725" w:rsidRDefault="00A81761" w:rsidP="00863458">
            <w:pPr>
              <w:spacing w:after="0" w:line="240" w:lineRule="auto"/>
              <w:jc w:val="both"/>
              <w:rPr>
                <w:rFonts w:cs="Arial"/>
                <w:b/>
                <w:sz w:val="18"/>
                <w:szCs w:val="18"/>
                <w:lang w:val="en-US"/>
              </w:rPr>
            </w:pPr>
          </w:p>
        </w:tc>
        <w:tc>
          <w:tcPr>
            <w:tcW w:w="4680" w:type="dxa"/>
            <w:gridSpan w:val="4"/>
          </w:tcPr>
          <w:p w14:paraId="162503E2" w14:textId="77777777" w:rsidR="00A81761" w:rsidRPr="00502725" w:rsidRDefault="00A81761">
            <w:pPr>
              <w:tabs>
                <w:tab w:val="left" w:pos="1154"/>
                <w:tab w:val="center" w:pos="2914"/>
              </w:tabs>
              <w:spacing w:after="0" w:line="240" w:lineRule="auto"/>
              <w:jc w:val="center"/>
              <w:rPr>
                <w:rFonts w:cs="Arial"/>
                <w:b/>
                <w:sz w:val="18"/>
                <w:szCs w:val="18"/>
                <w:lang w:val="en-US"/>
              </w:rPr>
            </w:pPr>
            <w:r>
              <w:rPr>
                <w:rFonts w:cs="Arial"/>
                <w:b/>
                <w:sz w:val="18"/>
                <w:szCs w:val="18"/>
                <w:lang w:val="en-US"/>
              </w:rPr>
              <w:t xml:space="preserve">Pro Forma Revenue Growth </w:t>
            </w:r>
            <w:r w:rsidR="00F41A23">
              <w:rPr>
                <w:rFonts w:cs="Arial"/>
                <w:b/>
                <w:sz w:val="18"/>
                <w:szCs w:val="18"/>
                <w:lang w:val="en-US"/>
              </w:rPr>
              <w:t>(</w:t>
            </w:r>
            <w:r>
              <w:rPr>
                <w:rFonts w:cs="Arial"/>
                <w:b/>
                <w:sz w:val="18"/>
                <w:szCs w:val="18"/>
                <w:lang w:val="en-US"/>
              </w:rPr>
              <w:t xml:space="preserve">versus </w:t>
            </w:r>
            <w:r w:rsidR="00F41A23">
              <w:rPr>
                <w:rFonts w:cs="Arial"/>
                <w:b/>
                <w:sz w:val="18"/>
                <w:szCs w:val="18"/>
                <w:lang w:val="en-US"/>
              </w:rPr>
              <w:t>FY20)</w:t>
            </w:r>
          </w:p>
        </w:tc>
      </w:tr>
      <w:tr w:rsidR="00A81761" w:rsidRPr="00502725" w14:paraId="5509CD69" w14:textId="77777777" w:rsidTr="00AE207A">
        <w:trPr>
          <w:jc w:val="center"/>
        </w:trPr>
        <w:tc>
          <w:tcPr>
            <w:tcW w:w="2970" w:type="dxa"/>
          </w:tcPr>
          <w:p w14:paraId="5AE7E442" w14:textId="77777777" w:rsidR="00A81761" w:rsidRPr="00502725" w:rsidRDefault="00A81761" w:rsidP="00863458">
            <w:pPr>
              <w:spacing w:after="0" w:line="240" w:lineRule="auto"/>
              <w:jc w:val="both"/>
              <w:rPr>
                <w:rFonts w:cs="Arial"/>
                <w:b/>
                <w:sz w:val="18"/>
                <w:szCs w:val="18"/>
                <w:lang w:val="en-US"/>
              </w:rPr>
            </w:pPr>
          </w:p>
        </w:tc>
        <w:tc>
          <w:tcPr>
            <w:tcW w:w="1099" w:type="dxa"/>
          </w:tcPr>
          <w:p w14:paraId="0D2CAF57" w14:textId="77777777" w:rsidR="00A81761" w:rsidRDefault="00A81761" w:rsidP="00863458">
            <w:pPr>
              <w:spacing w:after="0" w:line="240" w:lineRule="auto"/>
              <w:jc w:val="right"/>
              <w:rPr>
                <w:rFonts w:cs="Arial"/>
                <w:b/>
                <w:sz w:val="18"/>
                <w:szCs w:val="18"/>
                <w:lang w:val="en-US"/>
              </w:rPr>
            </w:pPr>
            <w:r>
              <w:rPr>
                <w:rFonts w:cs="Arial"/>
                <w:b/>
                <w:sz w:val="18"/>
                <w:szCs w:val="18"/>
                <w:lang w:val="en-US"/>
              </w:rPr>
              <w:t xml:space="preserve">March </w:t>
            </w:r>
          </w:p>
          <w:p w14:paraId="064F5DA6" w14:textId="77777777" w:rsidR="00A81761" w:rsidRPr="00502725" w:rsidRDefault="00A81761" w:rsidP="00863458">
            <w:pPr>
              <w:spacing w:after="0" w:line="240" w:lineRule="auto"/>
              <w:jc w:val="right"/>
              <w:rPr>
                <w:rFonts w:cs="Arial"/>
                <w:b/>
                <w:sz w:val="18"/>
                <w:szCs w:val="18"/>
                <w:lang w:val="en-US"/>
              </w:rPr>
            </w:pPr>
            <w:r>
              <w:rPr>
                <w:rFonts w:cs="Arial"/>
                <w:b/>
                <w:sz w:val="18"/>
                <w:szCs w:val="18"/>
                <w:lang w:val="en-US"/>
              </w:rPr>
              <w:t>2021</w:t>
            </w:r>
          </w:p>
        </w:tc>
        <w:tc>
          <w:tcPr>
            <w:tcW w:w="1099" w:type="dxa"/>
          </w:tcPr>
          <w:p w14:paraId="2DC84FE5" w14:textId="77777777" w:rsidR="00A81761" w:rsidRDefault="00A81761" w:rsidP="00863458">
            <w:pPr>
              <w:spacing w:after="0" w:line="240" w:lineRule="auto"/>
              <w:jc w:val="right"/>
              <w:rPr>
                <w:rFonts w:cs="Arial"/>
                <w:b/>
                <w:sz w:val="18"/>
                <w:szCs w:val="18"/>
                <w:lang w:val="en-US"/>
              </w:rPr>
            </w:pPr>
            <w:r>
              <w:rPr>
                <w:rFonts w:cs="Arial"/>
                <w:b/>
                <w:sz w:val="18"/>
                <w:szCs w:val="18"/>
                <w:lang w:val="en-US"/>
              </w:rPr>
              <w:t xml:space="preserve">April </w:t>
            </w:r>
          </w:p>
          <w:p w14:paraId="78ADCC92" w14:textId="77777777" w:rsidR="00A81761" w:rsidRDefault="00A81761" w:rsidP="00863458">
            <w:pPr>
              <w:spacing w:after="0" w:line="240" w:lineRule="auto"/>
              <w:jc w:val="right"/>
              <w:rPr>
                <w:rFonts w:cs="Arial"/>
                <w:b/>
                <w:sz w:val="18"/>
                <w:szCs w:val="18"/>
                <w:lang w:val="en-US"/>
              </w:rPr>
            </w:pPr>
            <w:r>
              <w:rPr>
                <w:rFonts w:cs="Arial"/>
                <w:b/>
                <w:sz w:val="18"/>
                <w:szCs w:val="18"/>
                <w:lang w:val="en-US"/>
              </w:rPr>
              <w:t>2021</w:t>
            </w:r>
          </w:p>
        </w:tc>
        <w:tc>
          <w:tcPr>
            <w:tcW w:w="1099" w:type="dxa"/>
          </w:tcPr>
          <w:p w14:paraId="3E8DE8B6" w14:textId="77777777" w:rsidR="00A81761" w:rsidRDefault="00A81761" w:rsidP="00863458">
            <w:pPr>
              <w:spacing w:after="0" w:line="240" w:lineRule="auto"/>
              <w:jc w:val="right"/>
              <w:rPr>
                <w:rFonts w:cs="Arial"/>
                <w:b/>
                <w:sz w:val="18"/>
                <w:szCs w:val="18"/>
                <w:lang w:val="en-US"/>
              </w:rPr>
            </w:pPr>
            <w:r>
              <w:rPr>
                <w:rFonts w:cs="Arial"/>
                <w:b/>
                <w:sz w:val="18"/>
                <w:szCs w:val="18"/>
                <w:lang w:val="en-US"/>
              </w:rPr>
              <w:t xml:space="preserve">May </w:t>
            </w:r>
          </w:p>
          <w:p w14:paraId="652568B4" w14:textId="77777777" w:rsidR="00A81761" w:rsidRPr="00502725" w:rsidRDefault="00A81761" w:rsidP="00863458">
            <w:pPr>
              <w:spacing w:after="0" w:line="240" w:lineRule="auto"/>
              <w:jc w:val="right"/>
              <w:rPr>
                <w:rFonts w:cs="Arial"/>
                <w:b/>
                <w:sz w:val="18"/>
                <w:szCs w:val="18"/>
                <w:lang w:val="en-US"/>
              </w:rPr>
            </w:pPr>
            <w:r>
              <w:rPr>
                <w:rFonts w:cs="Arial"/>
                <w:b/>
                <w:sz w:val="18"/>
                <w:szCs w:val="18"/>
                <w:lang w:val="en-US"/>
              </w:rPr>
              <w:t>2021</w:t>
            </w:r>
          </w:p>
        </w:tc>
        <w:tc>
          <w:tcPr>
            <w:tcW w:w="1383" w:type="dxa"/>
          </w:tcPr>
          <w:p w14:paraId="672EB261" w14:textId="77777777" w:rsidR="00A81761" w:rsidRDefault="00A81761" w:rsidP="00863458">
            <w:pPr>
              <w:spacing w:after="0" w:line="240" w:lineRule="auto"/>
              <w:jc w:val="right"/>
              <w:rPr>
                <w:rFonts w:cs="Arial"/>
                <w:b/>
                <w:sz w:val="18"/>
                <w:szCs w:val="18"/>
                <w:lang w:val="en-US"/>
              </w:rPr>
            </w:pPr>
            <w:r>
              <w:rPr>
                <w:rFonts w:cs="Arial"/>
                <w:b/>
                <w:sz w:val="18"/>
                <w:szCs w:val="18"/>
                <w:lang w:val="en-US"/>
              </w:rPr>
              <w:t xml:space="preserve">H2 21 </w:t>
            </w:r>
          </w:p>
          <w:p w14:paraId="057E3026" w14:textId="77777777" w:rsidR="00A81761" w:rsidRDefault="00A81761" w:rsidP="00863458">
            <w:pPr>
              <w:spacing w:after="0" w:line="240" w:lineRule="auto"/>
              <w:jc w:val="right"/>
              <w:rPr>
                <w:rFonts w:cs="Arial"/>
                <w:b/>
                <w:sz w:val="18"/>
                <w:szCs w:val="18"/>
                <w:lang w:val="en-US"/>
              </w:rPr>
            </w:pPr>
            <w:r>
              <w:rPr>
                <w:rFonts w:cs="Arial"/>
                <w:b/>
                <w:sz w:val="18"/>
                <w:szCs w:val="18"/>
                <w:lang w:val="en-US"/>
              </w:rPr>
              <w:t>(seven weeks)</w:t>
            </w:r>
          </w:p>
        </w:tc>
      </w:tr>
      <w:tr w:rsidR="00A81761" w:rsidRPr="001F1616" w14:paraId="29FE4BCD" w14:textId="77777777" w:rsidTr="00AE207A">
        <w:trPr>
          <w:jc w:val="center"/>
        </w:trPr>
        <w:tc>
          <w:tcPr>
            <w:tcW w:w="2970" w:type="dxa"/>
            <w:hideMark/>
          </w:tcPr>
          <w:p w14:paraId="741A2A68" w14:textId="77777777" w:rsidR="00A81761" w:rsidRPr="001F1616" w:rsidRDefault="00A81761" w:rsidP="00863458">
            <w:pPr>
              <w:spacing w:after="0" w:line="240" w:lineRule="auto"/>
              <w:jc w:val="both"/>
              <w:rPr>
                <w:rFonts w:cs="Arial"/>
                <w:sz w:val="18"/>
                <w:szCs w:val="18"/>
                <w:lang w:val="en-US"/>
              </w:rPr>
            </w:pPr>
            <w:r w:rsidRPr="001F1616">
              <w:rPr>
                <w:rFonts w:cs="Arial"/>
                <w:sz w:val="18"/>
                <w:szCs w:val="18"/>
                <w:lang w:val="en-US"/>
              </w:rPr>
              <w:t>Group</w:t>
            </w:r>
          </w:p>
        </w:tc>
        <w:tc>
          <w:tcPr>
            <w:tcW w:w="1099" w:type="dxa"/>
            <w:shd w:val="clear" w:color="auto" w:fill="auto"/>
          </w:tcPr>
          <w:p w14:paraId="2AD9BBE3" w14:textId="77777777" w:rsidR="00A81761" w:rsidRPr="00CB287F" w:rsidRDefault="00CB287F" w:rsidP="00863458">
            <w:pPr>
              <w:spacing w:after="0" w:line="240" w:lineRule="auto"/>
              <w:jc w:val="right"/>
              <w:rPr>
                <w:rFonts w:cs="Arial"/>
                <w:sz w:val="18"/>
                <w:szCs w:val="18"/>
                <w:lang w:val="en-US"/>
              </w:rPr>
            </w:pPr>
            <w:r w:rsidRPr="00AE207A">
              <w:rPr>
                <w:rFonts w:cs="Arial"/>
                <w:sz w:val="18"/>
                <w:szCs w:val="18"/>
                <w:lang w:val="en-US"/>
              </w:rPr>
              <w:t>-17</w:t>
            </w:r>
            <w:r w:rsidR="00A81761" w:rsidRPr="00CB287F">
              <w:rPr>
                <w:rFonts w:cs="Arial"/>
                <w:sz w:val="18"/>
                <w:szCs w:val="18"/>
                <w:lang w:val="en-US"/>
              </w:rPr>
              <w:t>%</w:t>
            </w:r>
          </w:p>
        </w:tc>
        <w:tc>
          <w:tcPr>
            <w:tcW w:w="1099" w:type="dxa"/>
          </w:tcPr>
          <w:p w14:paraId="7E09C0B6" w14:textId="77777777" w:rsidR="00A81761" w:rsidRPr="00CB287F" w:rsidRDefault="00CB287F">
            <w:pPr>
              <w:spacing w:after="0" w:line="240" w:lineRule="auto"/>
              <w:jc w:val="right"/>
              <w:rPr>
                <w:rFonts w:cs="Arial"/>
                <w:sz w:val="18"/>
                <w:szCs w:val="18"/>
                <w:lang w:val="en-US"/>
              </w:rPr>
            </w:pPr>
            <w:r w:rsidRPr="00AE207A">
              <w:rPr>
                <w:rFonts w:cs="Arial"/>
                <w:sz w:val="18"/>
                <w:szCs w:val="18"/>
                <w:lang w:val="en-US"/>
              </w:rPr>
              <w:t>+66</w:t>
            </w:r>
            <w:r w:rsidR="00A81761" w:rsidRPr="00CB287F">
              <w:rPr>
                <w:rFonts w:cs="Arial"/>
                <w:sz w:val="18"/>
                <w:szCs w:val="18"/>
                <w:lang w:val="en-US"/>
              </w:rPr>
              <w:t>%</w:t>
            </w:r>
          </w:p>
        </w:tc>
        <w:tc>
          <w:tcPr>
            <w:tcW w:w="1099" w:type="dxa"/>
            <w:shd w:val="clear" w:color="auto" w:fill="auto"/>
          </w:tcPr>
          <w:p w14:paraId="573310BC" w14:textId="77777777" w:rsidR="00A81761" w:rsidRPr="00CB287F" w:rsidRDefault="00CB287F" w:rsidP="00AE207A">
            <w:pPr>
              <w:spacing w:after="0" w:line="240" w:lineRule="auto"/>
              <w:jc w:val="right"/>
              <w:rPr>
                <w:rFonts w:cs="Arial"/>
                <w:sz w:val="18"/>
                <w:szCs w:val="18"/>
                <w:lang w:val="en-US"/>
              </w:rPr>
            </w:pPr>
            <w:r w:rsidRPr="00AE207A">
              <w:rPr>
                <w:rFonts w:cs="Arial"/>
                <w:sz w:val="18"/>
                <w:szCs w:val="18"/>
                <w:lang w:val="en-US"/>
              </w:rPr>
              <w:t>+</w:t>
            </w:r>
            <w:r w:rsidR="007F2F70">
              <w:rPr>
                <w:rFonts w:cs="Arial"/>
                <w:sz w:val="18"/>
                <w:szCs w:val="18"/>
                <w:lang w:val="en-US"/>
              </w:rPr>
              <w:t>61</w:t>
            </w:r>
            <w:r w:rsidR="00A81761" w:rsidRPr="00CB287F">
              <w:rPr>
                <w:rFonts w:cs="Arial"/>
                <w:sz w:val="18"/>
                <w:szCs w:val="18"/>
                <w:lang w:val="en-US"/>
              </w:rPr>
              <w:t>%</w:t>
            </w:r>
          </w:p>
        </w:tc>
        <w:tc>
          <w:tcPr>
            <w:tcW w:w="1383" w:type="dxa"/>
          </w:tcPr>
          <w:p w14:paraId="5D15D7A2" w14:textId="77777777" w:rsidR="00A81761" w:rsidRPr="00CB287F" w:rsidDel="00A81761" w:rsidRDefault="00CB287F">
            <w:pPr>
              <w:spacing w:after="0" w:line="240" w:lineRule="auto"/>
              <w:jc w:val="right"/>
              <w:rPr>
                <w:rFonts w:cs="Arial"/>
                <w:sz w:val="18"/>
                <w:szCs w:val="18"/>
                <w:lang w:val="en-US"/>
              </w:rPr>
            </w:pPr>
            <w:r w:rsidRPr="00AE207A">
              <w:rPr>
                <w:rFonts w:cs="Arial"/>
                <w:sz w:val="18"/>
                <w:szCs w:val="18"/>
                <w:lang w:val="en-US"/>
              </w:rPr>
              <w:t>+64</w:t>
            </w:r>
            <w:r w:rsidR="00A81761" w:rsidRPr="00CB287F">
              <w:rPr>
                <w:rFonts w:cs="Arial"/>
                <w:sz w:val="18"/>
                <w:szCs w:val="18"/>
                <w:lang w:val="en-US"/>
              </w:rPr>
              <w:t>%</w:t>
            </w:r>
          </w:p>
        </w:tc>
      </w:tr>
      <w:tr w:rsidR="00A81761" w:rsidRPr="001F1616" w14:paraId="43890DBD" w14:textId="77777777" w:rsidTr="00AE207A">
        <w:trPr>
          <w:jc w:val="center"/>
        </w:trPr>
        <w:tc>
          <w:tcPr>
            <w:tcW w:w="2970" w:type="dxa"/>
          </w:tcPr>
          <w:p w14:paraId="1BAECB2C" w14:textId="77777777" w:rsidR="00A81761" w:rsidRPr="001F1616" w:rsidRDefault="00A81761" w:rsidP="00863458">
            <w:pPr>
              <w:spacing w:after="0" w:line="240" w:lineRule="auto"/>
              <w:jc w:val="both"/>
              <w:rPr>
                <w:rFonts w:cs="Arial"/>
                <w:sz w:val="18"/>
                <w:szCs w:val="18"/>
                <w:lang w:val="en-US"/>
              </w:rPr>
            </w:pPr>
            <w:r w:rsidRPr="001F1616">
              <w:rPr>
                <w:rFonts w:cs="Arial"/>
                <w:sz w:val="18"/>
                <w:szCs w:val="18"/>
                <w:lang w:val="en-US"/>
              </w:rPr>
              <w:t>Food to go categories</w:t>
            </w:r>
          </w:p>
        </w:tc>
        <w:tc>
          <w:tcPr>
            <w:tcW w:w="1099" w:type="dxa"/>
            <w:shd w:val="clear" w:color="auto" w:fill="auto"/>
          </w:tcPr>
          <w:p w14:paraId="1BB50657" w14:textId="77777777" w:rsidR="00A81761" w:rsidRPr="00CB287F" w:rsidRDefault="00A81761">
            <w:pPr>
              <w:spacing w:after="0" w:line="240" w:lineRule="auto"/>
              <w:jc w:val="right"/>
              <w:rPr>
                <w:rFonts w:cs="Arial"/>
                <w:sz w:val="18"/>
                <w:szCs w:val="18"/>
                <w:lang w:val="en-US"/>
              </w:rPr>
            </w:pPr>
            <w:r w:rsidRPr="00CB287F">
              <w:rPr>
                <w:rFonts w:cs="Arial"/>
                <w:sz w:val="18"/>
                <w:szCs w:val="18"/>
                <w:lang w:val="en-US"/>
              </w:rPr>
              <w:t>-</w:t>
            </w:r>
            <w:r w:rsidR="00CB287F" w:rsidRPr="00AE207A">
              <w:rPr>
                <w:rFonts w:cs="Arial"/>
                <w:sz w:val="18"/>
                <w:szCs w:val="18"/>
                <w:lang w:val="en-US"/>
              </w:rPr>
              <w:t>19</w:t>
            </w:r>
            <w:r w:rsidRPr="00CB287F">
              <w:rPr>
                <w:rFonts w:cs="Arial"/>
                <w:sz w:val="18"/>
                <w:szCs w:val="18"/>
                <w:lang w:val="en-US"/>
              </w:rPr>
              <w:t>%</w:t>
            </w:r>
          </w:p>
        </w:tc>
        <w:tc>
          <w:tcPr>
            <w:tcW w:w="1099" w:type="dxa"/>
          </w:tcPr>
          <w:p w14:paraId="0AC109A8" w14:textId="77777777" w:rsidR="00A81761" w:rsidRPr="00CB287F" w:rsidRDefault="00CB287F">
            <w:pPr>
              <w:spacing w:after="0" w:line="240" w:lineRule="auto"/>
              <w:jc w:val="right"/>
              <w:rPr>
                <w:rFonts w:cs="Arial"/>
                <w:sz w:val="18"/>
                <w:szCs w:val="18"/>
                <w:lang w:val="en-US"/>
              </w:rPr>
            </w:pPr>
            <w:r w:rsidRPr="00AE207A">
              <w:rPr>
                <w:rFonts w:cs="Arial"/>
                <w:sz w:val="18"/>
                <w:szCs w:val="18"/>
                <w:lang w:val="en-US"/>
              </w:rPr>
              <w:t>+129</w:t>
            </w:r>
            <w:r w:rsidR="00A81761" w:rsidRPr="00CB287F">
              <w:rPr>
                <w:rFonts w:cs="Arial"/>
                <w:sz w:val="18"/>
                <w:szCs w:val="18"/>
                <w:lang w:val="en-US"/>
              </w:rPr>
              <w:t>%</w:t>
            </w:r>
          </w:p>
        </w:tc>
        <w:tc>
          <w:tcPr>
            <w:tcW w:w="1099" w:type="dxa"/>
            <w:shd w:val="clear" w:color="auto" w:fill="auto"/>
          </w:tcPr>
          <w:p w14:paraId="2A9C218A" w14:textId="77777777" w:rsidR="00A81761" w:rsidRPr="00CB287F" w:rsidRDefault="00CB287F" w:rsidP="00AE207A">
            <w:pPr>
              <w:spacing w:after="0" w:line="240" w:lineRule="auto"/>
              <w:jc w:val="right"/>
              <w:rPr>
                <w:rFonts w:cs="Arial"/>
                <w:sz w:val="18"/>
                <w:szCs w:val="18"/>
                <w:lang w:val="en-US"/>
              </w:rPr>
            </w:pPr>
            <w:r w:rsidRPr="00AE207A">
              <w:rPr>
                <w:rFonts w:cs="Arial"/>
                <w:sz w:val="18"/>
                <w:szCs w:val="18"/>
                <w:lang w:val="en-US"/>
              </w:rPr>
              <w:t>+1</w:t>
            </w:r>
            <w:r w:rsidR="007F2F70">
              <w:rPr>
                <w:rFonts w:cs="Arial"/>
                <w:sz w:val="18"/>
                <w:szCs w:val="18"/>
                <w:lang w:val="en-US"/>
              </w:rPr>
              <w:t>15</w:t>
            </w:r>
            <w:r w:rsidR="00A81761" w:rsidRPr="00CB287F">
              <w:rPr>
                <w:rFonts w:cs="Arial"/>
                <w:sz w:val="18"/>
                <w:szCs w:val="18"/>
                <w:lang w:val="en-US"/>
              </w:rPr>
              <w:t>%</w:t>
            </w:r>
          </w:p>
        </w:tc>
        <w:tc>
          <w:tcPr>
            <w:tcW w:w="1383" w:type="dxa"/>
          </w:tcPr>
          <w:p w14:paraId="42BF64C1" w14:textId="77777777" w:rsidR="00A81761" w:rsidRPr="00CB287F" w:rsidDel="00A81761" w:rsidRDefault="00CB287F">
            <w:pPr>
              <w:spacing w:after="0" w:line="240" w:lineRule="auto"/>
              <w:jc w:val="right"/>
              <w:rPr>
                <w:rFonts w:cs="Arial"/>
                <w:sz w:val="18"/>
                <w:szCs w:val="18"/>
                <w:lang w:val="en-US"/>
              </w:rPr>
            </w:pPr>
            <w:r w:rsidRPr="00AE207A">
              <w:rPr>
                <w:rFonts w:cs="Arial"/>
                <w:sz w:val="18"/>
                <w:szCs w:val="18"/>
                <w:lang w:val="en-US"/>
              </w:rPr>
              <w:t>+123</w:t>
            </w:r>
            <w:r w:rsidR="00A81761" w:rsidRPr="00CB287F">
              <w:rPr>
                <w:rFonts w:cs="Arial"/>
                <w:sz w:val="18"/>
                <w:szCs w:val="18"/>
                <w:lang w:val="en-US"/>
              </w:rPr>
              <w:t>%</w:t>
            </w:r>
          </w:p>
        </w:tc>
      </w:tr>
      <w:tr w:rsidR="00A81761" w:rsidRPr="00502725" w14:paraId="2BBC6211" w14:textId="77777777" w:rsidTr="00AE207A">
        <w:trPr>
          <w:jc w:val="center"/>
        </w:trPr>
        <w:tc>
          <w:tcPr>
            <w:tcW w:w="2970" w:type="dxa"/>
            <w:hideMark/>
          </w:tcPr>
          <w:p w14:paraId="7BE0EC64" w14:textId="77777777" w:rsidR="00A81761" w:rsidRPr="001F1616" w:rsidRDefault="00A81761" w:rsidP="00863458">
            <w:pPr>
              <w:spacing w:after="0" w:line="240" w:lineRule="auto"/>
              <w:jc w:val="both"/>
              <w:rPr>
                <w:rFonts w:cs="Arial"/>
                <w:sz w:val="18"/>
                <w:szCs w:val="18"/>
                <w:lang w:val="en-US"/>
              </w:rPr>
            </w:pPr>
            <w:r w:rsidRPr="001F1616">
              <w:rPr>
                <w:rFonts w:cs="Arial"/>
                <w:sz w:val="18"/>
                <w:szCs w:val="18"/>
                <w:lang w:val="en-US"/>
              </w:rPr>
              <w:t>Other convenience food categories</w:t>
            </w:r>
          </w:p>
        </w:tc>
        <w:tc>
          <w:tcPr>
            <w:tcW w:w="1099" w:type="dxa"/>
            <w:shd w:val="clear" w:color="auto" w:fill="auto"/>
          </w:tcPr>
          <w:p w14:paraId="7ED9A545" w14:textId="77777777" w:rsidR="00A81761" w:rsidRPr="00CB287F" w:rsidRDefault="00CB287F" w:rsidP="00863458">
            <w:pPr>
              <w:spacing w:after="0" w:line="240" w:lineRule="auto"/>
              <w:jc w:val="right"/>
              <w:rPr>
                <w:rFonts w:cs="Arial"/>
                <w:sz w:val="18"/>
                <w:szCs w:val="18"/>
                <w:lang w:val="en-US"/>
              </w:rPr>
            </w:pPr>
            <w:r w:rsidRPr="00AE207A">
              <w:rPr>
                <w:rFonts w:cs="Arial"/>
                <w:sz w:val="18"/>
                <w:szCs w:val="18"/>
                <w:lang w:val="en-US"/>
              </w:rPr>
              <w:t>-14</w:t>
            </w:r>
            <w:r w:rsidR="00A81761" w:rsidRPr="00CB287F">
              <w:rPr>
                <w:rFonts w:cs="Arial"/>
                <w:sz w:val="18"/>
                <w:szCs w:val="18"/>
                <w:lang w:val="en-US"/>
              </w:rPr>
              <w:t>%</w:t>
            </w:r>
          </w:p>
        </w:tc>
        <w:tc>
          <w:tcPr>
            <w:tcW w:w="1099" w:type="dxa"/>
          </w:tcPr>
          <w:p w14:paraId="7EA64C76" w14:textId="77777777" w:rsidR="00A81761" w:rsidRPr="00CB287F" w:rsidRDefault="00A81761">
            <w:pPr>
              <w:spacing w:after="0" w:line="240" w:lineRule="auto"/>
              <w:jc w:val="right"/>
              <w:rPr>
                <w:rFonts w:cs="Arial"/>
                <w:sz w:val="18"/>
                <w:szCs w:val="18"/>
                <w:lang w:val="en-US"/>
              </w:rPr>
            </w:pPr>
            <w:r w:rsidRPr="00CB287F">
              <w:rPr>
                <w:rFonts w:cs="Arial"/>
                <w:sz w:val="18"/>
                <w:szCs w:val="18"/>
                <w:lang w:val="en-US"/>
              </w:rPr>
              <w:t>+1</w:t>
            </w:r>
            <w:r w:rsidR="00CB287F" w:rsidRPr="00AE207A">
              <w:rPr>
                <w:rFonts w:cs="Arial"/>
                <w:sz w:val="18"/>
                <w:szCs w:val="18"/>
                <w:lang w:val="en-US"/>
              </w:rPr>
              <w:t>3</w:t>
            </w:r>
            <w:r w:rsidRPr="00CB287F">
              <w:rPr>
                <w:rFonts w:cs="Arial"/>
                <w:sz w:val="18"/>
                <w:szCs w:val="18"/>
                <w:lang w:val="en-US"/>
              </w:rPr>
              <w:t>%</w:t>
            </w:r>
          </w:p>
        </w:tc>
        <w:tc>
          <w:tcPr>
            <w:tcW w:w="1099" w:type="dxa"/>
            <w:shd w:val="clear" w:color="auto" w:fill="auto"/>
          </w:tcPr>
          <w:p w14:paraId="4CD04992" w14:textId="77777777" w:rsidR="00A81761" w:rsidRPr="00CB287F" w:rsidRDefault="00A81761" w:rsidP="00AE207A">
            <w:pPr>
              <w:spacing w:after="0" w:line="240" w:lineRule="auto"/>
              <w:jc w:val="right"/>
              <w:rPr>
                <w:rFonts w:cs="Arial"/>
                <w:sz w:val="18"/>
                <w:szCs w:val="18"/>
                <w:lang w:val="en-US"/>
              </w:rPr>
            </w:pPr>
            <w:r w:rsidRPr="00CB287F">
              <w:rPr>
                <w:rFonts w:cs="Arial"/>
                <w:sz w:val="18"/>
                <w:szCs w:val="18"/>
                <w:lang w:val="en-US"/>
              </w:rPr>
              <w:t>+</w:t>
            </w:r>
            <w:r w:rsidR="007F2F70">
              <w:rPr>
                <w:rFonts w:cs="Arial"/>
                <w:sz w:val="18"/>
                <w:szCs w:val="18"/>
                <w:lang w:val="en-US"/>
              </w:rPr>
              <w:t>10</w:t>
            </w:r>
            <w:r w:rsidRPr="00CB287F">
              <w:rPr>
                <w:rFonts w:cs="Arial"/>
                <w:sz w:val="18"/>
                <w:szCs w:val="18"/>
                <w:lang w:val="en-US"/>
              </w:rPr>
              <w:t>%</w:t>
            </w:r>
          </w:p>
        </w:tc>
        <w:tc>
          <w:tcPr>
            <w:tcW w:w="1383" w:type="dxa"/>
          </w:tcPr>
          <w:p w14:paraId="6DA345DF" w14:textId="77777777" w:rsidR="00A81761" w:rsidRPr="00CB287F" w:rsidDel="00A81761" w:rsidRDefault="00A81761">
            <w:pPr>
              <w:spacing w:after="0" w:line="240" w:lineRule="auto"/>
              <w:jc w:val="right"/>
              <w:rPr>
                <w:rFonts w:cs="Arial"/>
                <w:sz w:val="18"/>
                <w:szCs w:val="18"/>
                <w:lang w:val="en-US"/>
              </w:rPr>
            </w:pPr>
            <w:r w:rsidRPr="00CB287F">
              <w:rPr>
                <w:rFonts w:cs="Arial"/>
                <w:sz w:val="18"/>
                <w:szCs w:val="18"/>
                <w:lang w:val="en-US"/>
              </w:rPr>
              <w:t>+1</w:t>
            </w:r>
            <w:r w:rsidR="00CB287F" w:rsidRPr="00AE207A">
              <w:rPr>
                <w:rFonts w:cs="Arial"/>
                <w:sz w:val="18"/>
                <w:szCs w:val="18"/>
                <w:lang w:val="en-US"/>
              </w:rPr>
              <w:t>2</w:t>
            </w:r>
            <w:r w:rsidRPr="00CB287F">
              <w:rPr>
                <w:rFonts w:cs="Arial"/>
                <w:sz w:val="18"/>
                <w:szCs w:val="18"/>
                <w:lang w:val="en-US"/>
              </w:rPr>
              <w:t>%</w:t>
            </w:r>
          </w:p>
        </w:tc>
      </w:tr>
    </w:tbl>
    <w:p w14:paraId="750AE8EF" w14:textId="77777777" w:rsidR="00AA12F9" w:rsidRDefault="00AA12F9" w:rsidP="003235E7">
      <w:pPr>
        <w:spacing w:after="0" w:line="240" w:lineRule="auto"/>
        <w:ind w:left="-284" w:right="-330"/>
        <w:jc w:val="both"/>
        <w:rPr>
          <w:rFonts w:cs="Arial"/>
          <w:b/>
          <w:sz w:val="18"/>
          <w:szCs w:val="18"/>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99"/>
        <w:gridCol w:w="1099"/>
        <w:gridCol w:w="1099"/>
        <w:gridCol w:w="1383"/>
      </w:tblGrid>
      <w:tr w:rsidR="00F41A23" w:rsidRPr="00502725" w14:paraId="72E89CF7" w14:textId="77777777" w:rsidTr="00AE207A">
        <w:trPr>
          <w:jc w:val="center"/>
        </w:trPr>
        <w:tc>
          <w:tcPr>
            <w:tcW w:w="2970" w:type="dxa"/>
          </w:tcPr>
          <w:p w14:paraId="3E9712F5" w14:textId="77777777" w:rsidR="00F41A23" w:rsidRPr="00502725" w:rsidRDefault="00F41A23" w:rsidP="00F41A23">
            <w:pPr>
              <w:spacing w:after="0" w:line="240" w:lineRule="auto"/>
              <w:jc w:val="both"/>
              <w:rPr>
                <w:rFonts w:cs="Arial"/>
                <w:b/>
                <w:sz w:val="18"/>
                <w:szCs w:val="18"/>
                <w:lang w:val="en-US"/>
              </w:rPr>
            </w:pPr>
          </w:p>
        </w:tc>
        <w:tc>
          <w:tcPr>
            <w:tcW w:w="4680" w:type="dxa"/>
            <w:gridSpan w:val="4"/>
          </w:tcPr>
          <w:p w14:paraId="44BF1DD7" w14:textId="77777777" w:rsidR="00F41A23" w:rsidRPr="00502725" w:rsidRDefault="00F41A23" w:rsidP="00F41A23">
            <w:pPr>
              <w:tabs>
                <w:tab w:val="left" w:pos="1154"/>
                <w:tab w:val="center" w:pos="2914"/>
              </w:tabs>
              <w:spacing w:after="0" w:line="240" w:lineRule="auto"/>
              <w:jc w:val="center"/>
              <w:rPr>
                <w:rFonts w:cs="Arial"/>
                <w:b/>
                <w:sz w:val="18"/>
                <w:szCs w:val="18"/>
                <w:lang w:val="en-US"/>
              </w:rPr>
            </w:pPr>
            <w:r>
              <w:rPr>
                <w:rFonts w:cs="Arial"/>
                <w:b/>
                <w:sz w:val="18"/>
                <w:szCs w:val="18"/>
                <w:lang w:val="en-US"/>
              </w:rPr>
              <w:t>Pro Forma Revenue Growth (versus FY19)</w:t>
            </w:r>
          </w:p>
        </w:tc>
      </w:tr>
      <w:tr w:rsidR="00F41A23" w:rsidRPr="00502725" w14:paraId="04E22744" w14:textId="77777777" w:rsidTr="00AE207A">
        <w:trPr>
          <w:jc w:val="center"/>
        </w:trPr>
        <w:tc>
          <w:tcPr>
            <w:tcW w:w="2970" w:type="dxa"/>
          </w:tcPr>
          <w:p w14:paraId="60DAA418" w14:textId="77777777" w:rsidR="00F41A23" w:rsidRPr="00502725" w:rsidRDefault="00F41A23" w:rsidP="00F41A23">
            <w:pPr>
              <w:spacing w:after="0" w:line="240" w:lineRule="auto"/>
              <w:jc w:val="both"/>
              <w:rPr>
                <w:rFonts w:cs="Arial"/>
                <w:b/>
                <w:sz w:val="18"/>
                <w:szCs w:val="18"/>
                <w:lang w:val="en-US"/>
              </w:rPr>
            </w:pPr>
          </w:p>
        </w:tc>
        <w:tc>
          <w:tcPr>
            <w:tcW w:w="1099" w:type="dxa"/>
          </w:tcPr>
          <w:p w14:paraId="3ED60A01" w14:textId="77777777" w:rsidR="00F41A23" w:rsidRDefault="00F41A23" w:rsidP="00F41A23">
            <w:pPr>
              <w:spacing w:after="0" w:line="240" w:lineRule="auto"/>
              <w:jc w:val="right"/>
              <w:rPr>
                <w:rFonts w:cs="Arial"/>
                <w:b/>
                <w:sz w:val="18"/>
                <w:szCs w:val="18"/>
                <w:lang w:val="en-US"/>
              </w:rPr>
            </w:pPr>
            <w:r>
              <w:rPr>
                <w:rFonts w:cs="Arial"/>
                <w:b/>
                <w:sz w:val="18"/>
                <w:szCs w:val="18"/>
                <w:lang w:val="en-US"/>
              </w:rPr>
              <w:t xml:space="preserve">March </w:t>
            </w:r>
          </w:p>
          <w:p w14:paraId="344AA7AC" w14:textId="77777777" w:rsidR="00F41A23" w:rsidRPr="00502725" w:rsidRDefault="00F41A23" w:rsidP="00F41A23">
            <w:pPr>
              <w:spacing w:after="0" w:line="240" w:lineRule="auto"/>
              <w:jc w:val="right"/>
              <w:rPr>
                <w:rFonts w:cs="Arial"/>
                <w:b/>
                <w:sz w:val="18"/>
                <w:szCs w:val="18"/>
                <w:lang w:val="en-US"/>
              </w:rPr>
            </w:pPr>
            <w:r>
              <w:rPr>
                <w:rFonts w:cs="Arial"/>
                <w:b/>
                <w:sz w:val="18"/>
                <w:szCs w:val="18"/>
                <w:lang w:val="en-US"/>
              </w:rPr>
              <w:t>2021</w:t>
            </w:r>
          </w:p>
        </w:tc>
        <w:tc>
          <w:tcPr>
            <w:tcW w:w="1099" w:type="dxa"/>
          </w:tcPr>
          <w:p w14:paraId="2F0F4D1F" w14:textId="77777777" w:rsidR="00F41A23" w:rsidRDefault="00F41A23" w:rsidP="00F41A23">
            <w:pPr>
              <w:spacing w:after="0" w:line="240" w:lineRule="auto"/>
              <w:jc w:val="right"/>
              <w:rPr>
                <w:rFonts w:cs="Arial"/>
                <w:b/>
                <w:sz w:val="18"/>
                <w:szCs w:val="18"/>
                <w:lang w:val="en-US"/>
              </w:rPr>
            </w:pPr>
            <w:r>
              <w:rPr>
                <w:rFonts w:cs="Arial"/>
                <w:b/>
                <w:sz w:val="18"/>
                <w:szCs w:val="18"/>
                <w:lang w:val="en-US"/>
              </w:rPr>
              <w:t xml:space="preserve">April </w:t>
            </w:r>
          </w:p>
          <w:p w14:paraId="790E7DB8" w14:textId="77777777" w:rsidR="00F41A23" w:rsidRDefault="00F41A23" w:rsidP="00F41A23">
            <w:pPr>
              <w:spacing w:after="0" w:line="240" w:lineRule="auto"/>
              <w:jc w:val="right"/>
              <w:rPr>
                <w:rFonts w:cs="Arial"/>
                <w:b/>
                <w:sz w:val="18"/>
                <w:szCs w:val="18"/>
                <w:lang w:val="en-US"/>
              </w:rPr>
            </w:pPr>
            <w:r>
              <w:rPr>
                <w:rFonts w:cs="Arial"/>
                <w:b/>
                <w:sz w:val="18"/>
                <w:szCs w:val="18"/>
                <w:lang w:val="en-US"/>
              </w:rPr>
              <w:t>2021</w:t>
            </w:r>
          </w:p>
        </w:tc>
        <w:tc>
          <w:tcPr>
            <w:tcW w:w="1099" w:type="dxa"/>
          </w:tcPr>
          <w:p w14:paraId="3BF9E56B" w14:textId="77777777" w:rsidR="00F41A23" w:rsidRDefault="00F41A23" w:rsidP="00F41A23">
            <w:pPr>
              <w:spacing w:after="0" w:line="240" w:lineRule="auto"/>
              <w:jc w:val="right"/>
              <w:rPr>
                <w:rFonts w:cs="Arial"/>
                <w:b/>
                <w:sz w:val="18"/>
                <w:szCs w:val="18"/>
                <w:lang w:val="en-US"/>
              </w:rPr>
            </w:pPr>
            <w:r>
              <w:rPr>
                <w:rFonts w:cs="Arial"/>
                <w:b/>
                <w:sz w:val="18"/>
                <w:szCs w:val="18"/>
                <w:lang w:val="en-US"/>
              </w:rPr>
              <w:t xml:space="preserve">May </w:t>
            </w:r>
          </w:p>
          <w:p w14:paraId="7CE31129" w14:textId="77777777" w:rsidR="00F41A23" w:rsidRPr="00502725" w:rsidRDefault="00F41A23" w:rsidP="00F41A23">
            <w:pPr>
              <w:spacing w:after="0" w:line="240" w:lineRule="auto"/>
              <w:jc w:val="right"/>
              <w:rPr>
                <w:rFonts w:cs="Arial"/>
                <w:b/>
                <w:sz w:val="18"/>
                <w:szCs w:val="18"/>
                <w:lang w:val="en-US"/>
              </w:rPr>
            </w:pPr>
            <w:r>
              <w:rPr>
                <w:rFonts w:cs="Arial"/>
                <w:b/>
                <w:sz w:val="18"/>
                <w:szCs w:val="18"/>
                <w:lang w:val="en-US"/>
              </w:rPr>
              <w:t>2021</w:t>
            </w:r>
          </w:p>
        </w:tc>
        <w:tc>
          <w:tcPr>
            <w:tcW w:w="1383" w:type="dxa"/>
          </w:tcPr>
          <w:p w14:paraId="2E164330" w14:textId="77777777" w:rsidR="00F41A23" w:rsidRDefault="00F41A23" w:rsidP="00F41A23">
            <w:pPr>
              <w:spacing w:after="0" w:line="240" w:lineRule="auto"/>
              <w:jc w:val="right"/>
              <w:rPr>
                <w:rFonts w:cs="Arial"/>
                <w:b/>
                <w:sz w:val="18"/>
                <w:szCs w:val="18"/>
                <w:lang w:val="en-US"/>
              </w:rPr>
            </w:pPr>
            <w:r>
              <w:rPr>
                <w:rFonts w:cs="Arial"/>
                <w:b/>
                <w:sz w:val="18"/>
                <w:szCs w:val="18"/>
                <w:lang w:val="en-US"/>
              </w:rPr>
              <w:t xml:space="preserve">H2 21 </w:t>
            </w:r>
          </w:p>
          <w:p w14:paraId="271C547E" w14:textId="77777777" w:rsidR="00F41A23" w:rsidRDefault="00F41A23" w:rsidP="00F41A23">
            <w:pPr>
              <w:spacing w:after="0" w:line="240" w:lineRule="auto"/>
              <w:jc w:val="right"/>
              <w:rPr>
                <w:rFonts w:cs="Arial"/>
                <w:b/>
                <w:sz w:val="18"/>
                <w:szCs w:val="18"/>
                <w:lang w:val="en-US"/>
              </w:rPr>
            </w:pPr>
            <w:r>
              <w:rPr>
                <w:rFonts w:cs="Arial"/>
                <w:b/>
                <w:sz w:val="18"/>
                <w:szCs w:val="18"/>
                <w:lang w:val="en-US"/>
              </w:rPr>
              <w:t>(seven weeks)</w:t>
            </w:r>
          </w:p>
        </w:tc>
      </w:tr>
      <w:tr w:rsidR="00F41A23" w:rsidRPr="001F1616" w14:paraId="60D3DC61" w14:textId="77777777" w:rsidTr="00AE207A">
        <w:trPr>
          <w:jc w:val="center"/>
        </w:trPr>
        <w:tc>
          <w:tcPr>
            <w:tcW w:w="2970" w:type="dxa"/>
            <w:hideMark/>
          </w:tcPr>
          <w:p w14:paraId="730905BC" w14:textId="77777777" w:rsidR="00F41A23" w:rsidRPr="001F1616" w:rsidRDefault="00F41A23" w:rsidP="00F41A23">
            <w:pPr>
              <w:spacing w:after="0" w:line="240" w:lineRule="auto"/>
              <w:jc w:val="both"/>
              <w:rPr>
                <w:rFonts w:cs="Arial"/>
                <w:sz w:val="18"/>
                <w:szCs w:val="18"/>
                <w:lang w:val="en-US"/>
              </w:rPr>
            </w:pPr>
            <w:r w:rsidRPr="001F1616">
              <w:rPr>
                <w:rFonts w:cs="Arial"/>
                <w:sz w:val="18"/>
                <w:szCs w:val="18"/>
                <w:lang w:val="en-US"/>
              </w:rPr>
              <w:t>Group</w:t>
            </w:r>
          </w:p>
        </w:tc>
        <w:tc>
          <w:tcPr>
            <w:tcW w:w="1099" w:type="dxa"/>
            <w:shd w:val="clear" w:color="auto" w:fill="auto"/>
          </w:tcPr>
          <w:p w14:paraId="3C2DF9AE"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w:t>
            </w:r>
            <w:r>
              <w:rPr>
                <w:rFonts w:cs="Arial"/>
                <w:sz w:val="18"/>
                <w:szCs w:val="18"/>
                <w:lang w:val="en-US"/>
              </w:rPr>
              <w:t>21</w:t>
            </w:r>
            <w:r w:rsidRPr="001F1616">
              <w:rPr>
                <w:rFonts w:cs="Arial"/>
                <w:sz w:val="18"/>
                <w:szCs w:val="18"/>
                <w:lang w:val="en-US"/>
              </w:rPr>
              <w:t>%</w:t>
            </w:r>
          </w:p>
        </w:tc>
        <w:tc>
          <w:tcPr>
            <w:tcW w:w="1099" w:type="dxa"/>
          </w:tcPr>
          <w:p w14:paraId="4AD04FC4"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-7%</w:t>
            </w:r>
          </w:p>
        </w:tc>
        <w:tc>
          <w:tcPr>
            <w:tcW w:w="1099" w:type="dxa"/>
            <w:shd w:val="clear" w:color="auto" w:fill="auto"/>
          </w:tcPr>
          <w:p w14:paraId="3490FDF3"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-4%</w:t>
            </w:r>
          </w:p>
        </w:tc>
        <w:tc>
          <w:tcPr>
            <w:tcW w:w="1383" w:type="dxa"/>
          </w:tcPr>
          <w:p w14:paraId="396B34C3" w14:textId="77777777" w:rsidR="00F41A23" w:rsidRPr="001F1616" w:rsidDel="00A81761" w:rsidRDefault="00F41A23" w:rsidP="00F41A23">
            <w:pPr>
              <w:spacing w:after="0" w:line="240" w:lineRule="auto"/>
              <w:jc w:val="right"/>
              <w:rPr>
                <w:rFonts w:cs="Arial"/>
                <w:sz w:val="18"/>
                <w:szCs w:val="18"/>
                <w:lang w:val="en-US"/>
              </w:rPr>
            </w:pPr>
            <w:r>
              <w:rPr>
                <w:rFonts w:cs="Arial"/>
                <w:sz w:val="18"/>
                <w:szCs w:val="18"/>
                <w:lang w:val="en-US"/>
              </w:rPr>
              <w:t>-5%</w:t>
            </w:r>
          </w:p>
        </w:tc>
      </w:tr>
      <w:tr w:rsidR="00F41A23" w:rsidRPr="001F1616" w14:paraId="67E60905" w14:textId="77777777" w:rsidTr="00AE207A">
        <w:trPr>
          <w:jc w:val="center"/>
        </w:trPr>
        <w:tc>
          <w:tcPr>
            <w:tcW w:w="2970" w:type="dxa"/>
          </w:tcPr>
          <w:p w14:paraId="3ABA5047" w14:textId="77777777" w:rsidR="00F41A23" w:rsidRPr="001F1616" w:rsidRDefault="00F41A23" w:rsidP="00F41A23">
            <w:pPr>
              <w:spacing w:after="0" w:line="240" w:lineRule="auto"/>
              <w:jc w:val="both"/>
              <w:rPr>
                <w:rFonts w:cs="Arial"/>
                <w:sz w:val="18"/>
                <w:szCs w:val="18"/>
                <w:lang w:val="en-US"/>
              </w:rPr>
            </w:pPr>
            <w:r w:rsidRPr="001F1616">
              <w:rPr>
                <w:rFonts w:cs="Arial"/>
                <w:sz w:val="18"/>
                <w:szCs w:val="18"/>
                <w:lang w:val="en-US"/>
              </w:rPr>
              <w:t>Food to go categories</w:t>
            </w:r>
          </w:p>
        </w:tc>
        <w:tc>
          <w:tcPr>
            <w:tcW w:w="1099" w:type="dxa"/>
            <w:shd w:val="clear" w:color="auto" w:fill="auto"/>
          </w:tcPr>
          <w:p w14:paraId="18A681DF"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-29%</w:t>
            </w:r>
          </w:p>
        </w:tc>
        <w:tc>
          <w:tcPr>
            <w:tcW w:w="1099" w:type="dxa"/>
          </w:tcPr>
          <w:p w14:paraId="46D105D4"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-16%</w:t>
            </w:r>
          </w:p>
        </w:tc>
        <w:tc>
          <w:tcPr>
            <w:tcW w:w="1099" w:type="dxa"/>
            <w:shd w:val="clear" w:color="auto" w:fill="auto"/>
          </w:tcPr>
          <w:p w14:paraId="5BD96A3C"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-11%</w:t>
            </w:r>
          </w:p>
        </w:tc>
        <w:tc>
          <w:tcPr>
            <w:tcW w:w="1383" w:type="dxa"/>
          </w:tcPr>
          <w:p w14:paraId="3ECD5FEE" w14:textId="77777777" w:rsidR="00F41A23" w:rsidRPr="001F1616" w:rsidDel="00A81761" w:rsidRDefault="00F41A23" w:rsidP="00F41A23">
            <w:pPr>
              <w:spacing w:after="0" w:line="240" w:lineRule="auto"/>
              <w:jc w:val="right"/>
              <w:rPr>
                <w:rFonts w:cs="Arial"/>
                <w:sz w:val="18"/>
                <w:szCs w:val="18"/>
                <w:lang w:val="en-US"/>
              </w:rPr>
            </w:pPr>
            <w:r>
              <w:rPr>
                <w:rFonts w:cs="Arial"/>
                <w:sz w:val="18"/>
                <w:szCs w:val="18"/>
                <w:lang w:val="en-US"/>
              </w:rPr>
              <w:t>-14%</w:t>
            </w:r>
          </w:p>
        </w:tc>
      </w:tr>
      <w:tr w:rsidR="00F41A23" w:rsidRPr="00502725" w14:paraId="6D1C520E" w14:textId="77777777" w:rsidTr="00AE207A">
        <w:trPr>
          <w:jc w:val="center"/>
        </w:trPr>
        <w:tc>
          <w:tcPr>
            <w:tcW w:w="2970" w:type="dxa"/>
            <w:hideMark/>
          </w:tcPr>
          <w:p w14:paraId="7EF503AB" w14:textId="77777777" w:rsidR="00F41A23" w:rsidRPr="001F1616" w:rsidRDefault="00F41A23" w:rsidP="00F41A23">
            <w:pPr>
              <w:spacing w:after="0" w:line="240" w:lineRule="auto"/>
              <w:jc w:val="both"/>
              <w:rPr>
                <w:rFonts w:cs="Arial"/>
                <w:sz w:val="18"/>
                <w:szCs w:val="18"/>
                <w:lang w:val="en-US"/>
              </w:rPr>
            </w:pPr>
            <w:r w:rsidRPr="001F1616">
              <w:rPr>
                <w:rFonts w:cs="Arial"/>
                <w:sz w:val="18"/>
                <w:szCs w:val="18"/>
                <w:lang w:val="en-US"/>
              </w:rPr>
              <w:t>Other convenience food categories</w:t>
            </w:r>
          </w:p>
        </w:tc>
        <w:tc>
          <w:tcPr>
            <w:tcW w:w="1099" w:type="dxa"/>
            <w:shd w:val="clear" w:color="auto" w:fill="auto"/>
          </w:tcPr>
          <w:p w14:paraId="189AA4D2" w14:textId="77777777" w:rsidR="00F41A23" w:rsidRPr="001F1616" w:rsidRDefault="00F41A23" w:rsidP="00F41A23">
            <w:pPr>
              <w:spacing w:after="0" w:line="240" w:lineRule="auto"/>
              <w:jc w:val="right"/>
              <w:rPr>
                <w:rFonts w:cs="Arial"/>
                <w:sz w:val="18"/>
                <w:szCs w:val="18"/>
                <w:lang w:val="en-US"/>
              </w:rPr>
            </w:pPr>
            <w:r>
              <w:rPr>
                <w:rFonts w:cs="Arial"/>
                <w:sz w:val="18"/>
                <w:szCs w:val="18"/>
                <w:lang w:val="en-US"/>
              </w:rPr>
              <w:t>-5</w:t>
            </w:r>
            <w:r w:rsidRPr="001F1616">
              <w:rPr>
                <w:rFonts w:cs="Arial"/>
                <w:sz w:val="18"/>
                <w:szCs w:val="18"/>
                <w:lang w:val="en-US"/>
              </w:rPr>
              <w:t>%</w:t>
            </w:r>
          </w:p>
        </w:tc>
        <w:tc>
          <w:tcPr>
            <w:tcW w:w="1099" w:type="dxa"/>
          </w:tcPr>
          <w:p w14:paraId="7FB1BCC4"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+14%</w:t>
            </w:r>
          </w:p>
        </w:tc>
        <w:tc>
          <w:tcPr>
            <w:tcW w:w="1099" w:type="dxa"/>
            <w:shd w:val="clear" w:color="auto" w:fill="auto"/>
          </w:tcPr>
          <w:p w14:paraId="60A3990C" w14:textId="77777777" w:rsidR="00F41A23" w:rsidRPr="001F1616" w:rsidRDefault="00F41A23" w:rsidP="00F41A23">
            <w:pPr>
              <w:spacing w:after="0" w:line="240" w:lineRule="auto"/>
              <w:jc w:val="right"/>
              <w:rPr>
                <w:rFonts w:cs="Arial"/>
                <w:sz w:val="18"/>
                <w:szCs w:val="18"/>
                <w:lang w:val="en-US"/>
              </w:rPr>
            </w:pPr>
            <w:r w:rsidRPr="001F1616">
              <w:rPr>
                <w:rFonts w:cs="Arial"/>
                <w:sz w:val="18"/>
                <w:szCs w:val="18"/>
                <w:lang w:val="en-US"/>
              </w:rPr>
              <w:t>+13%</w:t>
            </w:r>
          </w:p>
        </w:tc>
        <w:tc>
          <w:tcPr>
            <w:tcW w:w="1383" w:type="dxa"/>
          </w:tcPr>
          <w:p w14:paraId="7F334649" w14:textId="77777777" w:rsidR="00F41A23" w:rsidRPr="001F1616" w:rsidDel="00A81761" w:rsidRDefault="00F41A23" w:rsidP="00F41A23">
            <w:pPr>
              <w:spacing w:after="0" w:line="240" w:lineRule="auto"/>
              <w:jc w:val="right"/>
              <w:rPr>
                <w:rFonts w:cs="Arial"/>
                <w:sz w:val="18"/>
                <w:szCs w:val="18"/>
                <w:lang w:val="en-US"/>
              </w:rPr>
            </w:pPr>
            <w:r>
              <w:rPr>
                <w:rFonts w:cs="Arial"/>
                <w:sz w:val="18"/>
                <w:szCs w:val="18"/>
                <w:lang w:val="en-US"/>
              </w:rPr>
              <w:t>+14%</w:t>
            </w:r>
          </w:p>
        </w:tc>
      </w:tr>
    </w:tbl>
    <w:p w14:paraId="7284E6E2" w14:textId="77777777" w:rsidR="00F41A23" w:rsidRPr="00502725" w:rsidRDefault="00F41A23" w:rsidP="003235E7">
      <w:pPr>
        <w:spacing w:after="0" w:line="240" w:lineRule="auto"/>
        <w:ind w:left="-284" w:right="-330"/>
        <w:jc w:val="both"/>
        <w:rPr>
          <w:rFonts w:cs="Arial"/>
          <w:b/>
          <w:sz w:val="18"/>
          <w:szCs w:val="18"/>
        </w:rPr>
      </w:pPr>
    </w:p>
    <w:p w14:paraId="6F9A596B" w14:textId="77777777" w:rsidR="00AA12F9" w:rsidRPr="00502725" w:rsidRDefault="00AA12F9" w:rsidP="008F0275">
      <w:pPr>
        <w:tabs>
          <w:tab w:val="left" w:pos="9356"/>
        </w:tabs>
        <w:spacing w:after="0" w:line="240" w:lineRule="auto"/>
        <w:ind w:right="-35"/>
        <w:jc w:val="both"/>
        <w:rPr>
          <w:rFonts w:cs="Arial"/>
          <w:b/>
          <w:sz w:val="18"/>
          <w:szCs w:val="18"/>
        </w:rPr>
      </w:pPr>
      <w:r w:rsidRPr="00502725">
        <w:rPr>
          <w:rFonts w:cs="Arial"/>
          <w:b/>
          <w:sz w:val="18"/>
          <w:szCs w:val="18"/>
        </w:rPr>
        <w:t>Strategic developments</w:t>
      </w:r>
    </w:p>
    <w:p w14:paraId="0F655EAD" w14:textId="77777777" w:rsidR="00AA12F9" w:rsidRPr="00502725" w:rsidRDefault="00AA12F9" w:rsidP="008F0275">
      <w:pPr>
        <w:tabs>
          <w:tab w:val="left" w:pos="9356"/>
        </w:tabs>
        <w:spacing w:after="0" w:line="240" w:lineRule="auto"/>
        <w:ind w:right="-35"/>
        <w:jc w:val="both"/>
        <w:rPr>
          <w:rFonts w:cs="Arial"/>
          <w:sz w:val="18"/>
          <w:szCs w:val="18"/>
        </w:rPr>
      </w:pPr>
    </w:p>
    <w:p w14:paraId="3EEDCF9D" w14:textId="77777777" w:rsidR="00AA12F9" w:rsidRPr="00B617F6" w:rsidRDefault="00AA12F9" w:rsidP="008F0275">
      <w:pPr>
        <w:tabs>
          <w:tab w:val="left" w:pos="9356"/>
        </w:tabs>
        <w:spacing w:after="0" w:line="240" w:lineRule="auto"/>
        <w:ind w:right="-35"/>
        <w:jc w:val="both"/>
        <w:rPr>
          <w:rFonts w:cs="Arial"/>
          <w:sz w:val="18"/>
          <w:szCs w:val="18"/>
        </w:rPr>
      </w:pPr>
      <w:r w:rsidRPr="00B617F6">
        <w:rPr>
          <w:rFonts w:cs="Arial"/>
          <w:sz w:val="18"/>
          <w:szCs w:val="18"/>
        </w:rPr>
        <w:t xml:space="preserve">The Group made good progress against its key strategic objectives in H1 21, notwithstanding the challenges of COVID-19.  This has underpinned the Group’s ability to </w:t>
      </w:r>
      <w:r>
        <w:rPr>
          <w:rFonts w:cs="Arial"/>
          <w:sz w:val="18"/>
          <w:szCs w:val="18"/>
        </w:rPr>
        <w:t>build back</w:t>
      </w:r>
      <w:r w:rsidRPr="00B617F6">
        <w:rPr>
          <w:rFonts w:cs="Arial"/>
          <w:sz w:val="18"/>
          <w:szCs w:val="18"/>
        </w:rPr>
        <w:t xml:space="preserve"> the business rapidly as the UK economy has started to reopen.</w:t>
      </w:r>
    </w:p>
    <w:p w14:paraId="44429FCA" w14:textId="77777777" w:rsidR="00AA12F9" w:rsidRPr="006B7684" w:rsidRDefault="00AA12F9" w:rsidP="008F0275">
      <w:pPr>
        <w:tabs>
          <w:tab w:val="left" w:pos="9356"/>
        </w:tabs>
        <w:spacing w:after="0" w:line="240" w:lineRule="auto"/>
        <w:ind w:right="-35"/>
        <w:jc w:val="both"/>
        <w:rPr>
          <w:rFonts w:cs="Arial"/>
          <w:sz w:val="18"/>
          <w:szCs w:val="18"/>
          <w:highlight w:val="yellow"/>
        </w:rPr>
      </w:pPr>
    </w:p>
    <w:p w14:paraId="4AF8D57C" w14:textId="77777777" w:rsidR="00AA12F9" w:rsidRDefault="00AA12F9" w:rsidP="008F0275">
      <w:pPr>
        <w:tabs>
          <w:tab w:val="left" w:pos="9356"/>
        </w:tabs>
        <w:spacing w:after="0" w:line="240" w:lineRule="auto"/>
        <w:ind w:right="-35"/>
        <w:jc w:val="both"/>
        <w:rPr>
          <w:rFonts w:cs="Arial"/>
          <w:sz w:val="18"/>
          <w:szCs w:val="18"/>
        </w:rPr>
      </w:pPr>
      <w:r w:rsidRPr="005C5771">
        <w:rPr>
          <w:rFonts w:cs="Arial"/>
          <w:sz w:val="18"/>
          <w:szCs w:val="18"/>
        </w:rPr>
        <w:t>There was extensive engagement and collaboration with customers throughout the first half of the year</w:t>
      </w:r>
      <w:r>
        <w:rPr>
          <w:rFonts w:cs="Arial"/>
          <w:sz w:val="18"/>
          <w:szCs w:val="18"/>
        </w:rPr>
        <w:t>, i</w:t>
      </w:r>
      <w:r w:rsidRPr="005C5771">
        <w:rPr>
          <w:rFonts w:cs="Arial"/>
          <w:sz w:val="18"/>
          <w:szCs w:val="18"/>
        </w:rPr>
        <w:t>nitially focus</w:t>
      </w:r>
      <w:r>
        <w:rPr>
          <w:rFonts w:cs="Arial"/>
          <w:sz w:val="18"/>
          <w:szCs w:val="18"/>
        </w:rPr>
        <w:t>ing</w:t>
      </w:r>
      <w:r w:rsidRPr="005C5771">
        <w:rPr>
          <w:rFonts w:cs="Arial"/>
          <w:sz w:val="18"/>
          <w:szCs w:val="18"/>
        </w:rPr>
        <w:t xml:space="preserve"> on effective range management during the periods of mobility restrictions</w:t>
      </w:r>
      <w:r>
        <w:rPr>
          <w:rFonts w:cs="Arial"/>
          <w:sz w:val="18"/>
          <w:szCs w:val="18"/>
        </w:rPr>
        <w:t xml:space="preserve"> and</w:t>
      </w:r>
      <w:r w:rsidRPr="005C5771">
        <w:rPr>
          <w:rFonts w:cs="Arial"/>
          <w:sz w:val="18"/>
          <w:szCs w:val="18"/>
        </w:rPr>
        <w:t xml:space="preserve"> subsequently </w:t>
      </w:r>
      <w:r>
        <w:rPr>
          <w:rFonts w:cs="Arial"/>
          <w:sz w:val="18"/>
          <w:szCs w:val="18"/>
        </w:rPr>
        <w:t>working closely</w:t>
      </w:r>
      <w:r w:rsidRPr="00207931">
        <w:rPr>
          <w:rFonts w:cs="Arial"/>
          <w:sz w:val="18"/>
          <w:szCs w:val="18"/>
        </w:rPr>
        <w:t xml:space="preserve"> with customers to</w:t>
      </w:r>
      <w:r>
        <w:rPr>
          <w:rFonts w:cs="Arial"/>
          <w:sz w:val="18"/>
          <w:szCs w:val="18"/>
        </w:rPr>
        <w:t xml:space="preserve"> build back rapidly in </w:t>
      </w:r>
      <w:r w:rsidRPr="00207931">
        <w:rPr>
          <w:rFonts w:cs="Arial"/>
          <w:sz w:val="18"/>
          <w:szCs w:val="18"/>
        </w:rPr>
        <w:t>affected categories</w:t>
      </w:r>
      <w:r>
        <w:rPr>
          <w:rFonts w:cs="Arial"/>
          <w:sz w:val="18"/>
          <w:szCs w:val="18"/>
        </w:rPr>
        <w:t xml:space="preserve"> as mobility was restored to the market. The Group designed and implemented</w:t>
      </w:r>
      <w:r w:rsidRPr="005C5771">
        <w:rPr>
          <w:rFonts w:cs="Arial"/>
          <w:sz w:val="18"/>
          <w:szCs w:val="18"/>
        </w:rPr>
        <w:t xml:space="preserve"> growth programmes with customers to reactivate product ranges and formats as the market started to reopen and in </w:t>
      </w:r>
      <w:r>
        <w:rPr>
          <w:rFonts w:cs="Arial"/>
          <w:sz w:val="18"/>
          <w:szCs w:val="18"/>
        </w:rPr>
        <w:t>preparation for</w:t>
      </w:r>
      <w:r w:rsidRPr="005C5771">
        <w:rPr>
          <w:rFonts w:cs="Arial"/>
          <w:sz w:val="18"/>
          <w:szCs w:val="18"/>
        </w:rPr>
        <w:t xml:space="preserve"> summer trading. </w:t>
      </w:r>
    </w:p>
    <w:p w14:paraId="4722CC5D" w14:textId="77777777" w:rsidR="00AA12F9" w:rsidRDefault="00AA12F9" w:rsidP="008F0275">
      <w:pPr>
        <w:tabs>
          <w:tab w:val="left" w:pos="9356"/>
        </w:tabs>
        <w:spacing w:after="0" w:line="240" w:lineRule="auto"/>
        <w:ind w:right="-35"/>
        <w:jc w:val="both"/>
        <w:rPr>
          <w:rFonts w:cs="Arial"/>
          <w:sz w:val="18"/>
          <w:szCs w:val="18"/>
        </w:rPr>
      </w:pPr>
    </w:p>
    <w:p w14:paraId="1D06EF38" w14:textId="77777777" w:rsidR="00F41A23" w:rsidRDefault="00F41A23" w:rsidP="008F0275">
      <w:pPr>
        <w:tabs>
          <w:tab w:val="left" w:pos="9356"/>
        </w:tabs>
        <w:spacing w:after="0" w:line="240" w:lineRule="auto"/>
        <w:ind w:right="-35"/>
        <w:jc w:val="both"/>
        <w:rPr>
          <w:rFonts w:cs="Arial"/>
          <w:sz w:val="18"/>
          <w:szCs w:val="18"/>
        </w:rPr>
      </w:pPr>
      <w:r>
        <w:rPr>
          <w:rFonts w:cs="Arial"/>
          <w:sz w:val="18"/>
          <w:szCs w:val="18"/>
        </w:rPr>
        <w:t>Th</w:t>
      </w:r>
      <w:r w:rsidR="00AA12F9" w:rsidRPr="005C5771">
        <w:rPr>
          <w:rFonts w:cs="Arial"/>
          <w:sz w:val="18"/>
          <w:szCs w:val="18"/>
        </w:rPr>
        <w:t xml:space="preserve">e Group’s new business initiatives have supported the diversification of its product and channel footprint. </w:t>
      </w:r>
      <w:r w:rsidR="001F0043">
        <w:rPr>
          <w:rFonts w:cs="Arial"/>
          <w:sz w:val="18"/>
          <w:szCs w:val="18"/>
        </w:rPr>
        <w:t>N</w:t>
      </w:r>
      <w:r w:rsidR="001F0043" w:rsidRPr="001F0043">
        <w:rPr>
          <w:rFonts w:cs="Arial"/>
          <w:sz w:val="18"/>
          <w:szCs w:val="18"/>
        </w:rPr>
        <w:t xml:space="preserve">ew business wins representing annualised pre-COVID revenues of </w:t>
      </w:r>
      <w:r w:rsidR="002D0035">
        <w:rPr>
          <w:rFonts w:cs="Arial"/>
          <w:sz w:val="18"/>
          <w:szCs w:val="18"/>
        </w:rPr>
        <w:t>approximately £175m</w:t>
      </w:r>
      <w:r w:rsidR="00B675F0">
        <w:rPr>
          <w:rFonts w:cs="Arial"/>
          <w:sz w:val="18"/>
          <w:szCs w:val="18"/>
        </w:rPr>
        <w:t xml:space="preserve"> </w:t>
      </w:r>
      <w:r w:rsidR="001F0043">
        <w:rPr>
          <w:rFonts w:cs="Arial"/>
          <w:sz w:val="18"/>
          <w:szCs w:val="18"/>
        </w:rPr>
        <w:t xml:space="preserve">have been </w:t>
      </w:r>
      <w:r w:rsidR="001F0043" w:rsidRPr="001F0043">
        <w:rPr>
          <w:rFonts w:cs="Arial"/>
          <w:sz w:val="18"/>
          <w:szCs w:val="18"/>
        </w:rPr>
        <w:t>secured during the last 12 months.</w:t>
      </w:r>
      <w:r w:rsidR="001F0043">
        <w:rPr>
          <w:rFonts w:cs="Arial"/>
          <w:sz w:val="18"/>
          <w:szCs w:val="18"/>
        </w:rPr>
        <w:t xml:space="preserve"> </w:t>
      </w:r>
      <w:r w:rsidR="00AA12F9" w:rsidRPr="005C5771">
        <w:rPr>
          <w:rFonts w:cs="Arial"/>
          <w:sz w:val="18"/>
          <w:szCs w:val="18"/>
        </w:rPr>
        <w:t xml:space="preserve">Multiple new </w:t>
      </w:r>
      <w:r w:rsidR="00AA12F9" w:rsidRPr="001142F2">
        <w:rPr>
          <w:rFonts w:cs="Arial"/>
          <w:sz w:val="18"/>
          <w:szCs w:val="18"/>
        </w:rPr>
        <w:t>customers were secured in the first half of the year and the Group is managing the complexities and costs of onboarding these customers alongside the rebuild</w:t>
      </w:r>
      <w:r w:rsidR="00AA12F9">
        <w:rPr>
          <w:rFonts w:cs="Arial"/>
          <w:sz w:val="18"/>
          <w:szCs w:val="18"/>
        </w:rPr>
        <w:t>ing</w:t>
      </w:r>
      <w:r w:rsidR="00AA12F9" w:rsidRPr="001142F2">
        <w:rPr>
          <w:rFonts w:cs="Arial"/>
          <w:sz w:val="18"/>
          <w:szCs w:val="18"/>
        </w:rPr>
        <w:t xml:space="preserve"> of core business volumes.</w:t>
      </w:r>
      <w:r w:rsidRPr="00F41A23">
        <w:rPr>
          <w:rFonts w:cs="Arial"/>
          <w:sz w:val="18"/>
          <w:szCs w:val="18"/>
        </w:rPr>
        <w:t xml:space="preserve"> </w:t>
      </w:r>
      <w:r>
        <w:rPr>
          <w:rFonts w:cs="Arial"/>
          <w:sz w:val="18"/>
          <w:szCs w:val="18"/>
        </w:rPr>
        <w:t xml:space="preserve">In addition, </w:t>
      </w:r>
      <w:r w:rsidRPr="001F1616">
        <w:rPr>
          <w:rFonts w:cs="Arial"/>
          <w:sz w:val="18"/>
          <w:szCs w:val="18"/>
        </w:rPr>
        <w:t xml:space="preserve">the Group has committed to invest approximately £30m </w:t>
      </w:r>
      <w:r>
        <w:rPr>
          <w:rFonts w:cs="Arial"/>
          <w:sz w:val="18"/>
          <w:szCs w:val="18"/>
        </w:rPr>
        <w:t xml:space="preserve">over the next two years </w:t>
      </w:r>
      <w:r w:rsidRPr="001F1616">
        <w:rPr>
          <w:rFonts w:cs="Arial"/>
          <w:sz w:val="18"/>
          <w:szCs w:val="18"/>
        </w:rPr>
        <w:t xml:space="preserve">across three manufacturing sites to support the delivery of </w:t>
      </w:r>
      <w:r>
        <w:rPr>
          <w:rFonts w:cs="Arial"/>
          <w:sz w:val="18"/>
          <w:szCs w:val="18"/>
        </w:rPr>
        <w:t>this new</w:t>
      </w:r>
      <w:r w:rsidRPr="001F1616">
        <w:rPr>
          <w:rFonts w:cs="Arial"/>
          <w:sz w:val="18"/>
          <w:szCs w:val="18"/>
        </w:rPr>
        <w:t xml:space="preserve"> business. </w:t>
      </w:r>
    </w:p>
    <w:p w14:paraId="2E13EC3F" w14:textId="77777777" w:rsidR="00AA12F9" w:rsidRDefault="00AA12F9" w:rsidP="008F0275">
      <w:pPr>
        <w:tabs>
          <w:tab w:val="left" w:pos="9356"/>
        </w:tabs>
        <w:spacing w:after="0" w:line="240" w:lineRule="auto"/>
        <w:ind w:right="-35"/>
        <w:jc w:val="both"/>
        <w:rPr>
          <w:rFonts w:cs="Arial"/>
          <w:sz w:val="18"/>
          <w:szCs w:val="18"/>
        </w:rPr>
      </w:pPr>
    </w:p>
    <w:p w14:paraId="4D5AE981" w14:textId="77777777" w:rsidR="00AA12F9" w:rsidRDefault="00AA12F9" w:rsidP="008F0275">
      <w:pPr>
        <w:tabs>
          <w:tab w:val="left" w:pos="9356"/>
        </w:tabs>
        <w:spacing w:after="0" w:line="240" w:lineRule="auto"/>
        <w:ind w:right="-35"/>
        <w:jc w:val="both"/>
        <w:rPr>
          <w:rFonts w:cs="Arial"/>
          <w:sz w:val="18"/>
          <w:szCs w:val="18"/>
        </w:rPr>
      </w:pPr>
      <w:r w:rsidRPr="001142F2">
        <w:rPr>
          <w:rFonts w:cs="Arial"/>
          <w:sz w:val="18"/>
          <w:szCs w:val="18"/>
        </w:rPr>
        <w:t xml:space="preserve">In H1 </w:t>
      </w:r>
      <w:r>
        <w:rPr>
          <w:rFonts w:cs="Arial"/>
          <w:sz w:val="18"/>
          <w:szCs w:val="18"/>
        </w:rPr>
        <w:t xml:space="preserve">21 </w:t>
      </w:r>
      <w:r w:rsidRPr="001142F2">
        <w:rPr>
          <w:rFonts w:cs="Arial"/>
          <w:sz w:val="18"/>
          <w:szCs w:val="18"/>
        </w:rPr>
        <w:t>the</w:t>
      </w:r>
      <w:r w:rsidRPr="005C5771">
        <w:rPr>
          <w:rFonts w:cs="Arial"/>
          <w:sz w:val="18"/>
          <w:szCs w:val="18"/>
        </w:rPr>
        <w:t xml:space="preserve"> Group continued </w:t>
      </w:r>
      <w:r w:rsidRPr="00CF03E4">
        <w:rPr>
          <w:rFonts w:cs="Arial"/>
          <w:sz w:val="18"/>
          <w:szCs w:val="18"/>
        </w:rPr>
        <w:t>to expand its product offering and to drive category extensions with existing customers, in particular in the salads and fresh meals categories.</w:t>
      </w:r>
      <w:r w:rsidRPr="005C5771">
        <w:rPr>
          <w:rFonts w:cs="Arial"/>
          <w:sz w:val="18"/>
          <w:szCs w:val="18"/>
        </w:rPr>
        <w:t xml:space="preserve"> </w:t>
      </w:r>
      <w:r w:rsidR="007D138D">
        <w:rPr>
          <w:rFonts w:cs="Arial"/>
          <w:sz w:val="18"/>
          <w:szCs w:val="18"/>
        </w:rPr>
        <w:t>The Group is also w</w:t>
      </w:r>
      <w:r w:rsidR="007D138D" w:rsidRPr="00A01B54">
        <w:rPr>
          <w:rFonts w:cs="Arial"/>
          <w:sz w:val="18"/>
          <w:szCs w:val="18"/>
        </w:rPr>
        <w:t>orking with key customers to</w:t>
      </w:r>
      <w:r w:rsidR="007D138D">
        <w:rPr>
          <w:rFonts w:cs="Arial"/>
          <w:sz w:val="18"/>
          <w:szCs w:val="18"/>
        </w:rPr>
        <w:t xml:space="preserve"> renew and extend commercial relationships. This </w:t>
      </w:r>
      <w:r w:rsidR="007D138D" w:rsidRPr="00A01B54">
        <w:rPr>
          <w:rFonts w:cs="Arial"/>
          <w:sz w:val="18"/>
          <w:szCs w:val="18"/>
        </w:rPr>
        <w:t>will result in near term investment in capabilities, capital, and terms that secure and support growth in key categories and open up growth opportunities with these customers in additional categories and formats</w:t>
      </w:r>
      <w:r w:rsidR="007D138D" w:rsidRPr="002974AB">
        <w:rPr>
          <w:rFonts w:cs="Arial"/>
          <w:sz w:val="18"/>
          <w:szCs w:val="18"/>
        </w:rPr>
        <w:t>.</w:t>
      </w:r>
      <w:r w:rsidR="007D138D" w:rsidRPr="003763E9">
        <w:rPr>
          <w:rFonts w:cs="Arial"/>
          <w:sz w:val="18"/>
          <w:szCs w:val="18"/>
        </w:rPr>
        <w:t xml:space="preserve"> </w:t>
      </w:r>
    </w:p>
    <w:p w14:paraId="33BCD1AE" w14:textId="77777777" w:rsidR="00AA12F9" w:rsidRPr="005C5771" w:rsidRDefault="00AA12F9" w:rsidP="008F0275">
      <w:pPr>
        <w:tabs>
          <w:tab w:val="left" w:pos="9356"/>
        </w:tabs>
        <w:spacing w:after="0" w:line="240" w:lineRule="auto"/>
        <w:ind w:right="-35"/>
        <w:jc w:val="both"/>
        <w:rPr>
          <w:rFonts w:cs="Arial"/>
          <w:sz w:val="18"/>
          <w:szCs w:val="18"/>
        </w:rPr>
      </w:pPr>
    </w:p>
    <w:p w14:paraId="6DC4D58D" w14:textId="77777777" w:rsidR="00AA12F9" w:rsidRPr="005C5771" w:rsidRDefault="00DC408F" w:rsidP="008F0275">
      <w:pPr>
        <w:tabs>
          <w:tab w:val="left" w:pos="9356"/>
        </w:tabs>
        <w:spacing w:after="0" w:line="240" w:lineRule="auto"/>
        <w:ind w:right="-35"/>
        <w:jc w:val="both"/>
        <w:rPr>
          <w:rFonts w:cs="Arial"/>
          <w:sz w:val="18"/>
          <w:szCs w:val="18"/>
        </w:rPr>
      </w:pPr>
      <w:r>
        <w:rPr>
          <w:rFonts w:cs="Arial"/>
          <w:sz w:val="18"/>
          <w:szCs w:val="18"/>
        </w:rPr>
        <w:t>Following a protracted period of COVID-19 disruption that removed its ability to safely deliver these continuous improvement initiatives, i</w:t>
      </w:r>
      <w:r w:rsidR="00AA12F9">
        <w:rPr>
          <w:rFonts w:cs="Arial"/>
          <w:sz w:val="18"/>
          <w:szCs w:val="18"/>
        </w:rPr>
        <w:t xml:space="preserve">n H2 21 the </w:t>
      </w:r>
      <w:r w:rsidR="00AA12F9" w:rsidRPr="005C5771">
        <w:rPr>
          <w:rFonts w:cs="Arial"/>
          <w:sz w:val="18"/>
          <w:szCs w:val="18"/>
        </w:rPr>
        <w:t xml:space="preserve">Group </w:t>
      </w:r>
      <w:r w:rsidR="00AA12F9">
        <w:rPr>
          <w:rFonts w:cs="Arial"/>
          <w:sz w:val="18"/>
          <w:szCs w:val="18"/>
        </w:rPr>
        <w:t xml:space="preserve">is renewing its focus on </w:t>
      </w:r>
      <w:r w:rsidR="00AA12F9" w:rsidRPr="005C5771">
        <w:rPr>
          <w:rFonts w:cs="Arial"/>
          <w:sz w:val="18"/>
          <w:szCs w:val="18"/>
        </w:rPr>
        <w:t xml:space="preserve">its Greencore Excellence agenda across its commercial, purchasing and operational </w:t>
      </w:r>
      <w:r w:rsidR="00AA12F9">
        <w:rPr>
          <w:rFonts w:cs="Arial"/>
          <w:sz w:val="18"/>
          <w:szCs w:val="18"/>
        </w:rPr>
        <w:t>capabilities</w:t>
      </w:r>
      <w:r>
        <w:rPr>
          <w:rFonts w:cs="Arial"/>
          <w:sz w:val="18"/>
          <w:szCs w:val="18"/>
        </w:rPr>
        <w:t>.</w:t>
      </w:r>
      <w:r w:rsidR="00AA12F9">
        <w:rPr>
          <w:rFonts w:cs="Arial"/>
          <w:sz w:val="18"/>
          <w:szCs w:val="18"/>
        </w:rPr>
        <w:t xml:space="preserve"> </w:t>
      </w:r>
      <w:r w:rsidR="00AA12F9" w:rsidRPr="005C5771">
        <w:rPr>
          <w:rFonts w:cs="Arial"/>
          <w:sz w:val="18"/>
          <w:szCs w:val="18"/>
        </w:rPr>
        <w:t xml:space="preserve">The full benefits of these programmes will </w:t>
      </w:r>
      <w:r>
        <w:rPr>
          <w:rFonts w:cs="Arial"/>
          <w:sz w:val="18"/>
          <w:szCs w:val="18"/>
        </w:rPr>
        <w:t xml:space="preserve">only </w:t>
      </w:r>
      <w:r w:rsidR="00AA12F9">
        <w:rPr>
          <w:rFonts w:cs="Arial"/>
          <w:sz w:val="18"/>
          <w:szCs w:val="18"/>
        </w:rPr>
        <w:t xml:space="preserve">begin to </w:t>
      </w:r>
      <w:r w:rsidR="00AA12F9" w:rsidRPr="005C5771">
        <w:rPr>
          <w:rFonts w:cs="Arial"/>
          <w:sz w:val="18"/>
          <w:szCs w:val="18"/>
        </w:rPr>
        <w:t>materialise as volume rebuilds across the network</w:t>
      </w:r>
      <w:r w:rsidR="00AA12F9">
        <w:rPr>
          <w:rFonts w:cs="Arial"/>
          <w:sz w:val="18"/>
          <w:szCs w:val="18"/>
        </w:rPr>
        <w:t xml:space="preserve"> </w:t>
      </w:r>
      <w:r w:rsidR="00AA12F9" w:rsidRPr="001142F2">
        <w:rPr>
          <w:rFonts w:cs="Arial"/>
          <w:sz w:val="18"/>
          <w:szCs w:val="18"/>
        </w:rPr>
        <w:t xml:space="preserve">and will help to mitigate </w:t>
      </w:r>
      <w:r>
        <w:rPr>
          <w:rFonts w:cs="Arial"/>
          <w:sz w:val="18"/>
          <w:szCs w:val="18"/>
        </w:rPr>
        <w:t xml:space="preserve">some of </w:t>
      </w:r>
      <w:r w:rsidR="00AA12F9">
        <w:rPr>
          <w:rFonts w:cs="Arial"/>
          <w:sz w:val="18"/>
          <w:szCs w:val="18"/>
        </w:rPr>
        <w:t xml:space="preserve">the current </w:t>
      </w:r>
      <w:r w:rsidR="00AA12F9" w:rsidRPr="001142F2">
        <w:rPr>
          <w:rFonts w:cs="Arial"/>
          <w:sz w:val="18"/>
          <w:szCs w:val="18"/>
        </w:rPr>
        <w:t xml:space="preserve">lower </w:t>
      </w:r>
      <w:r w:rsidR="00AA12F9">
        <w:rPr>
          <w:rFonts w:cs="Arial"/>
          <w:sz w:val="18"/>
          <w:szCs w:val="18"/>
        </w:rPr>
        <w:t xml:space="preserve">levels of </w:t>
      </w:r>
      <w:r w:rsidR="00AA12F9" w:rsidRPr="001142F2">
        <w:rPr>
          <w:rFonts w:cs="Arial"/>
          <w:sz w:val="18"/>
          <w:szCs w:val="18"/>
        </w:rPr>
        <w:t>overhead absorption</w:t>
      </w:r>
      <w:r w:rsidR="00AA12F9">
        <w:rPr>
          <w:rFonts w:cs="Arial"/>
          <w:sz w:val="18"/>
          <w:szCs w:val="18"/>
        </w:rPr>
        <w:t xml:space="preserve"> and operating efficiency.</w:t>
      </w:r>
    </w:p>
    <w:p w14:paraId="33417E28" w14:textId="77777777" w:rsidR="00AA12F9" w:rsidRPr="005C5771" w:rsidRDefault="00AA12F9" w:rsidP="008F0275">
      <w:pPr>
        <w:tabs>
          <w:tab w:val="left" w:pos="9356"/>
        </w:tabs>
        <w:spacing w:after="0" w:line="240" w:lineRule="auto"/>
        <w:ind w:right="-35"/>
        <w:jc w:val="both"/>
        <w:rPr>
          <w:rFonts w:cs="Arial"/>
          <w:sz w:val="18"/>
          <w:szCs w:val="18"/>
        </w:rPr>
      </w:pPr>
    </w:p>
    <w:p w14:paraId="729188CA" w14:textId="77777777" w:rsidR="00AA12F9" w:rsidRPr="005C5771" w:rsidRDefault="00AA12F9" w:rsidP="008F0275">
      <w:pPr>
        <w:tabs>
          <w:tab w:val="left" w:pos="9356"/>
        </w:tabs>
        <w:spacing w:after="0" w:line="240" w:lineRule="auto"/>
        <w:ind w:right="-35"/>
        <w:jc w:val="both"/>
        <w:rPr>
          <w:rFonts w:cs="Arial"/>
          <w:sz w:val="18"/>
          <w:szCs w:val="18"/>
        </w:rPr>
      </w:pPr>
      <w:r w:rsidRPr="005C5771">
        <w:rPr>
          <w:rFonts w:cs="Arial"/>
          <w:sz w:val="18"/>
          <w:szCs w:val="18"/>
        </w:rPr>
        <w:t xml:space="preserve">The Group </w:t>
      </w:r>
      <w:r>
        <w:rPr>
          <w:rFonts w:cs="Arial"/>
          <w:sz w:val="18"/>
          <w:szCs w:val="18"/>
        </w:rPr>
        <w:t xml:space="preserve">continued to invest </w:t>
      </w:r>
      <w:r w:rsidRPr="005C5771">
        <w:rPr>
          <w:rFonts w:cs="Arial"/>
          <w:sz w:val="18"/>
          <w:szCs w:val="18"/>
        </w:rPr>
        <w:t xml:space="preserve">in its automation programme in H1 21 and extended the rollout of </w:t>
      </w:r>
      <w:r>
        <w:rPr>
          <w:rFonts w:cs="Arial"/>
          <w:sz w:val="18"/>
          <w:szCs w:val="18"/>
        </w:rPr>
        <w:t>robotic solutions</w:t>
      </w:r>
      <w:r w:rsidRPr="005C5771">
        <w:rPr>
          <w:rFonts w:cs="Arial"/>
          <w:sz w:val="18"/>
          <w:szCs w:val="18"/>
        </w:rPr>
        <w:t xml:space="preserve"> to its three largest food to go manufacturing units. Early progress is encouraging and </w:t>
      </w:r>
      <w:r>
        <w:rPr>
          <w:rFonts w:cs="Arial"/>
          <w:sz w:val="18"/>
          <w:szCs w:val="18"/>
        </w:rPr>
        <w:t xml:space="preserve">as volumes rebuild </w:t>
      </w:r>
      <w:r w:rsidRPr="005C5771">
        <w:rPr>
          <w:rFonts w:cs="Arial"/>
          <w:sz w:val="18"/>
          <w:szCs w:val="18"/>
        </w:rPr>
        <w:t>the programme will drive production efficiencies to help offset labour inflation, manage labour availability, reduce waste, and to support social distancing across the Group’s production network</w:t>
      </w:r>
      <w:r>
        <w:rPr>
          <w:rFonts w:cs="Arial"/>
          <w:sz w:val="18"/>
          <w:szCs w:val="18"/>
        </w:rPr>
        <w:t xml:space="preserve"> as required</w:t>
      </w:r>
      <w:r w:rsidRPr="005C5771">
        <w:rPr>
          <w:rFonts w:cs="Arial"/>
          <w:sz w:val="18"/>
          <w:szCs w:val="18"/>
        </w:rPr>
        <w:t xml:space="preserve">. </w:t>
      </w:r>
    </w:p>
    <w:p w14:paraId="1EC261DB" w14:textId="77777777" w:rsidR="00E21F17" w:rsidRDefault="00E21F17" w:rsidP="008F0275">
      <w:pPr>
        <w:tabs>
          <w:tab w:val="left" w:pos="9356"/>
        </w:tabs>
        <w:spacing w:after="0" w:line="240" w:lineRule="auto"/>
        <w:ind w:right="-35"/>
        <w:jc w:val="both"/>
        <w:rPr>
          <w:rFonts w:cs="Arial"/>
          <w:sz w:val="18"/>
          <w:szCs w:val="18"/>
        </w:rPr>
      </w:pPr>
    </w:p>
    <w:p w14:paraId="5439996E" w14:textId="36DEDC9E" w:rsidR="00AA12F9" w:rsidRPr="00502725" w:rsidRDefault="00AA12F9" w:rsidP="008F0275">
      <w:pPr>
        <w:tabs>
          <w:tab w:val="left" w:pos="9356"/>
        </w:tabs>
        <w:spacing w:after="0" w:line="240" w:lineRule="auto"/>
        <w:ind w:right="-35"/>
        <w:jc w:val="both"/>
        <w:rPr>
          <w:rFonts w:cs="Arial"/>
          <w:sz w:val="18"/>
          <w:szCs w:val="18"/>
        </w:rPr>
      </w:pPr>
      <w:r w:rsidRPr="00F759D4">
        <w:rPr>
          <w:rFonts w:cs="Arial"/>
          <w:sz w:val="18"/>
          <w:szCs w:val="18"/>
        </w:rPr>
        <w:t xml:space="preserve">The Group also advanced its culinary capabilities and technical activities in the period, delivering on its commitment to Great Food. </w:t>
      </w:r>
      <w:r>
        <w:rPr>
          <w:rFonts w:cs="Arial"/>
          <w:sz w:val="18"/>
          <w:szCs w:val="18"/>
        </w:rPr>
        <w:t>More than 700 SKUs were introduced or refreshed in H1 21, and approximately 40</w:t>
      </w:r>
      <w:r w:rsidRPr="00900041">
        <w:rPr>
          <w:rFonts w:cs="Arial"/>
          <w:sz w:val="18"/>
          <w:szCs w:val="18"/>
        </w:rPr>
        <w:t xml:space="preserve">% of </w:t>
      </w:r>
      <w:r>
        <w:rPr>
          <w:rFonts w:cs="Arial"/>
          <w:sz w:val="18"/>
          <w:szCs w:val="18"/>
        </w:rPr>
        <w:t xml:space="preserve">these </w:t>
      </w:r>
      <w:r w:rsidRPr="00900041">
        <w:rPr>
          <w:rFonts w:cs="Arial"/>
          <w:sz w:val="18"/>
          <w:szCs w:val="18"/>
        </w:rPr>
        <w:t>new products were vegetarian, vegan or meat-free</w:t>
      </w:r>
      <w:r>
        <w:rPr>
          <w:rFonts w:cs="Arial"/>
          <w:sz w:val="18"/>
          <w:szCs w:val="18"/>
        </w:rPr>
        <w:t xml:space="preserve">. The Group </w:t>
      </w:r>
      <w:r w:rsidRPr="00A7651A">
        <w:rPr>
          <w:rFonts w:cs="Arial"/>
          <w:sz w:val="18"/>
          <w:szCs w:val="18"/>
        </w:rPr>
        <w:t xml:space="preserve">also continued to evolve </w:t>
      </w:r>
      <w:r>
        <w:rPr>
          <w:rFonts w:cs="Arial"/>
          <w:sz w:val="18"/>
          <w:szCs w:val="18"/>
        </w:rPr>
        <w:t xml:space="preserve">its </w:t>
      </w:r>
      <w:r w:rsidRPr="00A7651A">
        <w:rPr>
          <w:rFonts w:cs="Arial"/>
          <w:sz w:val="18"/>
          <w:szCs w:val="18"/>
        </w:rPr>
        <w:t xml:space="preserve">technical and food safety </w:t>
      </w:r>
      <w:r>
        <w:rPr>
          <w:rFonts w:cs="Arial"/>
          <w:sz w:val="18"/>
          <w:szCs w:val="18"/>
        </w:rPr>
        <w:t>programme</w:t>
      </w:r>
      <w:r w:rsidRPr="00A7651A">
        <w:rPr>
          <w:rFonts w:cs="Arial"/>
          <w:sz w:val="18"/>
          <w:szCs w:val="18"/>
        </w:rPr>
        <w:t xml:space="preserve"> </w:t>
      </w:r>
      <w:r>
        <w:rPr>
          <w:rFonts w:cs="Arial"/>
          <w:sz w:val="18"/>
          <w:szCs w:val="18"/>
        </w:rPr>
        <w:t>in H1 21</w:t>
      </w:r>
      <w:r w:rsidRPr="00A7651A">
        <w:rPr>
          <w:rFonts w:cs="Arial"/>
          <w:sz w:val="18"/>
          <w:szCs w:val="18"/>
        </w:rPr>
        <w:t>, with a particular focus on reinforcing</w:t>
      </w:r>
      <w:r>
        <w:rPr>
          <w:rFonts w:cs="Arial"/>
          <w:sz w:val="18"/>
          <w:szCs w:val="18"/>
        </w:rPr>
        <w:t xml:space="preserve"> </w:t>
      </w:r>
      <w:r w:rsidRPr="00A7651A">
        <w:rPr>
          <w:rFonts w:cs="Arial"/>
          <w:sz w:val="18"/>
          <w:szCs w:val="18"/>
        </w:rPr>
        <w:t>governance, continued innovation and</w:t>
      </w:r>
      <w:r>
        <w:rPr>
          <w:rFonts w:cs="Arial"/>
          <w:sz w:val="18"/>
          <w:szCs w:val="18"/>
        </w:rPr>
        <w:t xml:space="preserve"> </w:t>
      </w:r>
      <w:r w:rsidRPr="00A7651A">
        <w:rPr>
          <w:rFonts w:cs="Arial"/>
          <w:sz w:val="18"/>
          <w:szCs w:val="18"/>
        </w:rPr>
        <w:t xml:space="preserve">ongoing </w:t>
      </w:r>
      <w:r>
        <w:rPr>
          <w:rFonts w:cs="Arial"/>
          <w:sz w:val="18"/>
          <w:szCs w:val="18"/>
        </w:rPr>
        <w:t>engagement with, and management of, the Group’s supplier base</w:t>
      </w:r>
      <w:r w:rsidRPr="00A7651A">
        <w:rPr>
          <w:rFonts w:cs="Arial"/>
          <w:sz w:val="18"/>
          <w:szCs w:val="18"/>
        </w:rPr>
        <w:t>.</w:t>
      </w:r>
      <w:r>
        <w:rPr>
          <w:rFonts w:cs="Arial"/>
          <w:sz w:val="18"/>
          <w:szCs w:val="18"/>
        </w:rPr>
        <w:t xml:space="preserve"> </w:t>
      </w:r>
      <w:r w:rsidRPr="005C5771">
        <w:rPr>
          <w:rFonts w:cs="Arial"/>
          <w:sz w:val="18"/>
          <w:szCs w:val="18"/>
        </w:rPr>
        <w:t xml:space="preserve"> </w:t>
      </w:r>
    </w:p>
    <w:p w14:paraId="40BFE81A" w14:textId="77777777" w:rsidR="00EA0555" w:rsidRDefault="00EA0555" w:rsidP="008F0275">
      <w:pPr>
        <w:tabs>
          <w:tab w:val="left" w:pos="9356"/>
        </w:tabs>
        <w:spacing w:after="0" w:line="240" w:lineRule="auto"/>
        <w:ind w:right="338"/>
        <w:jc w:val="both"/>
        <w:rPr>
          <w:rFonts w:cs="Arial"/>
          <w:b/>
          <w:sz w:val="18"/>
          <w:szCs w:val="18"/>
        </w:rPr>
      </w:pPr>
    </w:p>
    <w:p w14:paraId="1D3810CD" w14:textId="77777777" w:rsidR="00AA12F9" w:rsidRPr="00502725" w:rsidRDefault="00AA12F9" w:rsidP="008F0275">
      <w:pPr>
        <w:tabs>
          <w:tab w:val="left" w:pos="9356"/>
        </w:tabs>
        <w:spacing w:after="0" w:line="240" w:lineRule="auto"/>
        <w:ind w:right="-35"/>
        <w:jc w:val="both"/>
        <w:rPr>
          <w:rFonts w:cs="Arial"/>
          <w:b/>
          <w:sz w:val="18"/>
          <w:szCs w:val="18"/>
        </w:rPr>
      </w:pPr>
      <w:r w:rsidRPr="00502725">
        <w:rPr>
          <w:rFonts w:cs="Arial"/>
          <w:b/>
          <w:sz w:val="18"/>
          <w:szCs w:val="18"/>
        </w:rPr>
        <w:t>Performance</w:t>
      </w:r>
    </w:p>
    <w:p w14:paraId="0AE95CC5" w14:textId="77777777" w:rsidR="00AA12F9" w:rsidRPr="00502725" w:rsidRDefault="00AA12F9" w:rsidP="008F0275">
      <w:pPr>
        <w:tabs>
          <w:tab w:val="left" w:pos="9356"/>
        </w:tabs>
        <w:spacing w:after="0" w:line="240" w:lineRule="auto"/>
        <w:ind w:right="-35"/>
        <w:jc w:val="both"/>
        <w:rPr>
          <w:rFonts w:cs="Arial"/>
          <w:sz w:val="18"/>
          <w:szCs w:val="18"/>
        </w:rPr>
      </w:pPr>
    </w:p>
    <w:p w14:paraId="3598B24E" w14:textId="77777777" w:rsidR="00AA12F9" w:rsidRPr="005C5771" w:rsidRDefault="00AA12F9" w:rsidP="008F0275">
      <w:pPr>
        <w:tabs>
          <w:tab w:val="left" w:pos="9356"/>
        </w:tabs>
        <w:spacing w:after="0" w:line="240" w:lineRule="auto"/>
        <w:ind w:right="-35"/>
        <w:jc w:val="both"/>
        <w:rPr>
          <w:rFonts w:cs="Arial"/>
          <w:sz w:val="18"/>
          <w:szCs w:val="18"/>
        </w:rPr>
      </w:pPr>
      <w:r w:rsidRPr="005C5771">
        <w:rPr>
          <w:rFonts w:cs="Arial"/>
          <w:sz w:val="18"/>
          <w:szCs w:val="18"/>
        </w:rPr>
        <w:t xml:space="preserve">The Group’s reported revenue decreased by </w:t>
      </w:r>
      <w:r>
        <w:rPr>
          <w:rFonts w:cs="Arial"/>
          <w:sz w:val="18"/>
          <w:szCs w:val="18"/>
        </w:rPr>
        <w:t>1</w:t>
      </w:r>
      <w:r w:rsidR="002655F1">
        <w:rPr>
          <w:rFonts w:cs="Arial"/>
          <w:sz w:val="18"/>
          <w:szCs w:val="18"/>
        </w:rPr>
        <w:t>9.0</w:t>
      </w:r>
      <w:r w:rsidRPr="005C5771">
        <w:rPr>
          <w:rFonts w:cs="Arial"/>
          <w:sz w:val="18"/>
          <w:szCs w:val="18"/>
        </w:rPr>
        <w:t>% to £</w:t>
      </w:r>
      <w:r>
        <w:rPr>
          <w:rFonts w:cs="Arial"/>
          <w:sz w:val="18"/>
          <w:szCs w:val="18"/>
        </w:rPr>
        <w:t>5</w:t>
      </w:r>
      <w:r w:rsidR="002655F1">
        <w:rPr>
          <w:rFonts w:cs="Arial"/>
          <w:sz w:val="18"/>
          <w:szCs w:val="18"/>
        </w:rPr>
        <w:t>77.1</w:t>
      </w:r>
      <w:r w:rsidRPr="005C5771">
        <w:rPr>
          <w:rFonts w:cs="Arial"/>
          <w:sz w:val="18"/>
          <w:szCs w:val="18"/>
        </w:rPr>
        <w:t xml:space="preserve">m in H1 21. On a pro forma basis revenue decreased by </w:t>
      </w:r>
      <w:r>
        <w:rPr>
          <w:rFonts w:cs="Arial"/>
          <w:sz w:val="18"/>
          <w:szCs w:val="18"/>
        </w:rPr>
        <w:t>18.</w:t>
      </w:r>
      <w:r w:rsidR="002655F1">
        <w:rPr>
          <w:rFonts w:cs="Arial"/>
          <w:sz w:val="18"/>
          <w:szCs w:val="18"/>
        </w:rPr>
        <w:t>6</w:t>
      </w:r>
      <w:r w:rsidRPr="005C5771">
        <w:rPr>
          <w:rFonts w:cs="Arial"/>
          <w:sz w:val="18"/>
          <w:szCs w:val="18"/>
        </w:rPr>
        <w:t xml:space="preserve">%, after adjusting for the disposal of the molasses businesses in Q1 21 and adjusting for any movement in foreign exchange. </w:t>
      </w:r>
      <w:r>
        <w:rPr>
          <w:rFonts w:cs="Arial"/>
          <w:sz w:val="18"/>
          <w:szCs w:val="18"/>
        </w:rPr>
        <w:t>Group Operating Profit was £3.9m compared to £3</w:t>
      </w:r>
      <w:r w:rsidR="007F633E">
        <w:rPr>
          <w:rFonts w:cs="Arial"/>
          <w:sz w:val="18"/>
          <w:szCs w:val="18"/>
        </w:rPr>
        <w:t>5.6</w:t>
      </w:r>
      <w:r>
        <w:rPr>
          <w:rFonts w:cs="Arial"/>
          <w:sz w:val="18"/>
          <w:szCs w:val="18"/>
        </w:rPr>
        <w:t xml:space="preserve">m in H1 20. </w:t>
      </w:r>
      <w:r w:rsidRPr="005C5771">
        <w:rPr>
          <w:rFonts w:cs="Arial"/>
          <w:sz w:val="18"/>
          <w:szCs w:val="18"/>
        </w:rPr>
        <w:t>Adjusted Operating Profit fell by</w:t>
      </w:r>
      <w:r>
        <w:rPr>
          <w:rFonts w:cs="Arial"/>
          <w:sz w:val="18"/>
          <w:szCs w:val="18"/>
        </w:rPr>
        <w:t xml:space="preserve"> 99.5</w:t>
      </w:r>
      <w:r w:rsidRPr="005C5771">
        <w:rPr>
          <w:rFonts w:cs="Arial"/>
          <w:sz w:val="18"/>
          <w:szCs w:val="18"/>
        </w:rPr>
        <w:t>% to £</w:t>
      </w:r>
      <w:r>
        <w:rPr>
          <w:rFonts w:cs="Arial"/>
          <w:sz w:val="18"/>
          <w:szCs w:val="18"/>
        </w:rPr>
        <w:t>0.2</w:t>
      </w:r>
      <w:r w:rsidRPr="005C5771">
        <w:rPr>
          <w:rFonts w:cs="Arial"/>
          <w:sz w:val="18"/>
          <w:szCs w:val="18"/>
        </w:rPr>
        <w:t xml:space="preserve">m and Adjusted Operating Margin fell by </w:t>
      </w:r>
      <w:r>
        <w:rPr>
          <w:rFonts w:cs="Arial"/>
          <w:sz w:val="18"/>
          <w:szCs w:val="18"/>
        </w:rPr>
        <w:t>540</w:t>
      </w:r>
      <w:r w:rsidRPr="005C5771">
        <w:rPr>
          <w:rFonts w:cs="Arial"/>
          <w:sz w:val="18"/>
          <w:szCs w:val="18"/>
        </w:rPr>
        <w:t>bps to</w:t>
      </w:r>
      <w:r>
        <w:rPr>
          <w:rFonts w:cs="Arial"/>
          <w:sz w:val="18"/>
          <w:szCs w:val="18"/>
        </w:rPr>
        <w:t xml:space="preserve"> 0.0</w:t>
      </w:r>
      <w:r w:rsidRPr="005C5771">
        <w:rPr>
          <w:rFonts w:cs="Arial"/>
          <w:sz w:val="18"/>
          <w:szCs w:val="18"/>
        </w:rPr>
        <w:t>%</w:t>
      </w:r>
      <w:r w:rsidR="004A6488" w:rsidRPr="005C5771">
        <w:rPr>
          <w:rFonts w:cs="Arial"/>
          <w:sz w:val="18"/>
          <w:szCs w:val="18"/>
        </w:rPr>
        <w:t>.</w:t>
      </w:r>
      <w:r w:rsidRPr="005C5771">
        <w:rPr>
          <w:rFonts w:cs="Arial"/>
          <w:sz w:val="18"/>
          <w:szCs w:val="18"/>
        </w:rPr>
        <w:t xml:space="preserve"> </w:t>
      </w:r>
    </w:p>
    <w:p w14:paraId="3DFD31C7" w14:textId="77777777" w:rsidR="00AA12F9" w:rsidRPr="005C5771" w:rsidRDefault="00AA12F9" w:rsidP="008F0275">
      <w:pPr>
        <w:tabs>
          <w:tab w:val="left" w:pos="9356"/>
        </w:tabs>
        <w:spacing w:after="0" w:line="240" w:lineRule="auto"/>
        <w:ind w:right="-35"/>
        <w:jc w:val="both"/>
        <w:rPr>
          <w:rFonts w:cs="Arial"/>
          <w:sz w:val="18"/>
          <w:szCs w:val="18"/>
        </w:rPr>
      </w:pPr>
    </w:p>
    <w:p w14:paraId="356B7829" w14:textId="77777777" w:rsidR="00AA12F9" w:rsidRPr="004B0403" w:rsidRDefault="00AA12F9" w:rsidP="008F0275">
      <w:pPr>
        <w:tabs>
          <w:tab w:val="left" w:pos="9356"/>
        </w:tabs>
        <w:spacing w:after="0" w:line="240" w:lineRule="auto"/>
        <w:ind w:right="-35"/>
        <w:jc w:val="both"/>
        <w:rPr>
          <w:rFonts w:cs="Arial"/>
          <w:sz w:val="18"/>
          <w:szCs w:val="18"/>
        </w:rPr>
      </w:pPr>
      <w:r w:rsidRPr="005C5771">
        <w:rPr>
          <w:rFonts w:cs="Arial"/>
          <w:sz w:val="18"/>
          <w:szCs w:val="18"/>
        </w:rPr>
        <w:t>The UK trading environment remained very challenging and volatile in the period</w:t>
      </w:r>
      <w:r>
        <w:rPr>
          <w:rFonts w:cs="Arial"/>
          <w:sz w:val="18"/>
          <w:szCs w:val="18"/>
        </w:rPr>
        <w:t xml:space="preserve">. This was most marked </w:t>
      </w:r>
      <w:r w:rsidRPr="005C5771">
        <w:rPr>
          <w:rFonts w:cs="Arial"/>
          <w:sz w:val="18"/>
          <w:szCs w:val="18"/>
        </w:rPr>
        <w:t xml:space="preserve">in the Group’s food to go categories, driven by the demand impact </w:t>
      </w:r>
      <w:r>
        <w:rPr>
          <w:rFonts w:cs="Arial"/>
          <w:sz w:val="18"/>
          <w:szCs w:val="18"/>
        </w:rPr>
        <w:t xml:space="preserve">of a pronounced reduction in mobility due to extensive lockdowns and </w:t>
      </w:r>
      <w:r w:rsidRPr="005C5771">
        <w:rPr>
          <w:rFonts w:cs="Arial"/>
          <w:sz w:val="18"/>
          <w:szCs w:val="18"/>
        </w:rPr>
        <w:t>tiered restrictions across the UK for most of the first half.</w:t>
      </w:r>
      <w:r>
        <w:rPr>
          <w:rFonts w:cs="Arial"/>
          <w:sz w:val="18"/>
          <w:szCs w:val="18"/>
        </w:rPr>
        <w:t xml:space="preserve"> This was balanced to some degree by the Group’s strong market position in supplying grocery retailers, the only channel to remain substantially open in the period.</w:t>
      </w:r>
      <w:r w:rsidRPr="007052B0">
        <w:rPr>
          <w:rFonts w:cs="Arial"/>
          <w:sz w:val="18"/>
          <w:szCs w:val="18"/>
        </w:rPr>
        <w:t xml:space="preserve"> </w:t>
      </w:r>
      <w:r w:rsidRPr="00C75A4D">
        <w:rPr>
          <w:rFonts w:cs="Arial"/>
          <w:sz w:val="18"/>
          <w:szCs w:val="18"/>
        </w:rPr>
        <w:t xml:space="preserve">New business </w:t>
      </w:r>
      <w:r w:rsidRPr="001F1616">
        <w:rPr>
          <w:rFonts w:cs="Arial"/>
          <w:sz w:val="18"/>
          <w:szCs w:val="18"/>
        </w:rPr>
        <w:t>contributed modestly to Group revenue</w:t>
      </w:r>
      <w:r w:rsidRPr="004B0403">
        <w:rPr>
          <w:rFonts w:cs="Arial"/>
          <w:sz w:val="18"/>
          <w:szCs w:val="18"/>
        </w:rPr>
        <w:t xml:space="preserve"> performance in the period.</w:t>
      </w:r>
    </w:p>
    <w:p w14:paraId="76ED80B4" w14:textId="77777777" w:rsidR="00AA12F9" w:rsidRPr="00F55D04" w:rsidRDefault="00AA12F9" w:rsidP="008F0275">
      <w:pPr>
        <w:tabs>
          <w:tab w:val="left" w:pos="9356"/>
        </w:tabs>
        <w:spacing w:after="0" w:line="240" w:lineRule="auto"/>
        <w:ind w:right="-35"/>
        <w:jc w:val="both"/>
        <w:rPr>
          <w:rFonts w:cs="Arial"/>
          <w:sz w:val="18"/>
          <w:szCs w:val="18"/>
        </w:rPr>
      </w:pPr>
    </w:p>
    <w:p w14:paraId="106F61FE" w14:textId="77777777" w:rsidR="00AA12F9" w:rsidRPr="004B0403" w:rsidRDefault="00AA12F9" w:rsidP="008F0275">
      <w:pPr>
        <w:tabs>
          <w:tab w:val="left" w:pos="9356"/>
        </w:tabs>
        <w:spacing w:after="0" w:line="240" w:lineRule="auto"/>
        <w:ind w:right="-35"/>
        <w:jc w:val="both"/>
        <w:rPr>
          <w:rFonts w:cs="Arial"/>
          <w:sz w:val="18"/>
          <w:szCs w:val="18"/>
        </w:rPr>
      </w:pPr>
      <w:r w:rsidRPr="004B0403">
        <w:rPr>
          <w:rFonts w:cs="Arial"/>
          <w:sz w:val="18"/>
          <w:szCs w:val="18"/>
        </w:rPr>
        <w:t>In the Group’s food to go categories (comprising sandwiches, salads, sushi and chilled snacking) reported revenue was £3</w:t>
      </w:r>
      <w:r w:rsidR="002655F1" w:rsidRPr="004B0403">
        <w:rPr>
          <w:rFonts w:cs="Arial"/>
          <w:sz w:val="18"/>
          <w:szCs w:val="18"/>
        </w:rPr>
        <w:t>39.2</w:t>
      </w:r>
      <w:r w:rsidRPr="004B0403">
        <w:rPr>
          <w:rFonts w:cs="Arial"/>
          <w:sz w:val="18"/>
          <w:szCs w:val="18"/>
        </w:rPr>
        <w:t xml:space="preserve">m in H1 21, a decrease of </w:t>
      </w:r>
      <w:r w:rsidR="002655F1" w:rsidRPr="004B0403">
        <w:rPr>
          <w:rFonts w:cs="Arial"/>
          <w:sz w:val="18"/>
          <w:szCs w:val="18"/>
        </w:rPr>
        <w:t>25.6</w:t>
      </w:r>
      <w:r w:rsidRPr="004B0403">
        <w:rPr>
          <w:rFonts w:cs="Arial"/>
          <w:sz w:val="18"/>
          <w:szCs w:val="18"/>
        </w:rPr>
        <w:t>% on both a reported and pro forma basis. The impact was most marked in Q2 21 when the most severe mobility restrictions were imposed.</w:t>
      </w:r>
      <w:r w:rsidRPr="004B0403">
        <w:t xml:space="preserve"> </w:t>
      </w:r>
      <w:r w:rsidRPr="004B0403">
        <w:rPr>
          <w:rFonts w:cs="Arial"/>
          <w:sz w:val="18"/>
          <w:szCs w:val="18"/>
        </w:rPr>
        <w:t xml:space="preserve">Pro forma revenue for food to go categories was approximately </w:t>
      </w:r>
      <w:r w:rsidR="002655F1" w:rsidRPr="004B0403">
        <w:rPr>
          <w:rFonts w:cs="Arial"/>
          <w:sz w:val="18"/>
          <w:szCs w:val="18"/>
        </w:rPr>
        <w:t>30</w:t>
      </w:r>
      <w:r w:rsidRPr="004B0403">
        <w:rPr>
          <w:rFonts w:cs="Arial"/>
          <w:sz w:val="18"/>
          <w:szCs w:val="18"/>
        </w:rPr>
        <w:t>% below prior year levels in Q2, compared to a 22% reduction in Q1. This revenue trajectory improved towards the end of Q2 as the economy started to reopen, with March levels approximately 1</w:t>
      </w:r>
      <w:r w:rsidR="005275C9">
        <w:rPr>
          <w:rFonts w:cs="Arial"/>
          <w:sz w:val="18"/>
          <w:szCs w:val="18"/>
        </w:rPr>
        <w:t>9</w:t>
      </w:r>
      <w:r w:rsidRPr="00F55D04">
        <w:rPr>
          <w:rFonts w:cs="Arial"/>
          <w:sz w:val="18"/>
          <w:szCs w:val="18"/>
        </w:rPr>
        <w:t>%</w:t>
      </w:r>
      <w:r w:rsidRPr="004B0403">
        <w:rPr>
          <w:rFonts w:cs="Arial"/>
          <w:sz w:val="18"/>
          <w:szCs w:val="18"/>
        </w:rPr>
        <w:t xml:space="preserve"> below prior year levels. </w:t>
      </w:r>
    </w:p>
    <w:p w14:paraId="1C0F16A1" w14:textId="77777777" w:rsidR="00AA12F9" w:rsidRPr="004B0403" w:rsidRDefault="00AA12F9" w:rsidP="008F0275">
      <w:pPr>
        <w:tabs>
          <w:tab w:val="left" w:pos="9356"/>
        </w:tabs>
        <w:spacing w:after="0" w:line="240" w:lineRule="auto"/>
        <w:ind w:right="-35"/>
        <w:jc w:val="both"/>
        <w:rPr>
          <w:rFonts w:cs="Arial"/>
          <w:sz w:val="18"/>
          <w:szCs w:val="18"/>
        </w:rPr>
      </w:pPr>
    </w:p>
    <w:p w14:paraId="09E3F1AA" w14:textId="77777777" w:rsidR="00AA12F9" w:rsidRPr="004B0403" w:rsidRDefault="00AA12F9" w:rsidP="008F0275">
      <w:pPr>
        <w:tabs>
          <w:tab w:val="left" w:pos="9356"/>
        </w:tabs>
        <w:spacing w:after="0" w:line="240" w:lineRule="auto"/>
        <w:ind w:right="-35"/>
        <w:jc w:val="both"/>
      </w:pPr>
      <w:r w:rsidRPr="004B0403">
        <w:rPr>
          <w:rFonts w:cs="Arial"/>
          <w:sz w:val="18"/>
          <w:szCs w:val="18"/>
        </w:rPr>
        <w:lastRenderedPageBreak/>
        <w:t xml:space="preserve">Revenue for the distribution of third party products accounted for approximately </w:t>
      </w:r>
      <w:r w:rsidR="00C312EA">
        <w:rPr>
          <w:rFonts w:cs="Arial"/>
          <w:sz w:val="18"/>
          <w:szCs w:val="18"/>
        </w:rPr>
        <w:t>8</w:t>
      </w:r>
      <w:r w:rsidRPr="00F55D04">
        <w:rPr>
          <w:rFonts w:cs="Arial"/>
          <w:sz w:val="18"/>
          <w:szCs w:val="18"/>
        </w:rPr>
        <w:t>%</w:t>
      </w:r>
      <w:r w:rsidRPr="004B0403">
        <w:rPr>
          <w:rFonts w:cs="Arial"/>
          <w:sz w:val="18"/>
          <w:szCs w:val="18"/>
        </w:rPr>
        <w:t xml:space="preserve"> of Group revenue in H1 21, supported by the impact of the Group’s new business activity that </w:t>
      </w:r>
      <w:r w:rsidR="004A6488" w:rsidRPr="004B0403">
        <w:rPr>
          <w:rFonts w:cs="Arial"/>
          <w:sz w:val="18"/>
          <w:szCs w:val="18"/>
        </w:rPr>
        <w:t xml:space="preserve">is expected to </w:t>
      </w:r>
      <w:r w:rsidRPr="004B0403">
        <w:rPr>
          <w:rFonts w:cs="Arial"/>
          <w:sz w:val="18"/>
          <w:szCs w:val="18"/>
        </w:rPr>
        <w:t xml:space="preserve">contribute more meaningfully in future periods. </w:t>
      </w:r>
    </w:p>
    <w:p w14:paraId="08BAABB3" w14:textId="77777777" w:rsidR="00AA12F9" w:rsidRPr="00F55D04" w:rsidRDefault="00AA12F9" w:rsidP="008F0275">
      <w:pPr>
        <w:tabs>
          <w:tab w:val="left" w:pos="9356"/>
        </w:tabs>
        <w:spacing w:after="0" w:line="240" w:lineRule="auto"/>
        <w:ind w:right="-35"/>
        <w:jc w:val="both"/>
        <w:rPr>
          <w:rFonts w:cs="Arial"/>
          <w:sz w:val="18"/>
          <w:szCs w:val="18"/>
        </w:rPr>
      </w:pPr>
    </w:p>
    <w:p w14:paraId="7C59BA8E" w14:textId="77777777" w:rsidR="00AA12F9" w:rsidRPr="004B0403" w:rsidRDefault="00AA12F9" w:rsidP="008F0275">
      <w:pPr>
        <w:tabs>
          <w:tab w:val="left" w:pos="9356"/>
        </w:tabs>
        <w:spacing w:after="0" w:line="240" w:lineRule="auto"/>
        <w:ind w:right="-35"/>
        <w:jc w:val="both"/>
        <w:rPr>
          <w:rFonts w:cs="Arial"/>
          <w:sz w:val="18"/>
          <w:szCs w:val="18"/>
        </w:rPr>
      </w:pPr>
      <w:r w:rsidRPr="004B0403">
        <w:rPr>
          <w:rFonts w:cs="Arial"/>
          <w:sz w:val="18"/>
          <w:szCs w:val="18"/>
        </w:rPr>
        <w:t xml:space="preserve">The Group’s other convenience categories comprise activities in the chilled ready meals, chilled soups and sauces, chilled quiche, ambient sauces and pickles, and frozen Yorkshire Pudding categories, as well as Irish ingredients trading businesses. Reported revenue across these businesses decreased by 7.4% to £237.9m in H1 21. Pro forma revenue decreased by 5.6%, after adjusting for movements in foreign exchange and for the disposal of the Group’s molasses businesses in Q1 21. This was driven by a reduction in ready meals revenue, notably in Q2 when compared to the increased COVID-19 related demand in the prior year. Revenue in the Group’s remaining Irish ingredients trading business also declined in H1 21, reflecting lower volumes. </w:t>
      </w:r>
    </w:p>
    <w:p w14:paraId="1956D332" w14:textId="77777777" w:rsidR="00AA12F9" w:rsidRPr="00F55D04" w:rsidRDefault="00AA12F9" w:rsidP="008F0275">
      <w:pPr>
        <w:tabs>
          <w:tab w:val="left" w:pos="9356"/>
        </w:tabs>
        <w:spacing w:after="0" w:line="240" w:lineRule="auto"/>
        <w:ind w:right="-35"/>
        <w:jc w:val="both"/>
        <w:rPr>
          <w:rFonts w:cs="Arial"/>
          <w:sz w:val="18"/>
          <w:szCs w:val="18"/>
        </w:rPr>
      </w:pPr>
    </w:p>
    <w:p w14:paraId="32F0F783" w14:textId="77777777" w:rsidR="00AA12F9" w:rsidRPr="004B0403" w:rsidRDefault="00AA12F9" w:rsidP="008F0275">
      <w:pPr>
        <w:tabs>
          <w:tab w:val="left" w:pos="9356"/>
        </w:tabs>
        <w:spacing w:after="0" w:line="240" w:lineRule="auto"/>
        <w:ind w:right="-35"/>
        <w:jc w:val="both"/>
        <w:rPr>
          <w:rFonts w:cs="Arial"/>
          <w:sz w:val="18"/>
          <w:szCs w:val="18"/>
        </w:rPr>
      </w:pPr>
      <w:r w:rsidRPr="004B0403">
        <w:rPr>
          <w:rFonts w:cs="Arial"/>
          <w:sz w:val="18"/>
          <w:szCs w:val="18"/>
        </w:rPr>
        <w:t xml:space="preserve">Inflation trends in the Group’s main UK cost components were as anticipated. Raw material and packaging costs inflation was </w:t>
      </w:r>
      <w:r w:rsidR="00FC3A67" w:rsidRPr="004B0403">
        <w:rPr>
          <w:rFonts w:cs="Arial"/>
          <w:sz w:val="18"/>
          <w:szCs w:val="18"/>
        </w:rPr>
        <w:t xml:space="preserve">approximately </w:t>
      </w:r>
      <w:r w:rsidR="00FC3A67" w:rsidRPr="00F55D04">
        <w:rPr>
          <w:rFonts w:cs="Arial"/>
          <w:sz w:val="18"/>
          <w:szCs w:val="18"/>
        </w:rPr>
        <w:t>1</w:t>
      </w:r>
      <w:r w:rsidRPr="00F55D04">
        <w:rPr>
          <w:rFonts w:cs="Arial"/>
          <w:sz w:val="18"/>
          <w:szCs w:val="18"/>
        </w:rPr>
        <w:t>%</w:t>
      </w:r>
      <w:r w:rsidRPr="004B0403">
        <w:rPr>
          <w:rFonts w:cs="Arial"/>
          <w:sz w:val="18"/>
          <w:szCs w:val="18"/>
        </w:rPr>
        <w:t xml:space="preserve"> in H1 21. Direct labour inflation was approximately </w:t>
      </w:r>
      <w:r w:rsidR="006137AE">
        <w:rPr>
          <w:rFonts w:cs="Arial"/>
          <w:sz w:val="18"/>
          <w:szCs w:val="18"/>
        </w:rPr>
        <w:t>4</w:t>
      </w:r>
      <w:r w:rsidRPr="00F55D04">
        <w:rPr>
          <w:rFonts w:cs="Arial"/>
          <w:sz w:val="18"/>
          <w:szCs w:val="18"/>
        </w:rPr>
        <w:t>%.</w:t>
      </w:r>
      <w:r w:rsidRPr="004B0403">
        <w:rPr>
          <w:rFonts w:cs="Arial"/>
          <w:sz w:val="18"/>
          <w:szCs w:val="18"/>
        </w:rPr>
        <w:t xml:space="preserve"> </w:t>
      </w:r>
    </w:p>
    <w:p w14:paraId="615427F7" w14:textId="77777777" w:rsidR="00AA12F9" w:rsidRPr="00F55D04" w:rsidRDefault="00AA12F9" w:rsidP="008F0275">
      <w:pPr>
        <w:tabs>
          <w:tab w:val="left" w:pos="9356"/>
        </w:tabs>
        <w:spacing w:after="0" w:line="240" w:lineRule="auto"/>
        <w:ind w:right="-35"/>
        <w:jc w:val="both"/>
        <w:rPr>
          <w:rFonts w:cs="Arial"/>
          <w:sz w:val="18"/>
          <w:szCs w:val="18"/>
        </w:rPr>
      </w:pPr>
    </w:p>
    <w:p w14:paraId="748E2497" w14:textId="77777777" w:rsidR="00AA12F9" w:rsidRDefault="00AA12F9" w:rsidP="008F0275">
      <w:pPr>
        <w:tabs>
          <w:tab w:val="left" w:pos="9356"/>
        </w:tabs>
        <w:spacing w:after="0" w:line="240" w:lineRule="auto"/>
        <w:ind w:right="-35"/>
        <w:jc w:val="both"/>
        <w:rPr>
          <w:rFonts w:cs="Arial"/>
          <w:sz w:val="18"/>
          <w:szCs w:val="18"/>
        </w:rPr>
      </w:pPr>
      <w:r w:rsidRPr="00C75A4D">
        <w:rPr>
          <w:rFonts w:cs="Arial"/>
          <w:sz w:val="18"/>
          <w:szCs w:val="18"/>
        </w:rPr>
        <w:t>Overall, Group Operating Profit decreased from £35.6m to £</w:t>
      </w:r>
      <w:r>
        <w:rPr>
          <w:rFonts w:cs="Arial"/>
          <w:sz w:val="18"/>
          <w:szCs w:val="18"/>
        </w:rPr>
        <w:t>3.9</w:t>
      </w:r>
      <w:r w:rsidRPr="00C75A4D">
        <w:rPr>
          <w:rFonts w:cs="Arial"/>
          <w:sz w:val="18"/>
          <w:szCs w:val="18"/>
        </w:rPr>
        <w:t>m</w:t>
      </w:r>
      <w:r>
        <w:rPr>
          <w:rFonts w:cs="Arial"/>
          <w:sz w:val="18"/>
          <w:szCs w:val="18"/>
        </w:rPr>
        <w:t xml:space="preserve"> for the period</w:t>
      </w:r>
      <w:r w:rsidRPr="00C75A4D">
        <w:rPr>
          <w:rFonts w:cs="Arial"/>
          <w:sz w:val="18"/>
          <w:szCs w:val="18"/>
        </w:rPr>
        <w:t>. Adjusted Operating Profit declined by £</w:t>
      </w:r>
      <w:r>
        <w:rPr>
          <w:rFonts w:cs="Arial"/>
          <w:sz w:val="18"/>
          <w:szCs w:val="18"/>
        </w:rPr>
        <w:t>38.1</w:t>
      </w:r>
      <w:r w:rsidRPr="00C75A4D">
        <w:rPr>
          <w:rFonts w:cs="Arial"/>
          <w:sz w:val="18"/>
          <w:szCs w:val="18"/>
        </w:rPr>
        <w:t>m to £</w:t>
      </w:r>
      <w:r>
        <w:rPr>
          <w:rFonts w:cs="Arial"/>
          <w:sz w:val="18"/>
          <w:szCs w:val="18"/>
        </w:rPr>
        <w:t>0.2</w:t>
      </w:r>
      <w:r w:rsidRPr="00C75A4D">
        <w:rPr>
          <w:rFonts w:cs="Arial"/>
          <w:sz w:val="18"/>
          <w:szCs w:val="18"/>
        </w:rPr>
        <w:t xml:space="preserve">m. This decline was driven </w:t>
      </w:r>
      <w:r>
        <w:rPr>
          <w:rFonts w:cs="Arial"/>
          <w:sz w:val="18"/>
          <w:szCs w:val="18"/>
        </w:rPr>
        <w:t xml:space="preserve">by </w:t>
      </w:r>
      <w:r w:rsidRPr="00C75A4D">
        <w:rPr>
          <w:rFonts w:cs="Arial"/>
          <w:sz w:val="18"/>
          <w:szCs w:val="18"/>
        </w:rPr>
        <w:t>the significant revenue reduction in food to go categories</w:t>
      </w:r>
      <w:r w:rsidR="007F633E">
        <w:rPr>
          <w:rFonts w:cs="Arial"/>
          <w:sz w:val="18"/>
          <w:szCs w:val="18"/>
        </w:rPr>
        <w:t xml:space="preserve"> as outlined above</w:t>
      </w:r>
      <w:r w:rsidRPr="00C75A4D">
        <w:rPr>
          <w:rFonts w:cs="Arial"/>
          <w:sz w:val="18"/>
          <w:szCs w:val="18"/>
        </w:rPr>
        <w:t xml:space="preserve">, which was only partly offset by associated cost mitigating measures. </w:t>
      </w:r>
      <w:r>
        <w:rPr>
          <w:rFonts w:cs="Arial"/>
          <w:sz w:val="18"/>
          <w:szCs w:val="18"/>
        </w:rPr>
        <w:t>Underlying p</w:t>
      </w:r>
      <w:r w:rsidRPr="00C75A4D">
        <w:rPr>
          <w:rFonts w:cs="Arial"/>
          <w:sz w:val="18"/>
          <w:szCs w:val="18"/>
        </w:rPr>
        <w:t xml:space="preserve">rofitability in the Group’s other convenience categories </w:t>
      </w:r>
      <w:r>
        <w:rPr>
          <w:rFonts w:cs="Arial"/>
          <w:sz w:val="18"/>
          <w:szCs w:val="18"/>
        </w:rPr>
        <w:t>was broadly unchanged</w:t>
      </w:r>
      <w:r w:rsidRPr="00C75A4D">
        <w:rPr>
          <w:rFonts w:cs="Arial"/>
          <w:sz w:val="18"/>
          <w:szCs w:val="18"/>
        </w:rPr>
        <w:t xml:space="preserve"> in H1 21</w:t>
      </w:r>
      <w:r>
        <w:rPr>
          <w:rFonts w:cs="Arial"/>
          <w:sz w:val="18"/>
          <w:szCs w:val="18"/>
        </w:rPr>
        <w:t>.</w:t>
      </w:r>
    </w:p>
    <w:p w14:paraId="0C1EAA59" w14:textId="77777777" w:rsidR="00AA12F9" w:rsidRDefault="00AA12F9" w:rsidP="008F0275">
      <w:pPr>
        <w:tabs>
          <w:tab w:val="left" w:pos="9356"/>
        </w:tabs>
        <w:spacing w:after="0" w:line="240" w:lineRule="auto"/>
        <w:ind w:right="-35"/>
        <w:jc w:val="both"/>
        <w:rPr>
          <w:rFonts w:cs="Arial"/>
          <w:sz w:val="18"/>
          <w:szCs w:val="18"/>
        </w:rPr>
      </w:pPr>
    </w:p>
    <w:p w14:paraId="0F79C49E" w14:textId="77777777" w:rsidR="00AA12F9" w:rsidRPr="001F1616" w:rsidRDefault="00AA12F9" w:rsidP="008F0275">
      <w:pPr>
        <w:tabs>
          <w:tab w:val="left" w:pos="9356"/>
        </w:tabs>
        <w:spacing w:after="0" w:line="240" w:lineRule="auto"/>
        <w:ind w:right="-35"/>
        <w:jc w:val="both"/>
        <w:rPr>
          <w:rFonts w:cs="Arial"/>
          <w:sz w:val="18"/>
          <w:szCs w:val="18"/>
        </w:rPr>
      </w:pPr>
      <w:r w:rsidRPr="001F1616">
        <w:rPr>
          <w:sz w:val="18"/>
          <w:szCs w:val="18"/>
        </w:rPr>
        <w:t xml:space="preserve">Adjusted Operating Profit </w:t>
      </w:r>
      <w:r w:rsidRPr="001F1616">
        <w:rPr>
          <w:rFonts w:cs="Arial"/>
          <w:sz w:val="18"/>
          <w:szCs w:val="18"/>
        </w:rPr>
        <w:t>is after charging £</w:t>
      </w:r>
      <w:r w:rsidR="00F76F75" w:rsidRPr="001F1616">
        <w:rPr>
          <w:rFonts w:cs="Arial"/>
          <w:sz w:val="18"/>
          <w:szCs w:val="18"/>
        </w:rPr>
        <w:t>4.8</w:t>
      </w:r>
      <w:r w:rsidRPr="001F1616">
        <w:rPr>
          <w:rFonts w:cs="Arial"/>
          <w:sz w:val="18"/>
          <w:szCs w:val="18"/>
        </w:rPr>
        <w:t>m of COVID-19 related operating costs. These operating costs primarily comprise £</w:t>
      </w:r>
      <w:r w:rsidR="00F76F75" w:rsidRPr="001F1616">
        <w:rPr>
          <w:rFonts w:cs="Arial"/>
          <w:sz w:val="18"/>
          <w:szCs w:val="18"/>
        </w:rPr>
        <w:t>2.9</w:t>
      </w:r>
      <w:r w:rsidRPr="001F1616">
        <w:rPr>
          <w:rFonts w:cs="Arial"/>
          <w:sz w:val="18"/>
          <w:szCs w:val="18"/>
        </w:rPr>
        <w:t>m of incremental costs relating to furloughed colleagues, and £</w:t>
      </w:r>
      <w:r w:rsidR="00F76F75" w:rsidRPr="001F1616">
        <w:rPr>
          <w:rFonts w:cs="Arial"/>
          <w:sz w:val="18"/>
          <w:szCs w:val="18"/>
        </w:rPr>
        <w:t>1.9</w:t>
      </w:r>
      <w:r w:rsidRPr="001F1616">
        <w:rPr>
          <w:rFonts w:cs="Arial"/>
          <w:sz w:val="18"/>
          <w:szCs w:val="18"/>
        </w:rPr>
        <w:t xml:space="preserve">m of other costs </w:t>
      </w:r>
      <w:r w:rsidR="00F76F75" w:rsidRPr="001F1616">
        <w:rPr>
          <w:rFonts w:cs="Arial"/>
          <w:sz w:val="18"/>
          <w:szCs w:val="18"/>
        </w:rPr>
        <w:t xml:space="preserve">including those </w:t>
      </w:r>
      <w:r w:rsidRPr="001F1616">
        <w:rPr>
          <w:rFonts w:cs="Arial"/>
          <w:sz w:val="18"/>
          <w:szCs w:val="18"/>
        </w:rPr>
        <w:t xml:space="preserve">incurred to reconfigure production areas and implement measures to ensure safe working and social distancing. </w:t>
      </w:r>
    </w:p>
    <w:p w14:paraId="4D78A249" w14:textId="77777777" w:rsidR="006137AE" w:rsidRPr="001F1616" w:rsidRDefault="006137AE" w:rsidP="008F0275">
      <w:pPr>
        <w:tabs>
          <w:tab w:val="left" w:pos="9356"/>
        </w:tabs>
        <w:spacing w:after="0" w:line="240" w:lineRule="auto"/>
        <w:ind w:right="-35"/>
        <w:jc w:val="both"/>
        <w:rPr>
          <w:rFonts w:cs="Arial"/>
          <w:sz w:val="18"/>
          <w:szCs w:val="18"/>
        </w:rPr>
      </w:pPr>
    </w:p>
    <w:p w14:paraId="27F6AFE6" w14:textId="77777777" w:rsidR="006137AE" w:rsidRPr="00701FC1" w:rsidRDefault="006137AE" w:rsidP="008F0275">
      <w:pPr>
        <w:tabs>
          <w:tab w:val="left" w:pos="9356"/>
        </w:tabs>
        <w:spacing w:after="0" w:line="240" w:lineRule="auto"/>
        <w:ind w:right="-35"/>
        <w:jc w:val="both"/>
        <w:rPr>
          <w:rFonts w:cs="Arial"/>
          <w:sz w:val="18"/>
          <w:szCs w:val="18"/>
        </w:rPr>
      </w:pPr>
      <w:r w:rsidRPr="001F1616">
        <w:rPr>
          <w:rFonts w:cs="Arial"/>
          <w:sz w:val="18"/>
          <w:szCs w:val="18"/>
        </w:rPr>
        <w:t xml:space="preserve">In H1 21 the Group received UK Government assistance of </w:t>
      </w:r>
      <w:r w:rsidR="00F76F75" w:rsidRPr="001F1616">
        <w:rPr>
          <w:rFonts w:cs="Arial"/>
          <w:sz w:val="18"/>
          <w:szCs w:val="18"/>
        </w:rPr>
        <w:t>£7.1</w:t>
      </w:r>
      <w:r w:rsidRPr="001F1616">
        <w:rPr>
          <w:rFonts w:cs="Arial"/>
          <w:sz w:val="18"/>
          <w:szCs w:val="18"/>
        </w:rPr>
        <w:t>m under the Coronavirus Job Retention Scheme.</w:t>
      </w:r>
    </w:p>
    <w:p w14:paraId="3DC6DB2E" w14:textId="77777777" w:rsidR="00AA12F9" w:rsidRPr="00502725" w:rsidRDefault="00AA12F9" w:rsidP="008F0275">
      <w:pPr>
        <w:tabs>
          <w:tab w:val="left" w:pos="9356"/>
        </w:tabs>
        <w:spacing w:after="0" w:line="240" w:lineRule="auto"/>
        <w:ind w:right="-35"/>
        <w:jc w:val="both"/>
        <w:rPr>
          <w:rFonts w:cs="Arial"/>
          <w:b/>
          <w:sz w:val="18"/>
          <w:szCs w:val="18"/>
        </w:rPr>
      </w:pPr>
    </w:p>
    <w:p w14:paraId="10D33846" w14:textId="77777777" w:rsidR="00AA12F9" w:rsidRPr="00502725" w:rsidRDefault="00AA12F9" w:rsidP="008F0275">
      <w:pPr>
        <w:tabs>
          <w:tab w:val="left" w:pos="9356"/>
        </w:tabs>
        <w:spacing w:after="0" w:line="240" w:lineRule="auto"/>
        <w:ind w:right="-35"/>
        <w:jc w:val="both"/>
        <w:rPr>
          <w:rFonts w:cs="Arial"/>
          <w:b/>
          <w:sz w:val="18"/>
          <w:szCs w:val="18"/>
        </w:rPr>
      </w:pPr>
      <w:r>
        <w:rPr>
          <w:rFonts w:cs="Arial"/>
          <w:b/>
          <w:sz w:val="18"/>
          <w:szCs w:val="18"/>
        </w:rPr>
        <w:t>Brexit</w:t>
      </w:r>
    </w:p>
    <w:p w14:paraId="122290A0" w14:textId="77777777" w:rsidR="00AA12F9" w:rsidRPr="00502725" w:rsidRDefault="00AA12F9" w:rsidP="008F0275">
      <w:pPr>
        <w:tabs>
          <w:tab w:val="left" w:pos="9356"/>
        </w:tabs>
        <w:spacing w:after="0" w:line="240" w:lineRule="auto"/>
        <w:ind w:right="-35"/>
        <w:jc w:val="both"/>
        <w:rPr>
          <w:rFonts w:cs="Arial"/>
          <w:b/>
          <w:sz w:val="18"/>
          <w:szCs w:val="18"/>
        </w:rPr>
      </w:pPr>
    </w:p>
    <w:p w14:paraId="531310A2" w14:textId="203462A4" w:rsidR="00AA12F9" w:rsidRDefault="00AA12F9" w:rsidP="008F0275">
      <w:pPr>
        <w:tabs>
          <w:tab w:val="num" w:pos="426"/>
          <w:tab w:val="left" w:pos="9356"/>
        </w:tabs>
        <w:spacing w:after="0" w:line="240" w:lineRule="auto"/>
        <w:ind w:right="-35"/>
        <w:jc w:val="both"/>
        <w:rPr>
          <w:rFonts w:cs="Arial"/>
          <w:sz w:val="18"/>
          <w:szCs w:val="18"/>
        </w:rPr>
      </w:pPr>
      <w:r w:rsidRPr="005C5771">
        <w:rPr>
          <w:rFonts w:cs="Arial"/>
          <w:sz w:val="18"/>
          <w:szCs w:val="18"/>
        </w:rPr>
        <w:t xml:space="preserve">The </w:t>
      </w:r>
      <w:r w:rsidR="004A6488">
        <w:rPr>
          <w:rFonts w:cs="Arial"/>
          <w:sz w:val="18"/>
          <w:szCs w:val="18"/>
        </w:rPr>
        <w:t>Trade and Cooperation</w:t>
      </w:r>
      <w:r w:rsidRPr="005C5771">
        <w:rPr>
          <w:rFonts w:cs="Arial"/>
          <w:sz w:val="18"/>
          <w:szCs w:val="18"/>
        </w:rPr>
        <w:t xml:space="preserve"> </w:t>
      </w:r>
      <w:r w:rsidR="004A6488">
        <w:rPr>
          <w:rFonts w:cs="Arial"/>
          <w:sz w:val="18"/>
          <w:szCs w:val="18"/>
        </w:rPr>
        <w:t>A</w:t>
      </w:r>
      <w:r w:rsidRPr="005C5771">
        <w:rPr>
          <w:rFonts w:cs="Arial"/>
          <w:sz w:val="18"/>
          <w:szCs w:val="18"/>
        </w:rPr>
        <w:t xml:space="preserve">greement negotiated between the EU and the UK </w:t>
      </w:r>
      <w:r w:rsidR="004A6488">
        <w:rPr>
          <w:rFonts w:cs="Arial"/>
          <w:sz w:val="18"/>
          <w:szCs w:val="18"/>
        </w:rPr>
        <w:t xml:space="preserve">was applied provisionally from 1 January 2021 and </w:t>
      </w:r>
      <w:r w:rsidRPr="005C5771">
        <w:rPr>
          <w:rFonts w:cs="Arial"/>
          <w:sz w:val="18"/>
          <w:szCs w:val="18"/>
        </w:rPr>
        <w:t xml:space="preserve">entered into force </w:t>
      </w:r>
      <w:r w:rsidR="004A6488">
        <w:rPr>
          <w:rFonts w:cs="Arial"/>
          <w:sz w:val="18"/>
          <w:szCs w:val="18"/>
        </w:rPr>
        <w:t xml:space="preserve">from 1 May </w:t>
      </w:r>
      <w:r w:rsidRPr="005C5771">
        <w:rPr>
          <w:rFonts w:cs="Arial"/>
          <w:sz w:val="18"/>
          <w:szCs w:val="18"/>
        </w:rPr>
        <w:t>2021. The operational and financial impact on the Group in H</w:t>
      </w:r>
      <w:r>
        <w:rPr>
          <w:rFonts w:cs="Arial"/>
          <w:sz w:val="18"/>
          <w:szCs w:val="18"/>
        </w:rPr>
        <w:t>1</w:t>
      </w:r>
      <w:r w:rsidRPr="005C5771">
        <w:rPr>
          <w:rFonts w:cs="Arial"/>
          <w:sz w:val="18"/>
          <w:szCs w:val="18"/>
        </w:rPr>
        <w:t xml:space="preserve"> 21 was minimal</w:t>
      </w:r>
      <w:r>
        <w:rPr>
          <w:rFonts w:cs="Arial"/>
          <w:sz w:val="18"/>
          <w:szCs w:val="18"/>
        </w:rPr>
        <w:t xml:space="preserve"> and is anticipated to remain so in the second half of the year</w:t>
      </w:r>
      <w:r w:rsidRPr="005C5771">
        <w:rPr>
          <w:rFonts w:cs="Arial"/>
          <w:sz w:val="18"/>
          <w:szCs w:val="18"/>
        </w:rPr>
        <w:t xml:space="preserve">. </w:t>
      </w:r>
    </w:p>
    <w:p w14:paraId="14B8E4CE" w14:textId="77777777" w:rsidR="00874753" w:rsidRPr="00502725" w:rsidRDefault="00874753" w:rsidP="008F0275">
      <w:pPr>
        <w:tabs>
          <w:tab w:val="num" w:pos="426"/>
          <w:tab w:val="left" w:pos="9356"/>
        </w:tabs>
        <w:spacing w:after="0" w:line="240" w:lineRule="auto"/>
        <w:ind w:right="-35"/>
        <w:jc w:val="both"/>
        <w:rPr>
          <w:rFonts w:cs="Arial"/>
          <w:sz w:val="18"/>
          <w:szCs w:val="18"/>
        </w:rPr>
      </w:pPr>
    </w:p>
    <w:p w14:paraId="1D71EDC5" w14:textId="77777777" w:rsidR="00AA12F9" w:rsidRPr="00502725" w:rsidRDefault="00AA12F9" w:rsidP="008F0275">
      <w:pPr>
        <w:tabs>
          <w:tab w:val="left" w:pos="9356"/>
        </w:tabs>
        <w:spacing w:after="0" w:line="240" w:lineRule="auto"/>
        <w:jc w:val="both"/>
        <w:rPr>
          <w:rFonts w:cs="Arial"/>
          <w:b/>
          <w:sz w:val="18"/>
          <w:szCs w:val="18"/>
          <w:u w:val="single"/>
        </w:rPr>
      </w:pPr>
      <w:r w:rsidRPr="00502725">
        <w:rPr>
          <w:rFonts w:cs="Arial"/>
          <w:b/>
          <w:sz w:val="18"/>
          <w:szCs w:val="18"/>
          <w:u w:val="single"/>
        </w:rPr>
        <w:t>Group Cash Flow and Returns</w:t>
      </w:r>
    </w:p>
    <w:p w14:paraId="36BB6D04" w14:textId="77777777" w:rsidR="00AA12F9" w:rsidRPr="00502725" w:rsidRDefault="00AA12F9" w:rsidP="003235E7">
      <w:pPr>
        <w:spacing w:after="0" w:line="240" w:lineRule="auto"/>
        <w:jc w:val="both"/>
        <w:rPr>
          <w:rFonts w:cs="Arial"/>
          <w:b/>
          <w:bCs/>
          <w:sz w:val="18"/>
          <w:szCs w:val="18"/>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134"/>
        <w:gridCol w:w="1134"/>
        <w:gridCol w:w="1275"/>
      </w:tblGrid>
      <w:tr w:rsidR="00AA12F9" w:rsidRPr="00502725" w14:paraId="048BAC6F" w14:textId="77777777" w:rsidTr="003235E7">
        <w:trPr>
          <w:jc w:val="center"/>
        </w:trPr>
        <w:tc>
          <w:tcPr>
            <w:tcW w:w="3823" w:type="dxa"/>
          </w:tcPr>
          <w:p w14:paraId="4F52131C" w14:textId="77777777" w:rsidR="00AA12F9" w:rsidRPr="00502725" w:rsidRDefault="00AA12F9" w:rsidP="003235E7">
            <w:pPr>
              <w:spacing w:after="0" w:line="240" w:lineRule="auto"/>
              <w:jc w:val="both"/>
              <w:rPr>
                <w:rFonts w:cs="Arial"/>
                <w:b/>
                <w:sz w:val="18"/>
                <w:szCs w:val="18"/>
                <w:lang w:val="en-US"/>
              </w:rPr>
            </w:pPr>
          </w:p>
        </w:tc>
        <w:tc>
          <w:tcPr>
            <w:tcW w:w="1134" w:type="dxa"/>
            <w:hideMark/>
          </w:tcPr>
          <w:p w14:paraId="1AB3FF27" w14:textId="77777777" w:rsidR="00AA12F9" w:rsidRPr="00502725" w:rsidRDefault="00AA12F9" w:rsidP="003235E7">
            <w:pPr>
              <w:spacing w:after="0" w:line="240" w:lineRule="auto"/>
              <w:jc w:val="right"/>
              <w:rPr>
                <w:rFonts w:cs="Arial"/>
                <w:b/>
                <w:sz w:val="18"/>
                <w:szCs w:val="18"/>
                <w:lang w:val="en-US"/>
              </w:rPr>
            </w:pPr>
            <w:r>
              <w:rPr>
                <w:rFonts w:cs="Arial"/>
                <w:b/>
                <w:sz w:val="18"/>
                <w:szCs w:val="18"/>
                <w:lang w:val="en-US"/>
              </w:rPr>
              <w:t>H1 21</w:t>
            </w:r>
          </w:p>
          <w:p w14:paraId="065036D1"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£m</w:t>
            </w:r>
          </w:p>
        </w:tc>
        <w:tc>
          <w:tcPr>
            <w:tcW w:w="1134" w:type="dxa"/>
            <w:hideMark/>
          </w:tcPr>
          <w:p w14:paraId="4E539384" w14:textId="77777777" w:rsidR="00AA12F9" w:rsidRPr="00502725" w:rsidRDefault="00AA12F9" w:rsidP="003235E7">
            <w:pPr>
              <w:spacing w:after="0" w:line="240" w:lineRule="auto"/>
              <w:jc w:val="right"/>
              <w:rPr>
                <w:rFonts w:cs="Arial"/>
                <w:b/>
                <w:sz w:val="18"/>
                <w:szCs w:val="18"/>
                <w:lang w:val="en-US"/>
              </w:rPr>
            </w:pPr>
            <w:r>
              <w:rPr>
                <w:rFonts w:cs="Arial"/>
                <w:b/>
                <w:sz w:val="18"/>
                <w:szCs w:val="18"/>
                <w:lang w:val="en-US"/>
              </w:rPr>
              <w:t>H1 20</w:t>
            </w:r>
          </w:p>
          <w:p w14:paraId="774F1381"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£m</w:t>
            </w:r>
          </w:p>
        </w:tc>
        <w:tc>
          <w:tcPr>
            <w:tcW w:w="1275" w:type="dxa"/>
            <w:hideMark/>
          </w:tcPr>
          <w:p w14:paraId="2FAC32ED" w14:textId="77777777" w:rsidR="003235E7" w:rsidRDefault="00AA12F9" w:rsidP="003235E7">
            <w:pPr>
              <w:spacing w:after="0" w:line="240" w:lineRule="auto"/>
              <w:jc w:val="right"/>
              <w:rPr>
                <w:rFonts w:cs="Arial"/>
                <w:b/>
                <w:sz w:val="18"/>
                <w:szCs w:val="18"/>
                <w:lang w:val="en-US"/>
              </w:rPr>
            </w:pPr>
            <w:r w:rsidRPr="00502725">
              <w:rPr>
                <w:rFonts w:cs="Arial"/>
                <w:b/>
                <w:sz w:val="18"/>
                <w:szCs w:val="18"/>
                <w:lang w:val="en-US"/>
              </w:rPr>
              <w:t xml:space="preserve">Change </w:t>
            </w:r>
          </w:p>
          <w:p w14:paraId="7C2A79B2" w14:textId="77777777" w:rsidR="00AA12F9" w:rsidRPr="00502725" w:rsidRDefault="00AA12F9" w:rsidP="003235E7">
            <w:pPr>
              <w:spacing w:after="0" w:line="240" w:lineRule="auto"/>
              <w:jc w:val="right"/>
              <w:rPr>
                <w:rFonts w:cs="Arial"/>
                <w:b/>
                <w:sz w:val="18"/>
                <w:szCs w:val="18"/>
                <w:lang w:val="en-US"/>
              </w:rPr>
            </w:pPr>
            <w:r w:rsidRPr="00502725">
              <w:rPr>
                <w:rFonts w:cs="Arial"/>
                <w:b/>
                <w:sz w:val="18"/>
                <w:szCs w:val="18"/>
                <w:lang w:val="en-US"/>
              </w:rPr>
              <w:t>(as reported)</w:t>
            </w:r>
          </w:p>
        </w:tc>
      </w:tr>
      <w:tr w:rsidR="00AA12F9" w:rsidRPr="00502725" w14:paraId="3D43851E" w14:textId="77777777" w:rsidTr="003235E7">
        <w:trPr>
          <w:jc w:val="center"/>
        </w:trPr>
        <w:tc>
          <w:tcPr>
            <w:tcW w:w="3823" w:type="dxa"/>
          </w:tcPr>
          <w:p w14:paraId="7D62E115" w14:textId="77777777" w:rsidR="00AA12F9" w:rsidRPr="00502725" w:rsidRDefault="00AA12F9" w:rsidP="003235E7">
            <w:pPr>
              <w:spacing w:after="0" w:line="240" w:lineRule="auto"/>
              <w:jc w:val="both"/>
              <w:rPr>
                <w:rFonts w:cs="Arial"/>
                <w:sz w:val="18"/>
                <w:szCs w:val="18"/>
                <w:lang w:val="en-US"/>
              </w:rPr>
            </w:pPr>
            <w:r w:rsidRPr="00502725">
              <w:rPr>
                <w:rFonts w:cs="Arial"/>
                <w:sz w:val="18"/>
                <w:szCs w:val="18"/>
                <w:lang w:val="en-US"/>
              </w:rPr>
              <w:t>Free Cash Flow</w:t>
            </w:r>
          </w:p>
        </w:tc>
        <w:tc>
          <w:tcPr>
            <w:tcW w:w="1134" w:type="dxa"/>
          </w:tcPr>
          <w:p w14:paraId="5561DCC3" w14:textId="77777777" w:rsidR="00AA12F9" w:rsidRPr="00502725" w:rsidRDefault="00AA12F9" w:rsidP="003235E7">
            <w:pPr>
              <w:spacing w:after="0" w:line="240" w:lineRule="auto"/>
              <w:jc w:val="right"/>
              <w:rPr>
                <w:rFonts w:cs="Arial"/>
                <w:sz w:val="18"/>
                <w:szCs w:val="18"/>
                <w:lang w:val="en-US"/>
              </w:rPr>
            </w:pPr>
            <w:r>
              <w:rPr>
                <w:rFonts w:cs="Arial"/>
                <w:sz w:val="18"/>
                <w:szCs w:val="18"/>
                <w:lang w:val="en-US"/>
              </w:rPr>
              <w:t>(23.6)</w:t>
            </w:r>
          </w:p>
        </w:tc>
        <w:tc>
          <w:tcPr>
            <w:tcW w:w="1134" w:type="dxa"/>
          </w:tcPr>
          <w:p w14:paraId="265F01AE" w14:textId="77777777" w:rsidR="00AA12F9" w:rsidRPr="00DF3BF8" w:rsidRDefault="00AA12F9" w:rsidP="003235E7">
            <w:pPr>
              <w:spacing w:after="0" w:line="240" w:lineRule="auto"/>
              <w:jc w:val="right"/>
              <w:rPr>
                <w:rFonts w:cs="Arial"/>
                <w:sz w:val="18"/>
                <w:szCs w:val="18"/>
                <w:lang w:val="en-US"/>
              </w:rPr>
            </w:pPr>
            <w:r w:rsidRPr="001142F2">
              <w:rPr>
                <w:rFonts w:cs="Arial"/>
                <w:sz w:val="18"/>
                <w:szCs w:val="18"/>
                <w:lang w:val="en-US"/>
              </w:rPr>
              <w:t>2.6</w:t>
            </w:r>
          </w:p>
        </w:tc>
        <w:tc>
          <w:tcPr>
            <w:tcW w:w="1275" w:type="dxa"/>
          </w:tcPr>
          <w:p w14:paraId="25D025B6" w14:textId="77777777" w:rsidR="00AA12F9" w:rsidRPr="00502725" w:rsidRDefault="00AA12F9" w:rsidP="007F633E">
            <w:pPr>
              <w:spacing w:after="0" w:line="240" w:lineRule="auto"/>
              <w:jc w:val="right"/>
              <w:rPr>
                <w:rFonts w:cs="Arial"/>
                <w:sz w:val="18"/>
                <w:szCs w:val="18"/>
                <w:lang w:val="en-US"/>
              </w:rPr>
            </w:pPr>
            <w:r>
              <w:rPr>
                <w:rFonts w:cs="Arial"/>
                <w:sz w:val="18"/>
                <w:szCs w:val="18"/>
                <w:lang w:val="en-US"/>
              </w:rPr>
              <w:t>-£</w:t>
            </w:r>
            <w:r w:rsidR="007F633E">
              <w:rPr>
                <w:rFonts w:cs="Arial"/>
                <w:sz w:val="18"/>
                <w:szCs w:val="18"/>
                <w:lang w:val="en-US"/>
              </w:rPr>
              <w:t>26</w:t>
            </w:r>
            <w:r>
              <w:rPr>
                <w:rFonts w:cs="Arial"/>
                <w:sz w:val="18"/>
                <w:szCs w:val="18"/>
                <w:lang w:val="en-US"/>
              </w:rPr>
              <w:t>.2</w:t>
            </w:r>
            <w:r w:rsidRPr="00502725">
              <w:rPr>
                <w:rFonts w:cs="Arial"/>
                <w:sz w:val="18"/>
                <w:szCs w:val="18"/>
                <w:lang w:val="en-US"/>
              </w:rPr>
              <w:t>m</w:t>
            </w:r>
          </w:p>
        </w:tc>
      </w:tr>
      <w:tr w:rsidR="006137AE" w:rsidRPr="00502725" w14:paraId="3FC5C89B" w14:textId="77777777" w:rsidTr="001F1616">
        <w:trPr>
          <w:jc w:val="center"/>
        </w:trPr>
        <w:tc>
          <w:tcPr>
            <w:tcW w:w="3823" w:type="dxa"/>
          </w:tcPr>
          <w:p w14:paraId="6256AD1C" w14:textId="77777777" w:rsidR="006137AE" w:rsidRPr="00502725" w:rsidRDefault="006137AE" w:rsidP="006137AE">
            <w:pPr>
              <w:spacing w:after="0" w:line="240" w:lineRule="auto"/>
              <w:jc w:val="both"/>
              <w:rPr>
                <w:rFonts w:cs="Arial"/>
                <w:sz w:val="18"/>
                <w:szCs w:val="18"/>
                <w:lang w:val="en-US"/>
              </w:rPr>
            </w:pPr>
            <w:r>
              <w:rPr>
                <w:rFonts w:cs="Arial"/>
                <w:sz w:val="18"/>
                <w:szCs w:val="18"/>
                <w:lang w:val="en-US"/>
              </w:rPr>
              <w:t>Net Debt</w:t>
            </w:r>
          </w:p>
        </w:tc>
        <w:tc>
          <w:tcPr>
            <w:tcW w:w="1134" w:type="dxa"/>
          </w:tcPr>
          <w:p w14:paraId="323BE383" w14:textId="77777777" w:rsidR="006137AE" w:rsidRDefault="006137AE" w:rsidP="006137AE">
            <w:pPr>
              <w:spacing w:after="0" w:line="240" w:lineRule="auto"/>
              <w:jc w:val="right"/>
              <w:rPr>
                <w:rFonts w:cs="Arial"/>
                <w:sz w:val="18"/>
                <w:szCs w:val="18"/>
                <w:lang w:val="en-US"/>
              </w:rPr>
            </w:pPr>
            <w:r>
              <w:rPr>
                <w:rFonts w:cs="Arial"/>
                <w:bCs/>
                <w:sz w:val="18"/>
                <w:szCs w:val="18"/>
                <w:lang w:val="en-US"/>
              </w:rPr>
              <w:t>332.1</w:t>
            </w:r>
          </w:p>
        </w:tc>
        <w:tc>
          <w:tcPr>
            <w:tcW w:w="1134" w:type="dxa"/>
            <w:vAlign w:val="center"/>
          </w:tcPr>
          <w:p w14:paraId="3E93F859" w14:textId="77777777" w:rsidR="006137AE" w:rsidRPr="001142F2" w:rsidRDefault="006137AE" w:rsidP="006137AE">
            <w:pPr>
              <w:spacing w:after="0" w:line="240" w:lineRule="auto"/>
              <w:jc w:val="right"/>
              <w:rPr>
                <w:rFonts w:cs="Arial"/>
                <w:sz w:val="18"/>
                <w:szCs w:val="18"/>
                <w:lang w:val="en-US"/>
              </w:rPr>
            </w:pPr>
            <w:r>
              <w:rPr>
                <w:rFonts w:cs="Arial"/>
                <w:sz w:val="18"/>
                <w:szCs w:val="18"/>
                <w:lang w:val="en-US"/>
              </w:rPr>
              <w:t>374.4</w:t>
            </w:r>
          </w:p>
        </w:tc>
        <w:tc>
          <w:tcPr>
            <w:tcW w:w="1275" w:type="dxa"/>
          </w:tcPr>
          <w:p w14:paraId="4DAB4D6A" w14:textId="77777777" w:rsidR="006137AE" w:rsidRDefault="006137AE" w:rsidP="006137AE">
            <w:pPr>
              <w:spacing w:after="0" w:line="240" w:lineRule="auto"/>
              <w:jc w:val="right"/>
              <w:rPr>
                <w:rFonts w:cs="Arial"/>
                <w:sz w:val="18"/>
                <w:szCs w:val="18"/>
                <w:lang w:val="en-US"/>
              </w:rPr>
            </w:pPr>
          </w:p>
        </w:tc>
      </w:tr>
      <w:tr w:rsidR="006137AE" w:rsidRPr="00502725" w14:paraId="22B95F5B" w14:textId="77777777" w:rsidTr="003235E7">
        <w:trPr>
          <w:jc w:val="center"/>
        </w:trPr>
        <w:tc>
          <w:tcPr>
            <w:tcW w:w="3823" w:type="dxa"/>
            <w:hideMark/>
          </w:tcPr>
          <w:p w14:paraId="21ADA7C5" w14:textId="77777777" w:rsidR="006137AE" w:rsidRPr="00502725" w:rsidRDefault="006137AE" w:rsidP="006137AE">
            <w:pPr>
              <w:spacing w:after="0" w:line="240" w:lineRule="auto"/>
              <w:jc w:val="both"/>
              <w:rPr>
                <w:rFonts w:cs="Arial"/>
                <w:sz w:val="18"/>
                <w:szCs w:val="18"/>
                <w:lang w:val="en-US"/>
              </w:rPr>
            </w:pPr>
            <w:r w:rsidRPr="00502725">
              <w:rPr>
                <w:rFonts w:cs="Arial"/>
                <w:sz w:val="18"/>
                <w:szCs w:val="18"/>
                <w:lang w:val="en-US"/>
              </w:rPr>
              <w:t>Net Debt</w:t>
            </w:r>
            <w:r>
              <w:rPr>
                <w:rFonts w:cs="Arial"/>
                <w:sz w:val="18"/>
                <w:szCs w:val="18"/>
                <w:lang w:val="en-US"/>
              </w:rPr>
              <w:t xml:space="preserve"> (excluding lease liabilities)</w:t>
            </w:r>
          </w:p>
        </w:tc>
        <w:tc>
          <w:tcPr>
            <w:tcW w:w="1134" w:type="dxa"/>
          </w:tcPr>
          <w:p w14:paraId="1E09F2A8" w14:textId="77777777" w:rsidR="006137AE" w:rsidRPr="00502725" w:rsidRDefault="006137AE" w:rsidP="006137AE">
            <w:pPr>
              <w:spacing w:after="0" w:line="240" w:lineRule="auto"/>
              <w:jc w:val="right"/>
              <w:rPr>
                <w:rFonts w:cs="Arial"/>
                <w:sz w:val="18"/>
                <w:szCs w:val="18"/>
                <w:lang w:val="en-US"/>
              </w:rPr>
            </w:pPr>
            <w:r>
              <w:rPr>
                <w:rFonts w:cs="Arial"/>
                <w:sz w:val="18"/>
                <w:szCs w:val="18"/>
                <w:lang w:val="en-US"/>
              </w:rPr>
              <w:t>271.3</w:t>
            </w:r>
          </w:p>
        </w:tc>
        <w:tc>
          <w:tcPr>
            <w:tcW w:w="1134" w:type="dxa"/>
          </w:tcPr>
          <w:p w14:paraId="7EAED272" w14:textId="77777777" w:rsidR="006137AE" w:rsidRPr="00502725" w:rsidRDefault="006137AE" w:rsidP="006137AE">
            <w:pPr>
              <w:spacing w:after="0" w:line="240" w:lineRule="auto"/>
              <w:jc w:val="right"/>
              <w:rPr>
                <w:rFonts w:cs="Arial"/>
                <w:sz w:val="18"/>
                <w:szCs w:val="18"/>
                <w:lang w:val="en-US"/>
              </w:rPr>
            </w:pPr>
            <w:r w:rsidRPr="003C7BC3">
              <w:rPr>
                <w:rFonts w:cs="Arial"/>
                <w:sz w:val="18"/>
                <w:szCs w:val="18"/>
                <w:lang w:val="en-US"/>
              </w:rPr>
              <w:t>311.1</w:t>
            </w:r>
          </w:p>
        </w:tc>
        <w:tc>
          <w:tcPr>
            <w:tcW w:w="1275" w:type="dxa"/>
          </w:tcPr>
          <w:p w14:paraId="13CC6131" w14:textId="77777777" w:rsidR="006137AE" w:rsidRPr="00502725" w:rsidRDefault="006137AE" w:rsidP="006137AE">
            <w:pPr>
              <w:spacing w:after="0" w:line="240" w:lineRule="auto"/>
              <w:jc w:val="right"/>
              <w:rPr>
                <w:rFonts w:cs="Arial"/>
                <w:sz w:val="18"/>
                <w:szCs w:val="18"/>
                <w:lang w:val="en-US"/>
              </w:rPr>
            </w:pPr>
          </w:p>
        </w:tc>
      </w:tr>
      <w:tr w:rsidR="006137AE" w:rsidRPr="00502725" w14:paraId="564281EB" w14:textId="77777777" w:rsidTr="003235E7">
        <w:trPr>
          <w:jc w:val="center"/>
        </w:trPr>
        <w:tc>
          <w:tcPr>
            <w:tcW w:w="3823" w:type="dxa"/>
          </w:tcPr>
          <w:p w14:paraId="3C8BF5A2" w14:textId="77777777" w:rsidR="006137AE" w:rsidRPr="00502725" w:rsidRDefault="006137AE" w:rsidP="006137AE">
            <w:pPr>
              <w:spacing w:after="0" w:line="240" w:lineRule="auto"/>
              <w:jc w:val="both"/>
              <w:rPr>
                <w:rFonts w:cs="Arial"/>
                <w:sz w:val="18"/>
                <w:szCs w:val="18"/>
                <w:lang w:val="en-US"/>
              </w:rPr>
            </w:pPr>
            <w:r w:rsidRPr="00502725">
              <w:rPr>
                <w:rFonts w:cs="Arial"/>
                <w:sz w:val="18"/>
                <w:szCs w:val="18"/>
                <w:lang w:val="en-US"/>
              </w:rPr>
              <w:t>Net Debt:EBITDA as per financing agreements</w:t>
            </w:r>
          </w:p>
        </w:tc>
        <w:tc>
          <w:tcPr>
            <w:tcW w:w="1134" w:type="dxa"/>
          </w:tcPr>
          <w:p w14:paraId="605B1DF1" w14:textId="77777777" w:rsidR="006137AE" w:rsidRPr="001F1616" w:rsidRDefault="006137AE">
            <w:pPr>
              <w:spacing w:after="0" w:line="240" w:lineRule="auto"/>
              <w:jc w:val="right"/>
              <w:rPr>
                <w:rFonts w:cs="Arial"/>
                <w:sz w:val="18"/>
                <w:szCs w:val="18"/>
                <w:lang w:val="en-US"/>
              </w:rPr>
            </w:pPr>
            <w:r w:rsidRPr="001F1616">
              <w:rPr>
                <w:rFonts w:cs="Arial"/>
                <w:sz w:val="18"/>
                <w:szCs w:val="18"/>
                <w:lang w:val="en-US"/>
              </w:rPr>
              <w:t>7.</w:t>
            </w:r>
            <w:r w:rsidR="006245C4" w:rsidRPr="001F1616">
              <w:rPr>
                <w:rFonts w:cs="Arial"/>
                <w:sz w:val="18"/>
                <w:szCs w:val="18"/>
                <w:lang w:val="en-US"/>
              </w:rPr>
              <w:t>2</w:t>
            </w:r>
            <w:r w:rsidRPr="001F1616">
              <w:rPr>
                <w:rFonts w:cs="Arial"/>
                <w:sz w:val="18"/>
                <w:szCs w:val="18"/>
                <w:lang w:val="en-US"/>
              </w:rPr>
              <w:t>x</w:t>
            </w:r>
          </w:p>
        </w:tc>
        <w:tc>
          <w:tcPr>
            <w:tcW w:w="1134" w:type="dxa"/>
          </w:tcPr>
          <w:p w14:paraId="22989B71" w14:textId="77777777" w:rsidR="006137AE" w:rsidRPr="00502725" w:rsidRDefault="006137AE" w:rsidP="006137AE">
            <w:pPr>
              <w:spacing w:after="0" w:line="240" w:lineRule="auto"/>
              <w:jc w:val="right"/>
              <w:rPr>
                <w:rFonts w:cs="Arial"/>
                <w:sz w:val="18"/>
                <w:szCs w:val="18"/>
                <w:lang w:val="en-US"/>
              </w:rPr>
            </w:pPr>
            <w:r>
              <w:rPr>
                <w:rFonts w:cs="Arial"/>
                <w:sz w:val="18"/>
                <w:szCs w:val="18"/>
                <w:lang w:val="en-US"/>
              </w:rPr>
              <w:t>2.1</w:t>
            </w:r>
            <w:r w:rsidRPr="003C7BC3">
              <w:rPr>
                <w:rFonts w:cs="Arial"/>
                <w:sz w:val="18"/>
                <w:szCs w:val="18"/>
                <w:lang w:val="en-US"/>
              </w:rPr>
              <w:t>x</w:t>
            </w:r>
          </w:p>
        </w:tc>
        <w:tc>
          <w:tcPr>
            <w:tcW w:w="1275" w:type="dxa"/>
          </w:tcPr>
          <w:p w14:paraId="538FFF50" w14:textId="77777777" w:rsidR="006137AE" w:rsidRPr="00502725" w:rsidRDefault="006137AE" w:rsidP="006137AE">
            <w:pPr>
              <w:spacing w:after="0" w:line="240" w:lineRule="auto"/>
              <w:jc w:val="right"/>
              <w:rPr>
                <w:rFonts w:cs="Arial"/>
                <w:sz w:val="18"/>
                <w:szCs w:val="18"/>
                <w:lang w:val="en-US"/>
              </w:rPr>
            </w:pPr>
          </w:p>
        </w:tc>
      </w:tr>
      <w:tr w:rsidR="006137AE" w:rsidRPr="00502725" w14:paraId="4F2C6AD9" w14:textId="77777777" w:rsidTr="003235E7">
        <w:trPr>
          <w:jc w:val="center"/>
        </w:trPr>
        <w:tc>
          <w:tcPr>
            <w:tcW w:w="3823" w:type="dxa"/>
            <w:hideMark/>
          </w:tcPr>
          <w:p w14:paraId="507EF6C0" w14:textId="77777777" w:rsidR="006137AE" w:rsidRPr="00502725" w:rsidRDefault="006137AE" w:rsidP="006137AE">
            <w:pPr>
              <w:spacing w:after="0" w:line="240" w:lineRule="auto"/>
              <w:jc w:val="both"/>
              <w:rPr>
                <w:rFonts w:cs="Arial"/>
                <w:sz w:val="18"/>
                <w:szCs w:val="18"/>
                <w:lang w:val="en-US"/>
              </w:rPr>
            </w:pPr>
            <w:r w:rsidRPr="00502725">
              <w:rPr>
                <w:rFonts w:cs="Arial"/>
                <w:sz w:val="18"/>
                <w:szCs w:val="18"/>
                <w:lang w:val="en-US"/>
              </w:rPr>
              <w:t xml:space="preserve">ROIC </w:t>
            </w:r>
          </w:p>
        </w:tc>
        <w:tc>
          <w:tcPr>
            <w:tcW w:w="1134" w:type="dxa"/>
          </w:tcPr>
          <w:p w14:paraId="31CD108C" w14:textId="77777777" w:rsidR="006137AE" w:rsidRPr="00502725" w:rsidRDefault="006137AE" w:rsidP="006137AE">
            <w:pPr>
              <w:spacing w:after="0" w:line="240" w:lineRule="auto"/>
              <w:jc w:val="right"/>
              <w:rPr>
                <w:rFonts w:cs="Arial"/>
                <w:sz w:val="18"/>
                <w:szCs w:val="18"/>
                <w:lang w:val="en-US"/>
              </w:rPr>
            </w:pPr>
            <w:r>
              <w:rPr>
                <w:rFonts w:cs="Arial"/>
                <w:sz w:val="18"/>
                <w:szCs w:val="18"/>
                <w:lang w:val="en-US"/>
              </w:rPr>
              <w:t>(0.6)%</w:t>
            </w:r>
          </w:p>
        </w:tc>
        <w:tc>
          <w:tcPr>
            <w:tcW w:w="1134" w:type="dxa"/>
          </w:tcPr>
          <w:p w14:paraId="23009ACF" w14:textId="77777777" w:rsidR="006137AE" w:rsidRPr="00502725" w:rsidRDefault="006137AE" w:rsidP="006137AE">
            <w:pPr>
              <w:spacing w:after="0" w:line="240" w:lineRule="auto"/>
              <w:jc w:val="right"/>
              <w:rPr>
                <w:rFonts w:cs="Arial"/>
                <w:sz w:val="18"/>
                <w:szCs w:val="18"/>
                <w:lang w:val="en-US"/>
              </w:rPr>
            </w:pPr>
            <w:r>
              <w:rPr>
                <w:rFonts w:cs="Arial"/>
                <w:sz w:val="18"/>
                <w:szCs w:val="18"/>
                <w:lang w:val="en-US"/>
              </w:rPr>
              <w:t>12.3</w:t>
            </w:r>
            <w:r w:rsidRPr="003C7BC3">
              <w:rPr>
                <w:rFonts w:cs="Arial"/>
                <w:sz w:val="18"/>
                <w:szCs w:val="18"/>
                <w:lang w:val="en-US"/>
              </w:rPr>
              <w:t>%</w:t>
            </w:r>
          </w:p>
        </w:tc>
        <w:tc>
          <w:tcPr>
            <w:tcW w:w="1275" w:type="dxa"/>
          </w:tcPr>
          <w:p w14:paraId="693FC9C5" w14:textId="77777777" w:rsidR="006137AE" w:rsidRPr="00502725" w:rsidRDefault="006137AE" w:rsidP="006137AE">
            <w:pPr>
              <w:spacing w:after="0" w:line="240" w:lineRule="auto"/>
              <w:jc w:val="right"/>
              <w:rPr>
                <w:rFonts w:cs="Arial"/>
                <w:sz w:val="18"/>
                <w:szCs w:val="18"/>
                <w:lang w:val="en-US"/>
              </w:rPr>
            </w:pPr>
          </w:p>
        </w:tc>
      </w:tr>
    </w:tbl>
    <w:p w14:paraId="760BF054" w14:textId="77777777" w:rsidR="00AA12F9" w:rsidRPr="00502725" w:rsidRDefault="00AA12F9" w:rsidP="003235E7">
      <w:pPr>
        <w:spacing w:after="0" w:line="240" w:lineRule="auto"/>
        <w:jc w:val="both"/>
        <w:rPr>
          <w:rFonts w:cs="Arial"/>
          <w:sz w:val="18"/>
          <w:szCs w:val="18"/>
        </w:rPr>
      </w:pPr>
    </w:p>
    <w:p w14:paraId="430FBD21" w14:textId="77777777" w:rsidR="00AA12F9" w:rsidRPr="00502725" w:rsidRDefault="00AA12F9" w:rsidP="008F0275">
      <w:pPr>
        <w:spacing w:after="0" w:line="240" w:lineRule="auto"/>
        <w:jc w:val="both"/>
        <w:rPr>
          <w:rFonts w:cs="Arial"/>
          <w:b/>
          <w:sz w:val="18"/>
          <w:szCs w:val="18"/>
        </w:rPr>
      </w:pPr>
    </w:p>
    <w:p w14:paraId="4DD76325" w14:textId="77777777" w:rsidR="00AA12F9" w:rsidRPr="00502725" w:rsidRDefault="00AA12F9" w:rsidP="008F0275">
      <w:pPr>
        <w:spacing w:after="0" w:line="240" w:lineRule="auto"/>
        <w:ind w:right="-35"/>
        <w:jc w:val="both"/>
        <w:rPr>
          <w:rFonts w:cs="Arial"/>
          <w:b/>
          <w:sz w:val="18"/>
          <w:szCs w:val="18"/>
        </w:rPr>
      </w:pPr>
      <w:r w:rsidRPr="00502725">
        <w:rPr>
          <w:rFonts w:cs="Arial"/>
          <w:b/>
          <w:sz w:val="18"/>
          <w:szCs w:val="18"/>
        </w:rPr>
        <w:t xml:space="preserve">Strategic developments </w:t>
      </w:r>
    </w:p>
    <w:p w14:paraId="5B035935" w14:textId="77777777" w:rsidR="00AA12F9" w:rsidRPr="00502725" w:rsidRDefault="00AA12F9" w:rsidP="008F0275">
      <w:pPr>
        <w:spacing w:after="0" w:line="240" w:lineRule="auto"/>
        <w:ind w:right="-35"/>
        <w:jc w:val="both"/>
        <w:rPr>
          <w:rFonts w:cs="Arial"/>
          <w:sz w:val="18"/>
          <w:szCs w:val="18"/>
        </w:rPr>
      </w:pPr>
    </w:p>
    <w:p w14:paraId="2A822D22" w14:textId="77777777" w:rsidR="00611AA5" w:rsidRDefault="00AA12F9" w:rsidP="008F0275">
      <w:pPr>
        <w:adjustRightInd w:val="0"/>
        <w:spacing w:after="0" w:line="240" w:lineRule="auto"/>
        <w:ind w:right="-35"/>
        <w:jc w:val="both"/>
        <w:rPr>
          <w:sz w:val="18"/>
          <w:szCs w:val="18"/>
        </w:rPr>
      </w:pPr>
      <w:r w:rsidRPr="00701FC1">
        <w:rPr>
          <w:sz w:val="18"/>
          <w:szCs w:val="18"/>
        </w:rPr>
        <w:t xml:space="preserve">The Group implemented a comprehensive suite of operational, debt and equity measures in H1 21 that are designed to protect and support the business as it moves into future growth. </w:t>
      </w:r>
      <w:r w:rsidR="00611AA5">
        <w:rPr>
          <w:sz w:val="18"/>
          <w:szCs w:val="18"/>
        </w:rPr>
        <w:t>As a result, in H1 21 t</w:t>
      </w:r>
      <w:r w:rsidR="00611AA5" w:rsidRPr="00701FC1">
        <w:rPr>
          <w:sz w:val="18"/>
          <w:szCs w:val="18"/>
        </w:rPr>
        <w:t xml:space="preserve">he Group’s liquidity position has strengthened and Net Debt has decreased. </w:t>
      </w:r>
    </w:p>
    <w:p w14:paraId="5F0A33E3" w14:textId="77777777" w:rsidR="00AA12F9" w:rsidRPr="00701FC1" w:rsidRDefault="00AA12F9" w:rsidP="008F0275">
      <w:pPr>
        <w:adjustRightInd w:val="0"/>
        <w:spacing w:after="0" w:line="240" w:lineRule="auto"/>
        <w:ind w:right="-35"/>
        <w:jc w:val="both"/>
        <w:rPr>
          <w:sz w:val="18"/>
          <w:szCs w:val="18"/>
        </w:rPr>
      </w:pPr>
    </w:p>
    <w:p w14:paraId="257570B2" w14:textId="77777777" w:rsidR="00AA12F9" w:rsidRPr="00701FC1" w:rsidRDefault="00AA12F9" w:rsidP="008F0275">
      <w:pPr>
        <w:adjustRightInd w:val="0"/>
        <w:spacing w:after="0" w:line="240" w:lineRule="auto"/>
        <w:ind w:right="-35"/>
        <w:jc w:val="both"/>
        <w:rPr>
          <w:sz w:val="18"/>
          <w:szCs w:val="18"/>
        </w:rPr>
      </w:pPr>
      <w:r>
        <w:rPr>
          <w:sz w:val="18"/>
          <w:szCs w:val="18"/>
        </w:rPr>
        <w:t>T</w:t>
      </w:r>
      <w:r w:rsidRPr="00701FC1">
        <w:rPr>
          <w:sz w:val="18"/>
          <w:szCs w:val="18"/>
        </w:rPr>
        <w:t xml:space="preserve">he Group applied a range of mitigating actions to manage cash outflows during the period, including a reduction in budgeted capital expenditure, a further deferral of cash contributions to the Group’s defined benefit pension schemes, and the suspension of dividend payments. </w:t>
      </w:r>
    </w:p>
    <w:p w14:paraId="25711F5A" w14:textId="77777777" w:rsidR="00AA12F9" w:rsidRPr="00701FC1" w:rsidRDefault="00AA12F9" w:rsidP="008F0275">
      <w:pPr>
        <w:adjustRightInd w:val="0"/>
        <w:spacing w:after="0" w:line="240" w:lineRule="auto"/>
        <w:ind w:right="-35"/>
        <w:jc w:val="both"/>
        <w:rPr>
          <w:sz w:val="18"/>
          <w:szCs w:val="18"/>
        </w:rPr>
      </w:pPr>
    </w:p>
    <w:p w14:paraId="7FCC8C7E" w14:textId="77777777" w:rsidR="00AA12F9" w:rsidRPr="008F6AD2" w:rsidRDefault="00AA12F9" w:rsidP="008F0275">
      <w:pPr>
        <w:adjustRightInd w:val="0"/>
        <w:spacing w:after="0" w:line="240" w:lineRule="auto"/>
        <w:ind w:right="-35"/>
        <w:jc w:val="both"/>
        <w:rPr>
          <w:sz w:val="18"/>
          <w:szCs w:val="18"/>
        </w:rPr>
      </w:pPr>
      <w:r w:rsidRPr="008F6AD2">
        <w:rPr>
          <w:sz w:val="18"/>
          <w:szCs w:val="18"/>
        </w:rPr>
        <w:t>As previously announced, the Group</w:t>
      </w:r>
      <w:r>
        <w:rPr>
          <w:sz w:val="18"/>
          <w:szCs w:val="18"/>
        </w:rPr>
        <w:t xml:space="preserve"> also</w:t>
      </w:r>
      <w:r w:rsidRPr="008F6AD2">
        <w:rPr>
          <w:sz w:val="18"/>
          <w:szCs w:val="18"/>
        </w:rPr>
        <w:t xml:space="preserve"> secured agreement with its bank lending syndicate in May 2020 and its Private Placement Note Holders in July 2020 to waive the Net Debt: EBITDA covenant condition for the September 2020 and March 2021 test periods. In November 2020 the Group secured further support from its bank lending syndicate and its Private Placement Note holders. Of the key features, the Group:</w:t>
      </w:r>
    </w:p>
    <w:p w14:paraId="6536C4F1" w14:textId="77777777" w:rsidR="00AA12F9" w:rsidRPr="008F6AD2" w:rsidRDefault="00AA12F9" w:rsidP="008F0275">
      <w:pPr>
        <w:adjustRightInd w:val="0"/>
        <w:spacing w:after="0" w:line="240" w:lineRule="auto"/>
        <w:ind w:right="-35"/>
        <w:jc w:val="both"/>
        <w:rPr>
          <w:sz w:val="18"/>
          <w:szCs w:val="18"/>
        </w:rPr>
      </w:pPr>
    </w:p>
    <w:p w14:paraId="012E4578" w14:textId="77777777" w:rsidR="00AA12F9" w:rsidRPr="008F6AD2" w:rsidRDefault="00AA12F9" w:rsidP="008F0275">
      <w:pPr>
        <w:pStyle w:val="ListParagraph"/>
        <w:widowControl w:val="0"/>
        <w:numPr>
          <w:ilvl w:val="0"/>
          <w:numId w:val="16"/>
        </w:numPr>
        <w:autoSpaceDE w:val="0"/>
        <w:autoSpaceDN w:val="0"/>
        <w:adjustRightInd w:val="0"/>
        <w:spacing w:after="0" w:line="240" w:lineRule="auto"/>
        <w:ind w:left="426" w:right="-35"/>
        <w:contextualSpacing w:val="0"/>
        <w:jc w:val="both"/>
        <w:rPr>
          <w:sz w:val="18"/>
          <w:szCs w:val="18"/>
        </w:rPr>
      </w:pPr>
      <w:r w:rsidRPr="008F6AD2">
        <w:rPr>
          <w:sz w:val="18"/>
          <w:szCs w:val="18"/>
        </w:rPr>
        <w:t>Extended the maturity of its £75m revolving credit bank facility by two years to March 2023;</w:t>
      </w:r>
    </w:p>
    <w:p w14:paraId="672BBFFE" w14:textId="77777777" w:rsidR="00AA12F9" w:rsidRPr="008F6AD2" w:rsidRDefault="00AA12F9" w:rsidP="008F0275">
      <w:pPr>
        <w:pStyle w:val="ListParagraph"/>
        <w:widowControl w:val="0"/>
        <w:numPr>
          <w:ilvl w:val="0"/>
          <w:numId w:val="15"/>
        </w:numPr>
        <w:autoSpaceDE w:val="0"/>
        <w:autoSpaceDN w:val="0"/>
        <w:adjustRightInd w:val="0"/>
        <w:spacing w:after="0" w:line="240" w:lineRule="auto"/>
        <w:ind w:left="426" w:right="-35"/>
        <w:contextualSpacing w:val="0"/>
        <w:jc w:val="both"/>
        <w:rPr>
          <w:sz w:val="18"/>
          <w:szCs w:val="18"/>
        </w:rPr>
      </w:pPr>
      <w:r w:rsidRPr="008F6AD2">
        <w:rPr>
          <w:sz w:val="18"/>
          <w:szCs w:val="18"/>
        </w:rPr>
        <w:t>Refinanced the Group’s £50m bilateral loan for a new three year term maturing in January 2024;</w:t>
      </w:r>
    </w:p>
    <w:p w14:paraId="14716458" w14:textId="77777777" w:rsidR="00AA12F9" w:rsidRPr="008F6AD2" w:rsidRDefault="00AA12F9" w:rsidP="008F0275">
      <w:pPr>
        <w:pStyle w:val="ListParagraph"/>
        <w:widowControl w:val="0"/>
        <w:numPr>
          <w:ilvl w:val="0"/>
          <w:numId w:val="15"/>
        </w:numPr>
        <w:autoSpaceDE w:val="0"/>
        <w:autoSpaceDN w:val="0"/>
        <w:adjustRightInd w:val="0"/>
        <w:spacing w:after="0" w:line="240" w:lineRule="auto"/>
        <w:ind w:left="426" w:right="-35"/>
        <w:contextualSpacing w:val="0"/>
        <w:jc w:val="both"/>
        <w:rPr>
          <w:sz w:val="18"/>
          <w:szCs w:val="18"/>
        </w:rPr>
      </w:pPr>
      <w:r w:rsidRPr="008F6AD2">
        <w:rPr>
          <w:sz w:val="18"/>
          <w:szCs w:val="18"/>
        </w:rPr>
        <w:t>Amended the EBITDA: Interest covenant condition for the March 2021 test period from 3.0x to 2.0x;</w:t>
      </w:r>
    </w:p>
    <w:p w14:paraId="5D234694" w14:textId="142E614B" w:rsidR="00AA12F9" w:rsidRPr="008F6AD2" w:rsidRDefault="00AA12F9" w:rsidP="008F0275">
      <w:pPr>
        <w:pStyle w:val="ListParagraph"/>
        <w:widowControl w:val="0"/>
        <w:numPr>
          <w:ilvl w:val="0"/>
          <w:numId w:val="15"/>
        </w:numPr>
        <w:autoSpaceDE w:val="0"/>
        <w:autoSpaceDN w:val="0"/>
        <w:adjustRightInd w:val="0"/>
        <w:spacing w:after="0" w:line="240" w:lineRule="auto"/>
        <w:ind w:left="426" w:right="-35"/>
        <w:contextualSpacing w:val="0"/>
        <w:jc w:val="both"/>
        <w:rPr>
          <w:sz w:val="18"/>
          <w:szCs w:val="18"/>
        </w:rPr>
      </w:pPr>
      <w:r w:rsidRPr="008F6AD2">
        <w:rPr>
          <w:sz w:val="18"/>
          <w:szCs w:val="18"/>
        </w:rPr>
        <w:t>Amended the Net Debt: EBITDA covenant test at June 2021 from 4.25x to 5.0x</w:t>
      </w:r>
      <w:r w:rsidR="00874753">
        <w:rPr>
          <w:sz w:val="18"/>
          <w:szCs w:val="18"/>
        </w:rPr>
        <w:t>;</w:t>
      </w:r>
      <w:r w:rsidRPr="008F6AD2">
        <w:rPr>
          <w:sz w:val="18"/>
          <w:szCs w:val="18"/>
        </w:rPr>
        <w:t xml:space="preserve"> </w:t>
      </w:r>
    </w:p>
    <w:p w14:paraId="2D5787F7" w14:textId="77777777" w:rsidR="00AA12F9" w:rsidRPr="008F6AD2" w:rsidRDefault="00AA12F9" w:rsidP="008F0275">
      <w:pPr>
        <w:pStyle w:val="ListParagraph"/>
        <w:widowControl w:val="0"/>
        <w:numPr>
          <w:ilvl w:val="0"/>
          <w:numId w:val="15"/>
        </w:numPr>
        <w:autoSpaceDE w:val="0"/>
        <w:autoSpaceDN w:val="0"/>
        <w:adjustRightInd w:val="0"/>
        <w:spacing w:after="0" w:line="240" w:lineRule="auto"/>
        <w:ind w:left="426" w:right="-35"/>
        <w:contextualSpacing w:val="0"/>
        <w:jc w:val="both"/>
        <w:rPr>
          <w:sz w:val="18"/>
          <w:szCs w:val="18"/>
        </w:rPr>
      </w:pPr>
      <w:r w:rsidRPr="008F6AD2">
        <w:rPr>
          <w:sz w:val="18"/>
          <w:szCs w:val="18"/>
        </w:rPr>
        <w:t>Reduced the minimum liquidity requirement on cash and undrawn facilities to £70m for FY21, from a range of £100m-£125m; and</w:t>
      </w:r>
    </w:p>
    <w:p w14:paraId="1207CD4C" w14:textId="31FABD94" w:rsidR="00AA12F9" w:rsidRPr="008F6AD2" w:rsidRDefault="00AA12F9" w:rsidP="008F0275">
      <w:pPr>
        <w:pStyle w:val="ListParagraph"/>
        <w:widowControl w:val="0"/>
        <w:numPr>
          <w:ilvl w:val="0"/>
          <w:numId w:val="15"/>
        </w:numPr>
        <w:autoSpaceDE w:val="0"/>
        <w:autoSpaceDN w:val="0"/>
        <w:adjustRightInd w:val="0"/>
        <w:spacing w:after="0" w:line="240" w:lineRule="auto"/>
        <w:ind w:left="426" w:right="-35"/>
        <w:contextualSpacing w:val="0"/>
        <w:jc w:val="both"/>
        <w:rPr>
          <w:sz w:val="18"/>
          <w:szCs w:val="18"/>
        </w:rPr>
      </w:pPr>
      <w:r w:rsidRPr="008F6AD2">
        <w:rPr>
          <w:sz w:val="18"/>
          <w:szCs w:val="18"/>
        </w:rPr>
        <w:t>Increased the maximum net debt requirement to £550m to May 2021, and £500m to September 2021, from a range of £450m-</w:t>
      </w:r>
      <w:r w:rsidRPr="008F6AD2">
        <w:rPr>
          <w:sz w:val="18"/>
          <w:szCs w:val="18"/>
        </w:rPr>
        <w:lastRenderedPageBreak/>
        <w:t>£550m</w:t>
      </w:r>
      <w:r w:rsidR="00874753">
        <w:rPr>
          <w:sz w:val="18"/>
          <w:szCs w:val="18"/>
        </w:rPr>
        <w:t>.</w:t>
      </w:r>
    </w:p>
    <w:p w14:paraId="505BA9C9" w14:textId="77777777" w:rsidR="00AA12F9" w:rsidRPr="006B7684" w:rsidRDefault="00AA12F9" w:rsidP="008F0275">
      <w:pPr>
        <w:adjustRightInd w:val="0"/>
        <w:spacing w:after="0" w:line="240" w:lineRule="auto"/>
        <w:ind w:left="-284" w:right="-35"/>
        <w:jc w:val="both"/>
        <w:rPr>
          <w:sz w:val="18"/>
          <w:szCs w:val="18"/>
          <w:highlight w:val="yellow"/>
        </w:rPr>
      </w:pPr>
    </w:p>
    <w:p w14:paraId="678D614E" w14:textId="77777777" w:rsidR="00AA12F9" w:rsidRPr="00701FC1" w:rsidRDefault="00AA12F9" w:rsidP="008F0275">
      <w:pPr>
        <w:adjustRightInd w:val="0"/>
        <w:spacing w:after="0" w:line="240" w:lineRule="auto"/>
        <w:ind w:right="-35"/>
        <w:jc w:val="both"/>
        <w:rPr>
          <w:sz w:val="18"/>
          <w:szCs w:val="18"/>
        </w:rPr>
      </w:pPr>
      <w:r w:rsidRPr="00701FC1">
        <w:rPr>
          <w:sz w:val="18"/>
          <w:szCs w:val="18"/>
        </w:rPr>
        <w:t xml:space="preserve">In November 2020 the Group completed an equity placing of 80,357,142 new ordinary shares at 112 pence per share, to raise </w:t>
      </w:r>
      <w:r>
        <w:rPr>
          <w:sz w:val="18"/>
          <w:szCs w:val="18"/>
        </w:rPr>
        <w:t>net</w:t>
      </w:r>
      <w:r w:rsidRPr="00701FC1">
        <w:rPr>
          <w:sz w:val="18"/>
          <w:szCs w:val="18"/>
        </w:rPr>
        <w:t xml:space="preserve"> proceeds of </w:t>
      </w:r>
      <w:r>
        <w:rPr>
          <w:sz w:val="18"/>
          <w:szCs w:val="18"/>
        </w:rPr>
        <w:t>£87.</w:t>
      </w:r>
      <w:r w:rsidR="00611AA5">
        <w:rPr>
          <w:sz w:val="18"/>
          <w:szCs w:val="18"/>
        </w:rPr>
        <w:t>1</w:t>
      </w:r>
      <w:r w:rsidR="00611AA5" w:rsidRPr="00701FC1">
        <w:rPr>
          <w:sz w:val="18"/>
          <w:szCs w:val="18"/>
        </w:rPr>
        <w:t>m</w:t>
      </w:r>
      <w:r w:rsidRPr="00701FC1">
        <w:rPr>
          <w:sz w:val="18"/>
          <w:szCs w:val="18"/>
        </w:rPr>
        <w:t xml:space="preserve">. </w:t>
      </w:r>
    </w:p>
    <w:p w14:paraId="35DACCA5" w14:textId="77777777" w:rsidR="00AA12F9" w:rsidRPr="00701FC1" w:rsidRDefault="00AA12F9" w:rsidP="008F0275">
      <w:pPr>
        <w:adjustRightInd w:val="0"/>
        <w:spacing w:after="0" w:line="240" w:lineRule="auto"/>
        <w:ind w:right="-35"/>
        <w:jc w:val="both"/>
        <w:rPr>
          <w:sz w:val="18"/>
          <w:szCs w:val="18"/>
        </w:rPr>
      </w:pPr>
    </w:p>
    <w:p w14:paraId="25E9B195" w14:textId="77777777" w:rsidR="00AA12F9" w:rsidRDefault="00AA12F9" w:rsidP="008F0275">
      <w:pPr>
        <w:adjustRightInd w:val="0"/>
        <w:spacing w:after="0" w:line="240" w:lineRule="auto"/>
        <w:ind w:right="-35"/>
        <w:jc w:val="both"/>
        <w:rPr>
          <w:sz w:val="18"/>
          <w:szCs w:val="18"/>
        </w:rPr>
      </w:pPr>
      <w:r w:rsidRPr="00701FC1">
        <w:rPr>
          <w:sz w:val="18"/>
          <w:szCs w:val="18"/>
        </w:rPr>
        <w:t>In December 2020 the Group also completed the sale of its interests in its molasses trading businesses for a final cash consideration of £</w:t>
      </w:r>
      <w:r>
        <w:rPr>
          <w:sz w:val="18"/>
          <w:szCs w:val="18"/>
        </w:rPr>
        <w:t>16.3</w:t>
      </w:r>
      <w:r w:rsidRPr="00701FC1">
        <w:rPr>
          <w:sz w:val="18"/>
          <w:szCs w:val="18"/>
        </w:rPr>
        <w:t>m. The profit on disposal of £</w:t>
      </w:r>
      <w:r>
        <w:rPr>
          <w:sz w:val="18"/>
          <w:szCs w:val="18"/>
        </w:rPr>
        <w:t>11.3</w:t>
      </w:r>
      <w:r w:rsidRPr="00701FC1">
        <w:rPr>
          <w:sz w:val="18"/>
          <w:szCs w:val="18"/>
        </w:rPr>
        <w:t>m</w:t>
      </w:r>
      <w:r>
        <w:rPr>
          <w:sz w:val="18"/>
          <w:szCs w:val="18"/>
        </w:rPr>
        <w:t xml:space="preserve"> </w:t>
      </w:r>
      <w:r w:rsidRPr="00701FC1">
        <w:rPr>
          <w:sz w:val="18"/>
          <w:szCs w:val="18"/>
        </w:rPr>
        <w:t>was reported as an exceptional item in H1 21. The cash proceeds were used to further strengthen the Group's balance sheet.</w:t>
      </w:r>
      <w:r w:rsidRPr="00502725">
        <w:rPr>
          <w:sz w:val="18"/>
          <w:szCs w:val="18"/>
        </w:rPr>
        <w:t xml:space="preserve"> </w:t>
      </w:r>
    </w:p>
    <w:p w14:paraId="114E5A3A" w14:textId="77777777" w:rsidR="00AA12F9" w:rsidRDefault="00AA12F9" w:rsidP="008F0275">
      <w:pPr>
        <w:adjustRightInd w:val="0"/>
        <w:spacing w:after="0" w:line="240" w:lineRule="auto"/>
        <w:ind w:right="-35"/>
        <w:jc w:val="both"/>
        <w:rPr>
          <w:sz w:val="18"/>
          <w:szCs w:val="18"/>
        </w:rPr>
      </w:pPr>
    </w:p>
    <w:p w14:paraId="05E82649" w14:textId="77777777" w:rsidR="00AA12F9" w:rsidRDefault="00AA12F9" w:rsidP="008F0275">
      <w:pPr>
        <w:adjustRightInd w:val="0"/>
        <w:spacing w:after="0" w:line="240" w:lineRule="auto"/>
        <w:ind w:right="-35"/>
        <w:jc w:val="both"/>
        <w:rPr>
          <w:sz w:val="18"/>
          <w:szCs w:val="18"/>
        </w:rPr>
      </w:pPr>
      <w:r w:rsidRPr="00701FC1">
        <w:rPr>
          <w:sz w:val="18"/>
          <w:szCs w:val="18"/>
        </w:rPr>
        <w:t>As a result of all these measures</w:t>
      </w:r>
      <w:r>
        <w:rPr>
          <w:sz w:val="18"/>
          <w:szCs w:val="18"/>
        </w:rPr>
        <w:t>, in particular the successful completion of the equity placing,</w:t>
      </w:r>
      <w:r w:rsidRPr="00701FC1">
        <w:rPr>
          <w:sz w:val="18"/>
          <w:szCs w:val="18"/>
        </w:rPr>
        <w:t xml:space="preserve"> </w:t>
      </w:r>
      <w:r>
        <w:rPr>
          <w:sz w:val="18"/>
          <w:szCs w:val="18"/>
        </w:rPr>
        <w:t xml:space="preserve">the Group has had sufficient financial flexibility to navigate through a volatile trading period while continuing to invest to support future growth in the business. </w:t>
      </w:r>
    </w:p>
    <w:p w14:paraId="36116F60" w14:textId="77777777" w:rsidR="00AA12F9" w:rsidRDefault="00AA12F9" w:rsidP="008F0275">
      <w:pPr>
        <w:adjustRightInd w:val="0"/>
        <w:spacing w:after="0" w:line="240" w:lineRule="auto"/>
        <w:ind w:right="-35"/>
        <w:jc w:val="both"/>
        <w:rPr>
          <w:sz w:val="18"/>
          <w:szCs w:val="18"/>
        </w:rPr>
      </w:pPr>
    </w:p>
    <w:p w14:paraId="55EA79D5" w14:textId="77777777" w:rsidR="00AA12F9" w:rsidRPr="00701FC1" w:rsidRDefault="00AA12F9" w:rsidP="008F0275">
      <w:pPr>
        <w:adjustRightInd w:val="0"/>
        <w:spacing w:after="0" w:line="240" w:lineRule="auto"/>
        <w:ind w:right="-35"/>
        <w:jc w:val="both"/>
        <w:rPr>
          <w:sz w:val="18"/>
          <w:szCs w:val="18"/>
        </w:rPr>
      </w:pPr>
      <w:r w:rsidRPr="00701FC1">
        <w:rPr>
          <w:sz w:val="18"/>
          <w:szCs w:val="18"/>
        </w:rPr>
        <w:t>At 26 March 2021 the Group had cash and undrawn committed bank facilities of £</w:t>
      </w:r>
      <w:r>
        <w:rPr>
          <w:sz w:val="18"/>
          <w:szCs w:val="18"/>
        </w:rPr>
        <w:t>302.0</w:t>
      </w:r>
      <w:r w:rsidRPr="00701FC1">
        <w:rPr>
          <w:sz w:val="18"/>
          <w:szCs w:val="18"/>
        </w:rPr>
        <w:t>m, comfortably above minimum liquidity requirements as stipulated in the conditions of the Group’s covenant waivers.</w:t>
      </w:r>
    </w:p>
    <w:p w14:paraId="1F50D6EB" w14:textId="77777777" w:rsidR="00AA12F9" w:rsidRDefault="00AA12F9" w:rsidP="008F0275">
      <w:pPr>
        <w:adjustRightInd w:val="0"/>
        <w:spacing w:after="0" w:line="240" w:lineRule="auto"/>
        <w:ind w:right="-35"/>
        <w:jc w:val="both"/>
        <w:rPr>
          <w:sz w:val="18"/>
          <w:szCs w:val="18"/>
          <w:highlight w:val="yellow"/>
        </w:rPr>
      </w:pPr>
    </w:p>
    <w:p w14:paraId="7B51B67B" w14:textId="77777777" w:rsidR="00AA12F9" w:rsidRPr="00701FC1" w:rsidRDefault="00AA12F9" w:rsidP="008F0275">
      <w:pPr>
        <w:spacing w:after="0" w:line="240" w:lineRule="auto"/>
        <w:ind w:right="-35"/>
        <w:jc w:val="both"/>
        <w:rPr>
          <w:rFonts w:cs="Arial"/>
          <w:sz w:val="18"/>
          <w:szCs w:val="18"/>
        </w:rPr>
      </w:pPr>
      <w:r w:rsidRPr="00701FC1">
        <w:rPr>
          <w:rFonts w:cs="Arial"/>
          <w:sz w:val="18"/>
          <w:szCs w:val="18"/>
        </w:rPr>
        <w:t>The Group’s initiatives continue to be informed by modelling a set of scenarios that reflect the Group’s considered and conservative view on short and medium term trading, and ensuring the Group is efficiently and effectively funded through any of these scenarios.</w:t>
      </w:r>
    </w:p>
    <w:p w14:paraId="08D286F8" w14:textId="77777777" w:rsidR="00AA12F9" w:rsidRDefault="00AA12F9" w:rsidP="008F0275">
      <w:pPr>
        <w:spacing w:after="0" w:line="240" w:lineRule="auto"/>
        <w:ind w:right="338"/>
        <w:jc w:val="both"/>
        <w:rPr>
          <w:rFonts w:cs="Arial"/>
          <w:b/>
          <w:bCs/>
          <w:sz w:val="18"/>
          <w:szCs w:val="18"/>
        </w:rPr>
      </w:pPr>
    </w:p>
    <w:p w14:paraId="0F909C5B" w14:textId="77777777" w:rsidR="00AA12F9" w:rsidRPr="00502725" w:rsidRDefault="00AA12F9" w:rsidP="008F0275">
      <w:pPr>
        <w:spacing w:after="0" w:line="240" w:lineRule="auto"/>
        <w:ind w:right="-35"/>
        <w:jc w:val="both"/>
        <w:rPr>
          <w:rFonts w:cs="Arial"/>
          <w:b/>
          <w:bCs/>
          <w:sz w:val="18"/>
          <w:szCs w:val="18"/>
        </w:rPr>
      </w:pPr>
      <w:r w:rsidRPr="00DA517C">
        <w:rPr>
          <w:rFonts w:cs="Arial"/>
          <w:b/>
          <w:bCs/>
          <w:sz w:val="18"/>
          <w:szCs w:val="18"/>
        </w:rPr>
        <w:t>Performance</w:t>
      </w:r>
    </w:p>
    <w:p w14:paraId="39CB14BE" w14:textId="77777777" w:rsidR="00AA12F9" w:rsidRPr="00502725" w:rsidRDefault="00AA12F9" w:rsidP="008F0275">
      <w:pPr>
        <w:adjustRightInd w:val="0"/>
        <w:spacing w:after="0" w:line="240" w:lineRule="auto"/>
        <w:ind w:right="-35"/>
        <w:jc w:val="both"/>
        <w:rPr>
          <w:sz w:val="18"/>
          <w:szCs w:val="18"/>
        </w:rPr>
      </w:pPr>
    </w:p>
    <w:p w14:paraId="3EE79404" w14:textId="77777777" w:rsidR="00AA12F9" w:rsidRPr="00701FC1" w:rsidRDefault="00AA12F9" w:rsidP="008F0275">
      <w:pPr>
        <w:adjustRightInd w:val="0"/>
        <w:spacing w:after="0" w:line="240" w:lineRule="auto"/>
        <w:ind w:right="-35"/>
        <w:jc w:val="both"/>
        <w:rPr>
          <w:sz w:val="18"/>
          <w:szCs w:val="18"/>
        </w:rPr>
      </w:pPr>
      <w:r w:rsidRPr="00701FC1">
        <w:rPr>
          <w:sz w:val="18"/>
          <w:szCs w:val="18"/>
        </w:rPr>
        <w:t>Free Cash Flow was a £</w:t>
      </w:r>
      <w:r>
        <w:rPr>
          <w:sz w:val="18"/>
          <w:szCs w:val="18"/>
        </w:rPr>
        <w:t>23.6</w:t>
      </w:r>
      <w:r w:rsidRPr="00701FC1">
        <w:rPr>
          <w:sz w:val="18"/>
          <w:szCs w:val="18"/>
        </w:rPr>
        <w:t>m outflow in H1 21 compared to an inflow of £2.6m in H1 20. The decrease primarily reflected reduced profitability in the period, partly offset by lower pension cash contributions, lower maintenance capex and lower cash tax. Several other factors contributed to a</w:t>
      </w:r>
      <w:r>
        <w:rPr>
          <w:sz w:val="18"/>
          <w:szCs w:val="18"/>
        </w:rPr>
        <w:t xml:space="preserve"> reduction</w:t>
      </w:r>
      <w:r w:rsidRPr="00701FC1">
        <w:rPr>
          <w:sz w:val="18"/>
          <w:szCs w:val="18"/>
        </w:rPr>
        <w:t xml:space="preserve"> in the Group’s Net Debt in H1 21, principally the equity placing in November 2020, the sale of the Group’s molasses businesses in December 2020, and the decision not to pay a</w:t>
      </w:r>
      <w:r>
        <w:rPr>
          <w:sz w:val="18"/>
          <w:szCs w:val="18"/>
        </w:rPr>
        <w:t xml:space="preserve"> final FY20 </w:t>
      </w:r>
      <w:r w:rsidRPr="00701FC1">
        <w:rPr>
          <w:sz w:val="18"/>
          <w:szCs w:val="18"/>
        </w:rPr>
        <w:t xml:space="preserve">dividend. </w:t>
      </w:r>
    </w:p>
    <w:p w14:paraId="552632DF" w14:textId="77777777" w:rsidR="003235E7" w:rsidRDefault="003235E7" w:rsidP="008F0275">
      <w:pPr>
        <w:adjustRightInd w:val="0"/>
        <w:spacing w:after="0" w:line="240" w:lineRule="auto"/>
        <w:ind w:right="-35"/>
        <w:jc w:val="both"/>
        <w:rPr>
          <w:sz w:val="18"/>
          <w:szCs w:val="18"/>
        </w:rPr>
      </w:pPr>
    </w:p>
    <w:p w14:paraId="357A718D" w14:textId="77777777" w:rsidR="009100FA" w:rsidRDefault="00AA12F9" w:rsidP="008F0275">
      <w:pPr>
        <w:adjustRightInd w:val="0"/>
        <w:spacing w:after="0" w:line="240" w:lineRule="auto"/>
        <w:ind w:right="-35"/>
        <w:jc w:val="both"/>
        <w:rPr>
          <w:rFonts w:cs="Arial"/>
          <w:sz w:val="18"/>
          <w:szCs w:val="18"/>
        </w:rPr>
      </w:pPr>
      <w:r w:rsidRPr="00701FC1">
        <w:rPr>
          <w:sz w:val="18"/>
          <w:szCs w:val="18"/>
        </w:rPr>
        <w:t>The Group’s Net Debt at 26 March 2021 was £</w:t>
      </w:r>
      <w:r>
        <w:rPr>
          <w:sz w:val="18"/>
          <w:szCs w:val="18"/>
        </w:rPr>
        <w:t>332.1</w:t>
      </w:r>
      <w:r w:rsidRPr="00701FC1">
        <w:rPr>
          <w:sz w:val="18"/>
          <w:szCs w:val="18"/>
        </w:rPr>
        <w:t>m, a reduction of £</w:t>
      </w:r>
      <w:r>
        <w:rPr>
          <w:sz w:val="18"/>
          <w:szCs w:val="18"/>
        </w:rPr>
        <w:t>42.3</w:t>
      </w:r>
      <w:r w:rsidRPr="00701FC1">
        <w:rPr>
          <w:sz w:val="18"/>
          <w:szCs w:val="18"/>
        </w:rPr>
        <w:t xml:space="preserve">m compared to </w:t>
      </w:r>
      <w:r w:rsidR="00611AA5">
        <w:rPr>
          <w:sz w:val="18"/>
          <w:szCs w:val="18"/>
        </w:rPr>
        <w:t>27 March 2020</w:t>
      </w:r>
      <w:r w:rsidRPr="00701FC1">
        <w:rPr>
          <w:sz w:val="18"/>
          <w:szCs w:val="18"/>
        </w:rPr>
        <w:t>. Net Debt excluding lease liabilities reduced to £</w:t>
      </w:r>
      <w:r>
        <w:rPr>
          <w:sz w:val="18"/>
          <w:szCs w:val="18"/>
        </w:rPr>
        <w:t>271.3</w:t>
      </w:r>
      <w:r w:rsidRPr="00701FC1">
        <w:rPr>
          <w:sz w:val="18"/>
          <w:szCs w:val="18"/>
        </w:rPr>
        <w:t xml:space="preserve">m from £311.1m at the end of H1 20 and </w:t>
      </w:r>
      <w:r>
        <w:rPr>
          <w:sz w:val="18"/>
          <w:szCs w:val="18"/>
        </w:rPr>
        <w:t xml:space="preserve">from </w:t>
      </w:r>
      <w:r w:rsidRPr="00701FC1">
        <w:rPr>
          <w:sz w:val="18"/>
          <w:szCs w:val="18"/>
        </w:rPr>
        <w:t xml:space="preserve">£350.5m at the end of FY20. The Group’s Net Debt: EBITDA leverage as measured under financing agreements </w:t>
      </w:r>
      <w:r w:rsidRPr="001F1616">
        <w:rPr>
          <w:sz w:val="18"/>
          <w:szCs w:val="18"/>
        </w:rPr>
        <w:t xml:space="preserve">was </w:t>
      </w:r>
      <w:r w:rsidR="00FC3A67" w:rsidRPr="001F1616">
        <w:rPr>
          <w:sz w:val="18"/>
          <w:szCs w:val="18"/>
        </w:rPr>
        <w:t>7.</w:t>
      </w:r>
      <w:r w:rsidR="006245C4" w:rsidRPr="001F1616">
        <w:rPr>
          <w:sz w:val="18"/>
          <w:szCs w:val="18"/>
        </w:rPr>
        <w:t>2</w:t>
      </w:r>
      <w:r w:rsidRPr="001F1616">
        <w:rPr>
          <w:sz w:val="18"/>
          <w:szCs w:val="18"/>
        </w:rPr>
        <w:t>x at period</w:t>
      </w:r>
      <w:r w:rsidRPr="00701FC1">
        <w:rPr>
          <w:sz w:val="18"/>
          <w:szCs w:val="18"/>
        </w:rPr>
        <w:t xml:space="preserve"> end, compared to 2.1x at the end of March 2020 and 4.4x at the end of September 2020. </w:t>
      </w:r>
      <w:r w:rsidRPr="00701FC1">
        <w:rPr>
          <w:rFonts w:cs="Arial"/>
          <w:sz w:val="18"/>
          <w:szCs w:val="18"/>
        </w:rPr>
        <w:t xml:space="preserve">As at 26 March 2021, the Group had committed </w:t>
      </w:r>
      <w:r w:rsidR="007D7EAC">
        <w:rPr>
          <w:rFonts w:cs="Arial"/>
          <w:sz w:val="18"/>
          <w:szCs w:val="18"/>
        </w:rPr>
        <w:t xml:space="preserve">debt </w:t>
      </w:r>
      <w:r w:rsidRPr="00701FC1">
        <w:rPr>
          <w:rFonts w:cs="Arial"/>
          <w:sz w:val="18"/>
          <w:szCs w:val="18"/>
        </w:rPr>
        <w:t>facilities of £</w:t>
      </w:r>
      <w:r>
        <w:rPr>
          <w:rFonts w:cs="Arial"/>
          <w:sz w:val="18"/>
          <w:szCs w:val="18"/>
        </w:rPr>
        <w:t>570.7</w:t>
      </w:r>
      <w:r w:rsidRPr="00701FC1">
        <w:rPr>
          <w:rFonts w:cs="Arial"/>
          <w:sz w:val="18"/>
          <w:szCs w:val="18"/>
        </w:rPr>
        <w:t xml:space="preserve">m with a weighted average maturity of </w:t>
      </w:r>
      <w:r>
        <w:rPr>
          <w:rFonts w:cs="Arial"/>
          <w:sz w:val="18"/>
          <w:szCs w:val="18"/>
        </w:rPr>
        <w:t>3.2</w:t>
      </w:r>
      <w:r w:rsidRPr="00701FC1">
        <w:rPr>
          <w:rFonts w:cs="Arial"/>
          <w:sz w:val="18"/>
          <w:szCs w:val="18"/>
        </w:rPr>
        <w:t xml:space="preserve"> years. </w:t>
      </w:r>
    </w:p>
    <w:p w14:paraId="47481A22" w14:textId="77777777" w:rsidR="00E21F17" w:rsidRDefault="00E21F17" w:rsidP="008F0275">
      <w:pPr>
        <w:adjustRightInd w:val="0"/>
        <w:spacing w:after="0" w:line="240" w:lineRule="auto"/>
        <w:ind w:right="-35"/>
        <w:jc w:val="both"/>
        <w:rPr>
          <w:sz w:val="18"/>
          <w:szCs w:val="18"/>
        </w:rPr>
      </w:pPr>
    </w:p>
    <w:p w14:paraId="3562EE36" w14:textId="2230DAD6" w:rsidR="00AA12F9" w:rsidRPr="00502725" w:rsidRDefault="00AA12F9" w:rsidP="008F0275">
      <w:pPr>
        <w:adjustRightInd w:val="0"/>
        <w:spacing w:after="0" w:line="240" w:lineRule="auto"/>
        <w:ind w:right="-35"/>
        <w:jc w:val="both"/>
        <w:rPr>
          <w:sz w:val="18"/>
          <w:szCs w:val="18"/>
        </w:rPr>
      </w:pPr>
      <w:r w:rsidRPr="00701FC1">
        <w:rPr>
          <w:sz w:val="18"/>
          <w:szCs w:val="18"/>
        </w:rPr>
        <w:t xml:space="preserve">ROIC was </w:t>
      </w:r>
      <w:r w:rsidR="002655F1">
        <w:rPr>
          <w:sz w:val="18"/>
          <w:szCs w:val="18"/>
        </w:rPr>
        <w:t>-</w:t>
      </w:r>
      <w:r>
        <w:rPr>
          <w:rFonts w:cs="Arial"/>
          <w:sz w:val="18"/>
          <w:szCs w:val="18"/>
        </w:rPr>
        <w:t>0.6</w:t>
      </w:r>
      <w:r w:rsidRPr="00701FC1">
        <w:rPr>
          <w:sz w:val="18"/>
          <w:szCs w:val="18"/>
        </w:rPr>
        <w:t xml:space="preserve">% for the 12 months ended 26 March 2021, compared to 12.3% for the 12 months ended 27 March 2020. The decrease </w:t>
      </w:r>
      <w:r w:rsidRPr="004B0403">
        <w:rPr>
          <w:sz w:val="18"/>
          <w:szCs w:val="18"/>
        </w:rPr>
        <w:t>was primarily driven by reduced profitability in the period. Average invested capital also increased from £695.9m to £758.6m, reflecting primarily the impact of the recognition of right-to-use assets under IFRS 16 Leases</w:t>
      </w:r>
      <w:r w:rsidR="00611AA5">
        <w:rPr>
          <w:sz w:val="18"/>
          <w:szCs w:val="18"/>
        </w:rPr>
        <w:t xml:space="preserve"> which was adopted in H1 20</w:t>
      </w:r>
      <w:r w:rsidRPr="004B0403">
        <w:rPr>
          <w:sz w:val="18"/>
          <w:szCs w:val="18"/>
        </w:rPr>
        <w:t>.</w:t>
      </w:r>
      <w:r w:rsidRPr="00502725">
        <w:rPr>
          <w:sz w:val="18"/>
          <w:szCs w:val="18"/>
        </w:rPr>
        <w:t xml:space="preserve">   </w:t>
      </w:r>
    </w:p>
    <w:p w14:paraId="2F596C1A" w14:textId="77777777" w:rsidR="00AA12F9" w:rsidRDefault="00AA12F9" w:rsidP="008F0275">
      <w:pPr>
        <w:spacing w:after="0" w:line="240" w:lineRule="auto"/>
        <w:ind w:right="338"/>
        <w:jc w:val="both"/>
        <w:rPr>
          <w:rFonts w:cs="Arial"/>
          <w:b/>
          <w:sz w:val="20"/>
          <w:szCs w:val="18"/>
        </w:rPr>
      </w:pPr>
    </w:p>
    <w:p w14:paraId="1494FD29" w14:textId="77777777" w:rsidR="00AA12F9" w:rsidRPr="00502725" w:rsidRDefault="00AA12F9" w:rsidP="008F0275">
      <w:pPr>
        <w:spacing w:after="0" w:line="240" w:lineRule="auto"/>
        <w:ind w:right="-35"/>
        <w:jc w:val="both"/>
        <w:rPr>
          <w:sz w:val="18"/>
          <w:szCs w:val="18"/>
        </w:rPr>
      </w:pPr>
      <w:r w:rsidRPr="00502725">
        <w:rPr>
          <w:rFonts w:cs="Arial"/>
          <w:b/>
          <w:sz w:val="20"/>
          <w:szCs w:val="18"/>
        </w:rPr>
        <w:t>FINANCIAL REVIEW</w:t>
      </w:r>
      <w:r w:rsidRPr="00502725">
        <w:rPr>
          <w:rFonts w:cs="Arial"/>
          <w:b/>
          <w:sz w:val="20"/>
          <w:szCs w:val="18"/>
          <w:vertAlign w:val="superscript"/>
        </w:rPr>
        <w:t>1</w:t>
      </w:r>
    </w:p>
    <w:p w14:paraId="32C0CDF6" w14:textId="77777777" w:rsidR="00AA12F9" w:rsidRPr="00502725" w:rsidRDefault="00AA12F9" w:rsidP="008F0275">
      <w:pPr>
        <w:adjustRightInd w:val="0"/>
        <w:spacing w:after="0" w:line="240" w:lineRule="auto"/>
        <w:ind w:right="-35"/>
        <w:jc w:val="both"/>
        <w:rPr>
          <w:sz w:val="18"/>
          <w:szCs w:val="18"/>
        </w:rPr>
      </w:pPr>
    </w:p>
    <w:p w14:paraId="29AA1575" w14:textId="77777777" w:rsidR="00AA12F9" w:rsidRPr="00701FC1" w:rsidRDefault="00AA12F9" w:rsidP="008F0275">
      <w:pPr>
        <w:pStyle w:val="Default"/>
        <w:ind w:right="-35"/>
        <w:jc w:val="both"/>
        <w:rPr>
          <w:rFonts w:asciiTheme="minorHAnsi" w:hAnsiTheme="minorHAnsi" w:cs="Arial"/>
          <w:b/>
          <w:bCs/>
          <w:sz w:val="18"/>
          <w:szCs w:val="18"/>
        </w:rPr>
      </w:pPr>
      <w:r w:rsidRPr="00701FC1">
        <w:rPr>
          <w:rFonts w:asciiTheme="minorHAnsi" w:hAnsiTheme="minorHAnsi" w:cs="Arial"/>
          <w:b/>
          <w:bCs/>
          <w:sz w:val="18"/>
          <w:szCs w:val="18"/>
        </w:rPr>
        <w:t xml:space="preserve">Revenue and Operating Profit </w:t>
      </w:r>
    </w:p>
    <w:p w14:paraId="7D060117" w14:textId="77777777" w:rsidR="00AA12F9" w:rsidRPr="00701FC1" w:rsidRDefault="00AA12F9" w:rsidP="008F0275">
      <w:pPr>
        <w:adjustRightInd w:val="0"/>
        <w:spacing w:after="0" w:line="240" w:lineRule="auto"/>
        <w:ind w:right="-35"/>
        <w:jc w:val="both"/>
        <w:rPr>
          <w:sz w:val="18"/>
          <w:szCs w:val="18"/>
        </w:rPr>
      </w:pPr>
      <w:r w:rsidRPr="00701FC1">
        <w:rPr>
          <w:sz w:val="18"/>
          <w:szCs w:val="18"/>
        </w:rPr>
        <w:t>Reported revenue in the period was £</w:t>
      </w:r>
      <w:r>
        <w:rPr>
          <w:sz w:val="18"/>
          <w:szCs w:val="18"/>
        </w:rPr>
        <w:t>5</w:t>
      </w:r>
      <w:r w:rsidR="00741AA8">
        <w:rPr>
          <w:sz w:val="18"/>
          <w:szCs w:val="18"/>
        </w:rPr>
        <w:t>77.1</w:t>
      </w:r>
      <w:r w:rsidRPr="00701FC1">
        <w:rPr>
          <w:sz w:val="18"/>
          <w:szCs w:val="18"/>
        </w:rPr>
        <w:t>m, a decrease of</w:t>
      </w:r>
      <w:r>
        <w:rPr>
          <w:sz w:val="18"/>
          <w:szCs w:val="18"/>
        </w:rPr>
        <w:t xml:space="preserve"> 1</w:t>
      </w:r>
      <w:r w:rsidR="00741AA8">
        <w:rPr>
          <w:sz w:val="18"/>
          <w:szCs w:val="18"/>
        </w:rPr>
        <w:t>9.0</w:t>
      </w:r>
      <w:r w:rsidRPr="00701FC1">
        <w:rPr>
          <w:sz w:val="18"/>
          <w:szCs w:val="18"/>
        </w:rPr>
        <w:t xml:space="preserve">% compared to H1 20, primarily reflecting the impact of COVID-19 on demand in food to go categories. Pro Forma Revenue decreased by </w:t>
      </w:r>
      <w:r>
        <w:rPr>
          <w:rFonts w:cs="Arial"/>
          <w:sz w:val="18"/>
          <w:szCs w:val="18"/>
        </w:rPr>
        <w:t>18.</w:t>
      </w:r>
      <w:r w:rsidR="00741AA8">
        <w:rPr>
          <w:rFonts w:cs="Arial"/>
          <w:sz w:val="18"/>
          <w:szCs w:val="18"/>
        </w:rPr>
        <w:t>6</w:t>
      </w:r>
      <w:r w:rsidRPr="00701FC1">
        <w:rPr>
          <w:sz w:val="18"/>
          <w:szCs w:val="18"/>
        </w:rPr>
        <w:t xml:space="preserve">%. </w:t>
      </w:r>
    </w:p>
    <w:p w14:paraId="6A64DC85" w14:textId="77777777" w:rsidR="00AA12F9" w:rsidRPr="00701FC1" w:rsidRDefault="00AA12F9" w:rsidP="008F0275">
      <w:pPr>
        <w:adjustRightInd w:val="0"/>
        <w:spacing w:after="0" w:line="240" w:lineRule="auto"/>
        <w:ind w:right="-35"/>
        <w:jc w:val="both"/>
        <w:rPr>
          <w:sz w:val="18"/>
          <w:szCs w:val="18"/>
        </w:rPr>
      </w:pPr>
    </w:p>
    <w:p w14:paraId="3A6CBC40" w14:textId="77777777" w:rsidR="00AA12F9" w:rsidRPr="00701FC1" w:rsidRDefault="00AA12F9" w:rsidP="008F0275">
      <w:pPr>
        <w:spacing w:after="0" w:line="240" w:lineRule="auto"/>
        <w:ind w:right="-35"/>
        <w:jc w:val="both"/>
        <w:rPr>
          <w:sz w:val="18"/>
          <w:szCs w:val="18"/>
        </w:rPr>
      </w:pPr>
      <w:r w:rsidRPr="00701FC1">
        <w:rPr>
          <w:sz w:val="18"/>
          <w:szCs w:val="18"/>
        </w:rPr>
        <w:t>Group Operating Profit decreased from £35.6m to £</w:t>
      </w:r>
      <w:r>
        <w:rPr>
          <w:sz w:val="18"/>
          <w:szCs w:val="18"/>
        </w:rPr>
        <w:t>3.9</w:t>
      </w:r>
      <w:r w:rsidRPr="00701FC1">
        <w:rPr>
          <w:sz w:val="18"/>
          <w:szCs w:val="18"/>
        </w:rPr>
        <w:t xml:space="preserve">m as a result of significantly lower revenue in H1 21 </w:t>
      </w:r>
      <w:r w:rsidR="004A6488">
        <w:rPr>
          <w:sz w:val="18"/>
          <w:szCs w:val="18"/>
        </w:rPr>
        <w:t>that was</w:t>
      </w:r>
      <w:r w:rsidR="004A6488" w:rsidRPr="00701FC1">
        <w:rPr>
          <w:sz w:val="18"/>
          <w:szCs w:val="18"/>
        </w:rPr>
        <w:t xml:space="preserve"> </w:t>
      </w:r>
      <w:r w:rsidRPr="00701FC1">
        <w:rPr>
          <w:sz w:val="18"/>
          <w:szCs w:val="18"/>
        </w:rPr>
        <w:t xml:space="preserve">partially offset by </w:t>
      </w:r>
      <w:r>
        <w:rPr>
          <w:sz w:val="18"/>
          <w:szCs w:val="18"/>
        </w:rPr>
        <w:t>a</w:t>
      </w:r>
      <w:r w:rsidRPr="00701FC1">
        <w:rPr>
          <w:sz w:val="18"/>
          <w:szCs w:val="18"/>
        </w:rPr>
        <w:t xml:space="preserve"> net exceptional gain. Adjusted Operating Profit of £</w:t>
      </w:r>
      <w:r>
        <w:rPr>
          <w:sz w:val="18"/>
          <w:szCs w:val="18"/>
        </w:rPr>
        <w:t>0.2</w:t>
      </w:r>
      <w:r w:rsidRPr="00701FC1">
        <w:rPr>
          <w:sz w:val="18"/>
          <w:szCs w:val="18"/>
        </w:rPr>
        <w:t xml:space="preserve">m was </w:t>
      </w:r>
      <w:r>
        <w:rPr>
          <w:rFonts w:cs="Arial"/>
          <w:sz w:val="18"/>
          <w:szCs w:val="18"/>
        </w:rPr>
        <w:t>99.5</w:t>
      </w:r>
      <w:r w:rsidRPr="00701FC1">
        <w:rPr>
          <w:sz w:val="18"/>
          <w:szCs w:val="18"/>
        </w:rPr>
        <w:t xml:space="preserve">% lower than in H1 20 with lower profits in food to go categories in H1 21 partly offset by an improved underlying performance in the Group’s other convenience categories. Adjusted Operating Margin was </w:t>
      </w:r>
      <w:r>
        <w:rPr>
          <w:sz w:val="18"/>
          <w:szCs w:val="18"/>
        </w:rPr>
        <w:t>0.0</w:t>
      </w:r>
      <w:r w:rsidRPr="00701FC1">
        <w:rPr>
          <w:sz w:val="18"/>
          <w:szCs w:val="18"/>
        </w:rPr>
        <w:t xml:space="preserve">%, </w:t>
      </w:r>
      <w:r>
        <w:rPr>
          <w:sz w:val="18"/>
          <w:szCs w:val="18"/>
        </w:rPr>
        <w:t>540</w:t>
      </w:r>
      <w:r w:rsidRPr="00701FC1">
        <w:rPr>
          <w:sz w:val="18"/>
          <w:szCs w:val="18"/>
        </w:rPr>
        <w:t xml:space="preserve"> basis points lower than the prior year. </w:t>
      </w:r>
    </w:p>
    <w:p w14:paraId="787EA63C" w14:textId="77777777" w:rsidR="00AA12F9" w:rsidRPr="006B7684" w:rsidRDefault="00AA12F9" w:rsidP="008F0275">
      <w:pPr>
        <w:spacing w:after="0" w:line="240" w:lineRule="auto"/>
        <w:ind w:right="-35"/>
        <w:jc w:val="both"/>
        <w:rPr>
          <w:sz w:val="18"/>
          <w:szCs w:val="18"/>
          <w:highlight w:val="yellow"/>
        </w:rPr>
      </w:pPr>
    </w:p>
    <w:p w14:paraId="2DBC3479" w14:textId="77777777" w:rsidR="00AA12F9" w:rsidRPr="001F1616" w:rsidRDefault="00AA12F9" w:rsidP="008F0275">
      <w:pPr>
        <w:spacing w:after="0" w:line="240" w:lineRule="auto"/>
        <w:ind w:right="-35"/>
        <w:jc w:val="both"/>
        <w:rPr>
          <w:rFonts w:cs="Arial"/>
          <w:sz w:val="18"/>
          <w:szCs w:val="18"/>
        </w:rPr>
      </w:pPr>
      <w:r w:rsidRPr="001F1616">
        <w:rPr>
          <w:sz w:val="18"/>
          <w:szCs w:val="18"/>
        </w:rPr>
        <w:t xml:space="preserve">Adjusted Operating Profit </w:t>
      </w:r>
      <w:r w:rsidRPr="001F1616">
        <w:rPr>
          <w:rFonts w:cs="Arial"/>
          <w:sz w:val="18"/>
          <w:szCs w:val="18"/>
        </w:rPr>
        <w:t>is after charging £</w:t>
      </w:r>
      <w:r w:rsidR="00F76F75" w:rsidRPr="001F1616">
        <w:rPr>
          <w:rFonts w:cs="Arial"/>
          <w:sz w:val="18"/>
          <w:szCs w:val="18"/>
        </w:rPr>
        <w:t>4.8</w:t>
      </w:r>
      <w:r w:rsidRPr="001F1616">
        <w:rPr>
          <w:rFonts w:cs="Arial"/>
          <w:sz w:val="18"/>
          <w:szCs w:val="18"/>
        </w:rPr>
        <w:t>m of COVID-19 related operating costs. These operating costs primarily comprise £</w:t>
      </w:r>
      <w:r w:rsidR="00F76F75" w:rsidRPr="001F1616">
        <w:rPr>
          <w:rFonts w:cs="Arial"/>
          <w:sz w:val="18"/>
          <w:szCs w:val="18"/>
        </w:rPr>
        <w:t>2.9</w:t>
      </w:r>
      <w:r w:rsidRPr="001F1616">
        <w:rPr>
          <w:rFonts w:cs="Arial"/>
          <w:sz w:val="18"/>
          <w:szCs w:val="18"/>
        </w:rPr>
        <w:t>m of incremental costs relating to furloughed colleagues, and £</w:t>
      </w:r>
      <w:r w:rsidR="00F76F75" w:rsidRPr="001F1616">
        <w:rPr>
          <w:rFonts w:cs="Arial"/>
          <w:sz w:val="18"/>
          <w:szCs w:val="18"/>
        </w:rPr>
        <w:t>1.9</w:t>
      </w:r>
      <w:r w:rsidRPr="001F1616">
        <w:rPr>
          <w:rFonts w:cs="Arial"/>
          <w:sz w:val="18"/>
          <w:szCs w:val="18"/>
        </w:rPr>
        <w:t xml:space="preserve">m of other costs </w:t>
      </w:r>
      <w:r w:rsidR="00F76F75" w:rsidRPr="001F1616">
        <w:rPr>
          <w:rFonts w:cs="Arial"/>
          <w:sz w:val="18"/>
          <w:szCs w:val="18"/>
        </w:rPr>
        <w:t xml:space="preserve">including those </w:t>
      </w:r>
      <w:r w:rsidRPr="001F1616">
        <w:rPr>
          <w:rFonts w:cs="Arial"/>
          <w:sz w:val="18"/>
          <w:szCs w:val="18"/>
        </w:rPr>
        <w:t xml:space="preserve">incurred to reconfigure production areas and implement measures to ensure safe working and social distancing. </w:t>
      </w:r>
    </w:p>
    <w:p w14:paraId="2835D65B" w14:textId="77777777" w:rsidR="00AA12F9" w:rsidRPr="001F1616" w:rsidRDefault="00AA12F9" w:rsidP="008F0275">
      <w:pPr>
        <w:spacing w:after="0" w:line="240" w:lineRule="auto"/>
        <w:ind w:right="-35"/>
        <w:jc w:val="both"/>
        <w:rPr>
          <w:rFonts w:cs="Arial"/>
          <w:sz w:val="18"/>
          <w:szCs w:val="18"/>
        </w:rPr>
      </w:pPr>
    </w:p>
    <w:p w14:paraId="346D3714" w14:textId="77777777" w:rsidR="00AA12F9" w:rsidRPr="00701FC1" w:rsidRDefault="00AA12F9" w:rsidP="008F0275">
      <w:pPr>
        <w:spacing w:after="0" w:line="240" w:lineRule="auto"/>
        <w:ind w:right="-35"/>
        <w:jc w:val="both"/>
        <w:rPr>
          <w:rFonts w:cs="Arial"/>
          <w:sz w:val="18"/>
          <w:szCs w:val="18"/>
        </w:rPr>
      </w:pPr>
      <w:r w:rsidRPr="001F1616">
        <w:rPr>
          <w:rFonts w:cs="Arial"/>
          <w:sz w:val="18"/>
          <w:szCs w:val="18"/>
        </w:rPr>
        <w:t>In H1 21 the Group received UK Government assistance of £</w:t>
      </w:r>
      <w:r w:rsidR="00F76F75" w:rsidRPr="001F1616">
        <w:rPr>
          <w:rFonts w:cs="Arial"/>
          <w:sz w:val="18"/>
          <w:szCs w:val="18"/>
        </w:rPr>
        <w:t>7.1</w:t>
      </w:r>
      <w:r w:rsidRPr="001F1616">
        <w:rPr>
          <w:rFonts w:cs="Arial"/>
          <w:sz w:val="18"/>
          <w:szCs w:val="18"/>
        </w:rPr>
        <w:t>m under the Coronavirus Job Retention Scheme.</w:t>
      </w:r>
    </w:p>
    <w:p w14:paraId="5CE6C1D2" w14:textId="77777777" w:rsidR="00AA12F9" w:rsidRPr="006B7684" w:rsidRDefault="00AA12F9" w:rsidP="008F0275">
      <w:pPr>
        <w:adjustRightInd w:val="0"/>
        <w:spacing w:after="0" w:line="240" w:lineRule="auto"/>
        <w:ind w:left="-284" w:right="-35"/>
        <w:jc w:val="both"/>
        <w:rPr>
          <w:sz w:val="18"/>
          <w:szCs w:val="18"/>
          <w:highlight w:val="yellow"/>
        </w:rPr>
      </w:pPr>
    </w:p>
    <w:p w14:paraId="1BA6810A" w14:textId="77777777" w:rsidR="00AA12F9" w:rsidRPr="00701FC1" w:rsidRDefault="00AA12F9" w:rsidP="008F0275">
      <w:pPr>
        <w:spacing w:after="0" w:line="240" w:lineRule="auto"/>
        <w:ind w:right="-35"/>
        <w:jc w:val="both"/>
        <w:rPr>
          <w:rFonts w:cs="Arial"/>
          <w:b/>
          <w:sz w:val="18"/>
          <w:szCs w:val="18"/>
        </w:rPr>
      </w:pPr>
      <w:r w:rsidRPr="00701FC1">
        <w:rPr>
          <w:rFonts w:cs="Arial"/>
          <w:b/>
          <w:sz w:val="18"/>
          <w:szCs w:val="18"/>
        </w:rPr>
        <w:t xml:space="preserve">Net finance costs </w:t>
      </w:r>
    </w:p>
    <w:p w14:paraId="5DB117C0" w14:textId="77777777" w:rsidR="00AA12F9" w:rsidRPr="00F57A51" w:rsidRDefault="00AA12F9" w:rsidP="008F0275">
      <w:pPr>
        <w:adjustRightInd w:val="0"/>
        <w:spacing w:after="0" w:line="240" w:lineRule="auto"/>
        <w:ind w:right="-35"/>
        <w:jc w:val="both"/>
        <w:rPr>
          <w:sz w:val="18"/>
          <w:szCs w:val="18"/>
        </w:rPr>
      </w:pPr>
      <w:r w:rsidRPr="00F57A51">
        <w:rPr>
          <w:sz w:val="18"/>
          <w:szCs w:val="18"/>
        </w:rPr>
        <w:t>The Group’s net bank interest payable was £</w:t>
      </w:r>
      <w:r>
        <w:rPr>
          <w:rFonts w:cs="Arial"/>
          <w:sz w:val="18"/>
          <w:szCs w:val="18"/>
        </w:rPr>
        <w:t>7.4</w:t>
      </w:r>
      <w:r w:rsidRPr="00F57A51">
        <w:rPr>
          <w:sz w:val="18"/>
          <w:szCs w:val="18"/>
        </w:rPr>
        <w:t>m in H1 21, an increase of £</w:t>
      </w:r>
      <w:r>
        <w:rPr>
          <w:sz w:val="18"/>
          <w:szCs w:val="18"/>
        </w:rPr>
        <w:t>0.2</w:t>
      </w:r>
      <w:r w:rsidRPr="00F57A51">
        <w:rPr>
          <w:sz w:val="18"/>
          <w:szCs w:val="18"/>
        </w:rPr>
        <w:t xml:space="preserve">m versus H1 20. The increase was driven by </w:t>
      </w:r>
      <w:r>
        <w:rPr>
          <w:sz w:val="18"/>
          <w:szCs w:val="18"/>
        </w:rPr>
        <w:t xml:space="preserve">higher debt levels </w:t>
      </w:r>
      <w:r w:rsidRPr="00F57A51">
        <w:rPr>
          <w:sz w:val="18"/>
          <w:szCs w:val="18"/>
        </w:rPr>
        <w:t xml:space="preserve">in the </w:t>
      </w:r>
      <w:r>
        <w:rPr>
          <w:sz w:val="18"/>
          <w:szCs w:val="18"/>
        </w:rPr>
        <w:t xml:space="preserve">period. </w:t>
      </w:r>
      <w:r w:rsidRPr="00C95B86">
        <w:rPr>
          <w:sz w:val="18"/>
          <w:szCs w:val="18"/>
        </w:rPr>
        <w:t xml:space="preserve">The Group </w:t>
      </w:r>
      <w:r>
        <w:rPr>
          <w:sz w:val="18"/>
          <w:szCs w:val="18"/>
        </w:rPr>
        <w:t xml:space="preserve">also </w:t>
      </w:r>
      <w:r w:rsidRPr="00C95B86">
        <w:rPr>
          <w:sz w:val="18"/>
          <w:szCs w:val="18"/>
        </w:rPr>
        <w:t>recognised a £</w:t>
      </w:r>
      <w:r w:rsidR="00E55029">
        <w:rPr>
          <w:sz w:val="18"/>
          <w:szCs w:val="18"/>
        </w:rPr>
        <w:t>0.7</w:t>
      </w:r>
      <w:r w:rsidRPr="00C95B86">
        <w:rPr>
          <w:sz w:val="18"/>
          <w:szCs w:val="18"/>
        </w:rPr>
        <w:t>m interest charge relating to the unwinding of the IFRS 16 lease liability in the period.</w:t>
      </w:r>
    </w:p>
    <w:p w14:paraId="6DE906A6" w14:textId="77777777" w:rsidR="00AA12F9" w:rsidRPr="00F57A51" w:rsidRDefault="00AA12F9" w:rsidP="008F0275">
      <w:pPr>
        <w:adjustRightInd w:val="0"/>
        <w:spacing w:after="0" w:line="240" w:lineRule="auto"/>
        <w:ind w:right="-35"/>
        <w:jc w:val="both"/>
        <w:rPr>
          <w:sz w:val="18"/>
          <w:szCs w:val="18"/>
        </w:rPr>
      </w:pPr>
    </w:p>
    <w:p w14:paraId="1FB10FB5" w14:textId="77777777" w:rsidR="00AA12F9" w:rsidRPr="00701FC1" w:rsidRDefault="00AA12F9" w:rsidP="008F0275">
      <w:pPr>
        <w:adjustRightInd w:val="0"/>
        <w:spacing w:after="0" w:line="240" w:lineRule="auto"/>
        <w:ind w:right="-35"/>
        <w:jc w:val="both"/>
        <w:rPr>
          <w:sz w:val="18"/>
          <w:szCs w:val="18"/>
        </w:rPr>
      </w:pPr>
      <w:r w:rsidRPr="00F57A51">
        <w:rPr>
          <w:sz w:val="18"/>
          <w:szCs w:val="18"/>
        </w:rPr>
        <w:t>The Group’s non-cash finance charge</w:t>
      </w:r>
      <w:r w:rsidR="00C002FA">
        <w:rPr>
          <w:sz w:val="18"/>
          <w:szCs w:val="18"/>
        </w:rPr>
        <w:t xml:space="preserve"> </w:t>
      </w:r>
      <w:r w:rsidRPr="00F57A51">
        <w:rPr>
          <w:sz w:val="18"/>
          <w:szCs w:val="18"/>
        </w:rPr>
        <w:t>in H1 21 was £</w:t>
      </w:r>
      <w:r>
        <w:rPr>
          <w:sz w:val="18"/>
          <w:szCs w:val="18"/>
        </w:rPr>
        <w:t>1.6</w:t>
      </w:r>
      <w:r w:rsidRPr="00F57A51">
        <w:rPr>
          <w:sz w:val="18"/>
          <w:szCs w:val="18"/>
        </w:rPr>
        <w:t>m (H1 20: £1.</w:t>
      </w:r>
      <w:r>
        <w:rPr>
          <w:sz w:val="18"/>
          <w:szCs w:val="18"/>
        </w:rPr>
        <w:t>0</w:t>
      </w:r>
      <w:r w:rsidRPr="00F57A51">
        <w:rPr>
          <w:sz w:val="18"/>
          <w:szCs w:val="18"/>
        </w:rPr>
        <w:t xml:space="preserve">m). The change in </w:t>
      </w:r>
      <w:r w:rsidR="00B3639F">
        <w:rPr>
          <w:sz w:val="18"/>
          <w:szCs w:val="18"/>
        </w:rPr>
        <w:t xml:space="preserve">foreign exchange and </w:t>
      </w:r>
      <w:r w:rsidRPr="00F57A51">
        <w:rPr>
          <w:sz w:val="18"/>
          <w:szCs w:val="18"/>
        </w:rPr>
        <w:t>the fair value of derivatives and related debt adjustments</w:t>
      </w:r>
      <w:r w:rsidR="00E55029">
        <w:rPr>
          <w:sz w:val="18"/>
          <w:szCs w:val="18"/>
        </w:rPr>
        <w:t xml:space="preserve"> </w:t>
      </w:r>
      <w:r w:rsidRPr="00F57A51">
        <w:rPr>
          <w:sz w:val="18"/>
          <w:szCs w:val="18"/>
        </w:rPr>
        <w:t>in the period was a £</w:t>
      </w:r>
      <w:r w:rsidR="00E55029">
        <w:rPr>
          <w:sz w:val="18"/>
          <w:szCs w:val="18"/>
        </w:rPr>
        <w:t>0.7</w:t>
      </w:r>
      <w:r w:rsidRPr="00F57A51">
        <w:rPr>
          <w:sz w:val="18"/>
          <w:szCs w:val="18"/>
        </w:rPr>
        <w:t>m charge (H1 20: nil). The non-cash pension financing charge of £</w:t>
      </w:r>
      <w:r>
        <w:rPr>
          <w:rFonts w:cs="Arial"/>
          <w:sz w:val="18"/>
          <w:szCs w:val="18"/>
        </w:rPr>
        <w:t>0.9</w:t>
      </w:r>
      <w:r w:rsidRPr="00F57A51">
        <w:rPr>
          <w:sz w:val="18"/>
          <w:szCs w:val="18"/>
        </w:rPr>
        <w:t>m was £</w:t>
      </w:r>
      <w:r>
        <w:rPr>
          <w:rFonts w:cs="Arial"/>
          <w:sz w:val="18"/>
          <w:szCs w:val="18"/>
        </w:rPr>
        <w:t>0.1</w:t>
      </w:r>
      <w:r w:rsidRPr="00F57A51">
        <w:rPr>
          <w:sz w:val="18"/>
          <w:szCs w:val="18"/>
        </w:rPr>
        <w:t>m lower than the H1 20 charge of £1.0m.</w:t>
      </w:r>
    </w:p>
    <w:p w14:paraId="66B460E7" w14:textId="77777777" w:rsidR="00AA12F9" w:rsidRPr="00701FC1" w:rsidRDefault="00AA12F9" w:rsidP="008F0275">
      <w:pPr>
        <w:adjustRightInd w:val="0"/>
        <w:spacing w:after="0" w:line="240" w:lineRule="auto"/>
        <w:ind w:right="-35"/>
        <w:jc w:val="both"/>
        <w:rPr>
          <w:sz w:val="18"/>
          <w:szCs w:val="18"/>
        </w:rPr>
      </w:pPr>
    </w:p>
    <w:p w14:paraId="30F66911" w14:textId="77777777" w:rsidR="00AA12F9" w:rsidRPr="00701FC1" w:rsidRDefault="00AA12F9" w:rsidP="008F0275">
      <w:pPr>
        <w:spacing w:after="0" w:line="240" w:lineRule="auto"/>
        <w:ind w:right="-35"/>
        <w:jc w:val="both"/>
        <w:rPr>
          <w:rFonts w:cs="Arial"/>
          <w:b/>
          <w:sz w:val="18"/>
          <w:szCs w:val="18"/>
        </w:rPr>
      </w:pPr>
      <w:r w:rsidRPr="00701FC1">
        <w:rPr>
          <w:rFonts w:cs="Arial"/>
          <w:b/>
          <w:sz w:val="18"/>
          <w:szCs w:val="18"/>
        </w:rPr>
        <w:t>Profit</w:t>
      </w:r>
      <w:r w:rsidR="00C002FA">
        <w:rPr>
          <w:rFonts w:cs="Arial"/>
          <w:b/>
          <w:sz w:val="18"/>
          <w:szCs w:val="18"/>
        </w:rPr>
        <w:t>/(Loss)</w:t>
      </w:r>
      <w:r w:rsidRPr="00701FC1">
        <w:rPr>
          <w:rFonts w:cs="Arial"/>
          <w:b/>
          <w:sz w:val="18"/>
          <w:szCs w:val="18"/>
        </w:rPr>
        <w:t xml:space="preserve"> before taxation </w:t>
      </w:r>
    </w:p>
    <w:p w14:paraId="78298145" w14:textId="77777777" w:rsidR="00AA12F9" w:rsidRPr="00701FC1" w:rsidRDefault="00AA12F9" w:rsidP="008F0275">
      <w:pPr>
        <w:adjustRightInd w:val="0"/>
        <w:spacing w:after="0" w:line="240" w:lineRule="auto"/>
        <w:ind w:right="-35"/>
        <w:jc w:val="both"/>
        <w:rPr>
          <w:sz w:val="18"/>
          <w:szCs w:val="18"/>
        </w:rPr>
      </w:pPr>
      <w:r w:rsidRPr="00701FC1">
        <w:rPr>
          <w:sz w:val="18"/>
          <w:szCs w:val="18"/>
        </w:rPr>
        <w:lastRenderedPageBreak/>
        <w:t xml:space="preserve">The Group’s Profit </w:t>
      </w:r>
      <w:r>
        <w:rPr>
          <w:sz w:val="18"/>
          <w:szCs w:val="18"/>
        </w:rPr>
        <w:t>Before Tax</w:t>
      </w:r>
      <w:r w:rsidRPr="00701FC1">
        <w:rPr>
          <w:sz w:val="18"/>
          <w:szCs w:val="18"/>
        </w:rPr>
        <w:t xml:space="preserve"> decreased from £27.3m in H1 20 to a loss of £</w:t>
      </w:r>
      <w:r>
        <w:rPr>
          <w:sz w:val="18"/>
          <w:szCs w:val="18"/>
        </w:rPr>
        <w:t>1.8</w:t>
      </w:r>
      <w:r w:rsidRPr="00701FC1">
        <w:rPr>
          <w:sz w:val="18"/>
          <w:szCs w:val="18"/>
        </w:rPr>
        <w:t>m in H1 21, driven by lower Group Operating Profit</w:t>
      </w:r>
      <w:r w:rsidR="004A6488">
        <w:rPr>
          <w:sz w:val="18"/>
          <w:szCs w:val="18"/>
        </w:rPr>
        <w:t xml:space="preserve">, </w:t>
      </w:r>
      <w:r w:rsidR="006137AE">
        <w:rPr>
          <w:sz w:val="18"/>
          <w:szCs w:val="18"/>
        </w:rPr>
        <w:t xml:space="preserve">slightly </w:t>
      </w:r>
      <w:r w:rsidR="004A6488">
        <w:rPr>
          <w:sz w:val="18"/>
          <w:szCs w:val="18"/>
        </w:rPr>
        <w:t>higher finance costs</w:t>
      </w:r>
      <w:r w:rsidRPr="00701FC1">
        <w:rPr>
          <w:sz w:val="18"/>
          <w:szCs w:val="18"/>
        </w:rPr>
        <w:t xml:space="preserve"> and partly offset by </w:t>
      </w:r>
      <w:r>
        <w:rPr>
          <w:sz w:val="18"/>
          <w:szCs w:val="18"/>
        </w:rPr>
        <w:t>the exceptional net gain reported in H1 21</w:t>
      </w:r>
      <w:r w:rsidRPr="00701FC1">
        <w:rPr>
          <w:sz w:val="18"/>
          <w:szCs w:val="18"/>
        </w:rPr>
        <w:t xml:space="preserve">. Adjusted </w:t>
      </w:r>
      <w:r>
        <w:rPr>
          <w:sz w:val="18"/>
          <w:szCs w:val="18"/>
        </w:rPr>
        <w:t xml:space="preserve">Loss </w:t>
      </w:r>
      <w:r w:rsidRPr="00701FC1">
        <w:rPr>
          <w:sz w:val="18"/>
          <w:szCs w:val="18"/>
        </w:rPr>
        <w:t>Before Tax in the period was £</w:t>
      </w:r>
      <w:r>
        <w:rPr>
          <w:rFonts w:cs="Arial"/>
          <w:sz w:val="18"/>
          <w:szCs w:val="18"/>
        </w:rPr>
        <w:t>7.9</w:t>
      </w:r>
      <w:r w:rsidRPr="00701FC1">
        <w:rPr>
          <w:sz w:val="18"/>
          <w:szCs w:val="18"/>
        </w:rPr>
        <w:t xml:space="preserve">m (H1 20: </w:t>
      </w:r>
      <w:r>
        <w:rPr>
          <w:sz w:val="18"/>
          <w:szCs w:val="18"/>
        </w:rPr>
        <w:t xml:space="preserve">profit of </w:t>
      </w:r>
      <w:r w:rsidRPr="00701FC1">
        <w:rPr>
          <w:sz w:val="18"/>
          <w:szCs w:val="18"/>
        </w:rPr>
        <w:t>£31.1m), primarily driven by a reduction in Adjusted Operating Profit.</w:t>
      </w:r>
    </w:p>
    <w:p w14:paraId="6B513AEF" w14:textId="77777777" w:rsidR="00AA12F9" w:rsidRPr="006B7684" w:rsidRDefault="00AA12F9" w:rsidP="008F0275">
      <w:pPr>
        <w:adjustRightInd w:val="0"/>
        <w:spacing w:after="0" w:line="240" w:lineRule="auto"/>
        <w:ind w:right="-35"/>
        <w:jc w:val="both"/>
        <w:rPr>
          <w:sz w:val="18"/>
          <w:szCs w:val="18"/>
          <w:highlight w:val="yellow"/>
        </w:rPr>
      </w:pPr>
    </w:p>
    <w:p w14:paraId="264EE13B" w14:textId="77777777" w:rsidR="00AA12F9" w:rsidRPr="00701FC1" w:rsidRDefault="00AA12F9" w:rsidP="008F0275">
      <w:pPr>
        <w:pStyle w:val="Default"/>
        <w:ind w:right="-35"/>
        <w:jc w:val="both"/>
        <w:rPr>
          <w:rFonts w:asciiTheme="minorHAnsi" w:hAnsiTheme="minorHAnsi" w:cs="Arial"/>
          <w:sz w:val="18"/>
          <w:szCs w:val="18"/>
        </w:rPr>
      </w:pPr>
      <w:r w:rsidRPr="00701FC1">
        <w:rPr>
          <w:rFonts w:asciiTheme="minorHAnsi" w:hAnsiTheme="minorHAnsi" w:cs="Arial"/>
          <w:b/>
          <w:bCs/>
          <w:sz w:val="18"/>
          <w:szCs w:val="18"/>
        </w:rPr>
        <w:t xml:space="preserve">Taxation </w:t>
      </w:r>
    </w:p>
    <w:p w14:paraId="3B235865" w14:textId="77777777" w:rsidR="00AA12F9" w:rsidRDefault="00AA12F9" w:rsidP="008F0275">
      <w:pPr>
        <w:adjustRightInd w:val="0"/>
        <w:spacing w:after="0" w:line="240" w:lineRule="auto"/>
        <w:ind w:right="-35"/>
        <w:jc w:val="both"/>
        <w:rPr>
          <w:sz w:val="18"/>
          <w:szCs w:val="18"/>
        </w:rPr>
      </w:pPr>
      <w:r w:rsidRPr="00701FC1">
        <w:rPr>
          <w:sz w:val="18"/>
          <w:szCs w:val="18"/>
        </w:rPr>
        <w:t xml:space="preserve">The Group’s effective tax rate in H1 21 (including the tax impact associated with pension finance items) was </w:t>
      </w:r>
      <w:r>
        <w:rPr>
          <w:sz w:val="18"/>
          <w:szCs w:val="18"/>
        </w:rPr>
        <w:t>18</w:t>
      </w:r>
      <w:r w:rsidRPr="00701FC1">
        <w:rPr>
          <w:sz w:val="18"/>
          <w:szCs w:val="18"/>
        </w:rPr>
        <w:t xml:space="preserve">% (H1 20: 13%). </w:t>
      </w:r>
      <w:r w:rsidRPr="00A92095">
        <w:rPr>
          <w:sz w:val="18"/>
          <w:szCs w:val="18"/>
        </w:rPr>
        <w:t>In March 2021, the UK Government announced a change to the corporation tax rate which is set to increase to 25% from 1 April 2023</w:t>
      </w:r>
      <w:r>
        <w:rPr>
          <w:sz w:val="18"/>
          <w:szCs w:val="18"/>
        </w:rPr>
        <w:t>.</w:t>
      </w:r>
      <w:r w:rsidRPr="00A92095">
        <w:rPr>
          <w:sz w:val="18"/>
          <w:szCs w:val="18"/>
        </w:rPr>
        <w:t xml:space="preserve"> </w:t>
      </w:r>
      <w:r>
        <w:rPr>
          <w:sz w:val="18"/>
          <w:szCs w:val="18"/>
        </w:rPr>
        <w:t>A</w:t>
      </w:r>
      <w:r w:rsidRPr="00A92095">
        <w:rPr>
          <w:sz w:val="18"/>
          <w:szCs w:val="18"/>
        </w:rPr>
        <w:t xml:space="preserve">s this </w:t>
      </w:r>
      <w:r>
        <w:rPr>
          <w:sz w:val="18"/>
          <w:szCs w:val="18"/>
        </w:rPr>
        <w:t xml:space="preserve">was </w:t>
      </w:r>
      <w:r w:rsidRPr="00A92095">
        <w:rPr>
          <w:sz w:val="18"/>
          <w:szCs w:val="18"/>
        </w:rPr>
        <w:t>not substantively en</w:t>
      </w:r>
      <w:r>
        <w:rPr>
          <w:sz w:val="18"/>
          <w:szCs w:val="18"/>
        </w:rPr>
        <w:t>acted by 26 March 2021, this had</w:t>
      </w:r>
      <w:r w:rsidRPr="00A92095">
        <w:rPr>
          <w:sz w:val="18"/>
          <w:szCs w:val="18"/>
        </w:rPr>
        <w:t xml:space="preserve"> no impact on the half year charge. </w:t>
      </w:r>
    </w:p>
    <w:p w14:paraId="5602EADD" w14:textId="77777777" w:rsidR="00AA12F9" w:rsidRPr="006B7684" w:rsidRDefault="00AA12F9" w:rsidP="008F0275">
      <w:pPr>
        <w:adjustRightInd w:val="0"/>
        <w:spacing w:after="0" w:line="240" w:lineRule="auto"/>
        <w:ind w:right="-35"/>
        <w:jc w:val="both"/>
        <w:rPr>
          <w:sz w:val="18"/>
          <w:szCs w:val="18"/>
          <w:highlight w:val="yellow"/>
        </w:rPr>
      </w:pPr>
    </w:p>
    <w:p w14:paraId="48F907C3" w14:textId="77777777" w:rsidR="00AA12F9" w:rsidRPr="00701FC1" w:rsidRDefault="00AA12F9" w:rsidP="008F0275">
      <w:pPr>
        <w:pStyle w:val="Default"/>
        <w:ind w:right="-35"/>
        <w:jc w:val="both"/>
        <w:rPr>
          <w:rFonts w:asciiTheme="minorHAnsi" w:hAnsiTheme="minorHAnsi" w:cs="Arial"/>
          <w:b/>
          <w:bCs/>
          <w:sz w:val="18"/>
          <w:szCs w:val="18"/>
          <w:lang w:val="en-GB"/>
        </w:rPr>
      </w:pPr>
      <w:r w:rsidRPr="00701FC1">
        <w:rPr>
          <w:rFonts w:asciiTheme="minorHAnsi" w:hAnsiTheme="minorHAnsi" w:cs="Arial"/>
          <w:b/>
          <w:bCs/>
          <w:sz w:val="18"/>
          <w:szCs w:val="18"/>
          <w:lang w:val="en-GB"/>
        </w:rPr>
        <w:t>Exceptional items</w:t>
      </w:r>
    </w:p>
    <w:p w14:paraId="14AB97C3" w14:textId="77777777" w:rsidR="00AA12F9" w:rsidRPr="00701FC1" w:rsidRDefault="00AA12F9" w:rsidP="008F0275">
      <w:pPr>
        <w:adjustRightInd w:val="0"/>
        <w:spacing w:after="0" w:line="240" w:lineRule="auto"/>
        <w:ind w:right="-35"/>
        <w:jc w:val="both"/>
        <w:rPr>
          <w:sz w:val="18"/>
          <w:szCs w:val="18"/>
        </w:rPr>
      </w:pPr>
      <w:r w:rsidRPr="00701FC1">
        <w:rPr>
          <w:sz w:val="18"/>
          <w:szCs w:val="18"/>
        </w:rPr>
        <w:t>The Group</w:t>
      </w:r>
      <w:r>
        <w:rPr>
          <w:sz w:val="18"/>
          <w:szCs w:val="18"/>
        </w:rPr>
        <w:t xml:space="preserve"> recognised </w:t>
      </w:r>
      <w:r w:rsidRPr="00701FC1">
        <w:rPr>
          <w:sz w:val="18"/>
          <w:szCs w:val="18"/>
        </w:rPr>
        <w:t xml:space="preserve">a pre‐tax exceptional </w:t>
      </w:r>
      <w:r>
        <w:rPr>
          <w:sz w:val="18"/>
          <w:szCs w:val="18"/>
        </w:rPr>
        <w:t>gain</w:t>
      </w:r>
      <w:r w:rsidRPr="00701FC1">
        <w:rPr>
          <w:sz w:val="18"/>
          <w:szCs w:val="18"/>
        </w:rPr>
        <w:t xml:space="preserve"> of £</w:t>
      </w:r>
      <w:r>
        <w:rPr>
          <w:sz w:val="18"/>
          <w:szCs w:val="18"/>
        </w:rPr>
        <w:t>9.7</w:t>
      </w:r>
      <w:r w:rsidRPr="00701FC1">
        <w:rPr>
          <w:sz w:val="18"/>
          <w:szCs w:val="18"/>
        </w:rPr>
        <w:t xml:space="preserve">m in H1 21, and an after tax </w:t>
      </w:r>
      <w:r>
        <w:rPr>
          <w:sz w:val="18"/>
          <w:szCs w:val="18"/>
        </w:rPr>
        <w:t xml:space="preserve">gain </w:t>
      </w:r>
      <w:r w:rsidRPr="00701FC1">
        <w:rPr>
          <w:sz w:val="18"/>
          <w:szCs w:val="18"/>
        </w:rPr>
        <w:t>of £</w:t>
      </w:r>
      <w:r>
        <w:rPr>
          <w:sz w:val="18"/>
          <w:szCs w:val="18"/>
        </w:rPr>
        <w:t>9.9</w:t>
      </w:r>
      <w:r w:rsidRPr="00701FC1">
        <w:rPr>
          <w:sz w:val="18"/>
          <w:szCs w:val="18"/>
        </w:rPr>
        <w:t>m</w:t>
      </w:r>
      <w:r w:rsidR="004A6488">
        <w:rPr>
          <w:sz w:val="18"/>
          <w:szCs w:val="18"/>
        </w:rPr>
        <w:t xml:space="preserve">. The items are detailed in Note 4 to the condensed Group Financial Statements, and are </w:t>
      </w:r>
      <w:r w:rsidRPr="00701FC1">
        <w:rPr>
          <w:sz w:val="18"/>
          <w:szCs w:val="18"/>
        </w:rPr>
        <w:t>comprised as follows:</w:t>
      </w:r>
    </w:p>
    <w:p w14:paraId="15E9D81A" w14:textId="77777777" w:rsidR="00AA12F9" w:rsidRPr="00701FC1" w:rsidRDefault="00AA12F9" w:rsidP="003235E7">
      <w:pPr>
        <w:adjustRightInd w:val="0"/>
        <w:spacing w:after="0" w:line="240" w:lineRule="auto"/>
        <w:ind w:left="-284" w:right="-330"/>
        <w:jc w:val="both"/>
        <w:rPr>
          <w:sz w:val="18"/>
          <w:szCs w:val="18"/>
        </w:rPr>
      </w:pPr>
    </w:p>
    <w:tbl>
      <w:tblPr>
        <w:tblStyle w:val="TableGrid"/>
        <w:tblW w:w="0" w:type="auto"/>
        <w:jc w:val="center"/>
        <w:tblLook w:val="04A0" w:firstRow="1" w:lastRow="0" w:firstColumn="1" w:lastColumn="0" w:noHBand="0" w:noVBand="1"/>
      </w:tblPr>
      <w:tblGrid>
        <w:gridCol w:w="5255"/>
        <w:gridCol w:w="1347"/>
      </w:tblGrid>
      <w:tr w:rsidR="00AA12F9" w:rsidRPr="00701FC1" w14:paraId="5DFE959A" w14:textId="77777777" w:rsidTr="00AA12F9">
        <w:trPr>
          <w:jc w:val="center"/>
        </w:trPr>
        <w:tc>
          <w:tcPr>
            <w:tcW w:w="5255" w:type="dxa"/>
            <w:shd w:val="clear" w:color="auto" w:fill="auto"/>
          </w:tcPr>
          <w:p w14:paraId="47142321" w14:textId="77777777" w:rsidR="00AA12F9" w:rsidRPr="00701FC1" w:rsidRDefault="00AA12F9" w:rsidP="003235E7">
            <w:pPr>
              <w:autoSpaceDE w:val="0"/>
              <w:autoSpaceDN w:val="0"/>
              <w:adjustRightInd w:val="0"/>
              <w:jc w:val="both"/>
              <w:rPr>
                <w:b/>
                <w:sz w:val="18"/>
                <w:szCs w:val="18"/>
              </w:rPr>
            </w:pPr>
            <w:r w:rsidRPr="00701FC1">
              <w:rPr>
                <w:b/>
                <w:sz w:val="18"/>
                <w:szCs w:val="18"/>
              </w:rPr>
              <w:t>Exceptional Items</w:t>
            </w:r>
          </w:p>
        </w:tc>
        <w:tc>
          <w:tcPr>
            <w:tcW w:w="1347" w:type="dxa"/>
            <w:shd w:val="clear" w:color="auto" w:fill="auto"/>
          </w:tcPr>
          <w:p w14:paraId="6A947FFA" w14:textId="77777777" w:rsidR="00AA12F9" w:rsidRPr="00701FC1" w:rsidRDefault="00AA12F9" w:rsidP="00F9496A">
            <w:pPr>
              <w:autoSpaceDE w:val="0"/>
              <w:autoSpaceDN w:val="0"/>
              <w:adjustRightInd w:val="0"/>
              <w:jc w:val="right"/>
              <w:rPr>
                <w:b/>
                <w:sz w:val="18"/>
                <w:szCs w:val="18"/>
              </w:rPr>
            </w:pPr>
            <w:r w:rsidRPr="00701FC1">
              <w:rPr>
                <w:b/>
                <w:sz w:val="18"/>
                <w:szCs w:val="18"/>
              </w:rPr>
              <w:t>£m</w:t>
            </w:r>
          </w:p>
        </w:tc>
      </w:tr>
      <w:tr w:rsidR="00AA12F9" w:rsidRPr="00701FC1" w14:paraId="0CD671C2" w14:textId="77777777" w:rsidTr="00AA12F9">
        <w:trPr>
          <w:jc w:val="center"/>
        </w:trPr>
        <w:tc>
          <w:tcPr>
            <w:tcW w:w="5255" w:type="dxa"/>
            <w:shd w:val="clear" w:color="auto" w:fill="auto"/>
          </w:tcPr>
          <w:p w14:paraId="0ABE117C" w14:textId="77777777" w:rsidR="00AA12F9" w:rsidRPr="00701FC1" w:rsidRDefault="00741AA8" w:rsidP="00741AA8">
            <w:pPr>
              <w:adjustRightInd w:val="0"/>
              <w:jc w:val="both"/>
              <w:rPr>
                <w:b/>
                <w:sz w:val="18"/>
                <w:szCs w:val="18"/>
              </w:rPr>
            </w:pPr>
            <w:r>
              <w:rPr>
                <w:sz w:val="18"/>
                <w:szCs w:val="18"/>
              </w:rPr>
              <w:t>Profit on d</w:t>
            </w:r>
            <w:r w:rsidR="00AA12F9" w:rsidRPr="00701FC1">
              <w:rPr>
                <w:sz w:val="18"/>
                <w:szCs w:val="18"/>
              </w:rPr>
              <w:t xml:space="preserve">isposal of Molasses </w:t>
            </w:r>
            <w:r>
              <w:rPr>
                <w:sz w:val="18"/>
                <w:szCs w:val="18"/>
              </w:rPr>
              <w:t xml:space="preserve">trading </w:t>
            </w:r>
            <w:r w:rsidR="00AA12F9" w:rsidRPr="00701FC1">
              <w:rPr>
                <w:sz w:val="18"/>
                <w:szCs w:val="18"/>
              </w:rPr>
              <w:t>businesses</w:t>
            </w:r>
          </w:p>
        </w:tc>
        <w:tc>
          <w:tcPr>
            <w:tcW w:w="1347" w:type="dxa"/>
            <w:shd w:val="clear" w:color="auto" w:fill="auto"/>
          </w:tcPr>
          <w:p w14:paraId="38B18209" w14:textId="77777777" w:rsidR="00AA12F9" w:rsidRPr="00701FC1" w:rsidRDefault="00AA12F9" w:rsidP="00F9496A">
            <w:pPr>
              <w:adjustRightInd w:val="0"/>
              <w:jc w:val="right"/>
              <w:rPr>
                <w:sz w:val="18"/>
                <w:szCs w:val="18"/>
              </w:rPr>
            </w:pPr>
            <w:r>
              <w:rPr>
                <w:sz w:val="18"/>
                <w:szCs w:val="18"/>
              </w:rPr>
              <w:t>11.3</w:t>
            </w:r>
          </w:p>
        </w:tc>
      </w:tr>
      <w:tr w:rsidR="00AA12F9" w:rsidRPr="00701FC1" w14:paraId="262AA9B8" w14:textId="77777777" w:rsidTr="00AA12F9">
        <w:trPr>
          <w:jc w:val="center"/>
        </w:trPr>
        <w:tc>
          <w:tcPr>
            <w:tcW w:w="5255" w:type="dxa"/>
            <w:shd w:val="clear" w:color="auto" w:fill="auto"/>
          </w:tcPr>
          <w:p w14:paraId="19D6D4D4" w14:textId="77777777" w:rsidR="00AA12F9" w:rsidRPr="00701FC1" w:rsidRDefault="00741AA8" w:rsidP="003235E7">
            <w:pPr>
              <w:adjustRightInd w:val="0"/>
              <w:jc w:val="both"/>
              <w:rPr>
                <w:b/>
                <w:sz w:val="18"/>
                <w:szCs w:val="18"/>
              </w:rPr>
            </w:pPr>
            <w:r>
              <w:rPr>
                <w:sz w:val="18"/>
                <w:szCs w:val="18"/>
              </w:rPr>
              <w:t>Defined benefit pension schemes restructuring</w:t>
            </w:r>
          </w:p>
        </w:tc>
        <w:tc>
          <w:tcPr>
            <w:tcW w:w="1347" w:type="dxa"/>
            <w:shd w:val="clear" w:color="auto" w:fill="auto"/>
          </w:tcPr>
          <w:p w14:paraId="61AF8914" w14:textId="77777777" w:rsidR="00AA12F9" w:rsidRPr="00701FC1" w:rsidRDefault="00AA12F9" w:rsidP="00F9496A">
            <w:pPr>
              <w:adjustRightInd w:val="0"/>
              <w:jc w:val="right"/>
              <w:rPr>
                <w:sz w:val="18"/>
                <w:szCs w:val="18"/>
              </w:rPr>
            </w:pPr>
            <w:r>
              <w:rPr>
                <w:sz w:val="18"/>
                <w:szCs w:val="18"/>
              </w:rPr>
              <w:t>(2.6)</w:t>
            </w:r>
          </w:p>
        </w:tc>
      </w:tr>
      <w:tr w:rsidR="00AA12F9" w:rsidRPr="00701FC1" w14:paraId="73FCF98E" w14:textId="77777777" w:rsidTr="00AA12F9">
        <w:trPr>
          <w:jc w:val="center"/>
        </w:trPr>
        <w:tc>
          <w:tcPr>
            <w:tcW w:w="5255" w:type="dxa"/>
            <w:shd w:val="clear" w:color="auto" w:fill="auto"/>
          </w:tcPr>
          <w:p w14:paraId="4DBDCF6F" w14:textId="77777777" w:rsidR="00AA12F9" w:rsidRPr="00701FC1" w:rsidRDefault="00AA12F9" w:rsidP="00741AA8">
            <w:pPr>
              <w:adjustRightInd w:val="0"/>
              <w:jc w:val="both"/>
              <w:rPr>
                <w:sz w:val="18"/>
                <w:szCs w:val="18"/>
              </w:rPr>
            </w:pPr>
            <w:r>
              <w:rPr>
                <w:sz w:val="18"/>
                <w:szCs w:val="18"/>
              </w:rPr>
              <w:t xml:space="preserve">Legacy businesses </w:t>
            </w:r>
            <w:r w:rsidR="00741AA8">
              <w:rPr>
                <w:sz w:val="18"/>
                <w:szCs w:val="18"/>
              </w:rPr>
              <w:t>provisions</w:t>
            </w:r>
          </w:p>
        </w:tc>
        <w:tc>
          <w:tcPr>
            <w:tcW w:w="1347" w:type="dxa"/>
            <w:shd w:val="clear" w:color="auto" w:fill="auto"/>
          </w:tcPr>
          <w:p w14:paraId="05CBBC21" w14:textId="77777777" w:rsidR="00AA12F9" w:rsidRDefault="00AA12F9" w:rsidP="00F9496A">
            <w:pPr>
              <w:adjustRightInd w:val="0"/>
              <w:jc w:val="right"/>
              <w:rPr>
                <w:sz w:val="18"/>
                <w:szCs w:val="18"/>
              </w:rPr>
            </w:pPr>
            <w:r>
              <w:rPr>
                <w:sz w:val="18"/>
                <w:szCs w:val="18"/>
              </w:rPr>
              <w:t>1.0</w:t>
            </w:r>
          </w:p>
        </w:tc>
      </w:tr>
      <w:tr w:rsidR="00AA12F9" w:rsidRPr="00701FC1" w14:paraId="340F8091" w14:textId="77777777" w:rsidTr="00AA12F9">
        <w:trPr>
          <w:jc w:val="center"/>
        </w:trPr>
        <w:tc>
          <w:tcPr>
            <w:tcW w:w="5255" w:type="dxa"/>
            <w:shd w:val="clear" w:color="auto" w:fill="auto"/>
          </w:tcPr>
          <w:p w14:paraId="4AFEA5EF" w14:textId="77777777" w:rsidR="00AA12F9" w:rsidRPr="00701FC1" w:rsidRDefault="00AA12F9" w:rsidP="003235E7">
            <w:pPr>
              <w:autoSpaceDE w:val="0"/>
              <w:autoSpaceDN w:val="0"/>
              <w:adjustRightInd w:val="0"/>
              <w:jc w:val="both"/>
              <w:rPr>
                <w:b/>
                <w:sz w:val="18"/>
                <w:szCs w:val="18"/>
              </w:rPr>
            </w:pPr>
            <w:r w:rsidRPr="00701FC1">
              <w:rPr>
                <w:b/>
                <w:sz w:val="18"/>
                <w:szCs w:val="18"/>
              </w:rPr>
              <w:t xml:space="preserve">Exceptional items (before tax) </w:t>
            </w:r>
          </w:p>
        </w:tc>
        <w:tc>
          <w:tcPr>
            <w:tcW w:w="1347" w:type="dxa"/>
            <w:shd w:val="clear" w:color="auto" w:fill="auto"/>
          </w:tcPr>
          <w:p w14:paraId="2630AAA7" w14:textId="77777777" w:rsidR="00AA12F9" w:rsidRPr="00701FC1" w:rsidRDefault="00AA12F9" w:rsidP="00F9496A">
            <w:pPr>
              <w:autoSpaceDE w:val="0"/>
              <w:autoSpaceDN w:val="0"/>
              <w:adjustRightInd w:val="0"/>
              <w:jc w:val="right"/>
              <w:rPr>
                <w:b/>
                <w:sz w:val="18"/>
                <w:szCs w:val="18"/>
              </w:rPr>
            </w:pPr>
            <w:r>
              <w:rPr>
                <w:b/>
                <w:sz w:val="18"/>
                <w:szCs w:val="18"/>
              </w:rPr>
              <w:t>9.7</w:t>
            </w:r>
          </w:p>
        </w:tc>
      </w:tr>
      <w:tr w:rsidR="00AA12F9" w:rsidRPr="00701FC1" w14:paraId="448D0C49" w14:textId="77777777" w:rsidTr="00AA12F9">
        <w:trPr>
          <w:jc w:val="center"/>
        </w:trPr>
        <w:tc>
          <w:tcPr>
            <w:tcW w:w="5255" w:type="dxa"/>
            <w:shd w:val="clear" w:color="auto" w:fill="auto"/>
          </w:tcPr>
          <w:p w14:paraId="51C4017B" w14:textId="77777777" w:rsidR="00AA12F9" w:rsidRPr="00701FC1" w:rsidRDefault="00AA12F9" w:rsidP="003235E7">
            <w:pPr>
              <w:autoSpaceDE w:val="0"/>
              <w:autoSpaceDN w:val="0"/>
              <w:adjustRightInd w:val="0"/>
              <w:jc w:val="both"/>
              <w:rPr>
                <w:sz w:val="18"/>
                <w:szCs w:val="18"/>
              </w:rPr>
            </w:pPr>
            <w:r w:rsidRPr="00701FC1">
              <w:rPr>
                <w:sz w:val="18"/>
                <w:szCs w:val="18"/>
              </w:rPr>
              <w:t xml:space="preserve">Tax on exceptional items </w:t>
            </w:r>
          </w:p>
        </w:tc>
        <w:tc>
          <w:tcPr>
            <w:tcW w:w="1347" w:type="dxa"/>
            <w:shd w:val="clear" w:color="auto" w:fill="auto"/>
          </w:tcPr>
          <w:p w14:paraId="6779BE79" w14:textId="77777777" w:rsidR="00AA12F9" w:rsidRPr="00701FC1" w:rsidRDefault="00AA12F9" w:rsidP="00F9496A">
            <w:pPr>
              <w:autoSpaceDE w:val="0"/>
              <w:autoSpaceDN w:val="0"/>
              <w:adjustRightInd w:val="0"/>
              <w:jc w:val="right"/>
              <w:rPr>
                <w:sz w:val="18"/>
                <w:szCs w:val="18"/>
              </w:rPr>
            </w:pPr>
            <w:r>
              <w:rPr>
                <w:sz w:val="18"/>
                <w:szCs w:val="18"/>
              </w:rPr>
              <w:t>0.2</w:t>
            </w:r>
          </w:p>
        </w:tc>
      </w:tr>
      <w:tr w:rsidR="00AA12F9" w:rsidRPr="006B7684" w14:paraId="2F35810C" w14:textId="77777777" w:rsidTr="00AA12F9">
        <w:trPr>
          <w:jc w:val="center"/>
        </w:trPr>
        <w:tc>
          <w:tcPr>
            <w:tcW w:w="5255" w:type="dxa"/>
            <w:shd w:val="clear" w:color="auto" w:fill="auto"/>
          </w:tcPr>
          <w:p w14:paraId="721D2EAC" w14:textId="77777777" w:rsidR="00AA12F9" w:rsidRPr="00701FC1" w:rsidRDefault="00AA12F9" w:rsidP="003235E7">
            <w:pPr>
              <w:autoSpaceDE w:val="0"/>
              <w:autoSpaceDN w:val="0"/>
              <w:adjustRightInd w:val="0"/>
              <w:jc w:val="both"/>
              <w:rPr>
                <w:b/>
                <w:sz w:val="18"/>
                <w:szCs w:val="18"/>
              </w:rPr>
            </w:pPr>
            <w:r w:rsidRPr="00701FC1">
              <w:rPr>
                <w:b/>
                <w:sz w:val="18"/>
                <w:szCs w:val="18"/>
              </w:rPr>
              <w:t xml:space="preserve">Exceptional items (after tax) </w:t>
            </w:r>
          </w:p>
        </w:tc>
        <w:tc>
          <w:tcPr>
            <w:tcW w:w="1347" w:type="dxa"/>
            <w:shd w:val="clear" w:color="auto" w:fill="auto"/>
          </w:tcPr>
          <w:p w14:paraId="64947ABD" w14:textId="77777777" w:rsidR="00AA12F9" w:rsidRPr="00701FC1" w:rsidRDefault="00AA12F9" w:rsidP="00F9496A">
            <w:pPr>
              <w:autoSpaceDE w:val="0"/>
              <w:autoSpaceDN w:val="0"/>
              <w:adjustRightInd w:val="0"/>
              <w:jc w:val="right"/>
              <w:rPr>
                <w:b/>
                <w:sz w:val="18"/>
                <w:szCs w:val="18"/>
              </w:rPr>
            </w:pPr>
            <w:r>
              <w:rPr>
                <w:b/>
                <w:sz w:val="18"/>
                <w:szCs w:val="18"/>
              </w:rPr>
              <w:t>9.9</w:t>
            </w:r>
          </w:p>
        </w:tc>
      </w:tr>
    </w:tbl>
    <w:p w14:paraId="32A481C7" w14:textId="77777777" w:rsidR="00AA12F9" w:rsidRPr="006B7684" w:rsidRDefault="00AA12F9" w:rsidP="003235E7">
      <w:pPr>
        <w:pStyle w:val="Default"/>
        <w:jc w:val="both"/>
        <w:rPr>
          <w:rFonts w:asciiTheme="minorHAnsi" w:hAnsiTheme="minorHAnsi" w:cs="Arial"/>
          <w:b/>
          <w:bCs/>
          <w:sz w:val="18"/>
          <w:szCs w:val="18"/>
          <w:highlight w:val="yellow"/>
          <w:lang w:val="en-GB"/>
        </w:rPr>
      </w:pPr>
    </w:p>
    <w:p w14:paraId="6C136FA7" w14:textId="77777777" w:rsidR="00AA12F9" w:rsidRPr="00701FC1" w:rsidRDefault="00AA12F9" w:rsidP="008F0275">
      <w:pPr>
        <w:pStyle w:val="Default"/>
        <w:ind w:right="-35"/>
        <w:jc w:val="both"/>
        <w:rPr>
          <w:rFonts w:asciiTheme="minorHAnsi" w:hAnsiTheme="minorHAnsi" w:cs="Arial"/>
          <w:sz w:val="18"/>
          <w:szCs w:val="18"/>
          <w:lang w:val="en-GB"/>
        </w:rPr>
      </w:pPr>
      <w:r w:rsidRPr="00701FC1">
        <w:rPr>
          <w:rFonts w:asciiTheme="minorHAnsi" w:hAnsiTheme="minorHAnsi" w:cs="Arial"/>
          <w:b/>
          <w:bCs/>
          <w:sz w:val="18"/>
          <w:szCs w:val="18"/>
          <w:lang w:val="en-GB"/>
        </w:rPr>
        <w:t xml:space="preserve">Earnings per share </w:t>
      </w:r>
    </w:p>
    <w:p w14:paraId="40AF5AFF" w14:textId="77777777" w:rsidR="00AA12F9" w:rsidRPr="00701FC1" w:rsidRDefault="00AA12F9" w:rsidP="008F0275">
      <w:pPr>
        <w:adjustRightInd w:val="0"/>
        <w:spacing w:after="0" w:line="240" w:lineRule="auto"/>
        <w:ind w:right="-35"/>
        <w:jc w:val="both"/>
        <w:rPr>
          <w:sz w:val="18"/>
          <w:szCs w:val="18"/>
        </w:rPr>
      </w:pPr>
      <w:r w:rsidRPr="00701FC1">
        <w:rPr>
          <w:sz w:val="18"/>
          <w:szCs w:val="18"/>
        </w:rPr>
        <w:t xml:space="preserve">The Group’s basic loss per share </w:t>
      </w:r>
      <w:r>
        <w:rPr>
          <w:sz w:val="18"/>
          <w:szCs w:val="18"/>
        </w:rPr>
        <w:t>in H1 21 of</w:t>
      </w:r>
      <w:r w:rsidRPr="00701FC1">
        <w:rPr>
          <w:sz w:val="18"/>
          <w:szCs w:val="18"/>
        </w:rPr>
        <w:t xml:space="preserve"> </w:t>
      </w:r>
      <w:r>
        <w:rPr>
          <w:rFonts w:cs="Arial"/>
          <w:sz w:val="18"/>
          <w:szCs w:val="18"/>
        </w:rPr>
        <w:t>0.0</w:t>
      </w:r>
      <w:r w:rsidRPr="00701FC1">
        <w:rPr>
          <w:sz w:val="18"/>
          <w:szCs w:val="18"/>
        </w:rPr>
        <w:t xml:space="preserve"> pence compared to basic earnings per share in H1 20 of 5.3 pence. This was driven by a £</w:t>
      </w:r>
      <w:r>
        <w:rPr>
          <w:rFonts w:cs="Arial"/>
          <w:sz w:val="18"/>
          <w:szCs w:val="18"/>
        </w:rPr>
        <w:t>23.2</w:t>
      </w:r>
      <w:r w:rsidRPr="00701FC1">
        <w:rPr>
          <w:sz w:val="18"/>
          <w:szCs w:val="18"/>
        </w:rPr>
        <w:t xml:space="preserve">m reduction in Earnings and an increase in the number of shares in issue following the equity placing in November 2020. The weighted average number of shares in issue in H1 21 was </w:t>
      </w:r>
      <w:r>
        <w:rPr>
          <w:sz w:val="18"/>
          <w:szCs w:val="18"/>
        </w:rPr>
        <w:t>498.0</w:t>
      </w:r>
      <w:r w:rsidRPr="00701FC1">
        <w:rPr>
          <w:sz w:val="18"/>
          <w:szCs w:val="18"/>
        </w:rPr>
        <w:t>m (H1 20: 443.3m).</w:t>
      </w:r>
    </w:p>
    <w:p w14:paraId="2242AFE5" w14:textId="77777777" w:rsidR="00AA12F9" w:rsidRPr="00701FC1" w:rsidRDefault="00AA12F9" w:rsidP="008F0275">
      <w:pPr>
        <w:adjustRightInd w:val="0"/>
        <w:spacing w:after="0" w:line="240" w:lineRule="auto"/>
        <w:ind w:right="-35"/>
        <w:jc w:val="both"/>
        <w:rPr>
          <w:sz w:val="18"/>
          <w:szCs w:val="18"/>
        </w:rPr>
      </w:pPr>
    </w:p>
    <w:p w14:paraId="7362B410" w14:textId="77777777" w:rsidR="00AA12F9" w:rsidRPr="00701FC1" w:rsidRDefault="00AA12F9" w:rsidP="008F0275">
      <w:pPr>
        <w:adjustRightInd w:val="0"/>
        <w:spacing w:after="0" w:line="240" w:lineRule="auto"/>
        <w:ind w:right="-35"/>
        <w:jc w:val="both"/>
        <w:rPr>
          <w:sz w:val="18"/>
          <w:szCs w:val="18"/>
        </w:rPr>
      </w:pPr>
      <w:r w:rsidRPr="00701FC1">
        <w:rPr>
          <w:sz w:val="18"/>
          <w:szCs w:val="18"/>
        </w:rPr>
        <w:t xml:space="preserve">Adjusted Earnings were negative </w:t>
      </w:r>
      <w:r>
        <w:rPr>
          <w:rFonts w:cs="Arial"/>
          <w:sz w:val="18"/>
          <w:szCs w:val="18"/>
        </w:rPr>
        <w:t>£6.8</w:t>
      </w:r>
      <w:r w:rsidRPr="00701FC1">
        <w:rPr>
          <w:rFonts w:cs="Arial"/>
          <w:sz w:val="18"/>
          <w:szCs w:val="18"/>
        </w:rPr>
        <w:t>m</w:t>
      </w:r>
      <w:r w:rsidRPr="00701FC1">
        <w:rPr>
          <w:sz w:val="18"/>
          <w:szCs w:val="18"/>
        </w:rPr>
        <w:t xml:space="preserve"> in the period, £</w:t>
      </w:r>
      <w:r>
        <w:rPr>
          <w:sz w:val="18"/>
          <w:szCs w:val="18"/>
        </w:rPr>
        <w:t>32.7</w:t>
      </w:r>
      <w:r w:rsidRPr="00701FC1">
        <w:rPr>
          <w:sz w:val="18"/>
          <w:szCs w:val="18"/>
        </w:rPr>
        <w:t xml:space="preserve">m behind prior year levels largely due to a reduction in Adjusted Operating Profit. </w:t>
      </w:r>
      <w:r>
        <w:rPr>
          <w:sz w:val="18"/>
          <w:szCs w:val="18"/>
        </w:rPr>
        <w:t xml:space="preserve">The Group’s </w:t>
      </w:r>
      <w:r w:rsidRPr="00701FC1">
        <w:rPr>
          <w:sz w:val="18"/>
          <w:szCs w:val="18"/>
        </w:rPr>
        <w:t xml:space="preserve">Adjusted loss per share of </w:t>
      </w:r>
      <w:r>
        <w:rPr>
          <w:sz w:val="18"/>
          <w:szCs w:val="18"/>
        </w:rPr>
        <w:t>1.4</w:t>
      </w:r>
      <w:r w:rsidRPr="00701FC1">
        <w:rPr>
          <w:sz w:val="18"/>
          <w:szCs w:val="18"/>
        </w:rPr>
        <w:t xml:space="preserve"> pence</w:t>
      </w:r>
      <w:r>
        <w:rPr>
          <w:sz w:val="18"/>
          <w:szCs w:val="18"/>
        </w:rPr>
        <w:t xml:space="preserve"> in H1 21</w:t>
      </w:r>
      <w:r w:rsidRPr="00701FC1">
        <w:rPr>
          <w:sz w:val="18"/>
          <w:szCs w:val="18"/>
        </w:rPr>
        <w:t xml:space="preserve"> compared to Adjusted earnings per share of 5.8 pence in H1 20. </w:t>
      </w:r>
    </w:p>
    <w:p w14:paraId="2CA2BBC8" w14:textId="77777777" w:rsidR="00AA12F9" w:rsidRDefault="00AA12F9" w:rsidP="008F0275">
      <w:pPr>
        <w:pStyle w:val="Default"/>
        <w:ind w:right="-35"/>
        <w:jc w:val="both"/>
        <w:rPr>
          <w:rFonts w:asciiTheme="minorHAnsi" w:hAnsiTheme="minorHAnsi" w:cs="Arial"/>
          <w:b/>
          <w:bCs/>
          <w:sz w:val="18"/>
          <w:szCs w:val="18"/>
          <w:lang w:val="en-GB"/>
        </w:rPr>
      </w:pPr>
    </w:p>
    <w:p w14:paraId="7A0AA5C5" w14:textId="77777777" w:rsidR="00AA12F9" w:rsidRPr="00701FC1" w:rsidRDefault="00AA12F9" w:rsidP="008F0275">
      <w:pPr>
        <w:pStyle w:val="Default"/>
        <w:ind w:right="-35"/>
        <w:jc w:val="both"/>
        <w:rPr>
          <w:rFonts w:asciiTheme="minorHAnsi" w:hAnsiTheme="minorHAnsi" w:cs="Arial"/>
          <w:b/>
          <w:bCs/>
          <w:sz w:val="18"/>
          <w:szCs w:val="18"/>
          <w:lang w:val="en-GB"/>
        </w:rPr>
      </w:pPr>
      <w:r w:rsidRPr="00701FC1">
        <w:rPr>
          <w:rFonts w:asciiTheme="minorHAnsi" w:hAnsiTheme="minorHAnsi" w:cs="Arial"/>
          <w:b/>
          <w:bCs/>
          <w:sz w:val="18"/>
          <w:szCs w:val="18"/>
          <w:lang w:val="en-GB"/>
        </w:rPr>
        <w:t>Cash Flow and Net Debt</w:t>
      </w:r>
    </w:p>
    <w:p w14:paraId="058666AA" w14:textId="77777777" w:rsidR="00AA12F9" w:rsidRPr="0049265D" w:rsidRDefault="00AA12F9" w:rsidP="008F0275">
      <w:pPr>
        <w:adjustRightInd w:val="0"/>
        <w:spacing w:after="0" w:line="240" w:lineRule="auto"/>
        <w:ind w:right="-35"/>
        <w:jc w:val="both"/>
        <w:rPr>
          <w:sz w:val="18"/>
          <w:szCs w:val="18"/>
        </w:rPr>
      </w:pPr>
      <w:r w:rsidRPr="00701FC1">
        <w:rPr>
          <w:sz w:val="18"/>
          <w:szCs w:val="18"/>
        </w:rPr>
        <w:t>Adjusted EBITDA was £</w:t>
      </w:r>
      <w:r>
        <w:rPr>
          <w:sz w:val="18"/>
          <w:szCs w:val="18"/>
        </w:rPr>
        <w:t>37.3</w:t>
      </w:r>
      <w:r w:rsidRPr="00701FC1">
        <w:rPr>
          <w:sz w:val="18"/>
          <w:szCs w:val="18"/>
        </w:rPr>
        <w:t>m lower in H1 21 at £</w:t>
      </w:r>
      <w:r>
        <w:rPr>
          <w:sz w:val="18"/>
          <w:szCs w:val="18"/>
        </w:rPr>
        <w:t>26.5</w:t>
      </w:r>
      <w:r w:rsidRPr="00701FC1">
        <w:rPr>
          <w:sz w:val="18"/>
          <w:szCs w:val="18"/>
        </w:rPr>
        <w:t>m. The Group incurred a net working capital outflow of £</w:t>
      </w:r>
      <w:r>
        <w:rPr>
          <w:sz w:val="18"/>
          <w:szCs w:val="18"/>
        </w:rPr>
        <w:t>21.2</w:t>
      </w:r>
      <w:r w:rsidRPr="00701FC1">
        <w:rPr>
          <w:sz w:val="18"/>
          <w:szCs w:val="18"/>
        </w:rPr>
        <w:t>m</w:t>
      </w:r>
      <w:r>
        <w:rPr>
          <w:sz w:val="18"/>
          <w:szCs w:val="18"/>
        </w:rPr>
        <w:t xml:space="preserve"> (2020: £ 21.8m outflow)</w:t>
      </w:r>
      <w:r w:rsidRPr="00701FC1">
        <w:rPr>
          <w:sz w:val="18"/>
          <w:szCs w:val="18"/>
        </w:rPr>
        <w:t>. Maintenance capital expenditure of £</w:t>
      </w:r>
      <w:r>
        <w:rPr>
          <w:sz w:val="18"/>
          <w:szCs w:val="18"/>
        </w:rPr>
        <w:t>7.9</w:t>
      </w:r>
      <w:r w:rsidRPr="00701FC1">
        <w:rPr>
          <w:sz w:val="18"/>
          <w:szCs w:val="18"/>
        </w:rPr>
        <w:t>m was incurred in the period (H1 20: £11.2m). The cash outflow in respect of exceptional charges was £</w:t>
      </w:r>
      <w:r>
        <w:rPr>
          <w:sz w:val="18"/>
          <w:szCs w:val="18"/>
        </w:rPr>
        <w:t>2.4</w:t>
      </w:r>
      <w:r w:rsidRPr="00701FC1">
        <w:rPr>
          <w:sz w:val="18"/>
          <w:szCs w:val="18"/>
        </w:rPr>
        <w:t xml:space="preserve">m (H1 20: £2.6m), </w:t>
      </w:r>
      <w:r w:rsidRPr="0049265D">
        <w:rPr>
          <w:sz w:val="18"/>
          <w:szCs w:val="18"/>
        </w:rPr>
        <w:t>of which £</w:t>
      </w:r>
      <w:r>
        <w:rPr>
          <w:sz w:val="18"/>
          <w:szCs w:val="18"/>
        </w:rPr>
        <w:t>2.1</w:t>
      </w:r>
      <w:r w:rsidRPr="0049265D">
        <w:rPr>
          <w:sz w:val="18"/>
          <w:szCs w:val="18"/>
        </w:rPr>
        <w:t>m related to prior year exceptional charges.</w:t>
      </w:r>
    </w:p>
    <w:p w14:paraId="101D310C" w14:textId="77777777" w:rsidR="00AA12F9" w:rsidRPr="0049265D" w:rsidRDefault="00AA12F9" w:rsidP="008F0275">
      <w:pPr>
        <w:adjustRightInd w:val="0"/>
        <w:spacing w:after="0" w:line="240" w:lineRule="auto"/>
        <w:ind w:right="-35"/>
        <w:jc w:val="both"/>
        <w:rPr>
          <w:sz w:val="18"/>
          <w:szCs w:val="18"/>
        </w:rPr>
      </w:pPr>
    </w:p>
    <w:p w14:paraId="4AEF500F" w14:textId="77777777" w:rsidR="00AA12F9" w:rsidRPr="0049265D" w:rsidRDefault="00AA12F9" w:rsidP="008F0275">
      <w:pPr>
        <w:adjustRightInd w:val="0"/>
        <w:spacing w:after="0" w:line="240" w:lineRule="auto"/>
        <w:ind w:right="-35"/>
        <w:jc w:val="both"/>
        <w:rPr>
          <w:sz w:val="18"/>
          <w:szCs w:val="18"/>
        </w:rPr>
      </w:pPr>
      <w:r w:rsidRPr="0049265D">
        <w:rPr>
          <w:sz w:val="18"/>
          <w:szCs w:val="18"/>
        </w:rPr>
        <w:t>Interest paid in the period, including interest on lease liabilities</w:t>
      </w:r>
      <w:r>
        <w:rPr>
          <w:sz w:val="18"/>
          <w:szCs w:val="18"/>
        </w:rPr>
        <w:t>,</w:t>
      </w:r>
      <w:r w:rsidRPr="0049265D">
        <w:rPr>
          <w:sz w:val="18"/>
          <w:szCs w:val="18"/>
        </w:rPr>
        <w:t xml:space="preserve"> was £</w:t>
      </w:r>
      <w:r>
        <w:rPr>
          <w:sz w:val="18"/>
          <w:szCs w:val="18"/>
        </w:rPr>
        <w:t>9.2</w:t>
      </w:r>
      <w:r w:rsidRPr="0049265D">
        <w:rPr>
          <w:sz w:val="18"/>
          <w:szCs w:val="18"/>
        </w:rPr>
        <w:t>m (H1 20: £7.5m)</w:t>
      </w:r>
      <w:r>
        <w:rPr>
          <w:sz w:val="18"/>
          <w:szCs w:val="18"/>
        </w:rPr>
        <w:t xml:space="preserve">. The </w:t>
      </w:r>
      <w:r w:rsidRPr="0049265D">
        <w:rPr>
          <w:sz w:val="18"/>
          <w:szCs w:val="18"/>
        </w:rPr>
        <w:t>increase reflect</w:t>
      </w:r>
      <w:r>
        <w:rPr>
          <w:sz w:val="18"/>
          <w:szCs w:val="18"/>
        </w:rPr>
        <w:t>ed</w:t>
      </w:r>
      <w:r w:rsidRPr="0049265D">
        <w:rPr>
          <w:sz w:val="18"/>
          <w:szCs w:val="18"/>
        </w:rPr>
        <w:t xml:space="preserve"> </w:t>
      </w:r>
      <w:r>
        <w:rPr>
          <w:sz w:val="18"/>
          <w:szCs w:val="18"/>
        </w:rPr>
        <w:t xml:space="preserve">higher </w:t>
      </w:r>
      <w:r w:rsidRPr="00C05E24">
        <w:rPr>
          <w:sz w:val="18"/>
          <w:szCs w:val="18"/>
        </w:rPr>
        <w:t xml:space="preserve">average debt levels </w:t>
      </w:r>
      <w:r w:rsidRPr="00677510">
        <w:rPr>
          <w:sz w:val="18"/>
          <w:szCs w:val="18"/>
        </w:rPr>
        <w:t xml:space="preserve">in </w:t>
      </w:r>
      <w:r>
        <w:rPr>
          <w:sz w:val="18"/>
          <w:szCs w:val="18"/>
        </w:rPr>
        <w:t xml:space="preserve">H1 </w:t>
      </w:r>
      <w:r w:rsidRPr="004B0403">
        <w:rPr>
          <w:sz w:val="18"/>
          <w:szCs w:val="18"/>
        </w:rPr>
        <w:t xml:space="preserve">21 </w:t>
      </w:r>
      <w:r w:rsidRPr="00F55D04">
        <w:rPr>
          <w:sz w:val="18"/>
          <w:szCs w:val="18"/>
        </w:rPr>
        <w:t xml:space="preserve">and incremental interest costs incurred </w:t>
      </w:r>
      <w:r w:rsidR="00C002FA">
        <w:rPr>
          <w:sz w:val="18"/>
          <w:szCs w:val="18"/>
        </w:rPr>
        <w:t>following</w:t>
      </w:r>
      <w:r w:rsidRPr="00F55D04">
        <w:rPr>
          <w:sz w:val="18"/>
          <w:szCs w:val="18"/>
        </w:rPr>
        <w:t xml:space="preserve"> the covenant amendments agreed in FY20</w:t>
      </w:r>
      <w:r w:rsidR="00C002FA">
        <w:rPr>
          <w:sz w:val="18"/>
          <w:szCs w:val="18"/>
        </w:rPr>
        <w:t>. These amendments required the Group to recognise a debt modification charge in FY20</w:t>
      </w:r>
      <w:r w:rsidRPr="004B0403">
        <w:rPr>
          <w:sz w:val="18"/>
          <w:szCs w:val="18"/>
        </w:rPr>
        <w:t>.</w:t>
      </w:r>
      <w:r w:rsidRPr="00C05E24">
        <w:rPr>
          <w:sz w:val="18"/>
          <w:szCs w:val="18"/>
        </w:rPr>
        <w:t xml:space="preserve"> Cash tax decreased</w:t>
      </w:r>
      <w:r w:rsidRPr="00677510">
        <w:rPr>
          <w:sz w:val="18"/>
          <w:szCs w:val="18"/>
        </w:rPr>
        <w:t xml:space="preserve"> by £4.2m to Nil due to lower profitability in the period.</w:t>
      </w:r>
      <w:r w:rsidRPr="0049265D">
        <w:rPr>
          <w:sz w:val="18"/>
          <w:szCs w:val="18"/>
        </w:rPr>
        <w:t xml:space="preserve"> The cash tax rate for the Group is expected to rise towards the Group’s effective rate </w:t>
      </w:r>
      <w:r w:rsidR="007D7EAC">
        <w:rPr>
          <w:sz w:val="18"/>
          <w:szCs w:val="18"/>
        </w:rPr>
        <w:t>over time</w:t>
      </w:r>
      <w:r w:rsidRPr="0049265D">
        <w:rPr>
          <w:sz w:val="18"/>
          <w:szCs w:val="18"/>
        </w:rPr>
        <w:t xml:space="preserve"> as a result of increased profitability and a reduction in the degree to which UK losses may be utilised in any one year. The Group’s cash funding for defined benefit pension schemes was £</w:t>
      </w:r>
      <w:r>
        <w:rPr>
          <w:sz w:val="18"/>
          <w:szCs w:val="18"/>
        </w:rPr>
        <w:t>3.0</w:t>
      </w:r>
      <w:r w:rsidRPr="0049265D">
        <w:rPr>
          <w:sz w:val="18"/>
          <w:szCs w:val="18"/>
        </w:rPr>
        <w:t>m (H1 20: £7.8m), reflecting the decision to defer cash contributions in the first half of this year.</w:t>
      </w:r>
    </w:p>
    <w:p w14:paraId="59DF19DA" w14:textId="77777777" w:rsidR="00AA12F9" w:rsidRPr="0049265D" w:rsidRDefault="00AA12F9" w:rsidP="008F0275">
      <w:pPr>
        <w:adjustRightInd w:val="0"/>
        <w:spacing w:after="0" w:line="240" w:lineRule="auto"/>
        <w:ind w:right="-35"/>
        <w:jc w:val="both"/>
        <w:rPr>
          <w:sz w:val="18"/>
          <w:szCs w:val="18"/>
        </w:rPr>
      </w:pPr>
    </w:p>
    <w:p w14:paraId="5EEFA832" w14:textId="77777777" w:rsidR="00AA12F9" w:rsidRPr="0049265D" w:rsidRDefault="00AA12F9" w:rsidP="008F0275">
      <w:pPr>
        <w:adjustRightInd w:val="0"/>
        <w:spacing w:after="0" w:line="240" w:lineRule="auto"/>
        <w:ind w:right="-35"/>
        <w:jc w:val="both"/>
        <w:rPr>
          <w:sz w:val="18"/>
          <w:szCs w:val="18"/>
        </w:rPr>
      </w:pPr>
      <w:r w:rsidRPr="0049265D">
        <w:rPr>
          <w:sz w:val="18"/>
          <w:szCs w:val="18"/>
        </w:rPr>
        <w:t>These movements resulted in a Free Cash outflow of £</w:t>
      </w:r>
      <w:r>
        <w:rPr>
          <w:sz w:val="18"/>
          <w:szCs w:val="18"/>
        </w:rPr>
        <w:t>23.6</w:t>
      </w:r>
      <w:r w:rsidRPr="0049265D">
        <w:rPr>
          <w:sz w:val="18"/>
          <w:szCs w:val="18"/>
        </w:rPr>
        <w:t>m compared to an inflow of £2.6m in H1 20</w:t>
      </w:r>
      <w:r>
        <w:rPr>
          <w:sz w:val="18"/>
          <w:szCs w:val="18"/>
        </w:rPr>
        <w:t xml:space="preserve"> driven </w:t>
      </w:r>
      <w:r w:rsidR="00087D87">
        <w:rPr>
          <w:sz w:val="18"/>
          <w:szCs w:val="18"/>
        </w:rPr>
        <w:t xml:space="preserve">primarily </w:t>
      </w:r>
      <w:r>
        <w:rPr>
          <w:sz w:val="18"/>
          <w:szCs w:val="18"/>
        </w:rPr>
        <w:t>by the lower EBITDA performance.</w:t>
      </w:r>
    </w:p>
    <w:p w14:paraId="2B146480" w14:textId="77777777" w:rsidR="00AA12F9" w:rsidRPr="0049265D" w:rsidRDefault="00AA12F9" w:rsidP="008F0275">
      <w:pPr>
        <w:adjustRightInd w:val="0"/>
        <w:spacing w:after="0" w:line="240" w:lineRule="auto"/>
        <w:ind w:right="-35"/>
        <w:jc w:val="both"/>
        <w:rPr>
          <w:sz w:val="18"/>
          <w:szCs w:val="18"/>
        </w:rPr>
      </w:pPr>
    </w:p>
    <w:p w14:paraId="48605046" w14:textId="77777777" w:rsidR="00AA12F9" w:rsidRPr="0049265D" w:rsidRDefault="00AA12F9" w:rsidP="008F0275">
      <w:pPr>
        <w:adjustRightInd w:val="0"/>
        <w:spacing w:after="0" w:line="240" w:lineRule="auto"/>
        <w:ind w:right="-35"/>
        <w:jc w:val="both"/>
        <w:rPr>
          <w:sz w:val="18"/>
          <w:szCs w:val="18"/>
        </w:rPr>
      </w:pPr>
      <w:r w:rsidRPr="00AF36B2">
        <w:rPr>
          <w:sz w:val="18"/>
          <w:szCs w:val="18"/>
        </w:rPr>
        <w:t>In addition to this Free Cash outflow, in H1 21</w:t>
      </w:r>
      <w:r w:rsidRPr="0049265D">
        <w:rPr>
          <w:sz w:val="18"/>
          <w:szCs w:val="18"/>
        </w:rPr>
        <w:t xml:space="preserve"> the Group incurred strategic capital expenditure of £</w:t>
      </w:r>
      <w:r>
        <w:rPr>
          <w:sz w:val="18"/>
          <w:szCs w:val="18"/>
        </w:rPr>
        <w:t>8.6</w:t>
      </w:r>
      <w:r w:rsidRPr="0049265D">
        <w:rPr>
          <w:sz w:val="18"/>
          <w:szCs w:val="18"/>
        </w:rPr>
        <w:t>m (H1 20: £9.9m)</w:t>
      </w:r>
      <w:r>
        <w:rPr>
          <w:sz w:val="18"/>
          <w:szCs w:val="18"/>
        </w:rPr>
        <w:t>. The Group did not make any e</w:t>
      </w:r>
      <w:r w:rsidRPr="0049265D">
        <w:rPr>
          <w:sz w:val="18"/>
          <w:szCs w:val="18"/>
        </w:rPr>
        <w:t>quity dividend cash payments (H1 20: £16.7m)</w:t>
      </w:r>
      <w:r>
        <w:rPr>
          <w:sz w:val="18"/>
          <w:szCs w:val="18"/>
        </w:rPr>
        <w:t xml:space="preserve"> and i</w:t>
      </w:r>
      <w:r w:rsidRPr="00FE4F16">
        <w:rPr>
          <w:sz w:val="18"/>
          <w:szCs w:val="18"/>
        </w:rPr>
        <w:t xml:space="preserve">n November 2020 the Group completed an equity placing of 80,357,142 new ordinary shares at 112 pence per share, to raise </w:t>
      </w:r>
      <w:r>
        <w:rPr>
          <w:sz w:val="18"/>
          <w:szCs w:val="18"/>
        </w:rPr>
        <w:t>net</w:t>
      </w:r>
      <w:r w:rsidRPr="00FE4F16">
        <w:rPr>
          <w:sz w:val="18"/>
          <w:szCs w:val="18"/>
        </w:rPr>
        <w:t xml:space="preserve"> proceeds of </w:t>
      </w:r>
      <w:r>
        <w:rPr>
          <w:sz w:val="18"/>
          <w:szCs w:val="18"/>
        </w:rPr>
        <w:t>£87.</w:t>
      </w:r>
      <w:r w:rsidR="00611AA5">
        <w:rPr>
          <w:sz w:val="18"/>
          <w:szCs w:val="18"/>
        </w:rPr>
        <w:t>1</w:t>
      </w:r>
      <w:r w:rsidRPr="00FE4F16">
        <w:rPr>
          <w:sz w:val="18"/>
          <w:szCs w:val="18"/>
        </w:rPr>
        <w:t xml:space="preserve">m. </w:t>
      </w:r>
      <w:r>
        <w:rPr>
          <w:sz w:val="18"/>
          <w:szCs w:val="18"/>
        </w:rPr>
        <w:t xml:space="preserve">In </w:t>
      </w:r>
      <w:r w:rsidRPr="00FE4F16">
        <w:rPr>
          <w:sz w:val="18"/>
          <w:szCs w:val="18"/>
        </w:rPr>
        <w:t xml:space="preserve">December 2020 the Group </w:t>
      </w:r>
      <w:r>
        <w:rPr>
          <w:sz w:val="18"/>
          <w:szCs w:val="18"/>
        </w:rPr>
        <w:t xml:space="preserve">also </w:t>
      </w:r>
      <w:r w:rsidRPr="00FE4F16">
        <w:rPr>
          <w:sz w:val="18"/>
          <w:szCs w:val="18"/>
        </w:rPr>
        <w:t>completed the sale of its interests in its molasses trading businesses for a final cash consideration of £16.3m.</w:t>
      </w:r>
    </w:p>
    <w:p w14:paraId="31F47C1A" w14:textId="77777777" w:rsidR="00AA12F9" w:rsidRPr="0049265D" w:rsidRDefault="00AA12F9" w:rsidP="008F0275">
      <w:pPr>
        <w:adjustRightInd w:val="0"/>
        <w:spacing w:after="0" w:line="240" w:lineRule="auto"/>
        <w:ind w:right="-35"/>
        <w:jc w:val="both"/>
        <w:rPr>
          <w:sz w:val="18"/>
          <w:szCs w:val="18"/>
        </w:rPr>
      </w:pPr>
    </w:p>
    <w:p w14:paraId="0B49AFCA" w14:textId="77777777" w:rsidR="00AA12F9" w:rsidRPr="0049265D" w:rsidRDefault="00AA12F9" w:rsidP="008F0275">
      <w:pPr>
        <w:adjustRightInd w:val="0"/>
        <w:spacing w:after="0" w:line="240" w:lineRule="auto"/>
        <w:ind w:right="-35"/>
        <w:jc w:val="both"/>
        <w:rPr>
          <w:sz w:val="18"/>
          <w:szCs w:val="18"/>
        </w:rPr>
      </w:pPr>
      <w:r w:rsidRPr="0049265D">
        <w:rPr>
          <w:sz w:val="18"/>
          <w:szCs w:val="18"/>
        </w:rPr>
        <w:t>The Group’s Net Debt at 26 March 2021 was £</w:t>
      </w:r>
      <w:r>
        <w:rPr>
          <w:sz w:val="18"/>
          <w:szCs w:val="18"/>
        </w:rPr>
        <w:t>332.1</w:t>
      </w:r>
      <w:r w:rsidRPr="0049265D">
        <w:rPr>
          <w:sz w:val="18"/>
          <w:szCs w:val="18"/>
        </w:rPr>
        <w:t>m, a reduction of £</w:t>
      </w:r>
      <w:r>
        <w:rPr>
          <w:sz w:val="18"/>
          <w:szCs w:val="18"/>
        </w:rPr>
        <w:t>42.3</w:t>
      </w:r>
      <w:r w:rsidRPr="0049265D">
        <w:rPr>
          <w:sz w:val="18"/>
          <w:szCs w:val="18"/>
        </w:rPr>
        <w:t>m compared to the prior year period</w:t>
      </w:r>
      <w:r>
        <w:rPr>
          <w:sz w:val="18"/>
          <w:szCs w:val="18"/>
        </w:rPr>
        <w:t xml:space="preserve"> and a reduction of £79.</w:t>
      </w:r>
      <w:r w:rsidR="007D7EAC">
        <w:rPr>
          <w:sz w:val="18"/>
          <w:szCs w:val="18"/>
        </w:rPr>
        <w:t>1</w:t>
      </w:r>
      <w:r>
        <w:rPr>
          <w:sz w:val="18"/>
          <w:szCs w:val="18"/>
        </w:rPr>
        <w:t>m since the end of FY20</w:t>
      </w:r>
      <w:r w:rsidRPr="0049265D">
        <w:rPr>
          <w:sz w:val="18"/>
          <w:szCs w:val="18"/>
        </w:rPr>
        <w:t xml:space="preserve">, driven primarily by the cash proceeds from the equity placing in November 2020 and the sale of the Group’s molasses businesses in December 2020 and partially offset by </w:t>
      </w:r>
      <w:r>
        <w:rPr>
          <w:sz w:val="18"/>
          <w:szCs w:val="18"/>
        </w:rPr>
        <w:t xml:space="preserve">the </w:t>
      </w:r>
      <w:r w:rsidRPr="0049265D">
        <w:rPr>
          <w:sz w:val="18"/>
          <w:szCs w:val="18"/>
        </w:rPr>
        <w:t>free cash outflows as described previously.</w:t>
      </w:r>
    </w:p>
    <w:p w14:paraId="24E990A8" w14:textId="77777777" w:rsidR="00AA12F9" w:rsidRPr="006B7684" w:rsidRDefault="00AA12F9" w:rsidP="008F0275">
      <w:pPr>
        <w:adjustRightInd w:val="0"/>
        <w:spacing w:after="0" w:line="240" w:lineRule="auto"/>
        <w:ind w:right="338"/>
        <w:jc w:val="both"/>
        <w:rPr>
          <w:sz w:val="18"/>
          <w:szCs w:val="18"/>
          <w:highlight w:val="yellow"/>
        </w:rPr>
      </w:pPr>
    </w:p>
    <w:p w14:paraId="2F5F4051" w14:textId="77777777" w:rsidR="00AA12F9" w:rsidRPr="0049265D" w:rsidRDefault="00AA12F9" w:rsidP="008F0275">
      <w:pPr>
        <w:pStyle w:val="Default"/>
        <w:ind w:right="-35"/>
        <w:jc w:val="both"/>
        <w:rPr>
          <w:rFonts w:asciiTheme="minorHAnsi" w:hAnsiTheme="minorHAnsi" w:cs="Arial"/>
          <w:b/>
          <w:bCs/>
          <w:sz w:val="18"/>
          <w:szCs w:val="18"/>
          <w:lang w:val="en-GB"/>
        </w:rPr>
      </w:pPr>
      <w:r w:rsidRPr="0049265D">
        <w:rPr>
          <w:rFonts w:asciiTheme="minorHAnsi" w:hAnsiTheme="minorHAnsi" w:cs="Arial"/>
          <w:b/>
          <w:bCs/>
          <w:sz w:val="18"/>
          <w:szCs w:val="18"/>
          <w:lang w:val="en-GB"/>
        </w:rPr>
        <w:t xml:space="preserve">Financing </w:t>
      </w:r>
    </w:p>
    <w:p w14:paraId="7433419C" w14:textId="77777777" w:rsidR="00AA12F9" w:rsidRPr="0049265D" w:rsidRDefault="00AA12F9" w:rsidP="008F0275">
      <w:pPr>
        <w:adjustRightInd w:val="0"/>
        <w:spacing w:after="0" w:line="240" w:lineRule="auto"/>
        <w:ind w:right="-35"/>
        <w:jc w:val="both"/>
        <w:rPr>
          <w:color w:val="000000"/>
          <w:sz w:val="18"/>
          <w:szCs w:val="18"/>
        </w:rPr>
      </w:pPr>
      <w:r w:rsidRPr="0049265D">
        <w:rPr>
          <w:sz w:val="18"/>
          <w:szCs w:val="18"/>
        </w:rPr>
        <w:t>The Group had total committed debt facilities of £</w:t>
      </w:r>
      <w:r>
        <w:rPr>
          <w:sz w:val="18"/>
          <w:szCs w:val="18"/>
        </w:rPr>
        <w:t>570.7</w:t>
      </w:r>
      <w:r w:rsidRPr="0049265D">
        <w:rPr>
          <w:sz w:val="18"/>
          <w:szCs w:val="18"/>
        </w:rPr>
        <w:t xml:space="preserve">m at 26 March 2021 and a weighted average maturity of </w:t>
      </w:r>
      <w:r>
        <w:rPr>
          <w:sz w:val="18"/>
          <w:szCs w:val="18"/>
        </w:rPr>
        <w:t>3.2</w:t>
      </w:r>
      <w:r w:rsidRPr="0049265D">
        <w:rPr>
          <w:sz w:val="18"/>
          <w:szCs w:val="18"/>
        </w:rPr>
        <w:t xml:space="preserve"> years. </w:t>
      </w:r>
      <w:r w:rsidRPr="0049265D">
        <w:rPr>
          <w:color w:val="000000"/>
          <w:sz w:val="18"/>
          <w:szCs w:val="18"/>
        </w:rPr>
        <w:t xml:space="preserve">This comprised: </w:t>
      </w:r>
    </w:p>
    <w:p w14:paraId="6D68E3DF" w14:textId="77777777" w:rsidR="00AA12F9" w:rsidRPr="0049265D" w:rsidRDefault="00AA12F9" w:rsidP="008F0275">
      <w:pPr>
        <w:adjustRightInd w:val="0"/>
        <w:spacing w:after="0" w:line="240" w:lineRule="auto"/>
        <w:ind w:right="-35"/>
        <w:jc w:val="both"/>
        <w:rPr>
          <w:color w:val="000000"/>
          <w:sz w:val="18"/>
          <w:szCs w:val="18"/>
        </w:rPr>
      </w:pPr>
    </w:p>
    <w:p w14:paraId="6BFAD8EC" w14:textId="7B47A85C" w:rsidR="00AA12F9" w:rsidRPr="0049265D" w:rsidRDefault="00AA12F9" w:rsidP="008F0275">
      <w:pPr>
        <w:pStyle w:val="ListParagraph"/>
        <w:numPr>
          <w:ilvl w:val="0"/>
          <w:numId w:val="14"/>
        </w:numPr>
        <w:autoSpaceDE w:val="0"/>
        <w:autoSpaceDN w:val="0"/>
        <w:adjustRightInd w:val="0"/>
        <w:spacing w:after="0" w:line="240" w:lineRule="auto"/>
        <w:ind w:left="426" w:right="-35" w:hanging="425"/>
        <w:contextualSpacing w:val="0"/>
        <w:jc w:val="both"/>
        <w:rPr>
          <w:color w:val="000000"/>
          <w:sz w:val="18"/>
          <w:szCs w:val="18"/>
        </w:rPr>
      </w:pPr>
      <w:r w:rsidRPr="0049265D">
        <w:rPr>
          <w:color w:val="000000"/>
          <w:sz w:val="18"/>
          <w:szCs w:val="18"/>
        </w:rPr>
        <w:t>A £340m revolving credit bank facility with a maturity date of January 2025</w:t>
      </w:r>
      <w:r w:rsidR="00874753">
        <w:rPr>
          <w:color w:val="000000"/>
          <w:sz w:val="18"/>
          <w:szCs w:val="18"/>
        </w:rPr>
        <w:t>;</w:t>
      </w:r>
      <w:r w:rsidRPr="0049265D">
        <w:rPr>
          <w:color w:val="000000"/>
          <w:sz w:val="18"/>
          <w:szCs w:val="18"/>
        </w:rPr>
        <w:t xml:space="preserve"> </w:t>
      </w:r>
    </w:p>
    <w:p w14:paraId="1160B9C4" w14:textId="0712CA36" w:rsidR="00AA12F9" w:rsidRPr="0049265D" w:rsidRDefault="00AA12F9" w:rsidP="008F0275">
      <w:pPr>
        <w:pStyle w:val="ListParagraph"/>
        <w:numPr>
          <w:ilvl w:val="0"/>
          <w:numId w:val="14"/>
        </w:numPr>
        <w:autoSpaceDE w:val="0"/>
        <w:autoSpaceDN w:val="0"/>
        <w:adjustRightInd w:val="0"/>
        <w:spacing w:after="0" w:line="240" w:lineRule="auto"/>
        <w:ind w:left="426" w:right="-35" w:hanging="425"/>
        <w:contextualSpacing w:val="0"/>
        <w:jc w:val="both"/>
        <w:rPr>
          <w:color w:val="000000"/>
          <w:sz w:val="18"/>
          <w:szCs w:val="18"/>
        </w:rPr>
      </w:pPr>
      <w:r w:rsidRPr="0049265D">
        <w:rPr>
          <w:color w:val="000000"/>
          <w:sz w:val="18"/>
          <w:szCs w:val="18"/>
        </w:rPr>
        <w:t>A £50m bilateral bank facility with a maturity date of January 2024</w:t>
      </w:r>
      <w:r w:rsidR="00874753">
        <w:rPr>
          <w:color w:val="000000"/>
          <w:sz w:val="18"/>
          <w:szCs w:val="18"/>
        </w:rPr>
        <w:t>;</w:t>
      </w:r>
    </w:p>
    <w:p w14:paraId="46C35A90" w14:textId="337A7A2D" w:rsidR="00AA12F9" w:rsidRPr="0049265D" w:rsidRDefault="00AA12F9" w:rsidP="008F0275">
      <w:pPr>
        <w:pStyle w:val="ListParagraph"/>
        <w:numPr>
          <w:ilvl w:val="0"/>
          <w:numId w:val="14"/>
        </w:numPr>
        <w:autoSpaceDE w:val="0"/>
        <w:autoSpaceDN w:val="0"/>
        <w:adjustRightInd w:val="0"/>
        <w:spacing w:after="0" w:line="240" w:lineRule="auto"/>
        <w:ind w:left="426" w:right="-35" w:hanging="425"/>
        <w:contextualSpacing w:val="0"/>
        <w:jc w:val="both"/>
        <w:rPr>
          <w:color w:val="000000"/>
          <w:sz w:val="18"/>
          <w:szCs w:val="18"/>
        </w:rPr>
      </w:pPr>
      <w:r w:rsidRPr="0049265D">
        <w:rPr>
          <w:color w:val="000000"/>
          <w:sz w:val="18"/>
          <w:szCs w:val="18"/>
        </w:rPr>
        <w:t>£</w:t>
      </w:r>
      <w:r>
        <w:rPr>
          <w:color w:val="000000"/>
          <w:sz w:val="18"/>
          <w:szCs w:val="18"/>
        </w:rPr>
        <w:t>105.7</w:t>
      </w:r>
      <w:r w:rsidRPr="0049265D">
        <w:rPr>
          <w:color w:val="000000"/>
          <w:sz w:val="18"/>
          <w:szCs w:val="18"/>
        </w:rPr>
        <w:t>m of outstanding Private Placement notes with maturities ranging between October 2021 and June 2026</w:t>
      </w:r>
      <w:r w:rsidR="00874753">
        <w:rPr>
          <w:color w:val="000000"/>
          <w:sz w:val="18"/>
          <w:szCs w:val="18"/>
        </w:rPr>
        <w:t>; and</w:t>
      </w:r>
      <w:r w:rsidRPr="0049265D">
        <w:rPr>
          <w:color w:val="000000"/>
          <w:sz w:val="18"/>
          <w:szCs w:val="18"/>
        </w:rPr>
        <w:t xml:space="preserve"> </w:t>
      </w:r>
    </w:p>
    <w:p w14:paraId="4F760F4B" w14:textId="33606EC1" w:rsidR="00AA12F9" w:rsidRPr="0049265D" w:rsidRDefault="00AA12F9" w:rsidP="008F0275">
      <w:pPr>
        <w:pStyle w:val="ListParagraph"/>
        <w:numPr>
          <w:ilvl w:val="0"/>
          <w:numId w:val="14"/>
        </w:numPr>
        <w:autoSpaceDE w:val="0"/>
        <w:autoSpaceDN w:val="0"/>
        <w:adjustRightInd w:val="0"/>
        <w:spacing w:after="0" w:line="240" w:lineRule="auto"/>
        <w:ind w:left="426" w:right="-35" w:hanging="425"/>
        <w:contextualSpacing w:val="0"/>
        <w:jc w:val="both"/>
        <w:rPr>
          <w:color w:val="000000"/>
          <w:sz w:val="18"/>
          <w:szCs w:val="18"/>
        </w:rPr>
      </w:pPr>
      <w:r w:rsidRPr="0049265D">
        <w:rPr>
          <w:color w:val="000000"/>
          <w:sz w:val="18"/>
          <w:szCs w:val="18"/>
        </w:rPr>
        <w:t>A revolving credit bank facility of £75m, with a maturity date of March 2023</w:t>
      </w:r>
      <w:r w:rsidR="00874753">
        <w:rPr>
          <w:color w:val="000000"/>
          <w:sz w:val="18"/>
          <w:szCs w:val="18"/>
        </w:rPr>
        <w:t>.</w:t>
      </w:r>
    </w:p>
    <w:p w14:paraId="7F3586EF" w14:textId="77777777" w:rsidR="00AA12F9" w:rsidRPr="0049265D" w:rsidRDefault="00AA12F9" w:rsidP="008F0275">
      <w:pPr>
        <w:adjustRightInd w:val="0"/>
        <w:spacing w:after="0" w:line="240" w:lineRule="auto"/>
        <w:ind w:left="426" w:right="-35"/>
        <w:jc w:val="both"/>
        <w:rPr>
          <w:sz w:val="18"/>
          <w:szCs w:val="18"/>
        </w:rPr>
      </w:pPr>
    </w:p>
    <w:p w14:paraId="43868519" w14:textId="77777777" w:rsidR="00AA12F9" w:rsidRPr="0049265D" w:rsidRDefault="00AA12F9" w:rsidP="008F0275">
      <w:pPr>
        <w:adjustRightInd w:val="0"/>
        <w:spacing w:after="0" w:line="240" w:lineRule="auto"/>
        <w:ind w:right="-35"/>
        <w:jc w:val="both"/>
        <w:rPr>
          <w:sz w:val="18"/>
          <w:szCs w:val="18"/>
        </w:rPr>
      </w:pPr>
      <w:r w:rsidRPr="0049265D">
        <w:rPr>
          <w:sz w:val="18"/>
          <w:szCs w:val="18"/>
        </w:rPr>
        <w:lastRenderedPageBreak/>
        <w:t>The Group had cash and undrawn committed facilities of £</w:t>
      </w:r>
      <w:r>
        <w:rPr>
          <w:sz w:val="18"/>
          <w:szCs w:val="18"/>
        </w:rPr>
        <w:t>302.0</w:t>
      </w:r>
      <w:r w:rsidRPr="0049265D">
        <w:rPr>
          <w:sz w:val="18"/>
          <w:szCs w:val="18"/>
        </w:rPr>
        <w:t>m at 26 March 2021, compared to £232.0m as at 25 September 2020.</w:t>
      </w:r>
    </w:p>
    <w:p w14:paraId="1AACD6BE" w14:textId="77777777" w:rsidR="00AA12F9" w:rsidRPr="0049265D" w:rsidRDefault="00AA12F9" w:rsidP="008F0275">
      <w:pPr>
        <w:adjustRightInd w:val="0"/>
        <w:spacing w:after="0" w:line="240" w:lineRule="auto"/>
        <w:ind w:right="-35"/>
        <w:jc w:val="both"/>
        <w:rPr>
          <w:sz w:val="18"/>
          <w:szCs w:val="18"/>
        </w:rPr>
      </w:pPr>
    </w:p>
    <w:p w14:paraId="73B6F583" w14:textId="77777777" w:rsidR="00AA12F9" w:rsidRPr="0049265D" w:rsidRDefault="00AA12F9" w:rsidP="008F0275">
      <w:pPr>
        <w:pStyle w:val="Default"/>
        <w:ind w:right="-35"/>
        <w:jc w:val="both"/>
        <w:rPr>
          <w:rFonts w:asciiTheme="minorHAnsi" w:hAnsiTheme="minorHAnsi" w:cs="Arial"/>
          <w:b/>
          <w:bCs/>
          <w:sz w:val="18"/>
          <w:szCs w:val="18"/>
          <w:lang w:val="en-GB"/>
        </w:rPr>
      </w:pPr>
      <w:r w:rsidRPr="0049265D">
        <w:rPr>
          <w:rFonts w:asciiTheme="minorHAnsi" w:hAnsiTheme="minorHAnsi" w:cs="Arial"/>
          <w:b/>
          <w:bCs/>
          <w:sz w:val="18"/>
          <w:szCs w:val="18"/>
          <w:lang w:val="en-GB"/>
        </w:rPr>
        <w:t>Pensions</w:t>
      </w:r>
    </w:p>
    <w:p w14:paraId="4CF58F29" w14:textId="77777777" w:rsidR="00AA12F9" w:rsidRPr="0049265D" w:rsidRDefault="00AA12F9" w:rsidP="008F0275">
      <w:pPr>
        <w:adjustRightInd w:val="0"/>
        <w:spacing w:after="0" w:line="240" w:lineRule="auto"/>
        <w:ind w:right="-35"/>
        <w:jc w:val="both"/>
        <w:rPr>
          <w:sz w:val="18"/>
          <w:szCs w:val="18"/>
        </w:rPr>
      </w:pPr>
      <w:r w:rsidRPr="0049265D">
        <w:rPr>
          <w:sz w:val="18"/>
          <w:szCs w:val="18"/>
        </w:rPr>
        <w:t>All legacy defined benefit pension schemes are closed to future accrual. The net pension deficit relating to legacy defined pension schemes, before related deferred tax, at 26 March 2021 was £</w:t>
      </w:r>
      <w:r>
        <w:rPr>
          <w:sz w:val="18"/>
          <w:szCs w:val="18"/>
        </w:rPr>
        <w:t>71.9</w:t>
      </w:r>
      <w:r w:rsidRPr="0049265D">
        <w:rPr>
          <w:sz w:val="18"/>
          <w:szCs w:val="18"/>
        </w:rPr>
        <w:t>m, £</w:t>
      </w:r>
      <w:r>
        <w:rPr>
          <w:sz w:val="18"/>
          <w:szCs w:val="18"/>
        </w:rPr>
        <w:t>10.2</w:t>
      </w:r>
      <w:r w:rsidRPr="0049265D">
        <w:rPr>
          <w:sz w:val="18"/>
          <w:szCs w:val="18"/>
        </w:rPr>
        <w:t>m lower than the position at 25 September 2020. The net pension deficit after related deferred tax was £</w:t>
      </w:r>
      <w:r>
        <w:rPr>
          <w:sz w:val="18"/>
          <w:szCs w:val="18"/>
        </w:rPr>
        <w:t>55.7</w:t>
      </w:r>
      <w:r w:rsidRPr="0049265D">
        <w:rPr>
          <w:sz w:val="18"/>
          <w:szCs w:val="18"/>
        </w:rPr>
        <w:t>m (FY20: £</w:t>
      </w:r>
      <w:r>
        <w:rPr>
          <w:sz w:val="18"/>
          <w:szCs w:val="18"/>
        </w:rPr>
        <w:t>63.8</w:t>
      </w:r>
      <w:r w:rsidRPr="0049265D">
        <w:rPr>
          <w:sz w:val="18"/>
          <w:szCs w:val="18"/>
        </w:rPr>
        <w:t xml:space="preserve">m). The decrease in net pension deficit was driven principally by </w:t>
      </w:r>
      <w:r>
        <w:rPr>
          <w:sz w:val="18"/>
          <w:szCs w:val="18"/>
        </w:rPr>
        <w:t>an actuarial gain on liabilities arising from an increase in the discount rates used to value these liabilities. The move</w:t>
      </w:r>
      <w:r w:rsidR="007D7EAC">
        <w:rPr>
          <w:sz w:val="18"/>
          <w:szCs w:val="18"/>
        </w:rPr>
        <w:t>ment</w:t>
      </w:r>
      <w:r>
        <w:rPr>
          <w:sz w:val="18"/>
          <w:szCs w:val="18"/>
        </w:rPr>
        <w:t xml:space="preserve"> in the discount rate is driven by the corporate bond rate.</w:t>
      </w:r>
    </w:p>
    <w:p w14:paraId="0381F961" w14:textId="77777777" w:rsidR="00AA12F9" w:rsidRPr="006B7684" w:rsidRDefault="00AA12F9" w:rsidP="008F0275">
      <w:pPr>
        <w:adjustRightInd w:val="0"/>
        <w:spacing w:after="0" w:line="240" w:lineRule="auto"/>
        <w:ind w:right="-35"/>
        <w:jc w:val="both"/>
        <w:rPr>
          <w:sz w:val="18"/>
          <w:szCs w:val="18"/>
          <w:highlight w:val="yellow"/>
        </w:rPr>
      </w:pPr>
    </w:p>
    <w:p w14:paraId="2C48BDC7" w14:textId="77777777" w:rsidR="00AA12F9" w:rsidRPr="0049265D" w:rsidRDefault="00AA12F9" w:rsidP="008F0275">
      <w:pPr>
        <w:adjustRightInd w:val="0"/>
        <w:spacing w:after="0" w:line="240" w:lineRule="auto"/>
        <w:ind w:right="-35"/>
        <w:jc w:val="both"/>
        <w:rPr>
          <w:sz w:val="18"/>
          <w:szCs w:val="18"/>
        </w:rPr>
      </w:pPr>
      <w:r w:rsidRPr="0049265D">
        <w:rPr>
          <w:sz w:val="18"/>
          <w:szCs w:val="18"/>
        </w:rPr>
        <w:t xml:space="preserve">In H1 21 the Group entered a formal agreement with the Trustees of the legacy defined benefit pension scheme in the UK to defer cash contributions to the pension for a </w:t>
      </w:r>
      <w:r>
        <w:rPr>
          <w:sz w:val="18"/>
          <w:szCs w:val="18"/>
        </w:rPr>
        <w:t xml:space="preserve">further </w:t>
      </w:r>
      <w:r w:rsidRPr="0049265D">
        <w:rPr>
          <w:sz w:val="18"/>
          <w:szCs w:val="18"/>
        </w:rPr>
        <w:t>period of six months which resulted in a reduction of cash contributions in H1 21 of £</w:t>
      </w:r>
      <w:r>
        <w:rPr>
          <w:sz w:val="18"/>
          <w:szCs w:val="18"/>
        </w:rPr>
        <w:t>3.4</w:t>
      </w:r>
      <w:r w:rsidRPr="0049265D">
        <w:rPr>
          <w:sz w:val="18"/>
          <w:szCs w:val="18"/>
        </w:rPr>
        <w:t>m.</w:t>
      </w:r>
      <w:r>
        <w:rPr>
          <w:sz w:val="18"/>
          <w:szCs w:val="18"/>
        </w:rPr>
        <w:t xml:space="preserve"> Since the beginning of the pandemic </w:t>
      </w:r>
      <w:r w:rsidR="00202AAA">
        <w:rPr>
          <w:sz w:val="18"/>
          <w:szCs w:val="18"/>
        </w:rPr>
        <w:t xml:space="preserve">to </w:t>
      </w:r>
      <w:r w:rsidR="00087D87">
        <w:rPr>
          <w:sz w:val="18"/>
          <w:szCs w:val="18"/>
        </w:rPr>
        <w:t>the date of this announcement</w:t>
      </w:r>
      <w:r w:rsidR="00202AAA">
        <w:rPr>
          <w:sz w:val="18"/>
          <w:szCs w:val="18"/>
        </w:rPr>
        <w:t xml:space="preserve">, </w:t>
      </w:r>
      <w:r>
        <w:rPr>
          <w:sz w:val="18"/>
          <w:szCs w:val="18"/>
        </w:rPr>
        <w:t xml:space="preserve">the Group has deferred cash contributions totalling </w:t>
      </w:r>
      <w:r w:rsidRPr="00202AAA">
        <w:rPr>
          <w:sz w:val="18"/>
          <w:szCs w:val="18"/>
        </w:rPr>
        <w:t>£</w:t>
      </w:r>
      <w:r w:rsidR="00202AAA">
        <w:rPr>
          <w:sz w:val="18"/>
          <w:szCs w:val="18"/>
        </w:rPr>
        <w:t>1</w:t>
      </w:r>
      <w:r w:rsidRPr="00202AAA">
        <w:rPr>
          <w:sz w:val="18"/>
          <w:szCs w:val="18"/>
        </w:rPr>
        <w:t>0.3m</w:t>
      </w:r>
      <w:r>
        <w:rPr>
          <w:sz w:val="18"/>
          <w:szCs w:val="18"/>
        </w:rPr>
        <w:t xml:space="preserve">. </w:t>
      </w:r>
    </w:p>
    <w:p w14:paraId="7DA55654" w14:textId="77777777" w:rsidR="00AA12F9" w:rsidRPr="006B7684" w:rsidRDefault="00AA12F9" w:rsidP="008F0275">
      <w:pPr>
        <w:adjustRightInd w:val="0"/>
        <w:spacing w:after="0" w:line="240" w:lineRule="auto"/>
        <w:ind w:right="-35"/>
        <w:jc w:val="both"/>
        <w:rPr>
          <w:sz w:val="18"/>
          <w:szCs w:val="18"/>
          <w:highlight w:val="yellow"/>
        </w:rPr>
      </w:pPr>
    </w:p>
    <w:p w14:paraId="4AEDC8F4" w14:textId="77777777" w:rsidR="00AA12F9" w:rsidRDefault="00AA12F9" w:rsidP="008F0275">
      <w:pPr>
        <w:adjustRightInd w:val="0"/>
        <w:spacing w:after="0" w:line="240" w:lineRule="auto"/>
        <w:ind w:right="-35"/>
        <w:jc w:val="both"/>
        <w:rPr>
          <w:sz w:val="18"/>
          <w:szCs w:val="18"/>
        </w:rPr>
      </w:pPr>
      <w:r w:rsidRPr="0049265D">
        <w:rPr>
          <w:sz w:val="18"/>
          <w:szCs w:val="18"/>
        </w:rPr>
        <w:t>The valuations and funding obligations of the Group’s legacy defined benefit pension schemes are assessed on a triennial basis with the relevant trustees. The next assessment</w:t>
      </w:r>
      <w:r>
        <w:rPr>
          <w:sz w:val="18"/>
          <w:szCs w:val="18"/>
        </w:rPr>
        <w:t xml:space="preserve"> for the Group’s principal UK defined benefit pension scheme</w:t>
      </w:r>
      <w:r w:rsidRPr="0049265D">
        <w:rPr>
          <w:sz w:val="18"/>
          <w:szCs w:val="18"/>
        </w:rPr>
        <w:t xml:space="preserve"> is expected to conclude </w:t>
      </w:r>
      <w:r w:rsidR="00087D87">
        <w:rPr>
          <w:sz w:val="18"/>
          <w:szCs w:val="18"/>
        </w:rPr>
        <w:t>in H2 21</w:t>
      </w:r>
      <w:r w:rsidRPr="0049265D">
        <w:rPr>
          <w:sz w:val="18"/>
          <w:szCs w:val="18"/>
        </w:rPr>
        <w:t xml:space="preserve">. </w:t>
      </w:r>
    </w:p>
    <w:p w14:paraId="1F431CF9" w14:textId="77777777" w:rsidR="00AA12F9" w:rsidRDefault="00AA12F9" w:rsidP="008F0275">
      <w:pPr>
        <w:adjustRightInd w:val="0"/>
        <w:spacing w:after="0" w:line="240" w:lineRule="auto"/>
        <w:ind w:right="-35"/>
        <w:jc w:val="both"/>
        <w:rPr>
          <w:sz w:val="18"/>
          <w:szCs w:val="18"/>
        </w:rPr>
      </w:pPr>
    </w:p>
    <w:p w14:paraId="6CBB383F" w14:textId="77777777" w:rsidR="00AA12F9" w:rsidRPr="0049265D" w:rsidRDefault="00AA12F9" w:rsidP="008F0275">
      <w:pPr>
        <w:adjustRightInd w:val="0"/>
        <w:spacing w:after="0" w:line="240" w:lineRule="auto"/>
        <w:ind w:right="-35"/>
        <w:jc w:val="both"/>
        <w:rPr>
          <w:sz w:val="18"/>
          <w:szCs w:val="18"/>
        </w:rPr>
      </w:pPr>
      <w:r w:rsidRPr="0049265D">
        <w:rPr>
          <w:sz w:val="18"/>
          <w:szCs w:val="18"/>
        </w:rPr>
        <w:t xml:space="preserve">In H1 21 </w:t>
      </w:r>
      <w:r>
        <w:rPr>
          <w:sz w:val="18"/>
          <w:szCs w:val="18"/>
        </w:rPr>
        <w:t xml:space="preserve">the Group and trustees of all three Irish schemes agreed a </w:t>
      </w:r>
      <w:r w:rsidRPr="001726B6">
        <w:rPr>
          <w:sz w:val="18"/>
          <w:szCs w:val="18"/>
        </w:rPr>
        <w:t xml:space="preserve">restructuring of </w:t>
      </w:r>
      <w:r>
        <w:rPr>
          <w:sz w:val="18"/>
          <w:szCs w:val="18"/>
        </w:rPr>
        <w:t xml:space="preserve">its Irish </w:t>
      </w:r>
      <w:r w:rsidRPr="001726B6">
        <w:rPr>
          <w:sz w:val="18"/>
          <w:szCs w:val="18"/>
        </w:rPr>
        <w:t xml:space="preserve">pension schemes which included </w:t>
      </w:r>
      <w:r>
        <w:rPr>
          <w:sz w:val="18"/>
          <w:szCs w:val="18"/>
        </w:rPr>
        <w:t xml:space="preserve">the agreement to </w:t>
      </w:r>
      <w:r w:rsidRPr="001726B6">
        <w:rPr>
          <w:sz w:val="18"/>
          <w:szCs w:val="18"/>
        </w:rPr>
        <w:t xml:space="preserve">wind up </w:t>
      </w:r>
      <w:r>
        <w:rPr>
          <w:sz w:val="18"/>
          <w:szCs w:val="18"/>
        </w:rPr>
        <w:t xml:space="preserve">the two smaller schemes </w:t>
      </w:r>
      <w:r w:rsidRPr="001726B6">
        <w:rPr>
          <w:sz w:val="18"/>
          <w:szCs w:val="18"/>
        </w:rPr>
        <w:t xml:space="preserve">and </w:t>
      </w:r>
      <w:r>
        <w:rPr>
          <w:sz w:val="18"/>
          <w:szCs w:val="18"/>
        </w:rPr>
        <w:t xml:space="preserve">to </w:t>
      </w:r>
      <w:r w:rsidRPr="001726B6">
        <w:rPr>
          <w:sz w:val="18"/>
          <w:szCs w:val="18"/>
        </w:rPr>
        <w:t xml:space="preserve">transfer certain assets and liabilities from those schemes to the </w:t>
      </w:r>
      <w:r>
        <w:rPr>
          <w:sz w:val="18"/>
          <w:szCs w:val="18"/>
        </w:rPr>
        <w:t>principal scheme. Details of the restructuring are detailed in Note 13 to the Interim Financial Report.</w:t>
      </w:r>
    </w:p>
    <w:p w14:paraId="6569C724" w14:textId="77777777" w:rsidR="00AA12F9" w:rsidRPr="0049265D" w:rsidRDefault="00AA12F9" w:rsidP="008F0275">
      <w:pPr>
        <w:adjustRightInd w:val="0"/>
        <w:spacing w:after="0" w:line="240" w:lineRule="auto"/>
        <w:ind w:right="-35"/>
        <w:jc w:val="both"/>
        <w:rPr>
          <w:sz w:val="18"/>
          <w:szCs w:val="18"/>
        </w:rPr>
      </w:pPr>
    </w:p>
    <w:p w14:paraId="26098C77" w14:textId="77777777" w:rsidR="00AA12F9" w:rsidRPr="0049265D" w:rsidRDefault="00AA12F9" w:rsidP="008F0275">
      <w:pPr>
        <w:adjustRightInd w:val="0"/>
        <w:spacing w:after="0" w:line="240" w:lineRule="auto"/>
        <w:ind w:right="-35"/>
        <w:jc w:val="both"/>
        <w:rPr>
          <w:rFonts w:cs="Calibri-Bold"/>
          <w:b/>
          <w:bCs/>
          <w:sz w:val="18"/>
          <w:szCs w:val="18"/>
        </w:rPr>
      </w:pPr>
      <w:r w:rsidRPr="0049265D">
        <w:rPr>
          <w:rFonts w:cs="Calibri-Bold"/>
          <w:b/>
          <w:bCs/>
          <w:sz w:val="18"/>
          <w:szCs w:val="18"/>
        </w:rPr>
        <w:t>Principal risks and uncertainties</w:t>
      </w:r>
    </w:p>
    <w:p w14:paraId="575E89A5" w14:textId="77777777" w:rsidR="00AA12F9" w:rsidRPr="0049265D" w:rsidRDefault="00AA12F9" w:rsidP="008F0275">
      <w:pPr>
        <w:spacing w:after="0" w:line="240" w:lineRule="auto"/>
        <w:ind w:right="-35"/>
        <w:jc w:val="both"/>
        <w:rPr>
          <w:sz w:val="18"/>
          <w:szCs w:val="18"/>
        </w:rPr>
      </w:pPr>
      <w:r w:rsidRPr="0049265D">
        <w:rPr>
          <w:sz w:val="18"/>
          <w:szCs w:val="18"/>
        </w:rPr>
        <w:t>There are a number of potential risks and uncertainties which could have a material impact on future Group performance and could cause actual results to differ materially from expected and historical results. The Board considers the risks and uncertainties as described in detail in the Risks and Risk Management</w:t>
      </w:r>
      <w:r w:rsidR="008669B4">
        <w:rPr>
          <w:sz w:val="18"/>
          <w:szCs w:val="18"/>
        </w:rPr>
        <w:t xml:space="preserve"> section</w:t>
      </w:r>
      <w:r w:rsidRPr="0049265D">
        <w:rPr>
          <w:sz w:val="18"/>
          <w:szCs w:val="18"/>
        </w:rPr>
        <w:t xml:space="preserve"> in the Annual Report and Financial Statements for the year ended 25 September 2020 issued on </w:t>
      </w:r>
      <w:r w:rsidR="00A25506" w:rsidRPr="0049265D">
        <w:rPr>
          <w:sz w:val="18"/>
          <w:szCs w:val="18"/>
        </w:rPr>
        <w:t>2</w:t>
      </w:r>
      <w:r w:rsidR="00A25506">
        <w:rPr>
          <w:sz w:val="18"/>
          <w:szCs w:val="18"/>
        </w:rPr>
        <w:t>3</w:t>
      </w:r>
      <w:r w:rsidR="00A25506" w:rsidRPr="0049265D">
        <w:rPr>
          <w:sz w:val="18"/>
          <w:szCs w:val="18"/>
        </w:rPr>
        <w:t xml:space="preserve"> </w:t>
      </w:r>
      <w:r w:rsidRPr="0049265D">
        <w:rPr>
          <w:sz w:val="18"/>
          <w:szCs w:val="18"/>
        </w:rPr>
        <w:t xml:space="preserve">November 2020, to remain applicable in the second half of the year. </w:t>
      </w:r>
    </w:p>
    <w:p w14:paraId="60D365AB" w14:textId="77777777" w:rsidR="00AA12F9" w:rsidRPr="0049265D" w:rsidRDefault="00AA12F9" w:rsidP="008F0275">
      <w:pPr>
        <w:spacing w:after="0" w:line="240" w:lineRule="auto"/>
        <w:ind w:right="-35"/>
        <w:jc w:val="both"/>
        <w:rPr>
          <w:sz w:val="18"/>
          <w:szCs w:val="18"/>
        </w:rPr>
      </w:pPr>
    </w:p>
    <w:p w14:paraId="28F02C16" w14:textId="77777777" w:rsidR="00AA12F9" w:rsidRPr="0049265D" w:rsidRDefault="00AA12F9" w:rsidP="008F0275">
      <w:pPr>
        <w:spacing w:after="0" w:line="240" w:lineRule="auto"/>
        <w:ind w:right="-35"/>
        <w:jc w:val="both"/>
        <w:rPr>
          <w:sz w:val="18"/>
          <w:szCs w:val="18"/>
        </w:rPr>
      </w:pPr>
      <w:r w:rsidRPr="0049265D">
        <w:rPr>
          <w:sz w:val="18"/>
          <w:szCs w:val="18"/>
        </w:rPr>
        <w:t>A description of the risks and uncertainties are set out in the Appendix to the Interim Financial Report.</w:t>
      </w:r>
    </w:p>
    <w:p w14:paraId="20D80F1A" w14:textId="77777777" w:rsidR="00AA12F9" w:rsidRPr="0049265D" w:rsidRDefault="00AA12F9" w:rsidP="008F0275">
      <w:pPr>
        <w:spacing w:after="0" w:line="240" w:lineRule="auto"/>
        <w:ind w:right="338"/>
        <w:jc w:val="both"/>
        <w:rPr>
          <w:sz w:val="18"/>
          <w:szCs w:val="18"/>
        </w:rPr>
      </w:pPr>
    </w:p>
    <w:p w14:paraId="1BC81A62" w14:textId="77777777" w:rsidR="00AA12F9" w:rsidRPr="0049265D" w:rsidRDefault="00AA12F9" w:rsidP="008F0275">
      <w:pPr>
        <w:tabs>
          <w:tab w:val="left" w:pos="5018"/>
        </w:tabs>
        <w:spacing w:after="0" w:line="240" w:lineRule="auto"/>
        <w:ind w:right="-35"/>
        <w:jc w:val="both"/>
        <w:rPr>
          <w:b/>
          <w:sz w:val="18"/>
          <w:szCs w:val="18"/>
        </w:rPr>
      </w:pPr>
      <w:r w:rsidRPr="004B0403">
        <w:rPr>
          <w:b/>
          <w:sz w:val="18"/>
          <w:szCs w:val="18"/>
        </w:rPr>
        <w:t>Responsibility Statement</w:t>
      </w:r>
      <w:r w:rsidR="009864AC">
        <w:rPr>
          <w:b/>
          <w:sz w:val="18"/>
          <w:szCs w:val="18"/>
        </w:rPr>
        <w:tab/>
      </w:r>
    </w:p>
    <w:p w14:paraId="66A8F572" w14:textId="77777777" w:rsidR="00AA12F9" w:rsidRPr="0049265D" w:rsidRDefault="00AA12F9" w:rsidP="008F0275">
      <w:pPr>
        <w:spacing w:after="0" w:line="240" w:lineRule="auto"/>
        <w:ind w:right="-35"/>
        <w:jc w:val="both"/>
        <w:rPr>
          <w:sz w:val="18"/>
          <w:szCs w:val="18"/>
        </w:rPr>
      </w:pPr>
      <w:r w:rsidRPr="0049265D">
        <w:rPr>
          <w:sz w:val="18"/>
          <w:szCs w:val="18"/>
        </w:rPr>
        <w:t xml:space="preserve">Each of the Directors of Greencore Group plc confirm that, to the best of each person’s knowledge and belief as required by the </w:t>
      </w:r>
      <w:r w:rsidRPr="003D5F6C">
        <w:rPr>
          <w:sz w:val="18"/>
          <w:szCs w:val="18"/>
        </w:rPr>
        <w:t>Disclosure Guidance and Transparency Rules</w:t>
      </w:r>
      <w:r w:rsidR="00EA0555">
        <w:rPr>
          <w:sz w:val="18"/>
          <w:szCs w:val="18"/>
        </w:rPr>
        <w:t xml:space="preserve"> of the Financial Conduct Authority (‘FCA’)</w:t>
      </w:r>
      <w:r w:rsidRPr="0049265D">
        <w:rPr>
          <w:sz w:val="18"/>
          <w:szCs w:val="18"/>
        </w:rPr>
        <w:t>:</w:t>
      </w:r>
    </w:p>
    <w:p w14:paraId="7ADCFA11" w14:textId="77777777" w:rsidR="00AA12F9" w:rsidRPr="0049265D" w:rsidRDefault="00AA12F9" w:rsidP="008F0275">
      <w:pPr>
        <w:spacing w:after="0" w:line="240" w:lineRule="auto"/>
        <w:ind w:right="-35"/>
        <w:jc w:val="both"/>
        <w:rPr>
          <w:color w:val="585757"/>
          <w:sz w:val="20"/>
          <w:szCs w:val="20"/>
        </w:rPr>
      </w:pPr>
    </w:p>
    <w:p w14:paraId="0A724E59" w14:textId="77777777" w:rsidR="00AA12F9" w:rsidRPr="0049265D" w:rsidRDefault="00AA12F9" w:rsidP="008F0275">
      <w:pPr>
        <w:numPr>
          <w:ilvl w:val="0"/>
          <w:numId w:val="13"/>
        </w:numPr>
        <w:autoSpaceDE w:val="0"/>
        <w:autoSpaceDN w:val="0"/>
        <w:spacing w:after="0" w:line="240" w:lineRule="auto"/>
        <w:ind w:left="426" w:right="-35"/>
        <w:jc w:val="both"/>
        <w:rPr>
          <w:sz w:val="18"/>
          <w:szCs w:val="18"/>
        </w:rPr>
      </w:pPr>
      <w:r w:rsidRPr="0049265D">
        <w:rPr>
          <w:sz w:val="18"/>
          <w:szCs w:val="18"/>
        </w:rPr>
        <w:t xml:space="preserve">The Financial Statements, prepared in accordance with IFRS as adopted by the EU and the Company Financial Statements prepared in accordance with FRS 101: </w:t>
      </w:r>
      <w:r w:rsidRPr="00F55D04">
        <w:rPr>
          <w:i/>
          <w:sz w:val="18"/>
          <w:szCs w:val="18"/>
        </w:rPr>
        <w:t>Reduced Disclosure Framework</w:t>
      </w:r>
      <w:r w:rsidRPr="0049265D">
        <w:rPr>
          <w:sz w:val="18"/>
          <w:szCs w:val="18"/>
        </w:rPr>
        <w:t xml:space="preserve">, give a true and fair view of the assets, liabilities, financial position of the Group and Company at 26 March 2021 and the profit/loss of the Group for the 26 weeks ending 26 March 2021; and </w:t>
      </w:r>
    </w:p>
    <w:p w14:paraId="5E345CA9" w14:textId="77777777" w:rsidR="00AA12F9" w:rsidRPr="0049265D" w:rsidRDefault="00AA12F9" w:rsidP="008F0275">
      <w:pPr>
        <w:spacing w:after="0" w:line="240" w:lineRule="auto"/>
        <w:ind w:left="426" w:right="-35"/>
        <w:jc w:val="both"/>
        <w:rPr>
          <w:sz w:val="18"/>
          <w:szCs w:val="18"/>
        </w:rPr>
      </w:pPr>
    </w:p>
    <w:p w14:paraId="19D39F4E" w14:textId="77777777" w:rsidR="00AA12F9" w:rsidRDefault="00AA12F9" w:rsidP="008F0275">
      <w:pPr>
        <w:numPr>
          <w:ilvl w:val="0"/>
          <w:numId w:val="13"/>
        </w:numPr>
        <w:autoSpaceDE w:val="0"/>
        <w:autoSpaceDN w:val="0"/>
        <w:spacing w:after="0" w:line="240" w:lineRule="auto"/>
        <w:ind w:left="426" w:right="-35"/>
        <w:jc w:val="both"/>
        <w:rPr>
          <w:sz w:val="18"/>
          <w:szCs w:val="18"/>
        </w:rPr>
      </w:pPr>
      <w:r w:rsidRPr="0049265D">
        <w:rPr>
          <w:sz w:val="18"/>
          <w:szCs w:val="18"/>
        </w:rPr>
        <w:t>The Financial Statements include a fair review of the development and performance of the business and the position of the Group and Company, together with a description of the principal risks and uncertainties that they face.</w:t>
      </w:r>
    </w:p>
    <w:p w14:paraId="669339FE" w14:textId="77777777" w:rsidR="00EA0555" w:rsidRDefault="00EA0555" w:rsidP="008F0275">
      <w:pPr>
        <w:pStyle w:val="ListParagraph"/>
        <w:ind w:right="-35"/>
        <w:rPr>
          <w:sz w:val="18"/>
          <w:szCs w:val="18"/>
        </w:rPr>
      </w:pPr>
    </w:p>
    <w:p w14:paraId="3924AA21" w14:textId="77777777" w:rsidR="00AA12F9" w:rsidRPr="003C7BC3" w:rsidRDefault="00AA12F9" w:rsidP="003235E7">
      <w:pPr>
        <w:widowControl w:val="0"/>
        <w:autoSpaceDE w:val="0"/>
        <w:autoSpaceDN w:val="0"/>
        <w:spacing w:after="0" w:line="240" w:lineRule="auto"/>
        <w:ind w:left="142"/>
        <w:jc w:val="both"/>
        <w:rPr>
          <w:rFonts w:ascii="Calibri" w:eastAsia="Calibri" w:hAnsi="Calibri" w:cs="Calibri"/>
          <w:sz w:val="18"/>
          <w:szCs w:val="18"/>
          <w:lang w:eastAsia="en-GB" w:bidi="en-GB"/>
        </w:rPr>
      </w:pPr>
    </w:p>
    <w:tbl>
      <w:tblPr>
        <w:tblW w:w="7088" w:type="dxa"/>
        <w:tblLook w:val="04A0" w:firstRow="1" w:lastRow="0" w:firstColumn="1" w:lastColumn="0" w:noHBand="0" w:noVBand="1"/>
      </w:tblPr>
      <w:tblGrid>
        <w:gridCol w:w="3544"/>
        <w:gridCol w:w="3544"/>
      </w:tblGrid>
      <w:tr w:rsidR="003C7BC3" w:rsidRPr="003C7BC3" w14:paraId="75EC0CF8" w14:textId="77777777" w:rsidTr="001413EA">
        <w:tc>
          <w:tcPr>
            <w:tcW w:w="3544" w:type="dxa"/>
          </w:tcPr>
          <w:p w14:paraId="4E9F7A32" w14:textId="77777777" w:rsidR="003C7BC3" w:rsidRPr="00A91DFC" w:rsidRDefault="003C7BC3" w:rsidP="001701A2">
            <w:pPr>
              <w:widowControl w:val="0"/>
              <w:autoSpaceDE w:val="0"/>
              <w:autoSpaceDN w:val="0"/>
              <w:spacing w:before="160" w:after="0" w:line="240" w:lineRule="auto"/>
              <w:rPr>
                <w:rFonts w:ascii="Calibri" w:eastAsia="Calibri" w:hAnsi="Calibri" w:cs="Calibri"/>
                <w:sz w:val="18"/>
                <w:szCs w:val="18"/>
                <w:lang w:eastAsia="en-GB" w:bidi="en-GB"/>
              </w:rPr>
            </w:pPr>
            <w:r w:rsidRPr="00A91DFC">
              <w:rPr>
                <w:rFonts w:ascii="Calibri" w:eastAsia="Calibri" w:hAnsi="Calibri" w:cs="Calibri"/>
                <w:b/>
                <w:sz w:val="18"/>
                <w:szCs w:val="18"/>
                <w:lang w:eastAsia="en-GB" w:bidi="en-GB"/>
              </w:rPr>
              <w:t>P.F. Coveney</w:t>
            </w:r>
            <w:r w:rsidRPr="00A91DFC">
              <w:rPr>
                <w:rFonts w:ascii="Calibri" w:eastAsia="Calibri" w:hAnsi="Calibri" w:cs="Calibri"/>
                <w:sz w:val="18"/>
                <w:szCs w:val="18"/>
                <w:lang w:eastAsia="en-GB" w:bidi="en-GB"/>
              </w:rPr>
              <w:br/>
              <w:t>Chief Executive Officer</w:t>
            </w:r>
            <w:r w:rsidRPr="00A91DFC">
              <w:rPr>
                <w:rFonts w:ascii="Calibri" w:eastAsia="Calibri" w:hAnsi="Calibri" w:cs="Calibri"/>
                <w:sz w:val="18"/>
                <w:szCs w:val="18"/>
                <w:lang w:eastAsia="en-GB" w:bidi="en-GB"/>
              </w:rPr>
              <w:br/>
              <w:t xml:space="preserve">Date: </w:t>
            </w:r>
            <w:r w:rsidR="001701A2">
              <w:rPr>
                <w:rFonts w:ascii="Calibri" w:eastAsia="Calibri" w:hAnsi="Calibri" w:cs="Calibri"/>
                <w:sz w:val="18"/>
                <w:szCs w:val="18"/>
                <w:lang w:eastAsia="en-GB" w:bidi="en-GB"/>
              </w:rPr>
              <w:t>24</w:t>
            </w:r>
            <w:r w:rsidRPr="00A91DFC">
              <w:rPr>
                <w:rFonts w:ascii="Calibri" w:eastAsia="Calibri" w:hAnsi="Calibri" w:cs="Calibri"/>
                <w:sz w:val="18"/>
                <w:szCs w:val="18"/>
                <w:lang w:eastAsia="en-GB" w:bidi="en-GB"/>
              </w:rPr>
              <w:t xml:space="preserve"> May 202</w:t>
            </w:r>
            <w:r w:rsidR="001701A2">
              <w:rPr>
                <w:rFonts w:ascii="Calibri" w:eastAsia="Calibri" w:hAnsi="Calibri" w:cs="Calibri"/>
                <w:sz w:val="18"/>
                <w:szCs w:val="18"/>
                <w:lang w:eastAsia="en-GB" w:bidi="en-GB"/>
              </w:rPr>
              <w:t>1</w:t>
            </w:r>
          </w:p>
        </w:tc>
        <w:tc>
          <w:tcPr>
            <w:tcW w:w="3544" w:type="dxa"/>
          </w:tcPr>
          <w:p w14:paraId="571FB192" w14:textId="77777777" w:rsidR="003C7BC3" w:rsidRPr="005B3BEE" w:rsidRDefault="001701A2" w:rsidP="001701A2">
            <w:pPr>
              <w:widowControl w:val="0"/>
              <w:autoSpaceDE w:val="0"/>
              <w:autoSpaceDN w:val="0"/>
              <w:spacing w:before="160" w:after="0" w:line="240" w:lineRule="auto"/>
              <w:rPr>
                <w:rFonts w:ascii="Calibri" w:eastAsia="Calibri" w:hAnsi="Calibri" w:cs="Calibri"/>
                <w:b/>
                <w:sz w:val="18"/>
                <w:szCs w:val="18"/>
                <w:lang w:eastAsia="en-GB" w:bidi="en-GB"/>
              </w:rPr>
            </w:pPr>
            <w:r>
              <w:rPr>
                <w:rFonts w:ascii="Calibri" w:eastAsia="Calibri" w:hAnsi="Calibri" w:cs="Calibri"/>
                <w:b/>
                <w:sz w:val="18"/>
                <w:szCs w:val="18"/>
                <w:lang w:eastAsia="en-GB" w:bidi="en-GB"/>
              </w:rPr>
              <w:t>E. Hynes</w:t>
            </w:r>
            <w:r w:rsidR="003C7BC3" w:rsidRPr="005B3BEE">
              <w:rPr>
                <w:rFonts w:ascii="Calibri" w:eastAsia="Calibri" w:hAnsi="Calibri" w:cs="Calibri"/>
                <w:sz w:val="18"/>
                <w:szCs w:val="18"/>
                <w:lang w:eastAsia="en-GB" w:bidi="en-GB"/>
              </w:rPr>
              <w:br/>
              <w:t>Chief Financial Officer</w:t>
            </w:r>
            <w:r w:rsidR="003C7BC3" w:rsidRPr="005B3BEE">
              <w:rPr>
                <w:rFonts w:ascii="Calibri" w:eastAsia="Calibri" w:hAnsi="Calibri" w:cs="Calibri"/>
                <w:sz w:val="18"/>
                <w:szCs w:val="18"/>
                <w:lang w:eastAsia="en-GB" w:bidi="en-GB"/>
              </w:rPr>
              <w:br/>
              <w:t xml:space="preserve">Date: </w:t>
            </w:r>
            <w:r>
              <w:rPr>
                <w:rFonts w:ascii="Calibri" w:eastAsia="Calibri" w:hAnsi="Calibri" w:cs="Calibri"/>
                <w:sz w:val="18"/>
                <w:szCs w:val="18"/>
                <w:lang w:eastAsia="en-GB" w:bidi="en-GB"/>
              </w:rPr>
              <w:t>24</w:t>
            </w:r>
            <w:r w:rsidR="003C7BC3" w:rsidRPr="005B3BEE">
              <w:rPr>
                <w:rFonts w:ascii="Calibri" w:eastAsia="Calibri" w:hAnsi="Calibri" w:cs="Calibri"/>
                <w:sz w:val="18"/>
                <w:szCs w:val="18"/>
                <w:lang w:eastAsia="en-GB" w:bidi="en-GB"/>
              </w:rPr>
              <w:t xml:space="preserve"> May 202</w:t>
            </w:r>
            <w:r>
              <w:rPr>
                <w:rFonts w:ascii="Calibri" w:eastAsia="Calibri" w:hAnsi="Calibri" w:cs="Calibri"/>
                <w:sz w:val="18"/>
                <w:szCs w:val="18"/>
                <w:lang w:eastAsia="en-GB" w:bidi="en-GB"/>
              </w:rPr>
              <w:t>1</w:t>
            </w:r>
          </w:p>
        </w:tc>
      </w:tr>
    </w:tbl>
    <w:p w14:paraId="7BBA8B9D" w14:textId="77777777" w:rsidR="00773F7B" w:rsidRDefault="00773F7B" w:rsidP="00773F7B">
      <w:pPr>
        <w:widowControl w:val="0"/>
        <w:autoSpaceDE w:val="0"/>
        <w:autoSpaceDN w:val="0"/>
        <w:spacing w:after="120" w:line="240" w:lineRule="auto"/>
        <w:rPr>
          <w:rFonts w:ascii="Calibri" w:eastAsia="Calibri" w:hAnsi="Calibri" w:cs="Calibri"/>
          <w:lang w:eastAsia="en-GB" w:bidi="en-GB"/>
        </w:rPr>
      </w:pPr>
    </w:p>
    <w:p w14:paraId="3E8AFA40" w14:textId="77777777" w:rsidR="009100FA" w:rsidRDefault="009100FA" w:rsidP="009100FA">
      <w:pPr>
        <w:pStyle w:val="Heading2"/>
        <w:ind w:hanging="142"/>
      </w:pPr>
      <w:r w:rsidRPr="00875751">
        <w:t xml:space="preserve">CONDENSED </w:t>
      </w:r>
      <w:r>
        <w:t>GROUP INCOME STATEMENT</w:t>
      </w:r>
    </w:p>
    <w:p w14:paraId="74AF3899" w14:textId="77777777" w:rsidR="009100FA" w:rsidRDefault="009100FA" w:rsidP="009100FA">
      <w:pPr>
        <w:pStyle w:val="Heading2"/>
        <w:ind w:hanging="142"/>
        <w:rPr>
          <w:rFonts w:ascii="Calibri" w:eastAsia="Calibri" w:hAnsi="Calibri" w:cs="Calibri"/>
          <w:lang w:eastAsia="en-GB" w:bidi="en-GB"/>
        </w:rPr>
      </w:pPr>
      <w:r w:rsidRPr="00E34FD1">
        <w:t xml:space="preserve">for the half year ended </w:t>
      </w:r>
      <w:r>
        <w:t>26 March 2021</w:t>
      </w:r>
      <w:r>
        <w:br/>
      </w:r>
    </w:p>
    <w:tbl>
      <w:tblPr>
        <w:tblStyle w:val="TableGrid"/>
        <w:tblW w:w="10487" w:type="dxa"/>
        <w:jc w:val="center"/>
        <w:tblLayout w:type="fixed"/>
        <w:tblLook w:val="04A0" w:firstRow="1" w:lastRow="0" w:firstColumn="1" w:lastColumn="0" w:noHBand="0" w:noVBand="1"/>
      </w:tblPr>
      <w:tblGrid>
        <w:gridCol w:w="3686"/>
        <w:gridCol w:w="425"/>
        <w:gridCol w:w="1134"/>
        <w:gridCol w:w="1134"/>
        <w:gridCol w:w="851"/>
        <w:gridCol w:w="1264"/>
        <w:gridCol w:w="1134"/>
        <w:gridCol w:w="859"/>
      </w:tblGrid>
      <w:tr w:rsidR="003E307B" w14:paraId="3A5F6D19" w14:textId="77777777" w:rsidTr="00F55D04">
        <w:trPr>
          <w:jc w:val="center"/>
        </w:trPr>
        <w:tc>
          <w:tcPr>
            <w:tcW w:w="4111" w:type="dxa"/>
            <w:gridSpan w:val="2"/>
            <w:vMerge w:val="restart"/>
            <w:tcBorders>
              <w:top w:val="nil"/>
              <w:left w:val="nil"/>
              <w:right w:val="nil"/>
            </w:tcBorders>
            <w:vAlign w:val="bottom"/>
          </w:tcPr>
          <w:p w14:paraId="011B2D23" w14:textId="77777777" w:rsidR="003E307B" w:rsidRPr="00E8718C" w:rsidRDefault="003E307B" w:rsidP="00773F7B">
            <w:pPr>
              <w:ind w:right="-109"/>
              <w:jc w:val="right"/>
              <w:rPr>
                <w:sz w:val="18"/>
                <w:szCs w:val="18"/>
              </w:rPr>
            </w:pPr>
          </w:p>
        </w:tc>
        <w:tc>
          <w:tcPr>
            <w:tcW w:w="3119" w:type="dxa"/>
            <w:gridSpan w:val="3"/>
            <w:tcBorders>
              <w:top w:val="nil"/>
              <w:left w:val="nil"/>
              <w:bottom w:val="nil"/>
              <w:right w:val="nil"/>
            </w:tcBorders>
            <w:vAlign w:val="bottom"/>
          </w:tcPr>
          <w:p w14:paraId="0A9F4C65" w14:textId="77777777" w:rsidR="003E307B" w:rsidRPr="00E8718C" w:rsidRDefault="003E307B" w:rsidP="00946079">
            <w:pPr>
              <w:pStyle w:val="Subtitle"/>
            </w:pPr>
            <w:r w:rsidRPr="00323878">
              <w:t xml:space="preserve">Half year ended </w:t>
            </w:r>
            <w:r>
              <w:t>2</w:t>
            </w:r>
            <w:r w:rsidR="00946079">
              <w:t>6</w:t>
            </w:r>
            <w:r w:rsidRPr="00323878">
              <w:t xml:space="preserve"> March 20</w:t>
            </w:r>
            <w:r>
              <w:t>2</w:t>
            </w:r>
            <w:r w:rsidR="00946079">
              <w:t>1</w:t>
            </w:r>
          </w:p>
        </w:tc>
        <w:tc>
          <w:tcPr>
            <w:tcW w:w="3257" w:type="dxa"/>
            <w:gridSpan w:val="3"/>
            <w:tcBorders>
              <w:top w:val="nil"/>
              <w:left w:val="nil"/>
              <w:bottom w:val="nil"/>
              <w:right w:val="nil"/>
            </w:tcBorders>
            <w:vAlign w:val="bottom"/>
          </w:tcPr>
          <w:p w14:paraId="1C426668" w14:textId="77777777" w:rsidR="003E307B" w:rsidRPr="00E8718C" w:rsidRDefault="003E307B" w:rsidP="00946079">
            <w:pPr>
              <w:pStyle w:val="T2"/>
            </w:pPr>
            <w:r w:rsidRPr="00A00268">
              <w:rPr>
                <w:rStyle w:val="SubtleEmphasis"/>
              </w:rPr>
              <w:t xml:space="preserve">Half year ended </w:t>
            </w:r>
            <w:r w:rsidR="00946079">
              <w:rPr>
                <w:rStyle w:val="SubtleEmphasis"/>
              </w:rPr>
              <w:t>27</w:t>
            </w:r>
            <w:r>
              <w:rPr>
                <w:rStyle w:val="SubtleEmphasis"/>
              </w:rPr>
              <w:t xml:space="preserve"> March 20</w:t>
            </w:r>
            <w:r w:rsidR="00946079">
              <w:rPr>
                <w:rStyle w:val="SubtleEmphasis"/>
              </w:rPr>
              <w:t>20</w:t>
            </w:r>
          </w:p>
        </w:tc>
      </w:tr>
      <w:tr w:rsidR="003E307B" w14:paraId="70683F53" w14:textId="77777777" w:rsidTr="001F1616">
        <w:trPr>
          <w:jc w:val="center"/>
        </w:trPr>
        <w:tc>
          <w:tcPr>
            <w:tcW w:w="4111" w:type="dxa"/>
            <w:gridSpan w:val="2"/>
            <w:vMerge/>
            <w:tcBorders>
              <w:left w:val="nil"/>
              <w:bottom w:val="nil"/>
              <w:right w:val="nil"/>
            </w:tcBorders>
            <w:vAlign w:val="bottom"/>
          </w:tcPr>
          <w:p w14:paraId="79E93AF2" w14:textId="77777777" w:rsidR="003E307B" w:rsidRPr="00E8718C" w:rsidRDefault="003E307B" w:rsidP="00773F7B">
            <w:pPr>
              <w:jc w:val="right"/>
              <w:rPr>
                <w:sz w:val="18"/>
                <w:szCs w:val="18"/>
              </w:rPr>
            </w:pPr>
          </w:p>
        </w:tc>
        <w:tc>
          <w:tcPr>
            <w:tcW w:w="1134" w:type="dxa"/>
            <w:tcBorders>
              <w:top w:val="nil"/>
              <w:left w:val="nil"/>
              <w:bottom w:val="nil"/>
              <w:right w:val="nil"/>
            </w:tcBorders>
            <w:vAlign w:val="bottom"/>
          </w:tcPr>
          <w:p w14:paraId="03875CCA" w14:textId="77777777" w:rsidR="003E307B" w:rsidRPr="00E8718C" w:rsidRDefault="003E307B" w:rsidP="00773F7B">
            <w:pPr>
              <w:pStyle w:val="Subtitle"/>
            </w:pPr>
          </w:p>
        </w:tc>
        <w:tc>
          <w:tcPr>
            <w:tcW w:w="1134" w:type="dxa"/>
            <w:tcBorders>
              <w:top w:val="nil"/>
              <w:left w:val="nil"/>
              <w:bottom w:val="nil"/>
              <w:right w:val="nil"/>
            </w:tcBorders>
            <w:vAlign w:val="bottom"/>
          </w:tcPr>
          <w:p w14:paraId="7AFF630F" w14:textId="77777777" w:rsidR="003E307B" w:rsidRPr="00E8718C" w:rsidRDefault="003E307B" w:rsidP="00773F7B">
            <w:pPr>
              <w:pStyle w:val="Subtitle"/>
            </w:pPr>
            <w:r>
              <w:t>(Unaudited)</w:t>
            </w:r>
          </w:p>
        </w:tc>
        <w:tc>
          <w:tcPr>
            <w:tcW w:w="851" w:type="dxa"/>
            <w:tcBorders>
              <w:top w:val="nil"/>
              <w:left w:val="nil"/>
              <w:bottom w:val="nil"/>
              <w:right w:val="nil"/>
            </w:tcBorders>
            <w:vAlign w:val="bottom"/>
          </w:tcPr>
          <w:p w14:paraId="328820B3" w14:textId="77777777" w:rsidR="003E307B" w:rsidRPr="00E8718C" w:rsidRDefault="003E307B" w:rsidP="00773F7B">
            <w:pPr>
              <w:pStyle w:val="Subtitle"/>
            </w:pPr>
          </w:p>
        </w:tc>
        <w:tc>
          <w:tcPr>
            <w:tcW w:w="1264" w:type="dxa"/>
            <w:tcBorders>
              <w:top w:val="nil"/>
              <w:left w:val="nil"/>
              <w:bottom w:val="nil"/>
              <w:right w:val="nil"/>
            </w:tcBorders>
            <w:vAlign w:val="bottom"/>
          </w:tcPr>
          <w:p w14:paraId="2B5B3C62" w14:textId="77777777" w:rsidR="003E307B" w:rsidRPr="00E8718C" w:rsidRDefault="003E307B" w:rsidP="00773F7B">
            <w:pPr>
              <w:jc w:val="center"/>
              <w:rPr>
                <w:sz w:val="18"/>
                <w:szCs w:val="18"/>
              </w:rPr>
            </w:pPr>
          </w:p>
        </w:tc>
        <w:tc>
          <w:tcPr>
            <w:tcW w:w="1134" w:type="dxa"/>
            <w:tcBorders>
              <w:top w:val="nil"/>
              <w:left w:val="nil"/>
              <w:bottom w:val="nil"/>
              <w:right w:val="nil"/>
            </w:tcBorders>
            <w:vAlign w:val="bottom"/>
          </w:tcPr>
          <w:p w14:paraId="66284EC5" w14:textId="77777777" w:rsidR="003E307B" w:rsidRPr="00E8718C" w:rsidRDefault="003E307B" w:rsidP="00773F7B">
            <w:pPr>
              <w:jc w:val="right"/>
              <w:rPr>
                <w:sz w:val="18"/>
                <w:szCs w:val="18"/>
              </w:rPr>
            </w:pPr>
            <w:r w:rsidRPr="00A00268">
              <w:rPr>
                <w:sz w:val="18"/>
                <w:szCs w:val="18"/>
              </w:rPr>
              <w:t>(Unaudited)</w:t>
            </w:r>
          </w:p>
        </w:tc>
        <w:tc>
          <w:tcPr>
            <w:tcW w:w="859" w:type="dxa"/>
            <w:tcBorders>
              <w:top w:val="nil"/>
              <w:left w:val="nil"/>
              <w:bottom w:val="nil"/>
              <w:right w:val="nil"/>
            </w:tcBorders>
            <w:vAlign w:val="bottom"/>
          </w:tcPr>
          <w:p w14:paraId="3362CD3C" w14:textId="77777777" w:rsidR="003E307B" w:rsidRPr="00E8718C" w:rsidRDefault="003E307B" w:rsidP="00773F7B">
            <w:pPr>
              <w:jc w:val="center"/>
              <w:rPr>
                <w:sz w:val="18"/>
                <w:szCs w:val="18"/>
              </w:rPr>
            </w:pPr>
          </w:p>
        </w:tc>
      </w:tr>
      <w:tr w:rsidR="00773F7B" w14:paraId="5269EA50" w14:textId="77777777" w:rsidTr="001F1616">
        <w:trPr>
          <w:jc w:val="center"/>
        </w:trPr>
        <w:tc>
          <w:tcPr>
            <w:tcW w:w="4111" w:type="dxa"/>
            <w:gridSpan w:val="2"/>
            <w:tcBorders>
              <w:top w:val="nil"/>
              <w:left w:val="nil"/>
              <w:bottom w:val="nil"/>
              <w:right w:val="nil"/>
            </w:tcBorders>
            <w:vAlign w:val="bottom"/>
          </w:tcPr>
          <w:p w14:paraId="6A524CC2" w14:textId="77777777" w:rsidR="00773F7B" w:rsidRPr="00E8718C" w:rsidRDefault="00773F7B" w:rsidP="00773F7B">
            <w:pPr>
              <w:jc w:val="right"/>
              <w:rPr>
                <w:sz w:val="18"/>
                <w:szCs w:val="18"/>
              </w:rPr>
            </w:pPr>
            <w:r w:rsidRPr="00323878">
              <w:rPr>
                <w:sz w:val="18"/>
                <w:szCs w:val="18"/>
              </w:rPr>
              <w:t>Notes</w:t>
            </w:r>
          </w:p>
        </w:tc>
        <w:tc>
          <w:tcPr>
            <w:tcW w:w="1134" w:type="dxa"/>
            <w:tcBorders>
              <w:top w:val="nil"/>
              <w:left w:val="nil"/>
              <w:bottom w:val="nil"/>
              <w:right w:val="nil"/>
            </w:tcBorders>
            <w:vAlign w:val="bottom"/>
          </w:tcPr>
          <w:p w14:paraId="7257A72F" w14:textId="77777777" w:rsidR="00773F7B" w:rsidRPr="00A00268" w:rsidRDefault="00773F7B" w:rsidP="00773F7B">
            <w:pPr>
              <w:pStyle w:val="T2"/>
              <w:jc w:val="right"/>
              <w:rPr>
                <w:b/>
              </w:rPr>
            </w:pPr>
            <w:r w:rsidRPr="00A00268">
              <w:rPr>
                <w:b/>
              </w:rPr>
              <w:t>Pre</w:t>
            </w:r>
            <w:r>
              <w:rPr>
                <w:b/>
              </w:rPr>
              <w:t>–</w:t>
            </w:r>
            <w:r w:rsidRPr="00A00268">
              <w:rPr>
                <w:b/>
              </w:rPr>
              <w:t xml:space="preserve"> exceptional</w:t>
            </w:r>
          </w:p>
        </w:tc>
        <w:tc>
          <w:tcPr>
            <w:tcW w:w="1134" w:type="dxa"/>
            <w:tcBorders>
              <w:top w:val="nil"/>
              <w:left w:val="nil"/>
              <w:bottom w:val="nil"/>
              <w:right w:val="nil"/>
            </w:tcBorders>
            <w:vAlign w:val="bottom"/>
          </w:tcPr>
          <w:p w14:paraId="27B5A7D1" w14:textId="77777777" w:rsidR="00773F7B" w:rsidRPr="00A00268" w:rsidRDefault="00773F7B" w:rsidP="00773F7B">
            <w:pPr>
              <w:pStyle w:val="T2"/>
              <w:jc w:val="right"/>
              <w:rPr>
                <w:b/>
              </w:rPr>
            </w:pPr>
            <w:r w:rsidRPr="00A00268">
              <w:rPr>
                <w:b/>
              </w:rPr>
              <w:t>Exceptional</w:t>
            </w:r>
            <w:r w:rsidRPr="00A00268">
              <w:rPr>
                <w:b/>
              </w:rPr>
              <w:br/>
              <w:t xml:space="preserve">(Note </w:t>
            </w:r>
            <w:r w:rsidR="003235E7">
              <w:rPr>
                <w:b/>
              </w:rPr>
              <w:t>4</w:t>
            </w:r>
            <w:r w:rsidRPr="00A00268">
              <w:rPr>
                <w:b/>
              </w:rPr>
              <w:t>)</w:t>
            </w:r>
          </w:p>
        </w:tc>
        <w:tc>
          <w:tcPr>
            <w:tcW w:w="851" w:type="dxa"/>
            <w:tcBorders>
              <w:top w:val="nil"/>
              <w:left w:val="nil"/>
              <w:bottom w:val="nil"/>
              <w:right w:val="nil"/>
            </w:tcBorders>
            <w:vAlign w:val="bottom"/>
          </w:tcPr>
          <w:p w14:paraId="7EF3CC92" w14:textId="77777777" w:rsidR="00773F7B" w:rsidRPr="00A00268" w:rsidRDefault="00773F7B" w:rsidP="00773F7B">
            <w:pPr>
              <w:pStyle w:val="T2"/>
              <w:jc w:val="right"/>
              <w:rPr>
                <w:b/>
              </w:rPr>
            </w:pPr>
            <w:r w:rsidRPr="00A00268">
              <w:rPr>
                <w:b/>
              </w:rPr>
              <w:t>Total</w:t>
            </w:r>
          </w:p>
        </w:tc>
        <w:tc>
          <w:tcPr>
            <w:tcW w:w="1264" w:type="dxa"/>
            <w:tcBorders>
              <w:top w:val="nil"/>
              <w:left w:val="nil"/>
              <w:bottom w:val="nil"/>
              <w:right w:val="nil"/>
            </w:tcBorders>
            <w:vAlign w:val="bottom"/>
          </w:tcPr>
          <w:p w14:paraId="69FC0076" w14:textId="77777777" w:rsidR="00773F7B" w:rsidRDefault="00773F7B" w:rsidP="00773F7B">
            <w:pPr>
              <w:pStyle w:val="T2"/>
              <w:jc w:val="right"/>
            </w:pPr>
            <w:r>
              <w:t>Pre– exceptional</w:t>
            </w:r>
            <w:r w:rsidR="003F79EF">
              <w:t>*</w:t>
            </w:r>
          </w:p>
        </w:tc>
        <w:tc>
          <w:tcPr>
            <w:tcW w:w="1134" w:type="dxa"/>
            <w:tcBorders>
              <w:top w:val="nil"/>
              <w:left w:val="nil"/>
              <w:bottom w:val="nil"/>
              <w:right w:val="nil"/>
            </w:tcBorders>
            <w:vAlign w:val="bottom"/>
          </w:tcPr>
          <w:p w14:paraId="03AA9FCA" w14:textId="77777777" w:rsidR="00773F7B" w:rsidRDefault="00773F7B" w:rsidP="00773F7B">
            <w:pPr>
              <w:pStyle w:val="T2"/>
              <w:jc w:val="right"/>
            </w:pPr>
            <w:r>
              <w:t>Exceptional</w:t>
            </w:r>
            <w:r>
              <w:br/>
              <w:t xml:space="preserve">(Note </w:t>
            </w:r>
            <w:r w:rsidR="003235E7">
              <w:t>4</w:t>
            </w:r>
            <w:r>
              <w:t>)</w:t>
            </w:r>
            <w:r w:rsidR="003F79EF">
              <w:t>*</w:t>
            </w:r>
          </w:p>
        </w:tc>
        <w:tc>
          <w:tcPr>
            <w:tcW w:w="859" w:type="dxa"/>
            <w:tcBorders>
              <w:top w:val="nil"/>
              <w:left w:val="nil"/>
              <w:bottom w:val="nil"/>
              <w:right w:val="nil"/>
            </w:tcBorders>
            <w:vAlign w:val="bottom"/>
          </w:tcPr>
          <w:p w14:paraId="43C0B198" w14:textId="77777777" w:rsidR="00773F7B" w:rsidRDefault="00773F7B" w:rsidP="00773F7B">
            <w:pPr>
              <w:pStyle w:val="T2"/>
              <w:jc w:val="right"/>
            </w:pPr>
            <w:r>
              <w:t>Total</w:t>
            </w:r>
            <w:r w:rsidR="003F79EF">
              <w:t>*</w:t>
            </w:r>
          </w:p>
        </w:tc>
      </w:tr>
      <w:tr w:rsidR="003E307B" w14:paraId="672DDBEE" w14:textId="77777777" w:rsidTr="001F1616">
        <w:trPr>
          <w:jc w:val="center"/>
        </w:trPr>
        <w:tc>
          <w:tcPr>
            <w:tcW w:w="4111" w:type="dxa"/>
            <w:gridSpan w:val="2"/>
            <w:tcBorders>
              <w:top w:val="nil"/>
              <w:left w:val="nil"/>
              <w:bottom w:val="single" w:sz="2" w:space="0" w:color="auto"/>
              <w:right w:val="nil"/>
            </w:tcBorders>
            <w:shd w:val="clear" w:color="auto" w:fill="auto"/>
            <w:vAlign w:val="bottom"/>
          </w:tcPr>
          <w:p w14:paraId="444ECD96" w14:textId="77777777" w:rsidR="003E307B" w:rsidRPr="00E8718C" w:rsidRDefault="003E307B" w:rsidP="00773F7B">
            <w:pPr>
              <w:jc w:val="right"/>
              <w:rPr>
                <w:sz w:val="18"/>
                <w:szCs w:val="18"/>
              </w:rPr>
            </w:pPr>
          </w:p>
        </w:tc>
        <w:tc>
          <w:tcPr>
            <w:tcW w:w="1134" w:type="dxa"/>
            <w:tcBorders>
              <w:top w:val="nil"/>
              <w:left w:val="nil"/>
              <w:bottom w:val="single" w:sz="2" w:space="0" w:color="auto"/>
              <w:right w:val="nil"/>
            </w:tcBorders>
            <w:shd w:val="clear" w:color="auto" w:fill="auto"/>
            <w:vAlign w:val="bottom"/>
          </w:tcPr>
          <w:p w14:paraId="1E31DB1F" w14:textId="77777777" w:rsidR="003E307B" w:rsidRPr="00F55D04" w:rsidRDefault="003E307B" w:rsidP="00773F7B">
            <w:pPr>
              <w:pStyle w:val="T2"/>
              <w:jc w:val="right"/>
              <w:rPr>
                <w:b/>
              </w:rPr>
            </w:pPr>
            <w:r w:rsidRPr="00F55D04">
              <w:rPr>
                <w:b/>
              </w:rPr>
              <w:t>£m</w:t>
            </w:r>
          </w:p>
        </w:tc>
        <w:tc>
          <w:tcPr>
            <w:tcW w:w="1134" w:type="dxa"/>
            <w:tcBorders>
              <w:top w:val="nil"/>
              <w:left w:val="nil"/>
              <w:bottom w:val="single" w:sz="2" w:space="0" w:color="auto"/>
              <w:right w:val="nil"/>
            </w:tcBorders>
            <w:shd w:val="clear" w:color="auto" w:fill="auto"/>
            <w:vAlign w:val="bottom"/>
          </w:tcPr>
          <w:p w14:paraId="79AFEFC0" w14:textId="77777777" w:rsidR="003E307B" w:rsidRPr="00F55D04" w:rsidRDefault="003E307B" w:rsidP="00773F7B">
            <w:pPr>
              <w:pStyle w:val="T2"/>
              <w:jc w:val="right"/>
              <w:rPr>
                <w:b/>
              </w:rPr>
            </w:pPr>
            <w:r w:rsidRPr="00F55D04">
              <w:rPr>
                <w:b/>
              </w:rPr>
              <w:t>£m</w:t>
            </w:r>
          </w:p>
        </w:tc>
        <w:tc>
          <w:tcPr>
            <w:tcW w:w="851" w:type="dxa"/>
            <w:tcBorders>
              <w:top w:val="nil"/>
              <w:left w:val="nil"/>
              <w:bottom w:val="single" w:sz="2" w:space="0" w:color="auto"/>
              <w:right w:val="nil"/>
            </w:tcBorders>
            <w:shd w:val="clear" w:color="auto" w:fill="auto"/>
            <w:vAlign w:val="bottom"/>
          </w:tcPr>
          <w:p w14:paraId="6D8DA17E" w14:textId="77777777" w:rsidR="003E307B" w:rsidRPr="00F55D04" w:rsidRDefault="003E307B" w:rsidP="00773F7B">
            <w:pPr>
              <w:pStyle w:val="T2"/>
              <w:jc w:val="right"/>
              <w:rPr>
                <w:b/>
              </w:rPr>
            </w:pPr>
            <w:r w:rsidRPr="00F55D04">
              <w:rPr>
                <w:b/>
              </w:rPr>
              <w:t>£m</w:t>
            </w:r>
          </w:p>
        </w:tc>
        <w:tc>
          <w:tcPr>
            <w:tcW w:w="1264" w:type="dxa"/>
            <w:tcBorders>
              <w:top w:val="nil"/>
              <w:left w:val="nil"/>
              <w:bottom w:val="single" w:sz="2" w:space="0" w:color="auto"/>
              <w:right w:val="nil"/>
            </w:tcBorders>
            <w:shd w:val="clear" w:color="auto" w:fill="auto"/>
            <w:vAlign w:val="bottom"/>
          </w:tcPr>
          <w:p w14:paraId="6D794BA4" w14:textId="77777777" w:rsidR="003E307B" w:rsidRPr="00F55D04" w:rsidRDefault="003E307B" w:rsidP="00773F7B">
            <w:pPr>
              <w:pStyle w:val="T2"/>
              <w:jc w:val="right"/>
            </w:pPr>
            <w:r w:rsidRPr="00F55D04">
              <w:t>£m</w:t>
            </w:r>
          </w:p>
        </w:tc>
        <w:tc>
          <w:tcPr>
            <w:tcW w:w="1134" w:type="dxa"/>
            <w:tcBorders>
              <w:top w:val="nil"/>
              <w:left w:val="nil"/>
              <w:bottom w:val="single" w:sz="2" w:space="0" w:color="auto"/>
              <w:right w:val="nil"/>
            </w:tcBorders>
            <w:shd w:val="clear" w:color="auto" w:fill="auto"/>
            <w:vAlign w:val="bottom"/>
          </w:tcPr>
          <w:p w14:paraId="6157CFEE" w14:textId="77777777" w:rsidR="003E307B" w:rsidRPr="00F55D04" w:rsidRDefault="003E307B" w:rsidP="00773F7B">
            <w:pPr>
              <w:pStyle w:val="T2"/>
              <w:jc w:val="right"/>
            </w:pPr>
            <w:r w:rsidRPr="00F55D04">
              <w:t>£m</w:t>
            </w:r>
          </w:p>
        </w:tc>
        <w:tc>
          <w:tcPr>
            <w:tcW w:w="859" w:type="dxa"/>
            <w:tcBorders>
              <w:top w:val="nil"/>
              <w:left w:val="nil"/>
              <w:bottom w:val="single" w:sz="2" w:space="0" w:color="auto"/>
              <w:right w:val="nil"/>
            </w:tcBorders>
            <w:shd w:val="clear" w:color="auto" w:fill="auto"/>
            <w:vAlign w:val="bottom"/>
          </w:tcPr>
          <w:p w14:paraId="00D0D952" w14:textId="77777777" w:rsidR="003E307B" w:rsidRPr="00F55D04" w:rsidRDefault="003E307B" w:rsidP="00773F7B">
            <w:pPr>
              <w:pStyle w:val="T2"/>
              <w:jc w:val="right"/>
            </w:pPr>
            <w:r w:rsidRPr="00F55D04">
              <w:t>£m</w:t>
            </w:r>
          </w:p>
        </w:tc>
      </w:tr>
      <w:tr w:rsidR="00FD7948" w:rsidRPr="00CD4C0F" w14:paraId="232F4842" w14:textId="77777777" w:rsidTr="001F1616">
        <w:trPr>
          <w:jc w:val="center"/>
        </w:trPr>
        <w:tc>
          <w:tcPr>
            <w:tcW w:w="3686" w:type="dxa"/>
            <w:tcBorders>
              <w:top w:val="single" w:sz="2" w:space="0" w:color="auto"/>
              <w:left w:val="nil"/>
              <w:bottom w:val="nil"/>
              <w:right w:val="nil"/>
            </w:tcBorders>
            <w:vAlign w:val="bottom"/>
          </w:tcPr>
          <w:p w14:paraId="655B1BB1" w14:textId="77777777" w:rsidR="00FD7948" w:rsidRPr="00C65534" w:rsidRDefault="00FD7948" w:rsidP="00FD7948">
            <w:pPr>
              <w:pStyle w:val="T2"/>
              <w:jc w:val="left"/>
            </w:pPr>
            <w:r w:rsidRPr="00C65534">
              <w:t>Revenue</w:t>
            </w:r>
          </w:p>
        </w:tc>
        <w:tc>
          <w:tcPr>
            <w:tcW w:w="425" w:type="dxa"/>
            <w:tcBorders>
              <w:top w:val="single" w:sz="2" w:space="0" w:color="auto"/>
              <w:left w:val="nil"/>
              <w:bottom w:val="nil"/>
              <w:right w:val="nil"/>
            </w:tcBorders>
            <w:vAlign w:val="bottom"/>
          </w:tcPr>
          <w:p w14:paraId="73423F9F" w14:textId="77777777" w:rsidR="00FD7948" w:rsidRPr="00CD4C0F" w:rsidRDefault="00E126B5" w:rsidP="00FD7948">
            <w:pPr>
              <w:pStyle w:val="T2"/>
              <w:jc w:val="right"/>
            </w:pPr>
            <w:r>
              <w:t>2</w:t>
            </w:r>
          </w:p>
        </w:tc>
        <w:tc>
          <w:tcPr>
            <w:tcW w:w="1134" w:type="dxa"/>
            <w:tcBorders>
              <w:top w:val="single" w:sz="2" w:space="0" w:color="auto"/>
              <w:left w:val="nil"/>
              <w:bottom w:val="nil"/>
              <w:right w:val="nil"/>
            </w:tcBorders>
            <w:vAlign w:val="bottom"/>
          </w:tcPr>
          <w:p w14:paraId="4F8FAD4C" w14:textId="77777777" w:rsidR="00FD7948" w:rsidRPr="00A31437" w:rsidRDefault="00863360" w:rsidP="00FD7948">
            <w:pPr>
              <w:pStyle w:val="T2"/>
              <w:jc w:val="right"/>
              <w:rPr>
                <w:b/>
              </w:rPr>
            </w:pPr>
            <w:r>
              <w:rPr>
                <w:b/>
                <w:bCs/>
              </w:rPr>
              <w:t>577.1</w:t>
            </w:r>
          </w:p>
        </w:tc>
        <w:tc>
          <w:tcPr>
            <w:tcW w:w="1134" w:type="dxa"/>
            <w:tcBorders>
              <w:top w:val="single" w:sz="2" w:space="0" w:color="auto"/>
              <w:left w:val="nil"/>
              <w:bottom w:val="nil"/>
              <w:right w:val="nil"/>
            </w:tcBorders>
            <w:vAlign w:val="bottom"/>
          </w:tcPr>
          <w:p w14:paraId="55F8243C" w14:textId="77777777" w:rsidR="00FD7948" w:rsidRPr="00681334" w:rsidRDefault="00FD7948" w:rsidP="00FD7948">
            <w:pPr>
              <w:pStyle w:val="T2"/>
              <w:jc w:val="right"/>
              <w:rPr>
                <w:b/>
              </w:rPr>
            </w:pPr>
            <w:r w:rsidRPr="00681334">
              <w:rPr>
                <w:b/>
                <w:bCs/>
              </w:rPr>
              <w:t>–</w:t>
            </w:r>
          </w:p>
        </w:tc>
        <w:tc>
          <w:tcPr>
            <w:tcW w:w="851" w:type="dxa"/>
            <w:tcBorders>
              <w:top w:val="single" w:sz="2" w:space="0" w:color="auto"/>
              <w:left w:val="nil"/>
              <w:bottom w:val="nil"/>
              <w:right w:val="nil"/>
            </w:tcBorders>
          </w:tcPr>
          <w:p w14:paraId="2B92F3A8" w14:textId="77777777" w:rsidR="00FD7948" w:rsidRPr="00A31437" w:rsidRDefault="00362A41">
            <w:pPr>
              <w:pStyle w:val="T2"/>
              <w:jc w:val="right"/>
              <w:rPr>
                <w:b/>
              </w:rPr>
            </w:pPr>
            <w:r>
              <w:rPr>
                <w:b/>
                <w:bCs/>
              </w:rPr>
              <w:t>5</w:t>
            </w:r>
            <w:r w:rsidR="00863360">
              <w:rPr>
                <w:b/>
                <w:bCs/>
              </w:rPr>
              <w:t>77.1</w:t>
            </w:r>
          </w:p>
        </w:tc>
        <w:tc>
          <w:tcPr>
            <w:tcW w:w="1264" w:type="dxa"/>
            <w:tcBorders>
              <w:top w:val="single" w:sz="2" w:space="0" w:color="auto"/>
              <w:left w:val="nil"/>
              <w:bottom w:val="nil"/>
              <w:right w:val="nil"/>
            </w:tcBorders>
            <w:vAlign w:val="bottom"/>
          </w:tcPr>
          <w:p w14:paraId="3F9A300D" w14:textId="77777777" w:rsidR="00FD7948" w:rsidRPr="00006931" w:rsidRDefault="00FD7948" w:rsidP="00FD7948">
            <w:pPr>
              <w:pStyle w:val="T2"/>
              <w:jc w:val="right"/>
              <w:rPr>
                <w:bCs/>
              </w:rPr>
            </w:pPr>
            <w:r>
              <w:rPr>
                <w:bCs/>
              </w:rPr>
              <w:t>712.7</w:t>
            </w:r>
          </w:p>
        </w:tc>
        <w:tc>
          <w:tcPr>
            <w:tcW w:w="1134" w:type="dxa"/>
            <w:tcBorders>
              <w:top w:val="single" w:sz="2" w:space="0" w:color="auto"/>
              <w:left w:val="nil"/>
              <w:bottom w:val="nil"/>
              <w:right w:val="nil"/>
            </w:tcBorders>
            <w:vAlign w:val="bottom"/>
          </w:tcPr>
          <w:p w14:paraId="19322928" w14:textId="77777777" w:rsidR="00FD7948" w:rsidRPr="00006931" w:rsidRDefault="00FD7948" w:rsidP="00FD7948">
            <w:pPr>
              <w:pStyle w:val="T2"/>
              <w:jc w:val="right"/>
              <w:rPr>
                <w:bCs/>
              </w:rPr>
            </w:pPr>
            <w:r w:rsidRPr="005D0EFF">
              <w:rPr>
                <w:bCs/>
              </w:rPr>
              <w:t>–</w:t>
            </w:r>
          </w:p>
        </w:tc>
        <w:tc>
          <w:tcPr>
            <w:tcW w:w="859" w:type="dxa"/>
            <w:tcBorders>
              <w:top w:val="single" w:sz="2" w:space="0" w:color="auto"/>
              <w:left w:val="nil"/>
              <w:bottom w:val="nil"/>
              <w:right w:val="nil"/>
            </w:tcBorders>
            <w:vAlign w:val="bottom"/>
          </w:tcPr>
          <w:p w14:paraId="3461B37B" w14:textId="77777777" w:rsidR="00FD7948" w:rsidRPr="005D0EFF" w:rsidRDefault="00FD7948" w:rsidP="00FD7948">
            <w:pPr>
              <w:pStyle w:val="T2"/>
              <w:jc w:val="right"/>
              <w:rPr>
                <w:bCs/>
              </w:rPr>
            </w:pPr>
            <w:r>
              <w:rPr>
                <w:bCs/>
              </w:rPr>
              <w:t>712.7</w:t>
            </w:r>
          </w:p>
        </w:tc>
      </w:tr>
      <w:tr w:rsidR="00FD7948" w14:paraId="426955FE" w14:textId="77777777" w:rsidTr="001F1616">
        <w:trPr>
          <w:jc w:val="center"/>
        </w:trPr>
        <w:tc>
          <w:tcPr>
            <w:tcW w:w="3686" w:type="dxa"/>
            <w:tcBorders>
              <w:top w:val="nil"/>
              <w:left w:val="nil"/>
              <w:bottom w:val="single" w:sz="2" w:space="0" w:color="auto"/>
              <w:right w:val="nil"/>
            </w:tcBorders>
            <w:vAlign w:val="bottom"/>
          </w:tcPr>
          <w:p w14:paraId="67F3C5E5" w14:textId="77777777" w:rsidR="00FD7948" w:rsidRPr="00C65534" w:rsidRDefault="00FD7948" w:rsidP="00FD7948">
            <w:pPr>
              <w:pStyle w:val="T2"/>
              <w:jc w:val="left"/>
            </w:pPr>
            <w:r w:rsidRPr="00C65534">
              <w:t>Cost of sales</w:t>
            </w:r>
          </w:p>
        </w:tc>
        <w:tc>
          <w:tcPr>
            <w:tcW w:w="425" w:type="dxa"/>
            <w:tcBorders>
              <w:top w:val="nil"/>
              <w:left w:val="nil"/>
              <w:bottom w:val="single" w:sz="2" w:space="0" w:color="auto"/>
              <w:right w:val="nil"/>
            </w:tcBorders>
            <w:vAlign w:val="bottom"/>
          </w:tcPr>
          <w:p w14:paraId="0DFBCBB2" w14:textId="77777777" w:rsidR="00FD7948" w:rsidRPr="00E8718C" w:rsidRDefault="00FD7948" w:rsidP="00FD7948">
            <w:pPr>
              <w:jc w:val="right"/>
              <w:rPr>
                <w:sz w:val="18"/>
                <w:szCs w:val="18"/>
              </w:rPr>
            </w:pPr>
          </w:p>
        </w:tc>
        <w:tc>
          <w:tcPr>
            <w:tcW w:w="1134" w:type="dxa"/>
            <w:tcBorders>
              <w:top w:val="nil"/>
              <w:left w:val="nil"/>
              <w:bottom w:val="single" w:sz="2" w:space="0" w:color="auto"/>
              <w:right w:val="nil"/>
            </w:tcBorders>
          </w:tcPr>
          <w:p w14:paraId="0FC2158D" w14:textId="77777777" w:rsidR="00FD7948" w:rsidRPr="00A31437" w:rsidRDefault="009107C9" w:rsidP="006316BB">
            <w:pPr>
              <w:pStyle w:val="T2"/>
              <w:jc w:val="right"/>
              <w:rPr>
                <w:b/>
              </w:rPr>
            </w:pPr>
            <w:r>
              <w:rPr>
                <w:b/>
                <w:bCs/>
              </w:rPr>
              <w:t>(3</w:t>
            </w:r>
            <w:r w:rsidR="006316BB">
              <w:rPr>
                <w:b/>
                <w:bCs/>
              </w:rPr>
              <w:t>93.0</w:t>
            </w:r>
            <w:r>
              <w:rPr>
                <w:b/>
                <w:bCs/>
              </w:rPr>
              <w:t>)</w:t>
            </w:r>
          </w:p>
        </w:tc>
        <w:tc>
          <w:tcPr>
            <w:tcW w:w="1134" w:type="dxa"/>
            <w:tcBorders>
              <w:top w:val="nil"/>
              <w:left w:val="nil"/>
              <w:bottom w:val="single" w:sz="2" w:space="0" w:color="auto"/>
              <w:right w:val="nil"/>
            </w:tcBorders>
            <w:vAlign w:val="bottom"/>
          </w:tcPr>
          <w:p w14:paraId="23C18A4E" w14:textId="77777777" w:rsidR="00FD7948" w:rsidRPr="00681334" w:rsidRDefault="00FD7948" w:rsidP="00FD7948">
            <w:pPr>
              <w:pStyle w:val="T2"/>
              <w:jc w:val="right"/>
              <w:rPr>
                <w:b/>
              </w:rPr>
            </w:pPr>
            <w:r w:rsidRPr="00681334">
              <w:rPr>
                <w:b/>
                <w:bCs/>
              </w:rPr>
              <w:t>–</w:t>
            </w:r>
          </w:p>
        </w:tc>
        <w:tc>
          <w:tcPr>
            <w:tcW w:w="851" w:type="dxa"/>
            <w:tcBorders>
              <w:top w:val="nil"/>
              <w:left w:val="nil"/>
              <w:bottom w:val="single" w:sz="2" w:space="0" w:color="auto"/>
              <w:right w:val="nil"/>
            </w:tcBorders>
          </w:tcPr>
          <w:p w14:paraId="52E3A222" w14:textId="77777777" w:rsidR="00FD7948" w:rsidRPr="00A31437" w:rsidRDefault="005D3EAC" w:rsidP="006316BB">
            <w:pPr>
              <w:pStyle w:val="T2"/>
              <w:jc w:val="right"/>
              <w:rPr>
                <w:b/>
              </w:rPr>
            </w:pPr>
            <w:r>
              <w:rPr>
                <w:b/>
                <w:bCs/>
              </w:rPr>
              <w:t>(3</w:t>
            </w:r>
            <w:r w:rsidR="006316BB">
              <w:rPr>
                <w:b/>
                <w:bCs/>
              </w:rPr>
              <w:t>93.0</w:t>
            </w:r>
            <w:r w:rsidR="00362A41">
              <w:rPr>
                <w:b/>
                <w:bCs/>
              </w:rPr>
              <w:t>)</w:t>
            </w:r>
          </w:p>
        </w:tc>
        <w:tc>
          <w:tcPr>
            <w:tcW w:w="1264" w:type="dxa"/>
            <w:tcBorders>
              <w:top w:val="nil"/>
              <w:left w:val="nil"/>
              <w:bottom w:val="single" w:sz="2" w:space="0" w:color="auto"/>
              <w:right w:val="nil"/>
            </w:tcBorders>
            <w:vAlign w:val="bottom"/>
          </w:tcPr>
          <w:p w14:paraId="01CFDD5A" w14:textId="77777777" w:rsidR="00FD7948" w:rsidRPr="00006931" w:rsidRDefault="00FD7948" w:rsidP="00FD7948">
            <w:pPr>
              <w:pStyle w:val="T2"/>
              <w:jc w:val="right"/>
              <w:rPr>
                <w:bCs/>
              </w:rPr>
            </w:pPr>
            <w:r w:rsidRPr="005D0EFF">
              <w:rPr>
                <w:bCs/>
              </w:rPr>
              <w:t>(4</w:t>
            </w:r>
            <w:r>
              <w:rPr>
                <w:bCs/>
              </w:rPr>
              <w:t>75.7</w:t>
            </w:r>
            <w:r w:rsidRPr="005D0EFF">
              <w:rPr>
                <w:bCs/>
              </w:rPr>
              <w:t>)</w:t>
            </w:r>
          </w:p>
        </w:tc>
        <w:tc>
          <w:tcPr>
            <w:tcW w:w="1134" w:type="dxa"/>
            <w:tcBorders>
              <w:top w:val="nil"/>
              <w:left w:val="nil"/>
              <w:bottom w:val="single" w:sz="2" w:space="0" w:color="auto"/>
              <w:right w:val="nil"/>
            </w:tcBorders>
            <w:vAlign w:val="bottom"/>
          </w:tcPr>
          <w:p w14:paraId="1E6B87DC" w14:textId="77777777" w:rsidR="00FD7948" w:rsidRPr="00006931" w:rsidRDefault="003A31F8" w:rsidP="00FD7948">
            <w:pPr>
              <w:pStyle w:val="T2"/>
              <w:jc w:val="right"/>
              <w:rPr>
                <w:bCs/>
              </w:rPr>
            </w:pPr>
            <w:r>
              <w:rPr>
                <w:bCs/>
              </w:rPr>
              <w:t>(1.1)</w:t>
            </w:r>
          </w:p>
        </w:tc>
        <w:tc>
          <w:tcPr>
            <w:tcW w:w="859" w:type="dxa"/>
            <w:tcBorders>
              <w:top w:val="nil"/>
              <w:left w:val="nil"/>
              <w:bottom w:val="single" w:sz="2" w:space="0" w:color="auto"/>
              <w:right w:val="nil"/>
            </w:tcBorders>
            <w:vAlign w:val="bottom"/>
          </w:tcPr>
          <w:p w14:paraId="1E47C550" w14:textId="77777777" w:rsidR="00FD7948" w:rsidRPr="005D0EFF" w:rsidRDefault="00FD7948" w:rsidP="00FD7948">
            <w:pPr>
              <w:pStyle w:val="T2"/>
              <w:jc w:val="right"/>
              <w:rPr>
                <w:bCs/>
              </w:rPr>
            </w:pPr>
            <w:r w:rsidRPr="005D0EFF">
              <w:rPr>
                <w:bCs/>
              </w:rPr>
              <w:t>(4</w:t>
            </w:r>
            <w:r>
              <w:rPr>
                <w:bCs/>
              </w:rPr>
              <w:t>7</w:t>
            </w:r>
            <w:r w:rsidR="005731DB">
              <w:rPr>
                <w:bCs/>
              </w:rPr>
              <w:t>6.8</w:t>
            </w:r>
            <w:r>
              <w:rPr>
                <w:bCs/>
              </w:rPr>
              <w:t>)</w:t>
            </w:r>
          </w:p>
        </w:tc>
      </w:tr>
      <w:tr w:rsidR="00FD7948" w14:paraId="66D0067F" w14:textId="77777777" w:rsidTr="001F1616">
        <w:trPr>
          <w:jc w:val="center"/>
        </w:trPr>
        <w:tc>
          <w:tcPr>
            <w:tcW w:w="3686" w:type="dxa"/>
            <w:tcBorders>
              <w:top w:val="single" w:sz="2" w:space="0" w:color="auto"/>
              <w:left w:val="nil"/>
              <w:bottom w:val="nil"/>
              <w:right w:val="nil"/>
            </w:tcBorders>
            <w:vAlign w:val="bottom"/>
          </w:tcPr>
          <w:p w14:paraId="5E14D97F" w14:textId="77777777" w:rsidR="00FD7948" w:rsidRPr="00323878" w:rsidRDefault="00FD7948" w:rsidP="00FD7948">
            <w:pPr>
              <w:pStyle w:val="T2"/>
              <w:jc w:val="left"/>
              <w:rPr>
                <w:b/>
              </w:rPr>
            </w:pPr>
            <w:r w:rsidRPr="00323878">
              <w:rPr>
                <w:b/>
              </w:rPr>
              <w:t>Gross profit</w:t>
            </w:r>
          </w:p>
        </w:tc>
        <w:tc>
          <w:tcPr>
            <w:tcW w:w="425" w:type="dxa"/>
            <w:tcBorders>
              <w:top w:val="single" w:sz="2" w:space="0" w:color="auto"/>
              <w:left w:val="nil"/>
              <w:bottom w:val="nil"/>
              <w:right w:val="nil"/>
            </w:tcBorders>
            <w:vAlign w:val="bottom"/>
          </w:tcPr>
          <w:p w14:paraId="60E8D060" w14:textId="77777777" w:rsidR="00FD7948" w:rsidRPr="00E8718C" w:rsidRDefault="00FD7948" w:rsidP="00FD7948">
            <w:pPr>
              <w:jc w:val="right"/>
              <w:rPr>
                <w:sz w:val="18"/>
                <w:szCs w:val="18"/>
              </w:rPr>
            </w:pPr>
          </w:p>
        </w:tc>
        <w:tc>
          <w:tcPr>
            <w:tcW w:w="1134" w:type="dxa"/>
            <w:tcBorders>
              <w:top w:val="single" w:sz="2" w:space="0" w:color="auto"/>
              <w:left w:val="nil"/>
              <w:bottom w:val="nil"/>
              <w:right w:val="nil"/>
            </w:tcBorders>
          </w:tcPr>
          <w:p w14:paraId="5E8EDAA6" w14:textId="77777777" w:rsidR="00FD7948" w:rsidRPr="00A31437" w:rsidRDefault="009107C9" w:rsidP="006316BB">
            <w:pPr>
              <w:pStyle w:val="T2"/>
              <w:jc w:val="right"/>
              <w:rPr>
                <w:b/>
              </w:rPr>
            </w:pPr>
            <w:r>
              <w:rPr>
                <w:b/>
                <w:bCs/>
              </w:rPr>
              <w:t>1</w:t>
            </w:r>
            <w:r w:rsidR="006316BB">
              <w:rPr>
                <w:b/>
                <w:bCs/>
              </w:rPr>
              <w:t>84.1</w:t>
            </w:r>
          </w:p>
        </w:tc>
        <w:tc>
          <w:tcPr>
            <w:tcW w:w="1134" w:type="dxa"/>
            <w:tcBorders>
              <w:top w:val="single" w:sz="2" w:space="0" w:color="auto"/>
              <w:left w:val="nil"/>
              <w:bottom w:val="nil"/>
              <w:right w:val="nil"/>
            </w:tcBorders>
            <w:vAlign w:val="bottom"/>
          </w:tcPr>
          <w:p w14:paraId="29670219" w14:textId="77777777" w:rsidR="00FD7948" w:rsidRPr="00681334" w:rsidRDefault="00FD7948" w:rsidP="00FD7948">
            <w:pPr>
              <w:pStyle w:val="T2"/>
              <w:jc w:val="right"/>
              <w:rPr>
                <w:b/>
              </w:rPr>
            </w:pPr>
            <w:r w:rsidRPr="00681334">
              <w:rPr>
                <w:b/>
                <w:bCs/>
              </w:rPr>
              <w:t>–</w:t>
            </w:r>
          </w:p>
        </w:tc>
        <w:tc>
          <w:tcPr>
            <w:tcW w:w="851" w:type="dxa"/>
            <w:tcBorders>
              <w:top w:val="single" w:sz="2" w:space="0" w:color="auto"/>
              <w:left w:val="nil"/>
              <w:bottom w:val="nil"/>
              <w:right w:val="nil"/>
            </w:tcBorders>
          </w:tcPr>
          <w:p w14:paraId="6FC85338" w14:textId="77777777" w:rsidR="00FD7948" w:rsidRPr="00A31437" w:rsidRDefault="00362A41" w:rsidP="006316BB">
            <w:pPr>
              <w:pStyle w:val="T2"/>
              <w:jc w:val="right"/>
              <w:rPr>
                <w:b/>
              </w:rPr>
            </w:pPr>
            <w:r>
              <w:rPr>
                <w:b/>
                <w:bCs/>
              </w:rPr>
              <w:t>1</w:t>
            </w:r>
            <w:r w:rsidR="006316BB">
              <w:rPr>
                <w:b/>
                <w:bCs/>
              </w:rPr>
              <w:t>84.1</w:t>
            </w:r>
          </w:p>
        </w:tc>
        <w:tc>
          <w:tcPr>
            <w:tcW w:w="1264" w:type="dxa"/>
            <w:tcBorders>
              <w:top w:val="single" w:sz="2" w:space="0" w:color="auto"/>
              <w:left w:val="nil"/>
              <w:bottom w:val="nil"/>
              <w:right w:val="nil"/>
            </w:tcBorders>
            <w:vAlign w:val="bottom"/>
          </w:tcPr>
          <w:p w14:paraId="732D78E3" w14:textId="77777777" w:rsidR="00FD7948" w:rsidRPr="00006931" w:rsidRDefault="00FD7948" w:rsidP="00FD7948">
            <w:pPr>
              <w:pStyle w:val="T2"/>
              <w:jc w:val="right"/>
              <w:rPr>
                <w:bCs/>
              </w:rPr>
            </w:pPr>
            <w:r w:rsidRPr="005D0EFF">
              <w:rPr>
                <w:bCs/>
              </w:rPr>
              <w:t>2</w:t>
            </w:r>
            <w:r>
              <w:rPr>
                <w:bCs/>
              </w:rPr>
              <w:t>37.0</w:t>
            </w:r>
          </w:p>
        </w:tc>
        <w:tc>
          <w:tcPr>
            <w:tcW w:w="1134" w:type="dxa"/>
            <w:tcBorders>
              <w:top w:val="single" w:sz="2" w:space="0" w:color="auto"/>
              <w:left w:val="nil"/>
              <w:bottom w:val="nil"/>
              <w:right w:val="nil"/>
            </w:tcBorders>
            <w:vAlign w:val="bottom"/>
          </w:tcPr>
          <w:p w14:paraId="32838BE2" w14:textId="77777777" w:rsidR="00FD7948" w:rsidRPr="00006931" w:rsidRDefault="003A31F8" w:rsidP="00FD7948">
            <w:pPr>
              <w:pStyle w:val="T2"/>
              <w:jc w:val="right"/>
              <w:rPr>
                <w:bCs/>
              </w:rPr>
            </w:pPr>
            <w:r>
              <w:rPr>
                <w:bCs/>
              </w:rPr>
              <w:t>(1.1)</w:t>
            </w:r>
          </w:p>
        </w:tc>
        <w:tc>
          <w:tcPr>
            <w:tcW w:w="859" w:type="dxa"/>
            <w:tcBorders>
              <w:top w:val="single" w:sz="2" w:space="0" w:color="auto"/>
              <w:left w:val="nil"/>
              <w:bottom w:val="nil"/>
              <w:right w:val="nil"/>
            </w:tcBorders>
            <w:vAlign w:val="bottom"/>
          </w:tcPr>
          <w:p w14:paraId="7B9A3AD5" w14:textId="77777777" w:rsidR="00FD7948" w:rsidRPr="005D0EFF" w:rsidRDefault="00FD7948" w:rsidP="005731DB">
            <w:pPr>
              <w:pStyle w:val="T2"/>
              <w:jc w:val="right"/>
              <w:rPr>
                <w:bCs/>
              </w:rPr>
            </w:pPr>
            <w:r w:rsidRPr="005D0EFF">
              <w:rPr>
                <w:bCs/>
              </w:rPr>
              <w:t>2</w:t>
            </w:r>
            <w:r>
              <w:rPr>
                <w:bCs/>
              </w:rPr>
              <w:t>3</w:t>
            </w:r>
            <w:r w:rsidR="005731DB">
              <w:rPr>
                <w:bCs/>
              </w:rPr>
              <w:t>5</w:t>
            </w:r>
            <w:r>
              <w:rPr>
                <w:bCs/>
              </w:rPr>
              <w:t>.</w:t>
            </w:r>
            <w:r w:rsidR="005731DB">
              <w:rPr>
                <w:bCs/>
              </w:rPr>
              <w:t>9</w:t>
            </w:r>
          </w:p>
        </w:tc>
      </w:tr>
      <w:tr w:rsidR="00FD7948" w14:paraId="46B0B995" w14:textId="77777777" w:rsidTr="001F1616">
        <w:trPr>
          <w:jc w:val="center"/>
        </w:trPr>
        <w:tc>
          <w:tcPr>
            <w:tcW w:w="3686" w:type="dxa"/>
            <w:tcBorders>
              <w:top w:val="nil"/>
              <w:left w:val="nil"/>
              <w:bottom w:val="single" w:sz="2" w:space="0" w:color="auto"/>
              <w:right w:val="nil"/>
            </w:tcBorders>
            <w:vAlign w:val="bottom"/>
          </w:tcPr>
          <w:p w14:paraId="55961F8F" w14:textId="77777777" w:rsidR="00FD7948" w:rsidRPr="00C65534" w:rsidRDefault="00FD7948" w:rsidP="00FD7948">
            <w:pPr>
              <w:pStyle w:val="T2"/>
              <w:jc w:val="left"/>
            </w:pPr>
            <w:r w:rsidRPr="00C65534">
              <w:t>Operating costs, net</w:t>
            </w:r>
          </w:p>
        </w:tc>
        <w:tc>
          <w:tcPr>
            <w:tcW w:w="425" w:type="dxa"/>
            <w:tcBorders>
              <w:top w:val="nil"/>
              <w:left w:val="nil"/>
              <w:bottom w:val="single" w:sz="2" w:space="0" w:color="auto"/>
              <w:right w:val="nil"/>
            </w:tcBorders>
            <w:vAlign w:val="bottom"/>
          </w:tcPr>
          <w:p w14:paraId="7B45A097" w14:textId="77777777" w:rsidR="00FD7948" w:rsidRPr="00E8718C" w:rsidRDefault="00FD7948" w:rsidP="00FD7948">
            <w:pPr>
              <w:jc w:val="right"/>
              <w:rPr>
                <w:sz w:val="18"/>
                <w:szCs w:val="18"/>
              </w:rPr>
            </w:pPr>
          </w:p>
        </w:tc>
        <w:tc>
          <w:tcPr>
            <w:tcW w:w="1134" w:type="dxa"/>
            <w:tcBorders>
              <w:top w:val="nil"/>
              <w:left w:val="nil"/>
              <w:bottom w:val="single" w:sz="2" w:space="0" w:color="auto"/>
              <w:right w:val="nil"/>
            </w:tcBorders>
          </w:tcPr>
          <w:p w14:paraId="392EB36C" w14:textId="77777777" w:rsidR="00FD7948" w:rsidRPr="00A31437" w:rsidRDefault="009107C9" w:rsidP="006316BB">
            <w:pPr>
              <w:pStyle w:val="T2"/>
              <w:jc w:val="right"/>
              <w:rPr>
                <w:b/>
              </w:rPr>
            </w:pPr>
            <w:r>
              <w:rPr>
                <w:b/>
                <w:bCs/>
              </w:rPr>
              <w:t>(</w:t>
            </w:r>
            <w:r w:rsidR="00E9079C">
              <w:rPr>
                <w:b/>
                <w:bCs/>
              </w:rPr>
              <w:t>1</w:t>
            </w:r>
            <w:r w:rsidR="006316BB">
              <w:rPr>
                <w:b/>
                <w:bCs/>
              </w:rPr>
              <w:t>83.9</w:t>
            </w:r>
            <w:r>
              <w:rPr>
                <w:b/>
                <w:bCs/>
              </w:rPr>
              <w:t>)</w:t>
            </w:r>
          </w:p>
        </w:tc>
        <w:tc>
          <w:tcPr>
            <w:tcW w:w="1134" w:type="dxa"/>
            <w:tcBorders>
              <w:top w:val="nil"/>
              <w:left w:val="nil"/>
              <w:bottom w:val="single" w:sz="2" w:space="0" w:color="auto"/>
              <w:right w:val="nil"/>
            </w:tcBorders>
            <w:vAlign w:val="bottom"/>
          </w:tcPr>
          <w:p w14:paraId="4FA605BC" w14:textId="77777777" w:rsidR="00FD7948" w:rsidRPr="00A31437" w:rsidRDefault="00E9079C" w:rsidP="00FD7948">
            <w:pPr>
              <w:pStyle w:val="T2"/>
              <w:jc w:val="right"/>
              <w:rPr>
                <w:b/>
              </w:rPr>
            </w:pPr>
            <w:r>
              <w:rPr>
                <w:b/>
                <w:bCs/>
              </w:rPr>
              <w:t>5</w:t>
            </w:r>
            <w:r w:rsidR="00362A41">
              <w:rPr>
                <w:b/>
                <w:bCs/>
              </w:rPr>
              <w:t>.7</w:t>
            </w:r>
            <w:r w:rsidR="00FD7948" w:rsidDel="00FB1D54">
              <w:rPr>
                <w:b/>
              </w:rPr>
              <w:t xml:space="preserve"> </w:t>
            </w:r>
          </w:p>
        </w:tc>
        <w:tc>
          <w:tcPr>
            <w:tcW w:w="851" w:type="dxa"/>
            <w:tcBorders>
              <w:top w:val="nil"/>
              <w:left w:val="nil"/>
              <w:bottom w:val="single" w:sz="2" w:space="0" w:color="auto"/>
              <w:right w:val="nil"/>
            </w:tcBorders>
          </w:tcPr>
          <w:p w14:paraId="2F36CC6C" w14:textId="77777777" w:rsidR="00FD7948" w:rsidRPr="00A31437" w:rsidRDefault="00362A41" w:rsidP="006316BB">
            <w:pPr>
              <w:pStyle w:val="T2"/>
              <w:jc w:val="right"/>
              <w:rPr>
                <w:b/>
              </w:rPr>
            </w:pPr>
            <w:r>
              <w:rPr>
                <w:b/>
                <w:bCs/>
              </w:rPr>
              <w:t>(1</w:t>
            </w:r>
            <w:r w:rsidR="006316BB">
              <w:rPr>
                <w:b/>
                <w:bCs/>
              </w:rPr>
              <w:t>78.2</w:t>
            </w:r>
            <w:r>
              <w:rPr>
                <w:b/>
                <w:bCs/>
              </w:rPr>
              <w:t>)</w:t>
            </w:r>
          </w:p>
        </w:tc>
        <w:tc>
          <w:tcPr>
            <w:tcW w:w="1264" w:type="dxa"/>
            <w:tcBorders>
              <w:top w:val="nil"/>
              <w:left w:val="nil"/>
              <w:bottom w:val="single" w:sz="2" w:space="0" w:color="auto"/>
              <w:right w:val="nil"/>
            </w:tcBorders>
            <w:vAlign w:val="bottom"/>
          </w:tcPr>
          <w:p w14:paraId="644D1DE1" w14:textId="77777777" w:rsidR="00FD7948" w:rsidRPr="00006931" w:rsidRDefault="00FD7948" w:rsidP="00FD7948">
            <w:pPr>
              <w:pStyle w:val="T2"/>
              <w:jc w:val="right"/>
              <w:rPr>
                <w:bCs/>
              </w:rPr>
            </w:pPr>
            <w:r w:rsidRPr="005D0EFF">
              <w:rPr>
                <w:bCs/>
              </w:rPr>
              <w:t>(1</w:t>
            </w:r>
            <w:r>
              <w:rPr>
                <w:bCs/>
              </w:rPr>
              <w:t>98.7</w:t>
            </w:r>
            <w:r w:rsidRPr="005D0EFF">
              <w:rPr>
                <w:bCs/>
              </w:rPr>
              <w:t>)</w:t>
            </w:r>
          </w:p>
        </w:tc>
        <w:tc>
          <w:tcPr>
            <w:tcW w:w="1134" w:type="dxa"/>
            <w:tcBorders>
              <w:top w:val="nil"/>
              <w:left w:val="nil"/>
              <w:bottom w:val="single" w:sz="2" w:space="0" w:color="auto"/>
              <w:right w:val="nil"/>
            </w:tcBorders>
            <w:vAlign w:val="bottom"/>
          </w:tcPr>
          <w:p w14:paraId="7D8027FC" w14:textId="77777777" w:rsidR="00FD7948" w:rsidRPr="00006931" w:rsidRDefault="003A31F8" w:rsidP="00FD7948">
            <w:pPr>
              <w:pStyle w:val="T2"/>
              <w:jc w:val="right"/>
              <w:rPr>
                <w:bCs/>
              </w:rPr>
            </w:pPr>
            <w:r>
              <w:rPr>
                <w:bCs/>
              </w:rPr>
              <w:t>1.1</w:t>
            </w:r>
          </w:p>
        </w:tc>
        <w:tc>
          <w:tcPr>
            <w:tcW w:w="859" w:type="dxa"/>
            <w:tcBorders>
              <w:top w:val="nil"/>
              <w:left w:val="nil"/>
              <w:bottom w:val="single" w:sz="2" w:space="0" w:color="auto"/>
              <w:right w:val="nil"/>
            </w:tcBorders>
            <w:vAlign w:val="bottom"/>
          </w:tcPr>
          <w:p w14:paraId="388AFA4A" w14:textId="77777777" w:rsidR="00FD7948" w:rsidRPr="005D0EFF" w:rsidRDefault="00FD7948" w:rsidP="005731DB">
            <w:pPr>
              <w:pStyle w:val="T2"/>
              <w:jc w:val="right"/>
              <w:rPr>
                <w:bCs/>
              </w:rPr>
            </w:pPr>
            <w:r w:rsidRPr="005D0EFF">
              <w:rPr>
                <w:bCs/>
              </w:rPr>
              <w:t>(19</w:t>
            </w:r>
            <w:r w:rsidR="005731DB">
              <w:rPr>
                <w:bCs/>
              </w:rPr>
              <w:t>7.6</w:t>
            </w:r>
            <w:r w:rsidRPr="005D0EFF">
              <w:rPr>
                <w:bCs/>
              </w:rPr>
              <w:t>)</w:t>
            </w:r>
          </w:p>
        </w:tc>
      </w:tr>
      <w:tr w:rsidR="00FD7948" w14:paraId="174538E7" w14:textId="77777777" w:rsidTr="001F1616">
        <w:trPr>
          <w:jc w:val="center"/>
        </w:trPr>
        <w:tc>
          <w:tcPr>
            <w:tcW w:w="3686" w:type="dxa"/>
            <w:tcBorders>
              <w:top w:val="single" w:sz="2" w:space="0" w:color="auto"/>
              <w:left w:val="nil"/>
              <w:bottom w:val="nil"/>
              <w:right w:val="nil"/>
            </w:tcBorders>
            <w:vAlign w:val="bottom"/>
          </w:tcPr>
          <w:p w14:paraId="04CC54A9" w14:textId="77777777" w:rsidR="00FD7948" w:rsidRPr="00323878" w:rsidRDefault="00FD7948" w:rsidP="00FD7948">
            <w:pPr>
              <w:pStyle w:val="T2"/>
              <w:jc w:val="left"/>
              <w:rPr>
                <w:b/>
              </w:rPr>
            </w:pPr>
            <w:r>
              <w:rPr>
                <w:b/>
              </w:rPr>
              <w:t>Group operating p</w:t>
            </w:r>
            <w:r w:rsidRPr="00323878">
              <w:rPr>
                <w:b/>
              </w:rPr>
              <w:t>rofit before acquisition related amortisation</w:t>
            </w:r>
          </w:p>
        </w:tc>
        <w:tc>
          <w:tcPr>
            <w:tcW w:w="425" w:type="dxa"/>
            <w:tcBorders>
              <w:top w:val="single" w:sz="2" w:space="0" w:color="auto"/>
              <w:left w:val="nil"/>
              <w:bottom w:val="nil"/>
              <w:right w:val="nil"/>
            </w:tcBorders>
            <w:vAlign w:val="bottom"/>
          </w:tcPr>
          <w:p w14:paraId="2DD88E78" w14:textId="77777777" w:rsidR="00FD7948" w:rsidRPr="00E8718C" w:rsidRDefault="00E126B5" w:rsidP="00FD7948">
            <w:pPr>
              <w:jc w:val="right"/>
              <w:rPr>
                <w:sz w:val="18"/>
                <w:szCs w:val="18"/>
              </w:rPr>
            </w:pPr>
            <w:r>
              <w:rPr>
                <w:sz w:val="18"/>
                <w:szCs w:val="18"/>
              </w:rPr>
              <w:t>2</w:t>
            </w:r>
          </w:p>
        </w:tc>
        <w:tc>
          <w:tcPr>
            <w:tcW w:w="1134" w:type="dxa"/>
            <w:tcBorders>
              <w:top w:val="single" w:sz="2" w:space="0" w:color="auto"/>
              <w:left w:val="nil"/>
              <w:bottom w:val="nil"/>
              <w:right w:val="nil"/>
            </w:tcBorders>
            <w:vAlign w:val="bottom"/>
          </w:tcPr>
          <w:p w14:paraId="67DE5879" w14:textId="77777777" w:rsidR="00FD7948" w:rsidRPr="00A31437" w:rsidRDefault="00E9079C" w:rsidP="005D3EAC">
            <w:pPr>
              <w:pStyle w:val="T2"/>
              <w:jc w:val="right"/>
              <w:rPr>
                <w:b/>
              </w:rPr>
            </w:pPr>
            <w:r>
              <w:rPr>
                <w:b/>
                <w:bCs/>
              </w:rPr>
              <w:t>0</w:t>
            </w:r>
            <w:r w:rsidR="009107C9">
              <w:rPr>
                <w:b/>
                <w:bCs/>
              </w:rPr>
              <w:t>.</w:t>
            </w:r>
            <w:r w:rsidR="005D3EAC">
              <w:rPr>
                <w:b/>
                <w:bCs/>
              </w:rPr>
              <w:t>2</w:t>
            </w:r>
          </w:p>
        </w:tc>
        <w:tc>
          <w:tcPr>
            <w:tcW w:w="1134" w:type="dxa"/>
            <w:tcBorders>
              <w:top w:val="single" w:sz="2" w:space="0" w:color="auto"/>
              <w:left w:val="nil"/>
              <w:bottom w:val="nil"/>
              <w:right w:val="nil"/>
            </w:tcBorders>
            <w:vAlign w:val="bottom"/>
          </w:tcPr>
          <w:p w14:paraId="57F513B7" w14:textId="77777777" w:rsidR="00FD7948" w:rsidRPr="00A31437" w:rsidRDefault="00E9079C" w:rsidP="00FD7948">
            <w:pPr>
              <w:pStyle w:val="T2"/>
              <w:jc w:val="right"/>
              <w:rPr>
                <w:b/>
              </w:rPr>
            </w:pPr>
            <w:r>
              <w:rPr>
                <w:b/>
                <w:bCs/>
              </w:rPr>
              <w:t>5</w:t>
            </w:r>
            <w:r w:rsidR="00362A41">
              <w:rPr>
                <w:b/>
                <w:bCs/>
              </w:rPr>
              <w:t>.7</w:t>
            </w:r>
          </w:p>
        </w:tc>
        <w:tc>
          <w:tcPr>
            <w:tcW w:w="851" w:type="dxa"/>
            <w:tcBorders>
              <w:top w:val="single" w:sz="2" w:space="0" w:color="auto"/>
              <w:left w:val="nil"/>
              <w:bottom w:val="nil"/>
              <w:right w:val="nil"/>
            </w:tcBorders>
            <w:vAlign w:val="bottom"/>
          </w:tcPr>
          <w:p w14:paraId="700233B0" w14:textId="77777777" w:rsidR="00FD7948" w:rsidRPr="00A31437" w:rsidRDefault="005D3EAC" w:rsidP="009107C9">
            <w:pPr>
              <w:pStyle w:val="T2"/>
              <w:jc w:val="right"/>
              <w:rPr>
                <w:b/>
              </w:rPr>
            </w:pPr>
            <w:r>
              <w:rPr>
                <w:b/>
                <w:bCs/>
              </w:rPr>
              <w:t>5.9</w:t>
            </w:r>
          </w:p>
        </w:tc>
        <w:tc>
          <w:tcPr>
            <w:tcW w:w="1264" w:type="dxa"/>
            <w:tcBorders>
              <w:top w:val="single" w:sz="2" w:space="0" w:color="auto"/>
              <w:left w:val="nil"/>
              <w:bottom w:val="nil"/>
              <w:right w:val="nil"/>
            </w:tcBorders>
            <w:vAlign w:val="bottom"/>
          </w:tcPr>
          <w:p w14:paraId="1F85C978" w14:textId="1372E497" w:rsidR="00FD7948" w:rsidRPr="00006931" w:rsidRDefault="00FD7948" w:rsidP="00FD7948">
            <w:pPr>
              <w:pStyle w:val="T2"/>
              <w:jc w:val="right"/>
              <w:rPr>
                <w:bCs/>
              </w:rPr>
            </w:pPr>
            <w:r>
              <w:rPr>
                <w:bCs/>
              </w:rPr>
              <w:t>38.3</w:t>
            </w:r>
          </w:p>
        </w:tc>
        <w:tc>
          <w:tcPr>
            <w:tcW w:w="1134" w:type="dxa"/>
            <w:tcBorders>
              <w:top w:val="single" w:sz="2" w:space="0" w:color="auto"/>
              <w:left w:val="nil"/>
              <w:bottom w:val="nil"/>
              <w:right w:val="nil"/>
            </w:tcBorders>
            <w:vAlign w:val="bottom"/>
          </w:tcPr>
          <w:p w14:paraId="6A8ED509" w14:textId="77777777" w:rsidR="00FD7948" w:rsidRPr="00006931" w:rsidRDefault="00FD7948" w:rsidP="00FD7948">
            <w:pPr>
              <w:pStyle w:val="T2"/>
              <w:jc w:val="right"/>
              <w:rPr>
                <w:bCs/>
              </w:rPr>
            </w:pPr>
            <w:r w:rsidRPr="005D0EFF">
              <w:rPr>
                <w:bCs/>
              </w:rPr>
              <w:t>–</w:t>
            </w:r>
          </w:p>
        </w:tc>
        <w:tc>
          <w:tcPr>
            <w:tcW w:w="859" w:type="dxa"/>
            <w:tcBorders>
              <w:top w:val="single" w:sz="2" w:space="0" w:color="auto"/>
              <w:left w:val="nil"/>
              <w:bottom w:val="nil"/>
              <w:right w:val="nil"/>
            </w:tcBorders>
            <w:vAlign w:val="bottom"/>
          </w:tcPr>
          <w:p w14:paraId="048FAF50" w14:textId="77777777" w:rsidR="00FD7948" w:rsidRPr="00006931" w:rsidRDefault="00FD7948" w:rsidP="00FD7948">
            <w:pPr>
              <w:pStyle w:val="T2"/>
              <w:jc w:val="right"/>
              <w:rPr>
                <w:bCs/>
              </w:rPr>
            </w:pPr>
            <w:r>
              <w:rPr>
                <w:bCs/>
              </w:rPr>
              <w:t>38.3</w:t>
            </w:r>
          </w:p>
        </w:tc>
      </w:tr>
      <w:tr w:rsidR="00FD7948" w14:paraId="0F8CDF05" w14:textId="77777777" w:rsidTr="001F1616">
        <w:trPr>
          <w:jc w:val="center"/>
        </w:trPr>
        <w:tc>
          <w:tcPr>
            <w:tcW w:w="3686" w:type="dxa"/>
            <w:tcBorders>
              <w:top w:val="nil"/>
              <w:left w:val="nil"/>
              <w:bottom w:val="single" w:sz="2" w:space="0" w:color="auto"/>
              <w:right w:val="nil"/>
            </w:tcBorders>
            <w:vAlign w:val="bottom"/>
          </w:tcPr>
          <w:p w14:paraId="55A4A92B" w14:textId="77777777" w:rsidR="00FD7948" w:rsidRPr="00C65534" w:rsidRDefault="00FD7948" w:rsidP="00FD7948">
            <w:pPr>
              <w:pStyle w:val="T2"/>
              <w:jc w:val="left"/>
            </w:pPr>
            <w:r w:rsidRPr="00C65534">
              <w:lastRenderedPageBreak/>
              <w:t>Amortisation of acquisition related intangibles</w:t>
            </w:r>
          </w:p>
        </w:tc>
        <w:tc>
          <w:tcPr>
            <w:tcW w:w="425" w:type="dxa"/>
            <w:tcBorders>
              <w:top w:val="nil"/>
              <w:left w:val="nil"/>
              <w:bottom w:val="single" w:sz="2" w:space="0" w:color="auto"/>
              <w:right w:val="nil"/>
            </w:tcBorders>
            <w:vAlign w:val="bottom"/>
          </w:tcPr>
          <w:p w14:paraId="28FAB9C1" w14:textId="77777777" w:rsidR="00FD7948" w:rsidRPr="00E8718C" w:rsidRDefault="00FD7948" w:rsidP="00FD7948">
            <w:pPr>
              <w:jc w:val="right"/>
              <w:rPr>
                <w:sz w:val="18"/>
                <w:szCs w:val="18"/>
              </w:rPr>
            </w:pPr>
          </w:p>
        </w:tc>
        <w:tc>
          <w:tcPr>
            <w:tcW w:w="1134" w:type="dxa"/>
            <w:tcBorders>
              <w:top w:val="nil"/>
              <w:left w:val="nil"/>
              <w:bottom w:val="single" w:sz="2" w:space="0" w:color="auto"/>
              <w:right w:val="nil"/>
            </w:tcBorders>
          </w:tcPr>
          <w:p w14:paraId="35B4E081" w14:textId="77777777" w:rsidR="00FD7948" w:rsidRPr="00A31437" w:rsidRDefault="009107C9" w:rsidP="00FD7948">
            <w:pPr>
              <w:pStyle w:val="T2"/>
              <w:jc w:val="right"/>
              <w:rPr>
                <w:b/>
              </w:rPr>
            </w:pPr>
            <w:r>
              <w:rPr>
                <w:b/>
                <w:bCs/>
              </w:rPr>
              <w:t>(2.0)</w:t>
            </w:r>
          </w:p>
        </w:tc>
        <w:tc>
          <w:tcPr>
            <w:tcW w:w="1134" w:type="dxa"/>
            <w:tcBorders>
              <w:top w:val="nil"/>
              <w:left w:val="nil"/>
              <w:bottom w:val="single" w:sz="2" w:space="0" w:color="auto"/>
              <w:right w:val="nil"/>
            </w:tcBorders>
            <w:vAlign w:val="bottom"/>
          </w:tcPr>
          <w:p w14:paraId="771581F6" w14:textId="77777777" w:rsidR="00FD7948" w:rsidRPr="00A31437" w:rsidRDefault="00FD7948" w:rsidP="00FD7948">
            <w:pPr>
              <w:pStyle w:val="T2"/>
              <w:jc w:val="right"/>
              <w:rPr>
                <w:b/>
              </w:rPr>
            </w:pPr>
            <w:r w:rsidRPr="00681334">
              <w:rPr>
                <w:b/>
                <w:bCs/>
              </w:rPr>
              <w:t>–</w:t>
            </w:r>
          </w:p>
        </w:tc>
        <w:tc>
          <w:tcPr>
            <w:tcW w:w="851" w:type="dxa"/>
            <w:tcBorders>
              <w:top w:val="nil"/>
              <w:left w:val="nil"/>
              <w:bottom w:val="single" w:sz="2" w:space="0" w:color="auto"/>
              <w:right w:val="nil"/>
            </w:tcBorders>
          </w:tcPr>
          <w:p w14:paraId="0F27B70D" w14:textId="77777777" w:rsidR="00FD7948" w:rsidRPr="00A31437" w:rsidRDefault="00362A41" w:rsidP="00FD7948">
            <w:pPr>
              <w:pStyle w:val="T2"/>
              <w:jc w:val="right"/>
              <w:rPr>
                <w:b/>
              </w:rPr>
            </w:pPr>
            <w:r>
              <w:rPr>
                <w:b/>
                <w:bCs/>
              </w:rPr>
              <w:t>(2.0)</w:t>
            </w:r>
          </w:p>
        </w:tc>
        <w:tc>
          <w:tcPr>
            <w:tcW w:w="1264" w:type="dxa"/>
            <w:tcBorders>
              <w:top w:val="nil"/>
              <w:left w:val="nil"/>
              <w:bottom w:val="single" w:sz="2" w:space="0" w:color="auto"/>
              <w:right w:val="nil"/>
            </w:tcBorders>
            <w:vAlign w:val="bottom"/>
          </w:tcPr>
          <w:p w14:paraId="01A62ACB" w14:textId="77777777" w:rsidR="00FD7948" w:rsidRPr="00006931" w:rsidRDefault="00FD7948" w:rsidP="00FD7948">
            <w:pPr>
              <w:pStyle w:val="T2"/>
              <w:jc w:val="right"/>
              <w:rPr>
                <w:bCs/>
              </w:rPr>
            </w:pPr>
            <w:r w:rsidRPr="005D0EFF">
              <w:rPr>
                <w:bCs/>
              </w:rPr>
              <w:t>(</w:t>
            </w:r>
            <w:r>
              <w:rPr>
                <w:bCs/>
              </w:rPr>
              <w:t>2.7</w:t>
            </w:r>
            <w:r w:rsidRPr="005D0EFF">
              <w:rPr>
                <w:bCs/>
              </w:rPr>
              <w:t>)</w:t>
            </w:r>
          </w:p>
        </w:tc>
        <w:tc>
          <w:tcPr>
            <w:tcW w:w="1134" w:type="dxa"/>
            <w:tcBorders>
              <w:top w:val="nil"/>
              <w:left w:val="nil"/>
              <w:bottom w:val="single" w:sz="2" w:space="0" w:color="auto"/>
              <w:right w:val="nil"/>
            </w:tcBorders>
            <w:vAlign w:val="bottom"/>
          </w:tcPr>
          <w:p w14:paraId="5EC462A5" w14:textId="77777777" w:rsidR="00FD7948" w:rsidRPr="00006931" w:rsidRDefault="00FD7948" w:rsidP="00FD7948">
            <w:pPr>
              <w:pStyle w:val="T2"/>
              <w:jc w:val="right"/>
              <w:rPr>
                <w:bCs/>
              </w:rPr>
            </w:pPr>
            <w:r w:rsidRPr="005D0EFF">
              <w:rPr>
                <w:bCs/>
              </w:rPr>
              <w:t>–</w:t>
            </w:r>
          </w:p>
        </w:tc>
        <w:tc>
          <w:tcPr>
            <w:tcW w:w="859" w:type="dxa"/>
            <w:tcBorders>
              <w:top w:val="nil"/>
              <w:left w:val="nil"/>
              <w:bottom w:val="single" w:sz="2" w:space="0" w:color="auto"/>
              <w:right w:val="nil"/>
            </w:tcBorders>
            <w:vAlign w:val="bottom"/>
          </w:tcPr>
          <w:p w14:paraId="2F0936ED" w14:textId="77777777" w:rsidR="00FD7948" w:rsidRPr="00006931" w:rsidRDefault="00FD7948" w:rsidP="00FD7948">
            <w:pPr>
              <w:pStyle w:val="T2"/>
              <w:jc w:val="right"/>
              <w:rPr>
                <w:bCs/>
              </w:rPr>
            </w:pPr>
            <w:r w:rsidRPr="005D0EFF">
              <w:rPr>
                <w:bCs/>
              </w:rPr>
              <w:t>(</w:t>
            </w:r>
            <w:r>
              <w:rPr>
                <w:bCs/>
              </w:rPr>
              <w:t>2.7</w:t>
            </w:r>
            <w:r w:rsidRPr="005D0EFF">
              <w:rPr>
                <w:bCs/>
              </w:rPr>
              <w:t>)</w:t>
            </w:r>
          </w:p>
        </w:tc>
      </w:tr>
      <w:tr w:rsidR="00FD7948" w14:paraId="5FE285C9" w14:textId="77777777" w:rsidTr="001F1616">
        <w:trPr>
          <w:jc w:val="center"/>
        </w:trPr>
        <w:tc>
          <w:tcPr>
            <w:tcW w:w="3686" w:type="dxa"/>
            <w:tcBorders>
              <w:top w:val="single" w:sz="2" w:space="0" w:color="auto"/>
              <w:left w:val="nil"/>
              <w:bottom w:val="nil"/>
              <w:right w:val="nil"/>
            </w:tcBorders>
            <w:vAlign w:val="bottom"/>
          </w:tcPr>
          <w:p w14:paraId="2A5469C8" w14:textId="77777777" w:rsidR="00FD7948" w:rsidRPr="00323878" w:rsidRDefault="00FD7948">
            <w:pPr>
              <w:pStyle w:val="T2"/>
              <w:jc w:val="left"/>
              <w:rPr>
                <w:b/>
              </w:rPr>
            </w:pPr>
            <w:r>
              <w:rPr>
                <w:b/>
              </w:rPr>
              <w:t>Group operating</w:t>
            </w:r>
            <w:r w:rsidR="000123F9">
              <w:rPr>
                <w:b/>
              </w:rPr>
              <w:t xml:space="preserve"> (loss)/</w:t>
            </w:r>
            <w:r>
              <w:rPr>
                <w:b/>
              </w:rPr>
              <w:t>p</w:t>
            </w:r>
            <w:r w:rsidRPr="00323878">
              <w:rPr>
                <w:b/>
              </w:rPr>
              <w:t>rofit</w:t>
            </w:r>
          </w:p>
        </w:tc>
        <w:tc>
          <w:tcPr>
            <w:tcW w:w="425" w:type="dxa"/>
            <w:tcBorders>
              <w:top w:val="single" w:sz="2" w:space="0" w:color="auto"/>
              <w:left w:val="nil"/>
              <w:bottom w:val="nil"/>
              <w:right w:val="nil"/>
            </w:tcBorders>
            <w:vAlign w:val="bottom"/>
          </w:tcPr>
          <w:p w14:paraId="036AE285" w14:textId="77777777" w:rsidR="00FD7948" w:rsidRPr="00E8718C" w:rsidRDefault="00FD7948" w:rsidP="00FD7948">
            <w:pPr>
              <w:jc w:val="right"/>
              <w:rPr>
                <w:sz w:val="18"/>
                <w:szCs w:val="18"/>
              </w:rPr>
            </w:pPr>
          </w:p>
        </w:tc>
        <w:tc>
          <w:tcPr>
            <w:tcW w:w="1134" w:type="dxa"/>
            <w:tcBorders>
              <w:top w:val="single" w:sz="2" w:space="0" w:color="auto"/>
              <w:left w:val="nil"/>
              <w:bottom w:val="nil"/>
              <w:right w:val="nil"/>
            </w:tcBorders>
          </w:tcPr>
          <w:p w14:paraId="3680B905" w14:textId="77777777" w:rsidR="00FD7948" w:rsidRPr="00A31437" w:rsidRDefault="00362A41" w:rsidP="0041734A">
            <w:pPr>
              <w:pStyle w:val="T2"/>
              <w:jc w:val="right"/>
              <w:rPr>
                <w:b/>
              </w:rPr>
            </w:pPr>
            <w:r>
              <w:rPr>
                <w:b/>
                <w:bCs/>
              </w:rPr>
              <w:t>(</w:t>
            </w:r>
            <w:r w:rsidR="00E9079C">
              <w:rPr>
                <w:b/>
                <w:bCs/>
              </w:rPr>
              <w:t>1</w:t>
            </w:r>
            <w:r>
              <w:rPr>
                <w:b/>
                <w:bCs/>
              </w:rPr>
              <w:t>.</w:t>
            </w:r>
            <w:r w:rsidR="005D3EAC">
              <w:rPr>
                <w:b/>
                <w:bCs/>
              </w:rPr>
              <w:t>8</w:t>
            </w:r>
            <w:r>
              <w:rPr>
                <w:b/>
                <w:bCs/>
              </w:rPr>
              <w:t>)</w:t>
            </w:r>
          </w:p>
        </w:tc>
        <w:tc>
          <w:tcPr>
            <w:tcW w:w="1134" w:type="dxa"/>
            <w:tcBorders>
              <w:top w:val="single" w:sz="2" w:space="0" w:color="auto"/>
              <w:left w:val="nil"/>
              <w:bottom w:val="nil"/>
              <w:right w:val="nil"/>
            </w:tcBorders>
            <w:vAlign w:val="bottom"/>
          </w:tcPr>
          <w:p w14:paraId="0346D135" w14:textId="77777777" w:rsidR="00FD7948" w:rsidRPr="00A31437" w:rsidRDefault="00E9079C" w:rsidP="00FD7948">
            <w:pPr>
              <w:pStyle w:val="T2"/>
              <w:jc w:val="right"/>
              <w:rPr>
                <w:b/>
              </w:rPr>
            </w:pPr>
            <w:r>
              <w:rPr>
                <w:b/>
                <w:bCs/>
              </w:rPr>
              <w:t>5</w:t>
            </w:r>
            <w:r w:rsidR="00362A41">
              <w:rPr>
                <w:b/>
                <w:bCs/>
              </w:rPr>
              <w:t>.7</w:t>
            </w:r>
          </w:p>
        </w:tc>
        <w:tc>
          <w:tcPr>
            <w:tcW w:w="851" w:type="dxa"/>
            <w:tcBorders>
              <w:top w:val="single" w:sz="2" w:space="0" w:color="auto"/>
              <w:left w:val="nil"/>
              <w:bottom w:val="nil"/>
              <w:right w:val="nil"/>
            </w:tcBorders>
          </w:tcPr>
          <w:p w14:paraId="4ED4904E" w14:textId="77777777" w:rsidR="00FD7948" w:rsidRPr="00A31437" w:rsidRDefault="005D3EAC" w:rsidP="00FD7948">
            <w:pPr>
              <w:pStyle w:val="T2"/>
              <w:jc w:val="right"/>
              <w:rPr>
                <w:b/>
              </w:rPr>
            </w:pPr>
            <w:r>
              <w:rPr>
                <w:b/>
                <w:bCs/>
              </w:rPr>
              <w:t>3.9</w:t>
            </w:r>
          </w:p>
        </w:tc>
        <w:tc>
          <w:tcPr>
            <w:tcW w:w="1264" w:type="dxa"/>
            <w:tcBorders>
              <w:top w:val="single" w:sz="2" w:space="0" w:color="auto"/>
              <w:left w:val="nil"/>
              <w:bottom w:val="nil"/>
              <w:right w:val="nil"/>
            </w:tcBorders>
            <w:vAlign w:val="bottom"/>
          </w:tcPr>
          <w:p w14:paraId="4BB0E711" w14:textId="77777777" w:rsidR="00FD7948" w:rsidRPr="00006931" w:rsidRDefault="00FD7948" w:rsidP="00FD7948">
            <w:pPr>
              <w:pStyle w:val="T2"/>
              <w:jc w:val="right"/>
              <w:rPr>
                <w:bCs/>
              </w:rPr>
            </w:pPr>
            <w:r>
              <w:rPr>
                <w:bCs/>
              </w:rPr>
              <w:t>35.6</w:t>
            </w:r>
          </w:p>
        </w:tc>
        <w:tc>
          <w:tcPr>
            <w:tcW w:w="1134" w:type="dxa"/>
            <w:tcBorders>
              <w:top w:val="single" w:sz="2" w:space="0" w:color="auto"/>
              <w:left w:val="nil"/>
              <w:bottom w:val="nil"/>
              <w:right w:val="nil"/>
            </w:tcBorders>
            <w:vAlign w:val="bottom"/>
          </w:tcPr>
          <w:p w14:paraId="5C9D42C7" w14:textId="77777777" w:rsidR="00FD7948" w:rsidRPr="00006931" w:rsidRDefault="00FD7948" w:rsidP="00FD7948">
            <w:pPr>
              <w:pStyle w:val="T2"/>
              <w:jc w:val="right"/>
              <w:rPr>
                <w:bCs/>
              </w:rPr>
            </w:pPr>
            <w:r w:rsidRPr="005D0EFF">
              <w:rPr>
                <w:bCs/>
              </w:rPr>
              <w:t>–</w:t>
            </w:r>
          </w:p>
        </w:tc>
        <w:tc>
          <w:tcPr>
            <w:tcW w:w="859" w:type="dxa"/>
            <w:tcBorders>
              <w:top w:val="single" w:sz="2" w:space="0" w:color="auto"/>
              <w:left w:val="nil"/>
              <w:bottom w:val="nil"/>
              <w:right w:val="nil"/>
            </w:tcBorders>
            <w:vAlign w:val="bottom"/>
          </w:tcPr>
          <w:p w14:paraId="1817B0B3" w14:textId="77777777" w:rsidR="00FD7948" w:rsidRPr="00006931" w:rsidRDefault="00FD7948" w:rsidP="00FD7948">
            <w:pPr>
              <w:pStyle w:val="T2"/>
              <w:jc w:val="right"/>
              <w:rPr>
                <w:bCs/>
              </w:rPr>
            </w:pPr>
            <w:r>
              <w:rPr>
                <w:bCs/>
              </w:rPr>
              <w:t>35.6</w:t>
            </w:r>
          </w:p>
        </w:tc>
      </w:tr>
      <w:tr w:rsidR="00FD7948" w14:paraId="32B72BFB" w14:textId="77777777" w:rsidTr="001F1616">
        <w:trPr>
          <w:jc w:val="center"/>
        </w:trPr>
        <w:tc>
          <w:tcPr>
            <w:tcW w:w="3686" w:type="dxa"/>
            <w:tcBorders>
              <w:top w:val="nil"/>
              <w:left w:val="nil"/>
              <w:bottom w:val="nil"/>
              <w:right w:val="nil"/>
            </w:tcBorders>
            <w:vAlign w:val="bottom"/>
          </w:tcPr>
          <w:p w14:paraId="10336A28" w14:textId="77777777" w:rsidR="00FD7948" w:rsidRPr="00C65534" w:rsidRDefault="00FD7948" w:rsidP="00FD7948">
            <w:pPr>
              <w:pStyle w:val="T2"/>
              <w:jc w:val="left"/>
            </w:pPr>
            <w:r w:rsidRPr="00C65534">
              <w:t>Finance income</w:t>
            </w:r>
          </w:p>
        </w:tc>
        <w:tc>
          <w:tcPr>
            <w:tcW w:w="425" w:type="dxa"/>
            <w:tcBorders>
              <w:top w:val="nil"/>
              <w:left w:val="nil"/>
              <w:bottom w:val="nil"/>
              <w:right w:val="nil"/>
            </w:tcBorders>
            <w:vAlign w:val="bottom"/>
          </w:tcPr>
          <w:p w14:paraId="1F7C36DB" w14:textId="77777777" w:rsidR="00FD7948" w:rsidRPr="00E8718C" w:rsidRDefault="00E126B5" w:rsidP="00FD7948">
            <w:pPr>
              <w:ind w:left="-108"/>
              <w:jc w:val="right"/>
              <w:rPr>
                <w:sz w:val="18"/>
                <w:szCs w:val="18"/>
              </w:rPr>
            </w:pPr>
            <w:r>
              <w:rPr>
                <w:sz w:val="18"/>
                <w:szCs w:val="18"/>
              </w:rPr>
              <w:t>5</w:t>
            </w:r>
          </w:p>
        </w:tc>
        <w:tc>
          <w:tcPr>
            <w:tcW w:w="1134" w:type="dxa"/>
            <w:tcBorders>
              <w:top w:val="nil"/>
              <w:left w:val="nil"/>
              <w:bottom w:val="nil"/>
              <w:right w:val="nil"/>
            </w:tcBorders>
          </w:tcPr>
          <w:p w14:paraId="7B513D7B" w14:textId="77777777" w:rsidR="00FD7948" w:rsidRPr="00A31437" w:rsidRDefault="00863360" w:rsidP="00FD7948">
            <w:pPr>
              <w:pStyle w:val="T2"/>
              <w:jc w:val="right"/>
              <w:rPr>
                <w:b/>
              </w:rPr>
            </w:pPr>
            <w:r>
              <w:rPr>
                <w:b/>
                <w:bCs/>
              </w:rPr>
              <w:t>0.4</w:t>
            </w:r>
          </w:p>
        </w:tc>
        <w:tc>
          <w:tcPr>
            <w:tcW w:w="1134" w:type="dxa"/>
            <w:tcBorders>
              <w:top w:val="nil"/>
              <w:left w:val="nil"/>
              <w:bottom w:val="nil"/>
              <w:right w:val="nil"/>
            </w:tcBorders>
            <w:vAlign w:val="bottom"/>
          </w:tcPr>
          <w:p w14:paraId="76B09449" w14:textId="77777777" w:rsidR="00FD7948" w:rsidRPr="00A31437" w:rsidRDefault="00FD7948" w:rsidP="00FD7948">
            <w:pPr>
              <w:pStyle w:val="T2"/>
              <w:jc w:val="right"/>
              <w:rPr>
                <w:b/>
              </w:rPr>
            </w:pPr>
            <w:r w:rsidRPr="00681334">
              <w:rPr>
                <w:b/>
                <w:bCs/>
              </w:rPr>
              <w:t>–</w:t>
            </w:r>
          </w:p>
        </w:tc>
        <w:tc>
          <w:tcPr>
            <w:tcW w:w="851" w:type="dxa"/>
            <w:tcBorders>
              <w:top w:val="nil"/>
              <w:left w:val="nil"/>
              <w:bottom w:val="nil"/>
              <w:right w:val="nil"/>
            </w:tcBorders>
          </w:tcPr>
          <w:p w14:paraId="6F35B76B" w14:textId="77777777" w:rsidR="00FD7948" w:rsidRPr="00A31437" w:rsidRDefault="00863360" w:rsidP="00FD7948">
            <w:pPr>
              <w:pStyle w:val="T2"/>
              <w:jc w:val="right"/>
              <w:rPr>
                <w:b/>
              </w:rPr>
            </w:pPr>
            <w:r>
              <w:rPr>
                <w:b/>
                <w:bCs/>
              </w:rPr>
              <w:t>0.4</w:t>
            </w:r>
          </w:p>
        </w:tc>
        <w:tc>
          <w:tcPr>
            <w:tcW w:w="1264" w:type="dxa"/>
            <w:tcBorders>
              <w:top w:val="nil"/>
              <w:left w:val="nil"/>
              <w:bottom w:val="nil"/>
              <w:right w:val="nil"/>
            </w:tcBorders>
            <w:vAlign w:val="bottom"/>
          </w:tcPr>
          <w:p w14:paraId="7ACA6A4B" w14:textId="77777777" w:rsidR="00FD7948" w:rsidRPr="00006931" w:rsidRDefault="00FD7948">
            <w:pPr>
              <w:pStyle w:val="T2"/>
              <w:jc w:val="right"/>
              <w:rPr>
                <w:bCs/>
              </w:rPr>
            </w:pPr>
            <w:r w:rsidRPr="005D0EFF">
              <w:rPr>
                <w:bCs/>
              </w:rPr>
              <w:t>0.</w:t>
            </w:r>
            <w:r w:rsidR="00863360">
              <w:rPr>
                <w:bCs/>
              </w:rPr>
              <w:t>5</w:t>
            </w:r>
          </w:p>
        </w:tc>
        <w:tc>
          <w:tcPr>
            <w:tcW w:w="1134" w:type="dxa"/>
            <w:tcBorders>
              <w:top w:val="nil"/>
              <w:left w:val="nil"/>
              <w:bottom w:val="nil"/>
              <w:right w:val="nil"/>
            </w:tcBorders>
            <w:vAlign w:val="bottom"/>
          </w:tcPr>
          <w:p w14:paraId="425CCB23" w14:textId="77777777" w:rsidR="00FD7948" w:rsidRPr="00006931" w:rsidRDefault="00FD7948" w:rsidP="00FD7948">
            <w:pPr>
              <w:pStyle w:val="T2"/>
              <w:jc w:val="right"/>
              <w:rPr>
                <w:bCs/>
              </w:rPr>
            </w:pPr>
            <w:r w:rsidRPr="005D0EFF">
              <w:rPr>
                <w:bCs/>
              </w:rPr>
              <w:t>–</w:t>
            </w:r>
          </w:p>
        </w:tc>
        <w:tc>
          <w:tcPr>
            <w:tcW w:w="859" w:type="dxa"/>
            <w:tcBorders>
              <w:top w:val="nil"/>
              <w:left w:val="nil"/>
              <w:bottom w:val="nil"/>
              <w:right w:val="nil"/>
            </w:tcBorders>
            <w:vAlign w:val="bottom"/>
          </w:tcPr>
          <w:p w14:paraId="7CE9DC59" w14:textId="77777777" w:rsidR="00FD7948" w:rsidRPr="00006931" w:rsidRDefault="00FD7948">
            <w:pPr>
              <w:pStyle w:val="T2"/>
              <w:jc w:val="right"/>
              <w:rPr>
                <w:bCs/>
              </w:rPr>
            </w:pPr>
            <w:r w:rsidRPr="005D0EFF">
              <w:rPr>
                <w:bCs/>
              </w:rPr>
              <w:t>0.</w:t>
            </w:r>
            <w:r w:rsidR="00863360">
              <w:rPr>
                <w:bCs/>
              </w:rPr>
              <w:t>5</w:t>
            </w:r>
          </w:p>
        </w:tc>
      </w:tr>
      <w:tr w:rsidR="00FD7948" w14:paraId="0F54DA59" w14:textId="77777777" w:rsidTr="001F1616">
        <w:trPr>
          <w:jc w:val="center"/>
        </w:trPr>
        <w:tc>
          <w:tcPr>
            <w:tcW w:w="3686" w:type="dxa"/>
            <w:tcBorders>
              <w:top w:val="nil"/>
              <w:left w:val="nil"/>
              <w:bottom w:val="nil"/>
              <w:right w:val="nil"/>
            </w:tcBorders>
            <w:vAlign w:val="bottom"/>
          </w:tcPr>
          <w:p w14:paraId="381F1A85" w14:textId="77777777" w:rsidR="00FD7948" w:rsidRPr="00C65534" w:rsidRDefault="00FD7948" w:rsidP="00FD7948">
            <w:pPr>
              <w:pStyle w:val="T2"/>
              <w:jc w:val="left"/>
            </w:pPr>
            <w:r w:rsidRPr="00C65534">
              <w:t>Finance costs</w:t>
            </w:r>
          </w:p>
        </w:tc>
        <w:tc>
          <w:tcPr>
            <w:tcW w:w="425" w:type="dxa"/>
            <w:tcBorders>
              <w:top w:val="nil"/>
              <w:left w:val="nil"/>
              <w:bottom w:val="nil"/>
              <w:right w:val="nil"/>
            </w:tcBorders>
            <w:vAlign w:val="bottom"/>
          </w:tcPr>
          <w:p w14:paraId="1C492E18" w14:textId="77777777" w:rsidR="00FD7948" w:rsidRPr="00E8718C" w:rsidRDefault="00E126B5" w:rsidP="00FD7948">
            <w:pPr>
              <w:ind w:left="-108"/>
              <w:jc w:val="right"/>
              <w:rPr>
                <w:sz w:val="18"/>
                <w:szCs w:val="18"/>
              </w:rPr>
            </w:pPr>
            <w:r>
              <w:rPr>
                <w:sz w:val="18"/>
                <w:szCs w:val="18"/>
              </w:rPr>
              <w:t>5</w:t>
            </w:r>
          </w:p>
        </w:tc>
        <w:tc>
          <w:tcPr>
            <w:tcW w:w="1134" w:type="dxa"/>
            <w:tcBorders>
              <w:top w:val="nil"/>
              <w:left w:val="nil"/>
              <w:bottom w:val="nil"/>
              <w:right w:val="nil"/>
            </w:tcBorders>
          </w:tcPr>
          <w:p w14:paraId="3E7A1706" w14:textId="77777777" w:rsidR="00FD7948" w:rsidRPr="00A31437" w:rsidRDefault="00362A41">
            <w:pPr>
              <w:pStyle w:val="T2"/>
              <w:jc w:val="right"/>
              <w:rPr>
                <w:b/>
              </w:rPr>
            </w:pPr>
            <w:r>
              <w:rPr>
                <w:b/>
                <w:bCs/>
              </w:rPr>
              <w:t>(</w:t>
            </w:r>
            <w:r w:rsidR="00863360">
              <w:rPr>
                <w:b/>
                <w:bCs/>
              </w:rPr>
              <w:t>10.1</w:t>
            </w:r>
            <w:r>
              <w:rPr>
                <w:b/>
                <w:bCs/>
              </w:rPr>
              <w:t>)</w:t>
            </w:r>
          </w:p>
        </w:tc>
        <w:tc>
          <w:tcPr>
            <w:tcW w:w="1134" w:type="dxa"/>
            <w:tcBorders>
              <w:top w:val="nil"/>
              <w:left w:val="nil"/>
              <w:bottom w:val="nil"/>
              <w:right w:val="nil"/>
            </w:tcBorders>
            <w:vAlign w:val="bottom"/>
          </w:tcPr>
          <w:p w14:paraId="6CD225E2" w14:textId="77777777" w:rsidR="00FD7948" w:rsidRPr="00A31437" w:rsidRDefault="00FD7948" w:rsidP="00FD7948">
            <w:pPr>
              <w:pStyle w:val="T2"/>
              <w:jc w:val="right"/>
              <w:rPr>
                <w:b/>
              </w:rPr>
            </w:pPr>
            <w:r w:rsidRPr="00681334">
              <w:rPr>
                <w:b/>
                <w:bCs/>
              </w:rPr>
              <w:t>–</w:t>
            </w:r>
          </w:p>
        </w:tc>
        <w:tc>
          <w:tcPr>
            <w:tcW w:w="851" w:type="dxa"/>
            <w:tcBorders>
              <w:top w:val="nil"/>
              <w:left w:val="nil"/>
              <w:bottom w:val="nil"/>
              <w:right w:val="nil"/>
            </w:tcBorders>
          </w:tcPr>
          <w:p w14:paraId="55042DBC" w14:textId="77777777" w:rsidR="00FD7948" w:rsidRPr="00A31437" w:rsidRDefault="00362A41">
            <w:pPr>
              <w:pStyle w:val="T2"/>
              <w:jc w:val="right"/>
              <w:rPr>
                <w:b/>
              </w:rPr>
            </w:pPr>
            <w:r>
              <w:rPr>
                <w:b/>
                <w:bCs/>
              </w:rPr>
              <w:t>(</w:t>
            </w:r>
            <w:r w:rsidR="00863360">
              <w:rPr>
                <w:b/>
                <w:bCs/>
              </w:rPr>
              <w:t>10.1</w:t>
            </w:r>
            <w:r>
              <w:rPr>
                <w:b/>
                <w:bCs/>
              </w:rPr>
              <w:t>)</w:t>
            </w:r>
          </w:p>
        </w:tc>
        <w:tc>
          <w:tcPr>
            <w:tcW w:w="1264" w:type="dxa"/>
            <w:tcBorders>
              <w:top w:val="nil"/>
              <w:left w:val="nil"/>
              <w:bottom w:val="nil"/>
              <w:right w:val="nil"/>
            </w:tcBorders>
            <w:vAlign w:val="bottom"/>
          </w:tcPr>
          <w:p w14:paraId="1C5B6F06" w14:textId="77777777" w:rsidR="00FD7948" w:rsidRPr="00006931" w:rsidRDefault="00FD7948">
            <w:pPr>
              <w:pStyle w:val="T2"/>
              <w:jc w:val="right"/>
              <w:rPr>
                <w:bCs/>
              </w:rPr>
            </w:pPr>
            <w:r w:rsidRPr="005D0EFF">
              <w:rPr>
                <w:bCs/>
              </w:rPr>
              <w:t>(</w:t>
            </w:r>
            <w:r w:rsidR="00863360">
              <w:rPr>
                <w:bCs/>
              </w:rPr>
              <w:t>9.2</w:t>
            </w:r>
            <w:r w:rsidRPr="005D0EFF">
              <w:rPr>
                <w:bCs/>
              </w:rPr>
              <w:t>)</w:t>
            </w:r>
          </w:p>
        </w:tc>
        <w:tc>
          <w:tcPr>
            <w:tcW w:w="1134" w:type="dxa"/>
            <w:tcBorders>
              <w:top w:val="nil"/>
              <w:left w:val="nil"/>
              <w:bottom w:val="nil"/>
              <w:right w:val="nil"/>
            </w:tcBorders>
            <w:vAlign w:val="bottom"/>
          </w:tcPr>
          <w:p w14:paraId="7ABEF7F7" w14:textId="77777777" w:rsidR="00FD7948" w:rsidRPr="00006931" w:rsidRDefault="00FD7948" w:rsidP="00FD7948">
            <w:pPr>
              <w:pStyle w:val="T2"/>
              <w:jc w:val="right"/>
              <w:rPr>
                <w:bCs/>
              </w:rPr>
            </w:pPr>
            <w:r w:rsidRPr="005D0EFF">
              <w:rPr>
                <w:bCs/>
              </w:rPr>
              <w:t>–</w:t>
            </w:r>
          </w:p>
        </w:tc>
        <w:tc>
          <w:tcPr>
            <w:tcW w:w="859" w:type="dxa"/>
            <w:tcBorders>
              <w:top w:val="nil"/>
              <w:left w:val="nil"/>
              <w:bottom w:val="nil"/>
              <w:right w:val="nil"/>
            </w:tcBorders>
            <w:vAlign w:val="bottom"/>
          </w:tcPr>
          <w:p w14:paraId="0B3BC72E" w14:textId="77777777" w:rsidR="00FD7948" w:rsidRPr="005D0EFF" w:rsidRDefault="00FD7948">
            <w:pPr>
              <w:pStyle w:val="T2"/>
              <w:jc w:val="right"/>
              <w:rPr>
                <w:bCs/>
              </w:rPr>
            </w:pPr>
            <w:r w:rsidRPr="005D0EFF">
              <w:rPr>
                <w:bCs/>
              </w:rPr>
              <w:t>(</w:t>
            </w:r>
            <w:r w:rsidR="00863360">
              <w:rPr>
                <w:bCs/>
              </w:rPr>
              <w:t>9.2</w:t>
            </w:r>
            <w:r w:rsidRPr="005D0EFF">
              <w:rPr>
                <w:bCs/>
              </w:rPr>
              <w:t>)</w:t>
            </w:r>
          </w:p>
        </w:tc>
      </w:tr>
      <w:tr w:rsidR="00FD7948" w14:paraId="67D65A88" w14:textId="77777777" w:rsidTr="001F1616">
        <w:trPr>
          <w:jc w:val="center"/>
        </w:trPr>
        <w:tc>
          <w:tcPr>
            <w:tcW w:w="3686" w:type="dxa"/>
            <w:tcBorders>
              <w:top w:val="nil"/>
              <w:left w:val="nil"/>
              <w:bottom w:val="nil"/>
              <w:right w:val="nil"/>
            </w:tcBorders>
            <w:vAlign w:val="bottom"/>
          </w:tcPr>
          <w:p w14:paraId="4549495F" w14:textId="77777777" w:rsidR="00FD7948" w:rsidRPr="00C65534" w:rsidRDefault="00FD7948" w:rsidP="00FD7948">
            <w:pPr>
              <w:pStyle w:val="T2"/>
              <w:jc w:val="left"/>
            </w:pPr>
            <w:r w:rsidRPr="00C65534">
              <w:t>Share of profit of associates after tax</w:t>
            </w:r>
          </w:p>
        </w:tc>
        <w:tc>
          <w:tcPr>
            <w:tcW w:w="425" w:type="dxa"/>
            <w:tcBorders>
              <w:top w:val="nil"/>
              <w:left w:val="nil"/>
              <w:bottom w:val="nil"/>
              <w:right w:val="nil"/>
            </w:tcBorders>
            <w:vAlign w:val="bottom"/>
          </w:tcPr>
          <w:p w14:paraId="27908E77" w14:textId="77777777" w:rsidR="00FD7948" w:rsidRPr="00E8718C" w:rsidRDefault="00FD7948" w:rsidP="00FD7948">
            <w:pPr>
              <w:jc w:val="right"/>
              <w:rPr>
                <w:sz w:val="18"/>
                <w:szCs w:val="18"/>
              </w:rPr>
            </w:pPr>
          </w:p>
        </w:tc>
        <w:tc>
          <w:tcPr>
            <w:tcW w:w="1134" w:type="dxa"/>
            <w:tcBorders>
              <w:top w:val="nil"/>
              <w:left w:val="nil"/>
              <w:bottom w:val="nil"/>
              <w:right w:val="nil"/>
            </w:tcBorders>
          </w:tcPr>
          <w:p w14:paraId="6FB6339C" w14:textId="77777777" w:rsidR="00FD7948" w:rsidRPr="00A31437" w:rsidRDefault="00FD7948" w:rsidP="00FD7948">
            <w:pPr>
              <w:pStyle w:val="T2"/>
              <w:jc w:val="right"/>
              <w:rPr>
                <w:b/>
              </w:rPr>
            </w:pPr>
            <w:r w:rsidRPr="000A7935">
              <w:rPr>
                <w:b/>
                <w:bCs/>
              </w:rPr>
              <w:t>–</w:t>
            </w:r>
          </w:p>
        </w:tc>
        <w:tc>
          <w:tcPr>
            <w:tcW w:w="1134" w:type="dxa"/>
            <w:tcBorders>
              <w:top w:val="nil"/>
              <w:left w:val="nil"/>
              <w:bottom w:val="nil"/>
              <w:right w:val="nil"/>
            </w:tcBorders>
            <w:vAlign w:val="bottom"/>
          </w:tcPr>
          <w:p w14:paraId="3BE6D358" w14:textId="77777777" w:rsidR="00FD7948" w:rsidRPr="00A31437" w:rsidRDefault="00F9496A" w:rsidP="00FD7948">
            <w:pPr>
              <w:pStyle w:val="T2"/>
              <w:jc w:val="right"/>
              <w:rPr>
                <w:b/>
              </w:rPr>
            </w:pPr>
            <w:r w:rsidRPr="000A7935">
              <w:rPr>
                <w:b/>
                <w:bCs/>
              </w:rPr>
              <w:t>–</w:t>
            </w:r>
          </w:p>
        </w:tc>
        <w:tc>
          <w:tcPr>
            <w:tcW w:w="851" w:type="dxa"/>
            <w:tcBorders>
              <w:top w:val="nil"/>
              <w:left w:val="nil"/>
              <w:bottom w:val="nil"/>
              <w:right w:val="nil"/>
            </w:tcBorders>
          </w:tcPr>
          <w:p w14:paraId="2146B18F" w14:textId="77777777" w:rsidR="00FD7948" w:rsidRPr="00A31437" w:rsidRDefault="00F9496A" w:rsidP="00FD7948">
            <w:pPr>
              <w:pStyle w:val="T2"/>
              <w:jc w:val="right"/>
              <w:rPr>
                <w:b/>
              </w:rPr>
            </w:pPr>
            <w:r w:rsidRPr="000A7935">
              <w:rPr>
                <w:b/>
                <w:bCs/>
              </w:rPr>
              <w:t>–</w:t>
            </w:r>
          </w:p>
        </w:tc>
        <w:tc>
          <w:tcPr>
            <w:tcW w:w="1264" w:type="dxa"/>
            <w:tcBorders>
              <w:top w:val="nil"/>
              <w:left w:val="nil"/>
              <w:bottom w:val="nil"/>
              <w:right w:val="nil"/>
            </w:tcBorders>
            <w:vAlign w:val="bottom"/>
          </w:tcPr>
          <w:p w14:paraId="30168594" w14:textId="77777777" w:rsidR="00FD7948" w:rsidRPr="00006931" w:rsidRDefault="00FD7948" w:rsidP="00FD7948">
            <w:pPr>
              <w:pStyle w:val="T2"/>
              <w:jc w:val="right"/>
              <w:rPr>
                <w:bCs/>
              </w:rPr>
            </w:pPr>
            <w:r w:rsidRPr="005D0EFF">
              <w:rPr>
                <w:bCs/>
              </w:rPr>
              <w:t>0.</w:t>
            </w:r>
            <w:r>
              <w:rPr>
                <w:bCs/>
              </w:rPr>
              <w:t>4</w:t>
            </w:r>
          </w:p>
        </w:tc>
        <w:tc>
          <w:tcPr>
            <w:tcW w:w="1134" w:type="dxa"/>
            <w:tcBorders>
              <w:top w:val="nil"/>
              <w:left w:val="nil"/>
              <w:bottom w:val="nil"/>
              <w:right w:val="nil"/>
            </w:tcBorders>
            <w:vAlign w:val="bottom"/>
          </w:tcPr>
          <w:p w14:paraId="6B0F554E" w14:textId="77777777" w:rsidR="00FD7948" w:rsidRPr="00006931" w:rsidRDefault="00FD7948" w:rsidP="00FD7948">
            <w:pPr>
              <w:pStyle w:val="T2"/>
              <w:jc w:val="right"/>
              <w:rPr>
                <w:bCs/>
              </w:rPr>
            </w:pPr>
            <w:r w:rsidRPr="005D0EFF">
              <w:rPr>
                <w:bCs/>
              </w:rPr>
              <w:t>–</w:t>
            </w:r>
          </w:p>
        </w:tc>
        <w:tc>
          <w:tcPr>
            <w:tcW w:w="859" w:type="dxa"/>
            <w:tcBorders>
              <w:top w:val="nil"/>
              <w:left w:val="nil"/>
              <w:bottom w:val="nil"/>
              <w:right w:val="nil"/>
            </w:tcBorders>
            <w:vAlign w:val="bottom"/>
          </w:tcPr>
          <w:p w14:paraId="464889AC" w14:textId="77777777" w:rsidR="00FD7948" w:rsidRPr="00006931" w:rsidRDefault="00FD7948" w:rsidP="00FD7948">
            <w:pPr>
              <w:pStyle w:val="T2"/>
              <w:jc w:val="right"/>
              <w:rPr>
                <w:bCs/>
              </w:rPr>
            </w:pPr>
            <w:r w:rsidRPr="005D0EFF">
              <w:rPr>
                <w:bCs/>
              </w:rPr>
              <w:t>0.</w:t>
            </w:r>
            <w:r>
              <w:rPr>
                <w:bCs/>
              </w:rPr>
              <w:t>4</w:t>
            </w:r>
          </w:p>
        </w:tc>
      </w:tr>
      <w:tr w:rsidR="00F9496A" w14:paraId="562511BE" w14:textId="77777777" w:rsidTr="001F1616">
        <w:trPr>
          <w:jc w:val="center"/>
        </w:trPr>
        <w:tc>
          <w:tcPr>
            <w:tcW w:w="3686" w:type="dxa"/>
            <w:tcBorders>
              <w:top w:val="nil"/>
              <w:left w:val="nil"/>
              <w:bottom w:val="single" w:sz="2" w:space="0" w:color="auto"/>
              <w:right w:val="nil"/>
            </w:tcBorders>
            <w:vAlign w:val="bottom"/>
          </w:tcPr>
          <w:p w14:paraId="255C0573" w14:textId="77777777" w:rsidR="00F9496A" w:rsidRPr="00F55D04" w:rsidRDefault="00DC6662" w:rsidP="00F9496A">
            <w:pPr>
              <w:pStyle w:val="T2"/>
              <w:jc w:val="left"/>
            </w:pPr>
            <w:r w:rsidRPr="00F55D04">
              <w:t>Profit on disposal of associates</w:t>
            </w:r>
          </w:p>
        </w:tc>
        <w:tc>
          <w:tcPr>
            <w:tcW w:w="425" w:type="dxa"/>
            <w:tcBorders>
              <w:top w:val="nil"/>
              <w:left w:val="nil"/>
              <w:bottom w:val="single" w:sz="2" w:space="0" w:color="auto"/>
              <w:right w:val="nil"/>
            </w:tcBorders>
            <w:vAlign w:val="bottom"/>
          </w:tcPr>
          <w:p w14:paraId="5649D1C9" w14:textId="77777777" w:rsidR="00F9496A" w:rsidRPr="00E8718C" w:rsidRDefault="00106BEC" w:rsidP="00F9496A">
            <w:pPr>
              <w:jc w:val="right"/>
              <w:rPr>
                <w:sz w:val="18"/>
                <w:szCs w:val="18"/>
              </w:rPr>
            </w:pPr>
            <w:r>
              <w:rPr>
                <w:sz w:val="18"/>
                <w:szCs w:val="18"/>
              </w:rPr>
              <w:t>14</w:t>
            </w:r>
          </w:p>
        </w:tc>
        <w:tc>
          <w:tcPr>
            <w:tcW w:w="1134" w:type="dxa"/>
            <w:tcBorders>
              <w:top w:val="nil"/>
              <w:left w:val="nil"/>
              <w:bottom w:val="single" w:sz="2" w:space="0" w:color="auto"/>
              <w:right w:val="nil"/>
            </w:tcBorders>
          </w:tcPr>
          <w:p w14:paraId="6901F105" w14:textId="77777777" w:rsidR="00F9496A" w:rsidRDefault="00F9496A" w:rsidP="00F9496A">
            <w:pPr>
              <w:pStyle w:val="T2"/>
              <w:jc w:val="right"/>
              <w:rPr>
                <w:b/>
                <w:bCs/>
              </w:rPr>
            </w:pPr>
            <w:r w:rsidRPr="000A7935">
              <w:rPr>
                <w:b/>
                <w:bCs/>
              </w:rPr>
              <w:t>–</w:t>
            </w:r>
          </w:p>
        </w:tc>
        <w:tc>
          <w:tcPr>
            <w:tcW w:w="1134" w:type="dxa"/>
            <w:tcBorders>
              <w:top w:val="nil"/>
              <w:left w:val="nil"/>
              <w:bottom w:val="single" w:sz="2" w:space="0" w:color="auto"/>
              <w:right w:val="nil"/>
            </w:tcBorders>
            <w:vAlign w:val="bottom"/>
          </w:tcPr>
          <w:p w14:paraId="0A884754" w14:textId="77777777" w:rsidR="00F9496A" w:rsidRDefault="00F9496A" w:rsidP="00F9496A">
            <w:pPr>
              <w:pStyle w:val="T2"/>
              <w:jc w:val="right"/>
              <w:rPr>
                <w:b/>
                <w:bCs/>
              </w:rPr>
            </w:pPr>
            <w:r>
              <w:rPr>
                <w:b/>
                <w:bCs/>
              </w:rPr>
              <w:t>4.0</w:t>
            </w:r>
          </w:p>
        </w:tc>
        <w:tc>
          <w:tcPr>
            <w:tcW w:w="851" w:type="dxa"/>
            <w:tcBorders>
              <w:top w:val="nil"/>
              <w:left w:val="nil"/>
              <w:bottom w:val="single" w:sz="2" w:space="0" w:color="auto"/>
              <w:right w:val="nil"/>
            </w:tcBorders>
          </w:tcPr>
          <w:p w14:paraId="29251452" w14:textId="77777777" w:rsidR="00F9496A" w:rsidRDefault="00F9496A" w:rsidP="00F9496A">
            <w:pPr>
              <w:pStyle w:val="T2"/>
              <w:jc w:val="right"/>
              <w:rPr>
                <w:b/>
                <w:bCs/>
              </w:rPr>
            </w:pPr>
            <w:r>
              <w:rPr>
                <w:b/>
                <w:bCs/>
              </w:rPr>
              <w:t>4.0</w:t>
            </w:r>
          </w:p>
        </w:tc>
        <w:tc>
          <w:tcPr>
            <w:tcW w:w="1264" w:type="dxa"/>
            <w:tcBorders>
              <w:top w:val="nil"/>
              <w:left w:val="nil"/>
              <w:bottom w:val="single" w:sz="2" w:space="0" w:color="auto"/>
              <w:right w:val="nil"/>
            </w:tcBorders>
            <w:vAlign w:val="bottom"/>
          </w:tcPr>
          <w:p w14:paraId="0E89471D" w14:textId="77777777" w:rsidR="00F9496A" w:rsidRDefault="00DC6662" w:rsidP="00F9496A">
            <w:pPr>
              <w:pStyle w:val="T2"/>
              <w:jc w:val="right"/>
              <w:rPr>
                <w:bCs/>
              </w:rPr>
            </w:pPr>
            <w:r w:rsidRPr="005D0EFF">
              <w:rPr>
                <w:bCs/>
              </w:rPr>
              <w:t>–</w:t>
            </w:r>
          </w:p>
        </w:tc>
        <w:tc>
          <w:tcPr>
            <w:tcW w:w="1134" w:type="dxa"/>
            <w:tcBorders>
              <w:top w:val="nil"/>
              <w:left w:val="nil"/>
              <w:bottom w:val="single" w:sz="2" w:space="0" w:color="auto"/>
              <w:right w:val="nil"/>
            </w:tcBorders>
            <w:vAlign w:val="bottom"/>
          </w:tcPr>
          <w:p w14:paraId="4379D54A" w14:textId="77777777" w:rsidR="00F9496A" w:rsidRPr="005D0EFF" w:rsidRDefault="00DC6662" w:rsidP="00F9496A">
            <w:pPr>
              <w:pStyle w:val="T2"/>
              <w:jc w:val="right"/>
              <w:rPr>
                <w:bCs/>
              </w:rPr>
            </w:pPr>
            <w:r w:rsidRPr="005D0EFF">
              <w:rPr>
                <w:bCs/>
              </w:rPr>
              <w:t>–</w:t>
            </w:r>
          </w:p>
        </w:tc>
        <w:tc>
          <w:tcPr>
            <w:tcW w:w="859" w:type="dxa"/>
            <w:tcBorders>
              <w:top w:val="nil"/>
              <w:left w:val="nil"/>
              <w:bottom w:val="single" w:sz="2" w:space="0" w:color="auto"/>
              <w:right w:val="nil"/>
            </w:tcBorders>
            <w:vAlign w:val="bottom"/>
          </w:tcPr>
          <w:p w14:paraId="33F842BD" w14:textId="77777777" w:rsidR="00F9496A" w:rsidRDefault="00DC6662" w:rsidP="00F9496A">
            <w:pPr>
              <w:pStyle w:val="T2"/>
              <w:jc w:val="right"/>
              <w:rPr>
                <w:bCs/>
              </w:rPr>
            </w:pPr>
            <w:r w:rsidRPr="005D0EFF">
              <w:rPr>
                <w:bCs/>
              </w:rPr>
              <w:t>–</w:t>
            </w:r>
          </w:p>
        </w:tc>
      </w:tr>
      <w:tr w:rsidR="00F9496A" w14:paraId="07C9E17E" w14:textId="77777777" w:rsidTr="001F1616">
        <w:trPr>
          <w:jc w:val="center"/>
        </w:trPr>
        <w:tc>
          <w:tcPr>
            <w:tcW w:w="3686" w:type="dxa"/>
            <w:tcBorders>
              <w:top w:val="single" w:sz="2" w:space="0" w:color="auto"/>
              <w:left w:val="nil"/>
              <w:bottom w:val="nil"/>
              <w:right w:val="nil"/>
            </w:tcBorders>
            <w:vAlign w:val="bottom"/>
          </w:tcPr>
          <w:p w14:paraId="672691FE" w14:textId="77777777" w:rsidR="00F9496A" w:rsidRPr="00323878" w:rsidRDefault="00F9496A" w:rsidP="00F9496A">
            <w:pPr>
              <w:pStyle w:val="T2"/>
              <w:jc w:val="left"/>
              <w:rPr>
                <w:b/>
              </w:rPr>
            </w:pPr>
            <w:r>
              <w:rPr>
                <w:b/>
              </w:rPr>
              <w:t>(Loss)/p</w:t>
            </w:r>
            <w:r w:rsidRPr="00323878">
              <w:rPr>
                <w:b/>
              </w:rPr>
              <w:t>rofit before taxation</w:t>
            </w:r>
          </w:p>
        </w:tc>
        <w:tc>
          <w:tcPr>
            <w:tcW w:w="425" w:type="dxa"/>
            <w:tcBorders>
              <w:top w:val="single" w:sz="2" w:space="0" w:color="auto"/>
              <w:left w:val="nil"/>
              <w:bottom w:val="nil"/>
              <w:right w:val="nil"/>
            </w:tcBorders>
            <w:vAlign w:val="bottom"/>
          </w:tcPr>
          <w:p w14:paraId="4DBBB3A9" w14:textId="77777777" w:rsidR="00F9496A" w:rsidRPr="00E8718C" w:rsidRDefault="00F9496A" w:rsidP="00F9496A">
            <w:pPr>
              <w:jc w:val="right"/>
              <w:rPr>
                <w:sz w:val="18"/>
                <w:szCs w:val="18"/>
              </w:rPr>
            </w:pPr>
          </w:p>
        </w:tc>
        <w:tc>
          <w:tcPr>
            <w:tcW w:w="1134" w:type="dxa"/>
            <w:tcBorders>
              <w:top w:val="single" w:sz="2" w:space="0" w:color="auto"/>
              <w:left w:val="nil"/>
              <w:bottom w:val="nil"/>
              <w:right w:val="nil"/>
            </w:tcBorders>
          </w:tcPr>
          <w:p w14:paraId="34E833EF" w14:textId="77777777" w:rsidR="00F9496A" w:rsidRPr="00A31437" w:rsidRDefault="00F9496A" w:rsidP="00F9496A">
            <w:pPr>
              <w:pStyle w:val="T2"/>
              <w:jc w:val="right"/>
              <w:rPr>
                <w:b/>
              </w:rPr>
            </w:pPr>
            <w:r>
              <w:rPr>
                <w:b/>
                <w:bCs/>
              </w:rPr>
              <w:t>(11.5)</w:t>
            </w:r>
          </w:p>
        </w:tc>
        <w:tc>
          <w:tcPr>
            <w:tcW w:w="1134" w:type="dxa"/>
            <w:tcBorders>
              <w:top w:val="single" w:sz="2" w:space="0" w:color="auto"/>
              <w:left w:val="nil"/>
              <w:bottom w:val="nil"/>
              <w:right w:val="nil"/>
            </w:tcBorders>
          </w:tcPr>
          <w:p w14:paraId="4B1D33FC" w14:textId="77777777" w:rsidR="00F9496A" w:rsidRPr="00A31437" w:rsidRDefault="00F9496A" w:rsidP="00F9496A">
            <w:pPr>
              <w:pStyle w:val="T2"/>
              <w:jc w:val="right"/>
              <w:rPr>
                <w:b/>
              </w:rPr>
            </w:pPr>
            <w:r>
              <w:rPr>
                <w:b/>
                <w:bCs/>
              </w:rPr>
              <w:t>9.7</w:t>
            </w:r>
          </w:p>
        </w:tc>
        <w:tc>
          <w:tcPr>
            <w:tcW w:w="851" w:type="dxa"/>
            <w:tcBorders>
              <w:top w:val="single" w:sz="2" w:space="0" w:color="auto"/>
              <w:left w:val="nil"/>
              <w:bottom w:val="nil"/>
              <w:right w:val="nil"/>
            </w:tcBorders>
          </w:tcPr>
          <w:p w14:paraId="3A60346C" w14:textId="77777777" w:rsidR="00F9496A" w:rsidRPr="00A31437" w:rsidRDefault="00F9496A" w:rsidP="00F9496A">
            <w:pPr>
              <w:pStyle w:val="T2"/>
              <w:jc w:val="right"/>
              <w:rPr>
                <w:b/>
              </w:rPr>
            </w:pPr>
            <w:r>
              <w:rPr>
                <w:b/>
                <w:bCs/>
              </w:rPr>
              <w:t>(1.8)</w:t>
            </w:r>
          </w:p>
        </w:tc>
        <w:tc>
          <w:tcPr>
            <w:tcW w:w="1264" w:type="dxa"/>
            <w:tcBorders>
              <w:top w:val="single" w:sz="2" w:space="0" w:color="auto"/>
              <w:left w:val="nil"/>
              <w:bottom w:val="nil"/>
              <w:right w:val="nil"/>
            </w:tcBorders>
            <w:vAlign w:val="bottom"/>
          </w:tcPr>
          <w:p w14:paraId="17C7DFF7" w14:textId="77777777" w:rsidR="00F9496A" w:rsidRPr="00006931" w:rsidRDefault="00F9496A" w:rsidP="00F9496A">
            <w:pPr>
              <w:pStyle w:val="T2"/>
              <w:jc w:val="right"/>
              <w:rPr>
                <w:bCs/>
              </w:rPr>
            </w:pPr>
            <w:r>
              <w:rPr>
                <w:bCs/>
              </w:rPr>
              <w:t>27.3</w:t>
            </w:r>
          </w:p>
        </w:tc>
        <w:tc>
          <w:tcPr>
            <w:tcW w:w="1134" w:type="dxa"/>
            <w:tcBorders>
              <w:top w:val="single" w:sz="2" w:space="0" w:color="auto"/>
              <w:left w:val="nil"/>
              <w:bottom w:val="nil"/>
              <w:right w:val="nil"/>
            </w:tcBorders>
            <w:vAlign w:val="bottom"/>
          </w:tcPr>
          <w:p w14:paraId="69E7BA34" w14:textId="77777777" w:rsidR="00F9496A" w:rsidRPr="00006931" w:rsidRDefault="00F9496A" w:rsidP="00F9496A">
            <w:pPr>
              <w:pStyle w:val="T2"/>
              <w:jc w:val="right"/>
              <w:rPr>
                <w:bCs/>
              </w:rPr>
            </w:pPr>
            <w:r w:rsidRPr="005D0EFF">
              <w:rPr>
                <w:bCs/>
              </w:rPr>
              <w:t>–</w:t>
            </w:r>
          </w:p>
        </w:tc>
        <w:tc>
          <w:tcPr>
            <w:tcW w:w="859" w:type="dxa"/>
            <w:tcBorders>
              <w:top w:val="single" w:sz="2" w:space="0" w:color="auto"/>
              <w:left w:val="nil"/>
              <w:bottom w:val="nil"/>
              <w:right w:val="nil"/>
            </w:tcBorders>
            <w:vAlign w:val="bottom"/>
          </w:tcPr>
          <w:p w14:paraId="79DF54EC" w14:textId="77777777" w:rsidR="00F9496A" w:rsidRPr="00006931" w:rsidRDefault="00F9496A" w:rsidP="00F9496A">
            <w:pPr>
              <w:pStyle w:val="T2"/>
              <w:jc w:val="right"/>
              <w:rPr>
                <w:bCs/>
              </w:rPr>
            </w:pPr>
            <w:r>
              <w:rPr>
                <w:bCs/>
              </w:rPr>
              <w:t>27.3</w:t>
            </w:r>
          </w:p>
        </w:tc>
      </w:tr>
      <w:tr w:rsidR="00F9496A" w14:paraId="346121C1" w14:textId="77777777" w:rsidTr="001F1616">
        <w:trPr>
          <w:jc w:val="center"/>
        </w:trPr>
        <w:tc>
          <w:tcPr>
            <w:tcW w:w="3686" w:type="dxa"/>
            <w:tcBorders>
              <w:top w:val="nil"/>
              <w:left w:val="nil"/>
              <w:bottom w:val="single" w:sz="2" w:space="0" w:color="auto"/>
              <w:right w:val="nil"/>
            </w:tcBorders>
            <w:vAlign w:val="bottom"/>
          </w:tcPr>
          <w:p w14:paraId="66DC46B5" w14:textId="77777777" w:rsidR="00F9496A" w:rsidRPr="00C65534" w:rsidRDefault="00F9496A" w:rsidP="00F9496A">
            <w:pPr>
              <w:pStyle w:val="T2"/>
              <w:jc w:val="left"/>
            </w:pPr>
            <w:r w:rsidRPr="00C65534">
              <w:t>Taxation</w:t>
            </w:r>
          </w:p>
        </w:tc>
        <w:tc>
          <w:tcPr>
            <w:tcW w:w="425" w:type="dxa"/>
            <w:tcBorders>
              <w:top w:val="nil"/>
              <w:left w:val="nil"/>
              <w:bottom w:val="single" w:sz="2" w:space="0" w:color="auto"/>
              <w:right w:val="nil"/>
            </w:tcBorders>
            <w:vAlign w:val="bottom"/>
          </w:tcPr>
          <w:p w14:paraId="2B9186D7" w14:textId="77777777" w:rsidR="00F9496A" w:rsidRPr="00E8718C" w:rsidRDefault="00F9496A" w:rsidP="00F9496A">
            <w:pPr>
              <w:jc w:val="right"/>
              <w:rPr>
                <w:sz w:val="18"/>
                <w:szCs w:val="18"/>
              </w:rPr>
            </w:pPr>
            <w:r>
              <w:rPr>
                <w:sz w:val="18"/>
                <w:szCs w:val="18"/>
              </w:rPr>
              <w:t>6</w:t>
            </w:r>
          </w:p>
        </w:tc>
        <w:tc>
          <w:tcPr>
            <w:tcW w:w="1134" w:type="dxa"/>
            <w:tcBorders>
              <w:top w:val="nil"/>
              <w:left w:val="nil"/>
              <w:bottom w:val="single" w:sz="2" w:space="0" w:color="auto"/>
              <w:right w:val="nil"/>
            </w:tcBorders>
          </w:tcPr>
          <w:p w14:paraId="08EEADF7" w14:textId="77777777" w:rsidR="00F9496A" w:rsidRPr="00A31437" w:rsidRDefault="00F9496A" w:rsidP="00F9496A">
            <w:pPr>
              <w:pStyle w:val="T2"/>
              <w:jc w:val="right"/>
              <w:rPr>
                <w:b/>
              </w:rPr>
            </w:pPr>
            <w:r>
              <w:rPr>
                <w:b/>
                <w:bCs/>
              </w:rPr>
              <w:t>2.0</w:t>
            </w:r>
          </w:p>
        </w:tc>
        <w:tc>
          <w:tcPr>
            <w:tcW w:w="1134" w:type="dxa"/>
            <w:tcBorders>
              <w:top w:val="nil"/>
              <w:left w:val="nil"/>
              <w:bottom w:val="single" w:sz="2" w:space="0" w:color="auto"/>
              <w:right w:val="nil"/>
            </w:tcBorders>
          </w:tcPr>
          <w:p w14:paraId="479497A0" w14:textId="77777777" w:rsidR="00F9496A" w:rsidRPr="00A31437" w:rsidRDefault="00F9496A" w:rsidP="00F9496A">
            <w:pPr>
              <w:pStyle w:val="T2"/>
              <w:jc w:val="right"/>
              <w:rPr>
                <w:b/>
              </w:rPr>
            </w:pPr>
            <w:r>
              <w:rPr>
                <w:b/>
                <w:bCs/>
              </w:rPr>
              <w:t>0.2</w:t>
            </w:r>
          </w:p>
        </w:tc>
        <w:tc>
          <w:tcPr>
            <w:tcW w:w="851" w:type="dxa"/>
            <w:tcBorders>
              <w:top w:val="nil"/>
              <w:left w:val="nil"/>
              <w:bottom w:val="single" w:sz="2" w:space="0" w:color="auto"/>
              <w:right w:val="nil"/>
            </w:tcBorders>
          </w:tcPr>
          <w:p w14:paraId="2A89A620" w14:textId="77777777" w:rsidR="00F9496A" w:rsidRPr="00A31437" w:rsidRDefault="00F9496A" w:rsidP="00F9496A">
            <w:pPr>
              <w:pStyle w:val="T2"/>
              <w:jc w:val="right"/>
              <w:rPr>
                <w:b/>
              </w:rPr>
            </w:pPr>
            <w:r>
              <w:rPr>
                <w:b/>
                <w:bCs/>
              </w:rPr>
              <w:t>2.2</w:t>
            </w:r>
          </w:p>
        </w:tc>
        <w:tc>
          <w:tcPr>
            <w:tcW w:w="1264" w:type="dxa"/>
            <w:tcBorders>
              <w:top w:val="nil"/>
              <w:left w:val="nil"/>
              <w:bottom w:val="single" w:sz="2" w:space="0" w:color="auto"/>
              <w:right w:val="nil"/>
            </w:tcBorders>
            <w:vAlign w:val="bottom"/>
          </w:tcPr>
          <w:p w14:paraId="7DB6DAA9" w14:textId="77777777" w:rsidR="00F9496A" w:rsidRPr="00006931" w:rsidRDefault="00F9496A" w:rsidP="00F9496A">
            <w:pPr>
              <w:pStyle w:val="T2"/>
              <w:jc w:val="right"/>
              <w:rPr>
                <w:bCs/>
              </w:rPr>
            </w:pPr>
            <w:r w:rsidRPr="005D0EFF">
              <w:rPr>
                <w:bCs/>
              </w:rPr>
              <w:t>(</w:t>
            </w:r>
            <w:r>
              <w:rPr>
                <w:bCs/>
              </w:rPr>
              <w:t>3.5</w:t>
            </w:r>
            <w:r w:rsidRPr="005D0EFF">
              <w:rPr>
                <w:bCs/>
              </w:rPr>
              <w:t>)</w:t>
            </w:r>
          </w:p>
        </w:tc>
        <w:tc>
          <w:tcPr>
            <w:tcW w:w="1134" w:type="dxa"/>
            <w:tcBorders>
              <w:top w:val="nil"/>
              <w:left w:val="nil"/>
              <w:bottom w:val="single" w:sz="2" w:space="0" w:color="auto"/>
              <w:right w:val="nil"/>
            </w:tcBorders>
            <w:vAlign w:val="bottom"/>
          </w:tcPr>
          <w:p w14:paraId="6AEF78B5" w14:textId="77777777" w:rsidR="00F9496A" w:rsidRPr="00006931" w:rsidRDefault="00F9496A" w:rsidP="00F9496A">
            <w:pPr>
              <w:pStyle w:val="T2"/>
              <w:jc w:val="right"/>
              <w:rPr>
                <w:bCs/>
              </w:rPr>
            </w:pPr>
            <w:r w:rsidRPr="005D0EFF">
              <w:rPr>
                <w:bCs/>
              </w:rPr>
              <w:t>0.</w:t>
            </w:r>
            <w:r>
              <w:rPr>
                <w:bCs/>
              </w:rPr>
              <w:t>4</w:t>
            </w:r>
          </w:p>
        </w:tc>
        <w:tc>
          <w:tcPr>
            <w:tcW w:w="859" w:type="dxa"/>
            <w:tcBorders>
              <w:top w:val="nil"/>
              <w:left w:val="nil"/>
              <w:bottom w:val="single" w:sz="2" w:space="0" w:color="auto"/>
              <w:right w:val="nil"/>
            </w:tcBorders>
            <w:vAlign w:val="bottom"/>
          </w:tcPr>
          <w:p w14:paraId="7FF6A692" w14:textId="77777777" w:rsidR="00F9496A" w:rsidRPr="00006931" w:rsidRDefault="00F9496A" w:rsidP="00F9496A">
            <w:pPr>
              <w:pStyle w:val="T2"/>
              <w:jc w:val="right"/>
              <w:rPr>
                <w:bCs/>
              </w:rPr>
            </w:pPr>
            <w:r w:rsidRPr="005D0EFF">
              <w:rPr>
                <w:bCs/>
              </w:rPr>
              <w:t>(</w:t>
            </w:r>
            <w:r>
              <w:rPr>
                <w:bCs/>
              </w:rPr>
              <w:t>3.1</w:t>
            </w:r>
            <w:r w:rsidRPr="005D0EFF">
              <w:rPr>
                <w:bCs/>
              </w:rPr>
              <w:t>)</w:t>
            </w:r>
          </w:p>
        </w:tc>
      </w:tr>
      <w:tr w:rsidR="00F9496A" w14:paraId="1B9D360C" w14:textId="77777777" w:rsidTr="001F1616">
        <w:trPr>
          <w:jc w:val="center"/>
        </w:trPr>
        <w:tc>
          <w:tcPr>
            <w:tcW w:w="3686" w:type="dxa"/>
            <w:tcBorders>
              <w:top w:val="single" w:sz="2" w:space="0" w:color="auto"/>
              <w:left w:val="nil"/>
              <w:bottom w:val="single" w:sz="2" w:space="0" w:color="auto"/>
              <w:right w:val="nil"/>
            </w:tcBorders>
            <w:vAlign w:val="bottom"/>
          </w:tcPr>
          <w:p w14:paraId="0D58C68D" w14:textId="77777777" w:rsidR="00F9496A" w:rsidRPr="00323878" w:rsidRDefault="00CC64F8" w:rsidP="00F9496A">
            <w:pPr>
              <w:pStyle w:val="T2"/>
              <w:jc w:val="left"/>
              <w:rPr>
                <w:b/>
              </w:rPr>
            </w:pPr>
            <w:r>
              <w:rPr>
                <w:b/>
              </w:rPr>
              <w:t>Result</w:t>
            </w:r>
            <w:r w:rsidR="00F9496A" w:rsidRPr="00323878">
              <w:rPr>
                <w:b/>
              </w:rPr>
              <w:t xml:space="preserve"> for the financial period </w:t>
            </w:r>
          </w:p>
        </w:tc>
        <w:tc>
          <w:tcPr>
            <w:tcW w:w="425" w:type="dxa"/>
            <w:tcBorders>
              <w:top w:val="single" w:sz="2" w:space="0" w:color="auto"/>
              <w:left w:val="nil"/>
              <w:bottom w:val="single" w:sz="2" w:space="0" w:color="auto"/>
              <w:right w:val="nil"/>
            </w:tcBorders>
            <w:vAlign w:val="bottom"/>
          </w:tcPr>
          <w:p w14:paraId="21C5D61B" w14:textId="77777777" w:rsidR="00F9496A" w:rsidRPr="00E8718C" w:rsidRDefault="00F9496A" w:rsidP="00F9496A">
            <w:pPr>
              <w:jc w:val="right"/>
              <w:rPr>
                <w:sz w:val="18"/>
                <w:szCs w:val="18"/>
              </w:rPr>
            </w:pPr>
          </w:p>
        </w:tc>
        <w:tc>
          <w:tcPr>
            <w:tcW w:w="1134" w:type="dxa"/>
            <w:tcBorders>
              <w:top w:val="single" w:sz="2" w:space="0" w:color="auto"/>
              <w:left w:val="nil"/>
              <w:bottom w:val="single" w:sz="2" w:space="0" w:color="auto"/>
              <w:right w:val="nil"/>
            </w:tcBorders>
          </w:tcPr>
          <w:p w14:paraId="3DB39D34" w14:textId="77777777" w:rsidR="00F9496A" w:rsidRPr="00A31437" w:rsidRDefault="00F9496A" w:rsidP="00F9496A">
            <w:pPr>
              <w:pStyle w:val="T2"/>
              <w:jc w:val="right"/>
              <w:rPr>
                <w:b/>
              </w:rPr>
            </w:pPr>
            <w:r>
              <w:rPr>
                <w:b/>
                <w:bCs/>
              </w:rPr>
              <w:t>(9.5)</w:t>
            </w:r>
          </w:p>
        </w:tc>
        <w:tc>
          <w:tcPr>
            <w:tcW w:w="1134" w:type="dxa"/>
            <w:tcBorders>
              <w:top w:val="single" w:sz="2" w:space="0" w:color="auto"/>
              <w:left w:val="nil"/>
              <w:bottom w:val="single" w:sz="2" w:space="0" w:color="auto"/>
              <w:right w:val="nil"/>
            </w:tcBorders>
          </w:tcPr>
          <w:p w14:paraId="2EA2B41A" w14:textId="77777777" w:rsidR="00F9496A" w:rsidRPr="00A31437" w:rsidRDefault="00F9496A" w:rsidP="00F9496A">
            <w:pPr>
              <w:pStyle w:val="T2"/>
              <w:jc w:val="right"/>
              <w:rPr>
                <w:b/>
              </w:rPr>
            </w:pPr>
            <w:r>
              <w:rPr>
                <w:b/>
                <w:bCs/>
              </w:rPr>
              <w:t>9.9</w:t>
            </w:r>
          </w:p>
        </w:tc>
        <w:tc>
          <w:tcPr>
            <w:tcW w:w="851" w:type="dxa"/>
            <w:tcBorders>
              <w:top w:val="single" w:sz="2" w:space="0" w:color="auto"/>
              <w:left w:val="nil"/>
              <w:bottom w:val="single" w:sz="2" w:space="0" w:color="auto"/>
              <w:right w:val="nil"/>
            </w:tcBorders>
          </w:tcPr>
          <w:p w14:paraId="32E4059D" w14:textId="77777777" w:rsidR="00F9496A" w:rsidRPr="00A31437" w:rsidRDefault="00F9496A" w:rsidP="00F9496A">
            <w:pPr>
              <w:pStyle w:val="T2"/>
              <w:jc w:val="right"/>
              <w:rPr>
                <w:b/>
              </w:rPr>
            </w:pPr>
            <w:r>
              <w:rPr>
                <w:b/>
                <w:bCs/>
              </w:rPr>
              <w:t>0.4</w:t>
            </w:r>
          </w:p>
        </w:tc>
        <w:tc>
          <w:tcPr>
            <w:tcW w:w="1264" w:type="dxa"/>
            <w:tcBorders>
              <w:top w:val="single" w:sz="2" w:space="0" w:color="auto"/>
              <w:left w:val="nil"/>
              <w:bottom w:val="single" w:sz="2" w:space="0" w:color="auto"/>
              <w:right w:val="nil"/>
            </w:tcBorders>
            <w:vAlign w:val="bottom"/>
          </w:tcPr>
          <w:p w14:paraId="70B82C67" w14:textId="77777777" w:rsidR="00F9496A" w:rsidRPr="00006931" w:rsidRDefault="00F9496A" w:rsidP="00F9496A">
            <w:pPr>
              <w:pStyle w:val="T2"/>
              <w:jc w:val="right"/>
              <w:rPr>
                <w:bCs/>
              </w:rPr>
            </w:pPr>
            <w:r w:rsidRPr="005D0EFF">
              <w:rPr>
                <w:bCs/>
              </w:rPr>
              <w:t>2</w:t>
            </w:r>
            <w:r>
              <w:rPr>
                <w:bCs/>
              </w:rPr>
              <w:t>3.8</w:t>
            </w:r>
          </w:p>
        </w:tc>
        <w:tc>
          <w:tcPr>
            <w:tcW w:w="1134" w:type="dxa"/>
            <w:tcBorders>
              <w:top w:val="single" w:sz="2" w:space="0" w:color="auto"/>
              <w:left w:val="nil"/>
              <w:bottom w:val="single" w:sz="2" w:space="0" w:color="auto"/>
              <w:right w:val="nil"/>
            </w:tcBorders>
            <w:vAlign w:val="bottom"/>
          </w:tcPr>
          <w:p w14:paraId="648C597C" w14:textId="77777777" w:rsidR="00F9496A" w:rsidRPr="00006931" w:rsidRDefault="00F9496A" w:rsidP="00F9496A">
            <w:pPr>
              <w:pStyle w:val="T2"/>
              <w:jc w:val="right"/>
              <w:rPr>
                <w:bCs/>
              </w:rPr>
            </w:pPr>
            <w:r>
              <w:rPr>
                <w:bCs/>
              </w:rPr>
              <w:t>0.4</w:t>
            </w:r>
          </w:p>
        </w:tc>
        <w:tc>
          <w:tcPr>
            <w:tcW w:w="859" w:type="dxa"/>
            <w:tcBorders>
              <w:top w:val="single" w:sz="2" w:space="0" w:color="auto"/>
              <w:left w:val="nil"/>
              <w:bottom w:val="single" w:sz="2" w:space="0" w:color="auto"/>
              <w:right w:val="nil"/>
            </w:tcBorders>
            <w:vAlign w:val="bottom"/>
          </w:tcPr>
          <w:p w14:paraId="7751E3CD" w14:textId="77777777" w:rsidR="00F9496A" w:rsidRPr="00006931" w:rsidRDefault="00F9496A" w:rsidP="00F9496A">
            <w:pPr>
              <w:pStyle w:val="T2"/>
              <w:jc w:val="right"/>
              <w:rPr>
                <w:bCs/>
              </w:rPr>
            </w:pPr>
            <w:r>
              <w:rPr>
                <w:bCs/>
              </w:rPr>
              <w:t>24.2</w:t>
            </w:r>
          </w:p>
        </w:tc>
      </w:tr>
      <w:tr w:rsidR="00F9496A" w14:paraId="2F80B8DE" w14:textId="77777777" w:rsidTr="001F1616">
        <w:trPr>
          <w:jc w:val="center"/>
        </w:trPr>
        <w:tc>
          <w:tcPr>
            <w:tcW w:w="3686" w:type="dxa"/>
            <w:tcBorders>
              <w:top w:val="single" w:sz="2" w:space="0" w:color="auto"/>
              <w:left w:val="nil"/>
              <w:bottom w:val="nil"/>
              <w:right w:val="nil"/>
            </w:tcBorders>
            <w:vAlign w:val="bottom"/>
          </w:tcPr>
          <w:p w14:paraId="792F2686" w14:textId="77777777" w:rsidR="00F9496A" w:rsidRPr="00E8718C" w:rsidRDefault="00F9496A" w:rsidP="00F9496A">
            <w:pPr>
              <w:rPr>
                <w:sz w:val="18"/>
                <w:szCs w:val="18"/>
              </w:rPr>
            </w:pPr>
          </w:p>
        </w:tc>
        <w:tc>
          <w:tcPr>
            <w:tcW w:w="425" w:type="dxa"/>
            <w:tcBorders>
              <w:top w:val="single" w:sz="2" w:space="0" w:color="auto"/>
              <w:left w:val="nil"/>
              <w:bottom w:val="nil"/>
              <w:right w:val="nil"/>
            </w:tcBorders>
            <w:vAlign w:val="bottom"/>
          </w:tcPr>
          <w:p w14:paraId="20E5DD6A" w14:textId="77777777" w:rsidR="00F9496A" w:rsidRPr="00E8718C" w:rsidRDefault="00F9496A" w:rsidP="00F9496A">
            <w:pPr>
              <w:jc w:val="right"/>
              <w:rPr>
                <w:sz w:val="18"/>
                <w:szCs w:val="18"/>
              </w:rPr>
            </w:pPr>
          </w:p>
        </w:tc>
        <w:tc>
          <w:tcPr>
            <w:tcW w:w="1134" w:type="dxa"/>
            <w:tcBorders>
              <w:top w:val="single" w:sz="2" w:space="0" w:color="auto"/>
              <w:left w:val="nil"/>
              <w:bottom w:val="nil"/>
              <w:right w:val="nil"/>
            </w:tcBorders>
            <w:vAlign w:val="bottom"/>
          </w:tcPr>
          <w:p w14:paraId="2D6BF35E" w14:textId="77777777" w:rsidR="00F9496A" w:rsidRPr="00A31437" w:rsidRDefault="00F9496A" w:rsidP="00F9496A">
            <w:pPr>
              <w:pStyle w:val="T2"/>
              <w:jc w:val="right"/>
              <w:rPr>
                <w:b/>
              </w:rPr>
            </w:pPr>
          </w:p>
        </w:tc>
        <w:tc>
          <w:tcPr>
            <w:tcW w:w="1134" w:type="dxa"/>
            <w:tcBorders>
              <w:top w:val="single" w:sz="2" w:space="0" w:color="auto"/>
              <w:left w:val="nil"/>
              <w:bottom w:val="nil"/>
              <w:right w:val="nil"/>
            </w:tcBorders>
            <w:vAlign w:val="bottom"/>
          </w:tcPr>
          <w:p w14:paraId="2164180B" w14:textId="77777777" w:rsidR="00F9496A" w:rsidRPr="00A31437" w:rsidRDefault="00F9496A" w:rsidP="00F9496A">
            <w:pPr>
              <w:pStyle w:val="T2"/>
              <w:jc w:val="right"/>
              <w:rPr>
                <w:b/>
              </w:rPr>
            </w:pPr>
          </w:p>
        </w:tc>
        <w:tc>
          <w:tcPr>
            <w:tcW w:w="851" w:type="dxa"/>
            <w:tcBorders>
              <w:top w:val="single" w:sz="2" w:space="0" w:color="auto"/>
              <w:left w:val="nil"/>
              <w:bottom w:val="nil"/>
              <w:right w:val="nil"/>
            </w:tcBorders>
            <w:vAlign w:val="bottom"/>
          </w:tcPr>
          <w:p w14:paraId="17FB2EFF" w14:textId="77777777" w:rsidR="00F9496A" w:rsidRPr="00A31437" w:rsidRDefault="00F9496A" w:rsidP="00F9496A">
            <w:pPr>
              <w:pStyle w:val="T2"/>
              <w:jc w:val="right"/>
              <w:rPr>
                <w:b/>
              </w:rPr>
            </w:pPr>
          </w:p>
        </w:tc>
        <w:tc>
          <w:tcPr>
            <w:tcW w:w="1264" w:type="dxa"/>
            <w:tcBorders>
              <w:top w:val="single" w:sz="2" w:space="0" w:color="auto"/>
              <w:left w:val="nil"/>
              <w:bottom w:val="nil"/>
              <w:right w:val="nil"/>
            </w:tcBorders>
            <w:vAlign w:val="bottom"/>
          </w:tcPr>
          <w:p w14:paraId="1A46ADAD" w14:textId="77777777" w:rsidR="00F9496A" w:rsidRPr="00006931" w:rsidRDefault="00F9496A" w:rsidP="00F9496A">
            <w:pPr>
              <w:pStyle w:val="T2"/>
              <w:jc w:val="right"/>
              <w:rPr>
                <w:bCs/>
              </w:rPr>
            </w:pPr>
          </w:p>
        </w:tc>
        <w:tc>
          <w:tcPr>
            <w:tcW w:w="1134" w:type="dxa"/>
            <w:tcBorders>
              <w:top w:val="single" w:sz="2" w:space="0" w:color="auto"/>
              <w:left w:val="nil"/>
              <w:bottom w:val="nil"/>
              <w:right w:val="nil"/>
            </w:tcBorders>
            <w:vAlign w:val="bottom"/>
          </w:tcPr>
          <w:p w14:paraId="248192CD" w14:textId="77777777" w:rsidR="00F9496A" w:rsidRPr="005D0EFF" w:rsidRDefault="00F9496A" w:rsidP="00F9496A">
            <w:pPr>
              <w:pStyle w:val="T2"/>
              <w:jc w:val="right"/>
              <w:rPr>
                <w:bCs/>
              </w:rPr>
            </w:pPr>
          </w:p>
        </w:tc>
        <w:tc>
          <w:tcPr>
            <w:tcW w:w="859" w:type="dxa"/>
            <w:tcBorders>
              <w:top w:val="single" w:sz="2" w:space="0" w:color="auto"/>
              <w:left w:val="nil"/>
              <w:bottom w:val="nil"/>
              <w:right w:val="nil"/>
            </w:tcBorders>
            <w:vAlign w:val="bottom"/>
          </w:tcPr>
          <w:p w14:paraId="19E98ADB" w14:textId="77777777" w:rsidR="00F9496A" w:rsidRPr="005D0EFF" w:rsidRDefault="00F9496A" w:rsidP="00F9496A">
            <w:pPr>
              <w:pStyle w:val="T2"/>
              <w:jc w:val="right"/>
              <w:rPr>
                <w:bCs/>
              </w:rPr>
            </w:pPr>
          </w:p>
        </w:tc>
      </w:tr>
      <w:tr w:rsidR="00F9496A" w14:paraId="58B42FA6" w14:textId="77777777" w:rsidTr="001F1616">
        <w:trPr>
          <w:jc w:val="center"/>
        </w:trPr>
        <w:tc>
          <w:tcPr>
            <w:tcW w:w="3686" w:type="dxa"/>
            <w:tcBorders>
              <w:top w:val="nil"/>
              <w:left w:val="nil"/>
              <w:bottom w:val="nil"/>
              <w:right w:val="nil"/>
            </w:tcBorders>
            <w:vAlign w:val="bottom"/>
          </w:tcPr>
          <w:p w14:paraId="7840F729" w14:textId="77777777" w:rsidR="00F9496A" w:rsidRPr="00323878" w:rsidRDefault="00F9496A" w:rsidP="00F9496A">
            <w:pPr>
              <w:pStyle w:val="T2"/>
              <w:jc w:val="left"/>
              <w:rPr>
                <w:b/>
              </w:rPr>
            </w:pPr>
            <w:r w:rsidRPr="00323878">
              <w:rPr>
                <w:b/>
              </w:rPr>
              <w:t>Attributable to:</w:t>
            </w:r>
          </w:p>
        </w:tc>
        <w:tc>
          <w:tcPr>
            <w:tcW w:w="425" w:type="dxa"/>
            <w:tcBorders>
              <w:top w:val="nil"/>
              <w:left w:val="nil"/>
              <w:bottom w:val="nil"/>
              <w:right w:val="nil"/>
            </w:tcBorders>
            <w:vAlign w:val="bottom"/>
          </w:tcPr>
          <w:p w14:paraId="6F56C9EA" w14:textId="77777777" w:rsidR="00F9496A" w:rsidRPr="00E8718C" w:rsidRDefault="00F9496A" w:rsidP="00F9496A">
            <w:pPr>
              <w:jc w:val="right"/>
              <w:rPr>
                <w:sz w:val="18"/>
                <w:szCs w:val="18"/>
              </w:rPr>
            </w:pPr>
          </w:p>
        </w:tc>
        <w:tc>
          <w:tcPr>
            <w:tcW w:w="1134" w:type="dxa"/>
            <w:tcBorders>
              <w:top w:val="nil"/>
              <w:left w:val="nil"/>
              <w:bottom w:val="nil"/>
              <w:right w:val="nil"/>
            </w:tcBorders>
            <w:vAlign w:val="bottom"/>
          </w:tcPr>
          <w:p w14:paraId="6F8D171B" w14:textId="77777777" w:rsidR="00F9496A" w:rsidRPr="00A31437" w:rsidRDefault="00F9496A" w:rsidP="00F9496A">
            <w:pPr>
              <w:pStyle w:val="T2"/>
              <w:jc w:val="right"/>
              <w:rPr>
                <w:b/>
              </w:rPr>
            </w:pPr>
          </w:p>
        </w:tc>
        <w:tc>
          <w:tcPr>
            <w:tcW w:w="1134" w:type="dxa"/>
            <w:tcBorders>
              <w:top w:val="nil"/>
              <w:left w:val="nil"/>
              <w:bottom w:val="nil"/>
              <w:right w:val="nil"/>
            </w:tcBorders>
            <w:vAlign w:val="bottom"/>
          </w:tcPr>
          <w:p w14:paraId="12BC65D1" w14:textId="77777777" w:rsidR="00F9496A" w:rsidRPr="00A31437" w:rsidRDefault="00F9496A" w:rsidP="00F9496A">
            <w:pPr>
              <w:pStyle w:val="T2"/>
              <w:jc w:val="right"/>
              <w:rPr>
                <w:b/>
              </w:rPr>
            </w:pPr>
          </w:p>
        </w:tc>
        <w:tc>
          <w:tcPr>
            <w:tcW w:w="851" w:type="dxa"/>
            <w:tcBorders>
              <w:top w:val="nil"/>
              <w:left w:val="nil"/>
              <w:bottom w:val="nil"/>
              <w:right w:val="nil"/>
            </w:tcBorders>
            <w:vAlign w:val="bottom"/>
          </w:tcPr>
          <w:p w14:paraId="609AB1E7" w14:textId="77777777" w:rsidR="00F9496A" w:rsidRPr="00A31437" w:rsidRDefault="00F9496A" w:rsidP="00F9496A">
            <w:pPr>
              <w:pStyle w:val="T2"/>
              <w:jc w:val="right"/>
              <w:rPr>
                <w:b/>
              </w:rPr>
            </w:pPr>
          </w:p>
        </w:tc>
        <w:tc>
          <w:tcPr>
            <w:tcW w:w="1264" w:type="dxa"/>
            <w:tcBorders>
              <w:top w:val="nil"/>
              <w:left w:val="nil"/>
              <w:bottom w:val="nil"/>
              <w:right w:val="nil"/>
            </w:tcBorders>
            <w:vAlign w:val="bottom"/>
          </w:tcPr>
          <w:p w14:paraId="29A7E6DA" w14:textId="77777777" w:rsidR="00F9496A" w:rsidRPr="00006931" w:rsidRDefault="00F9496A" w:rsidP="00F9496A">
            <w:pPr>
              <w:pStyle w:val="T2"/>
              <w:jc w:val="right"/>
              <w:rPr>
                <w:bCs/>
              </w:rPr>
            </w:pPr>
          </w:p>
        </w:tc>
        <w:tc>
          <w:tcPr>
            <w:tcW w:w="1134" w:type="dxa"/>
            <w:tcBorders>
              <w:top w:val="nil"/>
              <w:left w:val="nil"/>
              <w:bottom w:val="nil"/>
              <w:right w:val="nil"/>
            </w:tcBorders>
            <w:vAlign w:val="bottom"/>
          </w:tcPr>
          <w:p w14:paraId="294FFD4F" w14:textId="77777777" w:rsidR="00F9496A" w:rsidRPr="005D0EFF" w:rsidRDefault="00F9496A" w:rsidP="00F9496A">
            <w:pPr>
              <w:pStyle w:val="T2"/>
              <w:jc w:val="right"/>
              <w:rPr>
                <w:bCs/>
              </w:rPr>
            </w:pPr>
          </w:p>
        </w:tc>
        <w:tc>
          <w:tcPr>
            <w:tcW w:w="859" w:type="dxa"/>
            <w:tcBorders>
              <w:top w:val="nil"/>
              <w:left w:val="nil"/>
              <w:bottom w:val="nil"/>
              <w:right w:val="nil"/>
            </w:tcBorders>
            <w:vAlign w:val="bottom"/>
          </w:tcPr>
          <w:p w14:paraId="7CB57771" w14:textId="77777777" w:rsidR="00F9496A" w:rsidRPr="005D0EFF" w:rsidRDefault="00F9496A" w:rsidP="00F9496A">
            <w:pPr>
              <w:pStyle w:val="T2"/>
              <w:jc w:val="right"/>
              <w:rPr>
                <w:bCs/>
              </w:rPr>
            </w:pPr>
          </w:p>
        </w:tc>
      </w:tr>
      <w:tr w:rsidR="00F9496A" w14:paraId="1FE6F672" w14:textId="77777777" w:rsidTr="001F1616">
        <w:trPr>
          <w:jc w:val="center"/>
        </w:trPr>
        <w:tc>
          <w:tcPr>
            <w:tcW w:w="3686" w:type="dxa"/>
            <w:tcBorders>
              <w:top w:val="nil"/>
              <w:left w:val="nil"/>
              <w:bottom w:val="nil"/>
              <w:right w:val="nil"/>
            </w:tcBorders>
            <w:vAlign w:val="bottom"/>
          </w:tcPr>
          <w:p w14:paraId="1394C80D" w14:textId="77777777" w:rsidR="00F9496A" w:rsidRPr="00196A88" w:rsidRDefault="00F9496A" w:rsidP="00F9496A">
            <w:pPr>
              <w:pStyle w:val="T2"/>
              <w:jc w:val="left"/>
            </w:pPr>
            <w:r w:rsidRPr="00196A88">
              <w:t xml:space="preserve">Equity </w:t>
            </w:r>
            <w:r>
              <w:t>shareholders</w:t>
            </w:r>
          </w:p>
        </w:tc>
        <w:tc>
          <w:tcPr>
            <w:tcW w:w="425" w:type="dxa"/>
            <w:tcBorders>
              <w:top w:val="nil"/>
              <w:left w:val="nil"/>
              <w:bottom w:val="nil"/>
              <w:right w:val="nil"/>
            </w:tcBorders>
            <w:vAlign w:val="bottom"/>
          </w:tcPr>
          <w:p w14:paraId="4DCB5EE8" w14:textId="77777777" w:rsidR="00F9496A" w:rsidRPr="00E8718C" w:rsidRDefault="00F9496A" w:rsidP="00F9496A">
            <w:pPr>
              <w:jc w:val="right"/>
              <w:rPr>
                <w:sz w:val="18"/>
                <w:szCs w:val="18"/>
              </w:rPr>
            </w:pPr>
          </w:p>
        </w:tc>
        <w:tc>
          <w:tcPr>
            <w:tcW w:w="1134" w:type="dxa"/>
            <w:tcBorders>
              <w:top w:val="nil"/>
              <w:left w:val="nil"/>
              <w:bottom w:val="nil"/>
              <w:right w:val="nil"/>
            </w:tcBorders>
          </w:tcPr>
          <w:p w14:paraId="0E04CF5D" w14:textId="77777777" w:rsidR="00F9496A" w:rsidRPr="00A31437" w:rsidRDefault="00F9496A" w:rsidP="00F9496A">
            <w:pPr>
              <w:pStyle w:val="T2"/>
              <w:jc w:val="right"/>
              <w:rPr>
                <w:b/>
              </w:rPr>
            </w:pPr>
            <w:r>
              <w:rPr>
                <w:b/>
                <w:bCs/>
              </w:rPr>
              <w:t>(9.8)</w:t>
            </w:r>
          </w:p>
        </w:tc>
        <w:tc>
          <w:tcPr>
            <w:tcW w:w="1134" w:type="dxa"/>
            <w:tcBorders>
              <w:top w:val="nil"/>
              <w:left w:val="nil"/>
              <w:bottom w:val="nil"/>
              <w:right w:val="nil"/>
            </w:tcBorders>
          </w:tcPr>
          <w:p w14:paraId="6993D788" w14:textId="77777777" w:rsidR="00F9496A" w:rsidRPr="00A31437" w:rsidRDefault="00F9496A" w:rsidP="00F9496A">
            <w:pPr>
              <w:pStyle w:val="T2"/>
              <w:jc w:val="right"/>
              <w:rPr>
                <w:b/>
              </w:rPr>
            </w:pPr>
            <w:r>
              <w:rPr>
                <w:b/>
                <w:bCs/>
              </w:rPr>
              <w:t>9.9</w:t>
            </w:r>
          </w:p>
        </w:tc>
        <w:tc>
          <w:tcPr>
            <w:tcW w:w="851" w:type="dxa"/>
            <w:tcBorders>
              <w:top w:val="nil"/>
              <w:left w:val="nil"/>
              <w:bottom w:val="nil"/>
              <w:right w:val="nil"/>
            </w:tcBorders>
          </w:tcPr>
          <w:p w14:paraId="67C077D0" w14:textId="77777777" w:rsidR="00F9496A" w:rsidRPr="00A31437" w:rsidRDefault="00F9496A" w:rsidP="00F9496A">
            <w:pPr>
              <w:pStyle w:val="T2"/>
              <w:jc w:val="right"/>
              <w:rPr>
                <w:b/>
              </w:rPr>
            </w:pPr>
            <w:r>
              <w:rPr>
                <w:b/>
                <w:bCs/>
              </w:rPr>
              <w:t>0.1</w:t>
            </w:r>
          </w:p>
        </w:tc>
        <w:tc>
          <w:tcPr>
            <w:tcW w:w="1264" w:type="dxa"/>
            <w:tcBorders>
              <w:top w:val="nil"/>
              <w:left w:val="nil"/>
              <w:bottom w:val="nil"/>
              <w:right w:val="nil"/>
            </w:tcBorders>
            <w:vAlign w:val="bottom"/>
          </w:tcPr>
          <w:p w14:paraId="5DC1469E" w14:textId="77777777" w:rsidR="00F9496A" w:rsidRPr="00006931" w:rsidRDefault="00F9496A" w:rsidP="00F9496A">
            <w:pPr>
              <w:pStyle w:val="T2"/>
              <w:jc w:val="right"/>
              <w:rPr>
                <w:bCs/>
              </w:rPr>
            </w:pPr>
            <w:r>
              <w:rPr>
                <w:bCs/>
              </w:rPr>
              <w:t>22.9</w:t>
            </w:r>
          </w:p>
        </w:tc>
        <w:tc>
          <w:tcPr>
            <w:tcW w:w="1134" w:type="dxa"/>
            <w:tcBorders>
              <w:top w:val="nil"/>
              <w:left w:val="nil"/>
              <w:bottom w:val="nil"/>
              <w:right w:val="nil"/>
            </w:tcBorders>
            <w:vAlign w:val="bottom"/>
          </w:tcPr>
          <w:p w14:paraId="5ABF165B" w14:textId="77777777" w:rsidR="00F9496A" w:rsidRPr="00006931" w:rsidRDefault="00F9496A" w:rsidP="00F9496A">
            <w:pPr>
              <w:pStyle w:val="T2"/>
              <w:jc w:val="right"/>
              <w:rPr>
                <w:bCs/>
              </w:rPr>
            </w:pPr>
            <w:r>
              <w:rPr>
                <w:bCs/>
              </w:rPr>
              <w:t>0.4</w:t>
            </w:r>
          </w:p>
        </w:tc>
        <w:tc>
          <w:tcPr>
            <w:tcW w:w="859" w:type="dxa"/>
            <w:tcBorders>
              <w:top w:val="nil"/>
              <w:left w:val="nil"/>
              <w:bottom w:val="nil"/>
              <w:right w:val="nil"/>
            </w:tcBorders>
            <w:vAlign w:val="bottom"/>
          </w:tcPr>
          <w:p w14:paraId="6FC97DAB" w14:textId="77777777" w:rsidR="00F9496A" w:rsidRPr="00006931" w:rsidRDefault="00F9496A" w:rsidP="00F9496A">
            <w:pPr>
              <w:pStyle w:val="T2"/>
              <w:jc w:val="right"/>
              <w:rPr>
                <w:bCs/>
              </w:rPr>
            </w:pPr>
            <w:r>
              <w:rPr>
                <w:bCs/>
              </w:rPr>
              <w:t>23.3</w:t>
            </w:r>
          </w:p>
        </w:tc>
      </w:tr>
      <w:tr w:rsidR="00F9496A" w14:paraId="59D78B69" w14:textId="77777777" w:rsidTr="001F1616">
        <w:trPr>
          <w:jc w:val="center"/>
        </w:trPr>
        <w:tc>
          <w:tcPr>
            <w:tcW w:w="3686" w:type="dxa"/>
            <w:tcBorders>
              <w:top w:val="nil"/>
              <w:left w:val="nil"/>
              <w:bottom w:val="single" w:sz="2" w:space="0" w:color="auto"/>
              <w:right w:val="nil"/>
            </w:tcBorders>
            <w:vAlign w:val="bottom"/>
          </w:tcPr>
          <w:p w14:paraId="7A89277C" w14:textId="77777777" w:rsidR="00F9496A" w:rsidRDefault="00F9496A" w:rsidP="00F9496A">
            <w:pPr>
              <w:pStyle w:val="T2"/>
              <w:jc w:val="left"/>
            </w:pPr>
            <w:r w:rsidRPr="00196A88">
              <w:t>Non</w:t>
            </w:r>
            <w:r>
              <w:t>–</w:t>
            </w:r>
            <w:r w:rsidRPr="00196A88">
              <w:t>controlling interests</w:t>
            </w:r>
          </w:p>
        </w:tc>
        <w:tc>
          <w:tcPr>
            <w:tcW w:w="425" w:type="dxa"/>
            <w:tcBorders>
              <w:top w:val="nil"/>
              <w:left w:val="nil"/>
              <w:bottom w:val="single" w:sz="2" w:space="0" w:color="auto"/>
              <w:right w:val="nil"/>
            </w:tcBorders>
            <w:vAlign w:val="bottom"/>
          </w:tcPr>
          <w:p w14:paraId="7ABCC976" w14:textId="77777777" w:rsidR="00F9496A" w:rsidRPr="00E8718C" w:rsidRDefault="00F9496A" w:rsidP="00F9496A">
            <w:pPr>
              <w:jc w:val="right"/>
              <w:rPr>
                <w:sz w:val="18"/>
                <w:szCs w:val="18"/>
              </w:rPr>
            </w:pPr>
          </w:p>
        </w:tc>
        <w:tc>
          <w:tcPr>
            <w:tcW w:w="1134" w:type="dxa"/>
            <w:tcBorders>
              <w:top w:val="nil"/>
              <w:left w:val="nil"/>
              <w:bottom w:val="single" w:sz="2" w:space="0" w:color="auto"/>
              <w:right w:val="nil"/>
            </w:tcBorders>
          </w:tcPr>
          <w:p w14:paraId="3789B92A" w14:textId="77777777" w:rsidR="00F9496A" w:rsidRPr="00A31437" w:rsidRDefault="00F9496A" w:rsidP="00F9496A">
            <w:pPr>
              <w:pStyle w:val="T2"/>
              <w:jc w:val="right"/>
              <w:rPr>
                <w:b/>
              </w:rPr>
            </w:pPr>
            <w:r>
              <w:rPr>
                <w:b/>
                <w:bCs/>
              </w:rPr>
              <w:t>0.3</w:t>
            </w:r>
          </w:p>
        </w:tc>
        <w:tc>
          <w:tcPr>
            <w:tcW w:w="1134" w:type="dxa"/>
            <w:tcBorders>
              <w:top w:val="nil"/>
              <w:left w:val="nil"/>
              <w:bottom w:val="single" w:sz="2" w:space="0" w:color="auto"/>
              <w:right w:val="nil"/>
            </w:tcBorders>
          </w:tcPr>
          <w:p w14:paraId="39915F7E" w14:textId="77777777" w:rsidR="00F9496A" w:rsidRPr="00A31437" w:rsidRDefault="00F9496A" w:rsidP="00F9496A">
            <w:pPr>
              <w:pStyle w:val="T2"/>
              <w:jc w:val="right"/>
              <w:rPr>
                <w:b/>
              </w:rPr>
            </w:pPr>
            <w:r w:rsidRPr="005F745D">
              <w:rPr>
                <w:b/>
                <w:bCs/>
              </w:rPr>
              <w:t>–</w:t>
            </w:r>
          </w:p>
        </w:tc>
        <w:tc>
          <w:tcPr>
            <w:tcW w:w="851" w:type="dxa"/>
            <w:tcBorders>
              <w:top w:val="nil"/>
              <w:left w:val="nil"/>
              <w:bottom w:val="single" w:sz="2" w:space="0" w:color="auto"/>
              <w:right w:val="nil"/>
            </w:tcBorders>
          </w:tcPr>
          <w:p w14:paraId="19093972" w14:textId="77777777" w:rsidR="00F9496A" w:rsidRPr="00A31437" w:rsidRDefault="00F9496A" w:rsidP="00F9496A">
            <w:pPr>
              <w:pStyle w:val="T2"/>
              <w:jc w:val="right"/>
              <w:rPr>
                <w:b/>
              </w:rPr>
            </w:pPr>
            <w:r>
              <w:rPr>
                <w:b/>
                <w:bCs/>
              </w:rPr>
              <w:t>0.3</w:t>
            </w:r>
          </w:p>
        </w:tc>
        <w:tc>
          <w:tcPr>
            <w:tcW w:w="1264" w:type="dxa"/>
            <w:tcBorders>
              <w:top w:val="nil"/>
              <w:left w:val="nil"/>
              <w:bottom w:val="single" w:sz="2" w:space="0" w:color="auto"/>
              <w:right w:val="nil"/>
            </w:tcBorders>
            <w:vAlign w:val="bottom"/>
          </w:tcPr>
          <w:p w14:paraId="11ED87A2" w14:textId="77777777" w:rsidR="00F9496A" w:rsidRPr="00006931" w:rsidRDefault="00F9496A" w:rsidP="00F9496A">
            <w:pPr>
              <w:pStyle w:val="T2"/>
              <w:jc w:val="right"/>
              <w:rPr>
                <w:bCs/>
              </w:rPr>
            </w:pPr>
            <w:r>
              <w:rPr>
                <w:bCs/>
              </w:rPr>
              <w:t>0.9</w:t>
            </w:r>
          </w:p>
        </w:tc>
        <w:tc>
          <w:tcPr>
            <w:tcW w:w="1134" w:type="dxa"/>
            <w:tcBorders>
              <w:top w:val="nil"/>
              <w:left w:val="nil"/>
              <w:bottom w:val="single" w:sz="2" w:space="0" w:color="auto"/>
              <w:right w:val="nil"/>
            </w:tcBorders>
            <w:vAlign w:val="bottom"/>
          </w:tcPr>
          <w:p w14:paraId="607914B0" w14:textId="77777777" w:rsidR="00F9496A" w:rsidRPr="00006931" w:rsidRDefault="00F9496A" w:rsidP="00F9496A">
            <w:pPr>
              <w:pStyle w:val="T2"/>
              <w:jc w:val="right"/>
              <w:rPr>
                <w:bCs/>
              </w:rPr>
            </w:pPr>
            <w:r w:rsidRPr="005D0EFF">
              <w:rPr>
                <w:bCs/>
              </w:rPr>
              <w:t>–</w:t>
            </w:r>
          </w:p>
        </w:tc>
        <w:tc>
          <w:tcPr>
            <w:tcW w:w="859" w:type="dxa"/>
            <w:tcBorders>
              <w:top w:val="nil"/>
              <w:left w:val="nil"/>
              <w:bottom w:val="single" w:sz="2" w:space="0" w:color="auto"/>
              <w:right w:val="nil"/>
            </w:tcBorders>
            <w:vAlign w:val="bottom"/>
          </w:tcPr>
          <w:p w14:paraId="201B7EAE" w14:textId="77777777" w:rsidR="00F9496A" w:rsidRPr="00006931" w:rsidRDefault="00F9496A" w:rsidP="00F9496A">
            <w:pPr>
              <w:pStyle w:val="T2"/>
              <w:jc w:val="right"/>
              <w:rPr>
                <w:bCs/>
              </w:rPr>
            </w:pPr>
            <w:r>
              <w:rPr>
                <w:bCs/>
              </w:rPr>
              <w:t>0.9</w:t>
            </w:r>
          </w:p>
        </w:tc>
      </w:tr>
      <w:tr w:rsidR="00F9496A" w14:paraId="731FA144" w14:textId="77777777" w:rsidTr="001F1616">
        <w:trPr>
          <w:jc w:val="center"/>
        </w:trPr>
        <w:tc>
          <w:tcPr>
            <w:tcW w:w="3686" w:type="dxa"/>
            <w:tcBorders>
              <w:top w:val="single" w:sz="2" w:space="0" w:color="auto"/>
              <w:left w:val="nil"/>
              <w:bottom w:val="single" w:sz="2" w:space="0" w:color="auto"/>
              <w:right w:val="nil"/>
            </w:tcBorders>
            <w:vAlign w:val="bottom"/>
          </w:tcPr>
          <w:p w14:paraId="3D0C2FCF" w14:textId="77777777" w:rsidR="00F9496A" w:rsidRPr="00196A88" w:rsidRDefault="00F9496A" w:rsidP="00F9496A">
            <w:pPr>
              <w:pStyle w:val="T2"/>
              <w:jc w:val="left"/>
            </w:pPr>
          </w:p>
        </w:tc>
        <w:tc>
          <w:tcPr>
            <w:tcW w:w="425" w:type="dxa"/>
            <w:tcBorders>
              <w:top w:val="single" w:sz="2" w:space="0" w:color="auto"/>
              <w:left w:val="nil"/>
              <w:bottom w:val="single" w:sz="2" w:space="0" w:color="auto"/>
              <w:right w:val="nil"/>
            </w:tcBorders>
            <w:vAlign w:val="bottom"/>
          </w:tcPr>
          <w:p w14:paraId="1792EAEC" w14:textId="77777777" w:rsidR="00F9496A" w:rsidRPr="00E8718C" w:rsidRDefault="00F9496A" w:rsidP="00F9496A">
            <w:pPr>
              <w:jc w:val="right"/>
              <w:rPr>
                <w:sz w:val="18"/>
                <w:szCs w:val="18"/>
              </w:rPr>
            </w:pPr>
          </w:p>
        </w:tc>
        <w:tc>
          <w:tcPr>
            <w:tcW w:w="1134" w:type="dxa"/>
            <w:tcBorders>
              <w:top w:val="single" w:sz="2" w:space="0" w:color="auto"/>
              <w:left w:val="nil"/>
              <w:bottom w:val="single" w:sz="2" w:space="0" w:color="auto"/>
              <w:right w:val="nil"/>
            </w:tcBorders>
          </w:tcPr>
          <w:p w14:paraId="7A4B2796" w14:textId="77777777" w:rsidR="00F9496A" w:rsidRPr="00A31437" w:rsidRDefault="00F9496A" w:rsidP="00F9496A">
            <w:pPr>
              <w:pStyle w:val="T2"/>
              <w:jc w:val="right"/>
              <w:rPr>
                <w:b/>
              </w:rPr>
            </w:pPr>
            <w:r>
              <w:rPr>
                <w:b/>
                <w:bCs/>
              </w:rPr>
              <w:t>(9.5)</w:t>
            </w:r>
          </w:p>
        </w:tc>
        <w:tc>
          <w:tcPr>
            <w:tcW w:w="1134" w:type="dxa"/>
            <w:tcBorders>
              <w:top w:val="single" w:sz="2" w:space="0" w:color="auto"/>
              <w:left w:val="nil"/>
              <w:bottom w:val="single" w:sz="2" w:space="0" w:color="auto"/>
              <w:right w:val="nil"/>
            </w:tcBorders>
          </w:tcPr>
          <w:p w14:paraId="303AAD1D" w14:textId="77777777" w:rsidR="00F9496A" w:rsidRPr="00A31437" w:rsidRDefault="00F9496A" w:rsidP="00F9496A">
            <w:pPr>
              <w:pStyle w:val="T2"/>
              <w:jc w:val="right"/>
              <w:rPr>
                <w:b/>
              </w:rPr>
            </w:pPr>
            <w:r>
              <w:rPr>
                <w:b/>
                <w:bCs/>
              </w:rPr>
              <w:t>9.9</w:t>
            </w:r>
          </w:p>
        </w:tc>
        <w:tc>
          <w:tcPr>
            <w:tcW w:w="851" w:type="dxa"/>
            <w:tcBorders>
              <w:top w:val="single" w:sz="2" w:space="0" w:color="auto"/>
              <w:left w:val="nil"/>
              <w:bottom w:val="single" w:sz="2" w:space="0" w:color="auto"/>
              <w:right w:val="nil"/>
            </w:tcBorders>
          </w:tcPr>
          <w:p w14:paraId="561002AE" w14:textId="77777777" w:rsidR="00F9496A" w:rsidRPr="00A31437" w:rsidRDefault="00F9496A" w:rsidP="00F9496A">
            <w:pPr>
              <w:pStyle w:val="T2"/>
              <w:jc w:val="right"/>
              <w:rPr>
                <w:b/>
              </w:rPr>
            </w:pPr>
            <w:r>
              <w:rPr>
                <w:b/>
                <w:bCs/>
              </w:rPr>
              <w:t>0.4</w:t>
            </w:r>
          </w:p>
        </w:tc>
        <w:tc>
          <w:tcPr>
            <w:tcW w:w="1264" w:type="dxa"/>
            <w:tcBorders>
              <w:top w:val="single" w:sz="2" w:space="0" w:color="auto"/>
              <w:left w:val="nil"/>
              <w:bottom w:val="single" w:sz="2" w:space="0" w:color="auto"/>
              <w:right w:val="nil"/>
            </w:tcBorders>
            <w:vAlign w:val="bottom"/>
          </w:tcPr>
          <w:p w14:paraId="3F43C28D" w14:textId="77777777" w:rsidR="00F9496A" w:rsidRPr="00006931" w:rsidRDefault="00F9496A" w:rsidP="00F9496A">
            <w:pPr>
              <w:pStyle w:val="T2"/>
              <w:jc w:val="right"/>
              <w:rPr>
                <w:bCs/>
              </w:rPr>
            </w:pPr>
            <w:r>
              <w:rPr>
                <w:bCs/>
              </w:rPr>
              <w:t>23.8</w:t>
            </w:r>
          </w:p>
        </w:tc>
        <w:tc>
          <w:tcPr>
            <w:tcW w:w="1134" w:type="dxa"/>
            <w:tcBorders>
              <w:top w:val="single" w:sz="2" w:space="0" w:color="auto"/>
              <w:left w:val="nil"/>
              <w:bottom w:val="single" w:sz="2" w:space="0" w:color="auto"/>
              <w:right w:val="nil"/>
            </w:tcBorders>
            <w:vAlign w:val="bottom"/>
          </w:tcPr>
          <w:p w14:paraId="258B5FEF" w14:textId="77777777" w:rsidR="00F9496A" w:rsidRPr="00006931" w:rsidRDefault="00F9496A" w:rsidP="00F9496A">
            <w:pPr>
              <w:pStyle w:val="T2"/>
              <w:jc w:val="right"/>
              <w:rPr>
                <w:bCs/>
              </w:rPr>
            </w:pPr>
            <w:r>
              <w:rPr>
                <w:bCs/>
              </w:rPr>
              <w:t>0.4</w:t>
            </w:r>
          </w:p>
        </w:tc>
        <w:tc>
          <w:tcPr>
            <w:tcW w:w="859" w:type="dxa"/>
            <w:tcBorders>
              <w:top w:val="single" w:sz="2" w:space="0" w:color="auto"/>
              <w:left w:val="nil"/>
              <w:bottom w:val="single" w:sz="2" w:space="0" w:color="auto"/>
              <w:right w:val="nil"/>
            </w:tcBorders>
            <w:vAlign w:val="bottom"/>
          </w:tcPr>
          <w:p w14:paraId="6EEC1CF4" w14:textId="77777777" w:rsidR="00F9496A" w:rsidRPr="00006931" w:rsidRDefault="00F9496A" w:rsidP="00F9496A">
            <w:pPr>
              <w:pStyle w:val="T2"/>
              <w:jc w:val="right"/>
              <w:rPr>
                <w:bCs/>
              </w:rPr>
            </w:pPr>
            <w:r>
              <w:rPr>
                <w:bCs/>
              </w:rPr>
              <w:t>24.2</w:t>
            </w:r>
          </w:p>
        </w:tc>
      </w:tr>
      <w:tr w:rsidR="00F9496A" w14:paraId="401DF2A6" w14:textId="77777777" w:rsidTr="001F1616">
        <w:trPr>
          <w:jc w:val="center"/>
        </w:trPr>
        <w:tc>
          <w:tcPr>
            <w:tcW w:w="10487" w:type="dxa"/>
            <w:gridSpan w:val="8"/>
            <w:tcBorders>
              <w:top w:val="single" w:sz="2" w:space="0" w:color="auto"/>
              <w:left w:val="nil"/>
              <w:bottom w:val="nil"/>
              <w:right w:val="nil"/>
            </w:tcBorders>
            <w:vAlign w:val="bottom"/>
          </w:tcPr>
          <w:p w14:paraId="1F7AABCF" w14:textId="77777777" w:rsidR="00F9496A" w:rsidRPr="00A40E08" w:rsidRDefault="00F9496A" w:rsidP="00F9496A">
            <w:pPr>
              <w:pStyle w:val="T2"/>
              <w:jc w:val="left"/>
              <w:rPr>
                <w:b/>
              </w:rPr>
            </w:pPr>
          </w:p>
        </w:tc>
      </w:tr>
      <w:tr w:rsidR="00F9496A" w14:paraId="13958559" w14:textId="77777777" w:rsidTr="00FD7948">
        <w:trPr>
          <w:jc w:val="center"/>
        </w:trPr>
        <w:tc>
          <w:tcPr>
            <w:tcW w:w="10487" w:type="dxa"/>
            <w:gridSpan w:val="8"/>
            <w:tcBorders>
              <w:top w:val="nil"/>
              <w:left w:val="nil"/>
              <w:bottom w:val="nil"/>
              <w:right w:val="nil"/>
            </w:tcBorders>
            <w:vAlign w:val="bottom"/>
          </w:tcPr>
          <w:p w14:paraId="57F2AAF6" w14:textId="77777777" w:rsidR="00F9496A" w:rsidRPr="00D2352A" w:rsidRDefault="00F9496A" w:rsidP="00F9496A">
            <w:pPr>
              <w:pStyle w:val="T2"/>
              <w:jc w:val="left"/>
            </w:pPr>
            <w:r w:rsidRPr="00A40E08">
              <w:rPr>
                <w:b/>
              </w:rPr>
              <w:t>Earnings per share (pence)</w:t>
            </w:r>
            <w:r>
              <w:rPr>
                <w:b/>
              </w:rPr>
              <w:t xml:space="preserve"> – total</w:t>
            </w:r>
          </w:p>
        </w:tc>
      </w:tr>
      <w:tr w:rsidR="00F9496A" w14:paraId="1FD137F1" w14:textId="77777777" w:rsidTr="001F1616">
        <w:trPr>
          <w:jc w:val="center"/>
        </w:trPr>
        <w:tc>
          <w:tcPr>
            <w:tcW w:w="3686" w:type="dxa"/>
            <w:tcBorders>
              <w:top w:val="nil"/>
              <w:left w:val="nil"/>
              <w:bottom w:val="nil"/>
              <w:right w:val="nil"/>
            </w:tcBorders>
            <w:vAlign w:val="bottom"/>
          </w:tcPr>
          <w:p w14:paraId="6A2962F9" w14:textId="77777777" w:rsidR="00F9496A" w:rsidRPr="00827814" w:rsidRDefault="00F9496A" w:rsidP="00F9496A">
            <w:pPr>
              <w:pStyle w:val="T2"/>
              <w:jc w:val="left"/>
            </w:pPr>
            <w:r w:rsidRPr="00827814">
              <w:t>Basic earnings per share</w:t>
            </w:r>
          </w:p>
        </w:tc>
        <w:tc>
          <w:tcPr>
            <w:tcW w:w="425" w:type="dxa"/>
            <w:tcBorders>
              <w:top w:val="nil"/>
              <w:left w:val="nil"/>
              <w:bottom w:val="nil"/>
              <w:right w:val="nil"/>
            </w:tcBorders>
            <w:vAlign w:val="bottom"/>
          </w:tcPr>
          <w:p w14:paraId="50C6DAC6" w14:textId="77777777" w:rsidR="00F9496A" w:rsidRDefault="00F9496A" w:rsidP="00F9496A">
            <w:pPr>
              <w:jc w:val="right"/>
              <w:rPr>
                <w:sz w:val="18"/>
                <w:szCs w:val="18"/>
              </w:rPr>
            </w:pPr>
            <w:r>
              <w:rPr>
                <w:sz w:val="18"/>
                <w:szCs w:val="18"/>
              </w:rPr>
              <w:t>8</w:t>
            </w:r>
          </w:p>
        </w:tc>
        <w:tc>
          <w:tcPr>
            <w:tcW w:w="1134" w:type="dxa"/>
            <w:tcBorders>
              <w:top w:val="nil"/>
              <w:left w:val="nil"/>
              <w:bottom w:val="nil"/>
              <w:right w:val="nil"/>
            </w:tcBorders>
            <w:vAlign w:val="bottom"/>
          </w:tcPr>
          <w:p w14:paraId="77C3C27B" w14:textId="77777777" w:rsidR="00F9496A" w:rsidRPr="00A31437" w:rsidRDefault="00F9496A" w:rsidP="00F9496A">
            <w:pPr>
              <w:pStyle w:val="T2"/>
              <w:jc w:val="right"/>
              <w:rPr>
                <w:b/>
              </w:rPr>
            </w:pPr>
          </w:p>
        </w:tc>
        <w:tc>
          <w:tcPr>
            <w:tcW w:w="1134" w:type="dxa"/>
            <w:tcBorders>
              <w:top w:val="nil"/>
              <w:left w:val="nil"/>
              <w:bottom w:val="nil"/>
              <w:right w:val="nil"/>
            </w:tcBorders>
            <w:vAlign w:val="bottom"/>
          </w:tcPr>
          <w:p w14:paraId="2C08DFBF" w14:textId="77777777" w:rsidR="00F9496A" w:rsidRPr="00A31437" w:rsidRDefault="00F9496A" w:rsidP="00F9496A">
            <w:pPr>
              <w:pStyle w:val="T2"/>
              <w:jc w:val="right"/>
              <w:rPr>
                <w:b/>
              </w:rPr>
            </w:pPr>
          </w:p>
        </w:tc>
        <w:tc>
          <w:tcPr>
            <w:tcW w:w="851" w:type="dxa"/>
            <w:tcBorders>
              <w:top w:val="nil"/>
              <w:left w:val="nil"/>
              <w:bottom w:val="nil"/>
              <w:right w:val="nil"/>
            </w:tcBorders>
          </w:tcPr>
          <w:p w14:paraId="6B7C6DFD" w14:textId="77777777" w:rsidR="00F9496A" w:rsidRPr="00481687" w:rsidRDefault="00F9496A" w:rsidP="00F9496A">
            <w:pPr>
              <w:pStyle w:val="T2"/>
              <w:jc w:val="right"/>
              <w:rPr>
                <w:b/>
              </w:rPr>
            </w:pPr>
            <w:r>
              <w:rPr>
                <w:b/>
                <w:bCs/>
              </w:rPr>
              <w:t>0.0</w:t>
            </w:r>
          </w:p>
        </w:tc>
        <w:tc>
          <w:tcPr>
            <w:tcW w:w="1264" w:type="dxa"/>
            <w:tcBorders>
              <w:top w:val="nil"/>
              <w:left w:val="nil"/>
              <w:bottom w:val="nil"/>
              <w:right w:val="nil"/>
            </w:tcBorders>
            <w:vAlign w:val="bottom"/>
          </w:tcPr>
          <w:p w14:paraId="1F946751" w14:textId="77777777" w:rsidR="00F9496A" w:rsidRPr="00D2352A" w:rsidRDefault="00F9496A" w:rsidP="00F9496A">
            <w:pPr>
              <w:pStyle w:val="T2"/>
              <w:jc w:val="right"/>
            </w:pPr>
          </w:p>
        </w:tc>
        <w:tc>
          <w:tcPr>
            <w:tcW w:w="1134" w:type="dxa"/>
            <w:tcBorders>
              <w:top w:val="nil"/>
              <w:left w:val="nil"/>
              <w:bottom w:val="nil"/>
              <w:right w:val="nil"/>
            </w:tcBorders>
            <w:vAlign w:val="bottom"/>
          </w:tcPr>
          <w:p w14:paraId="1B4C5131" w14:textId="77777777" w:rsidR="00F9496A" w:rsidRPr="00D2352A" w:rsidRDefault="00F9496A" w:rsidP="00F9496A">
            <w:pPr>
              <w:pStyle w:val="T2"/>
              <w:jc w:val="right"/>
            </w:pPr>
          </w:p>
        </w:tc>
        <w:tc>
          <w:tcPr>
            <w:tcW w:w="859" w:type="dxa"/>
            <w:tcBorders>
              <w:top w:val="nil"/>
              <w:left w:val="nil"/>
              <w:bottom w:val="nil"/>
              <w:right w:val="nil"/>
            </w:tcBorders>
            <w:vAlign w:val="bottom"/>
          </w:tcPr>
          <w:p w14:paraId="59D37235" w14:textId="77777777" w:rsidR="00F9496A" w:rsidRPr="00D2352A" w:rsidRDefault="00F9496A" w:rsidP="00F9496A">
            <w:pPr>
              <w:pStyle w:val="T2"/>
              <w:jc w:val="right"/>
            </w:pPr>
            <w:r>
              <w:rPr>
                <w:bCs/>
              </w:rPr>
              <w:t>5.3</w:t>
            </w:r>
          </w:p>
        </w:tc>
      </w:tr>
      <w:tr w:rsidR="00F9496A" w14:paraId="3373DB76" w14:textId="77777777" w:rsidTr="001F1616">
        <w:trPr>
          <w:jc w:val="center"/>
        </w:trPr>
        <w:tc>
          <w:tcPr>
            <w:tcW w:w="3686" w:type="dxa"/>
            <w:tcBorders>
              <w:top w:val="nil"/>
              <w:left w:val="nil"/>
              <w:bottom w:val="single" w:sz="4" w:space="0" w:color="auto"/>
              <w:right w:val="nil"/>
            </w:tcBorders>
            <w:vAlign w:val="bottom"/>
          </w:tcPr>
          <w:p w14:paraId="385BE67A" w14:textId="77777777" w:rsidR="00F9496A" w:rsidRPr="00827814" w:rsidRDefault="00F9496A" w:rsidP="00F9496A">
            <w:pPr>
              <w:pStyle w:val="T2"/>
              <w:jc w:val="left"/>
            </w:pPr>
            <w:r w:rsidRPr="00827814">
              <w:t>Diluted earnings per share</w:t>
            </w:r>
          </w:p>
        </w:tc>
        <w:tc>
          <w:tcPr>
            <w:tcW w:w="425" w:type="dxa"/>
            <w:tcBorders>
              <w:top w:val="nil"/>
              <w:left w:val="nil"/>
              <w:bottom w:val="single" w:sz="4" w:space="0" w:color="auto"/>
              <w:right w:val="nil"/>
            </w:tcBorders>
            <w:vAlign w:val="bottom"/>
          </w:tcPr>
          <w:p w14:paraId="38A5AC90" w14:textId="77777777" w:rsidR="00F9496A" w:rsidRDefault="00F9496A" w:rsidP="00F9496A">
            <w:pPr>
              <w:jc w:val="right"/>
              <w:rPr>
                <w:sz w:val="18"/>
                <w:szCs w:val="18"/>
              </w:rPr>
            </w:pPr>
            <w:r>
              <w:rPr>
                <w:sz w:val="18"/>
                <w:szCs w:val="18"/>
              </w:rPr>
              <w:t>8</w:t>
            </w:r>
          </w:p>
        </w:tc>
        <w:tc>
          <w:tcPr>
            <w:tcW w:w="1134" w:type="dxa"/>
            <w:tcBorders>
              <w:top w:val="nil"/>
              <w:left w:val="nil"/>
              <w:bottom w:val="single" w:sz="4" w:space="0" w:color="auto"/>
              <w:right w:val="nil"/>
            </w:tcBorders>
            <w:vAlign w:val="bottom"/>
          </w:tcPr>
          <w:p w14:paraId="46D9ECC6" w14:textId="77777777" w:rsidR="00F9496A" w:rsidRPr="00A31437" w:rsidRDefault="00F9496A" w:rsidP="00F9496A">
            <w:pPr>
              <w:pStyle w:val="T2"/>
              <w:jc w:val="right"/>
              <w:rPr>
                <w:b/>
              </w:rPr>
            </w:pPr>
          </w:p>
        </w:tc>
        <w:tc>
          <w:tcPr>
            <w:tcW w:w="1134" w:type="dxa"/>
            <w:tcBorders>
              <w:top w:val="nil"/>
              <w:left w:val="nil"/>
              <w:bottom w:val="single" w:sz="4" w:space="0" w:color="auto"/>
              <w:right w:val="nil"/>
            </w:tcBorders>
            <w:vAlign w:val="bottom"/>
          </w:tcPr>
          <w:p w14:paraId="315D4751" w14:textId="77777777" w:rsidR="00F9496A" w:rsidRPr="00A31437" w:rsidRDefault="00F9496A" w:rsidP="00F9496A">
            <w:pPr>
              <w:pStyle w:val="T2"/>
              <w:jc w:val="right"/>
              <w:rPr>
                <w:b/>
              </w:rPr>
            </w:pPr>
          </w:p>
        </w:tc>
        <w:tc>
          <w:tcPr>
            <w:tcW w:w="851" w:type="dxa"/>
            <w:tcBorders>
              <w:top w:val="nil"/>
              <w:left w:val="nil"/>
              <w:bottom w:val="single" w:sz="4" w:space="0" w:color="auto"/>
              <w:right w:val="nil"/>
            </w:tcBorders>
          </w:tcPr>
          <w:p w14:paraId="6285AAAB" w14:textId="77777777" w:rsidR="00F9496A" w:rsidRPr="00481687" w:rsidRDefault="00F9496A" w:rsidP="00F9496A">
            <w:pPr>
              <w:pStyle w:val="T2"/>
              <w:jc w:val="right"/>
              <w:rPr>
                <w:b/>
              </w:rPr>
            </w:pPr>
            <w:r>
              <w:rPr>
                <w:b/>
                <w:bCs/>
              </w:rPr>
              <w:t>0.0</w:t>
            </w:r>
          </w:p>
        </w:tc>
        <w:tc>
          <w:tcPr>
            <w:tcW w:w="1264" w:type="dxa"/>
            <w:tcBorders>
              <w:top w:val="nil"/>
              <w:left w:val="nil"/>
              <w:bottom w:val="single" w:sz="4" w:space="0" w:color="auto"/>
              <w:right w:val="nil"/>
            </w:tcBorders>
            <w:vAlign w:val="bottom"/>
          </w:tcPr>
          <w:p w14:paraId="3CF13D76" w14:textId="77777777" w:rsidR="00F9496A" w:rsidRPr="00D2352A" w:rsidRDefault="00F9496A" w:rsidP="00F9496A">
            <w:pPr>
              <w:pStyle w:val="T2"/>
              <w:jc w:val="right"/>
            </w:pPr>
          </w:p>
        </w:tc>
        <w:tc>
          <w:tcPr>
            <w:tcW w:w="1134" w:type="dxa"/>
            <w:tcBorders>
              <w:top w:val="nil"/>
              <w:left w:val="nil"/>
              <w:bottom w:val="single" w:sz="4" w:space="0" w:color="auto"/>
              <w:right w:val="nil"/>
            </w:tcBorders>
            <w:vAlign w:val="bottom"/>
          </w:tcPr>
          <w:p w14:paraId="0DCF9B75" w14:textId="77777777" w:rsidR="00F9496A" w:rsidRPr="00D2352A" w:rsidRDefault="00F9496A" w:rsidP="00F9496A">
            <w:pPr>
              <w:pStyle w:val="T2"/>
              <w:jc w:val="right"/>
            </w:pPr>
          </w:p>
        </w:tc>
        <w:tc>
          <w:tcPr>
            <w:tcW w:w="859" w:type="dxa"/>
            <w:tcBorders>
              <w:top w:val="nil"/>
              <w:left w:val="nil"/>
              <w:bottom w:val="single" w:sz="4" w:space="0" w:color="auto"/>
              <w:right w:val="nil"/>
            </w:tcBorders>
            <w:vAlign w:val="bottom"/>
          </w:tcPr>
          <w:p w14:paraId="708B84D5" w14:textId="77777777" w:rsidR="00F9496A" w:rsidRPr="00D2352A" w:rsidRDefault="00F9496A" w:rsidP="00F9496A">
            <w:pPr>
              <w:pStyle w:val="T2"/>
              <w:jc w:val="right"/>
            </w:pPr>
            <w:r>
              <w:rPr>
                <w:bCs/>
              </w:rPr>
              <w:t>5.2</w:t>
            </w:r>
          </w:p>
        </w:tc>
      </w:tr>
      <w:tr w:rsidR="003F79EF" w14:paraId="61CC3954" w14:textId="77777777" w:rsidTr="001F1616">
        <w:trPr>
          <w:jc w:val="center"/>
        </w:trPr>
        <w:tc>
          <w:tcPr>
            <w:tcW w:w="3686" w:type="dxa"/>
            <w:tcBorders>
              <w:top w:val="single" w:sz="4" w:space="0" w:color="auto"/>
              <w:left w:val="nil"/>
              <w:bottom w:val="nil"/>
              <w:right w:val="nil"/>
            </w:tcBorders>
            <w:vAlign w:val="bottom"/>
          </w:tcPr>
          <w:p w14:paraId="7EB70FE9" w14:textId="77777777" w:rsidR="003F79EF" w:rsidRPr="00827814" w:rsidRDefault="003F79EF" w:rsidP="00F9496A">
            <w:pPr>
              <w:pStyle w:val="T2"/>
              <w:jc w:val="left"/>
            </w:pPr>
          </w:p>
        </w:tc>
        <w:tc>
          <w:tcPr>
            <w:tcW w:w="425" w:type="dxa"/>
            <w:tcBorders>
              <w:top w:val="single" w:sz="4" w:space="0" w:color="auto"/>
              <w:left w:val="nil"/>
              <w:bottom w:val="nil"/>
              <w:right w:val="nil"/>
            </w:tcBorders>
            <w:vAlign w:val="bottom"/>
          </w:tcPr>
          <w:p w14:paraId="4FEA59E0" w14:textId="77777777" w:rsidR="003F79EF" w:rsidRDefault="003F79EF" w:rsidP="00F9496A">
            <w:pPr>
              <w:jc w:val="right"/>
              <w:rPr>
                <w:sz w:val="18"/>
                <w:szCs w:val="18"/>
              </w:rPr>
            </w:pPr>
          </w:p>
        </w:tc>
        <w:tc>
          <w:tcPr>
            <w:tcW w:w="1134" w:type="dxa"/>
            <w:tcBorders>
              <w:top w:val="single" w:sz="4" w:space="0" w:color="auto"/>
              <w:left w:val="nil"/>
              <w:bottom w:val="nil"/>
              <w:right w:val="nil"/>
            </w:tcBorders>
            <w:vAlign w:val="bottom"/>
          </w:tcPr>
          <w:p w14:paraId="6C86C681" w14:textId="77777777" w:rsidR="003F79EF" w:rsidRPr="00A31437" w:rsidRDefault="003F79EF" w:rsidP="00F9496A">
            <w:pPr>
              <w:pStyle w:val="T2"/>
              <w:jc w:val="right"/>
              <w:rPr>
                <w:b/>
              </w:rPr>
            </w:pPr>
          </w:p>
        </w:tc>
        <w:tc>
          <w:tcPr>
            <w:tcW w:w="1134" w:type="dxa"/>
            <w:tcBorders>
              <w:top w:val="single" w:sz="4" w:space="0" w:color="auto"/>
              <w:left w:val="nil"/>
              <w:bottom w:val="nil"/>
              <w:right w:val="nil"/>
            </w:tcBorders>
            <w:vAlign w:val="bottom"/>
          </w:tcPr>
          <w:p w14:paraId="097A44CB" w14:textId="77777777" w:rsidR="003F79EF" w:rsidRPr="00A31437" w:rsidRDefault="003F79EF" w:rsidP="00F9496A">
            <w:pPr>
              <w:pStyle w:val="T2"/>
              <w:jc w:val="right"/>
              <w:rPr>
                <w:b/>
              </w:rPr>
            </w:pPr>
          </w:p>
        </w:tc>
        <w:tc>
          <w:tcPr>
            <w:tcW w:w="851" w:type="dxa"/>
            <w:tcBorders>
              <w:top w:val="single" w:sz="4" w:space="0" w:color="auto"/>
              <w:left w:val="nil"/>
              <w:bottom w:val="nil"/>
              <w:right w:val="nil"/>
            </w:tcBorders>
          </w:tcPr>
          <w:p w14:paraId="32ADD206" w14:textId="77777777" w:rsidR="003F79EF" w:rsidRDefault="003F79EF" w:rsidP="00F9496A">
            <w:pPr>
              <w:pStyle w:val="T2"/>
              <w:jc w:val="right"/>
              <w:rPr>
                <w:b/>
                <w:bCs/>
              </w:rPr>
            </w:pPr>
          </w:p>
        </w:tc>
        <w:tc>
          <w:tcPr>
            <w:tcW w:w="1264" w:type="dxa"/>
            <w:tcBorders>
              <w:top w:val="single" w:sz="4" w:space="0" w:color="auto"/>
              <w:left w:val="nil"/>
              <w:bottom w:val="nil"/>
              <w:right w:val="nil"/>
            </w:tcBorders>
            <w:vAlign w:val="bottom"/>
          </w:tcPr>
          <w:p w14:paraId="515F0573" w14:textId="77777777" w:rsidR="003F79EF" w:rsidRPr="00D2352A" w:rsidRDefault="003F79EF" w:rsidP="00F9496A">
            <w:pPr>
              <w:pStyle w:val="T2"/>
              <w:jc w:val="right"/>
            </w:pPr>
          </w:p>
        </w:tc>
        <w:tc>
          <w:tcPr>
            <w:tcW w:w="1134" w:type="dxa"/>
            <w:tcBorders>
              <w:top w:val="single" w:sz="4" w:space="0" w:color="auto"/>
              <w:left w:val="nil"/>
              <w:bottom w:val="nil"/>
              <w:right w:val="nil"/>
            </w:tcBorders>
            <w:vAlign w:val="bottom"/>
          </w:tcPr>
          <w:p w14:paraId="4560DB61" w14:textId="77777777" w:rsidR="003F79EF" w:rsidRPr="00D2352A" w:rsidRDefault="003F79EF" w:rsidP="00F9496A">
            <w:pPr>
              <w:pStyle w:val="T2"/>
              <w:jc w:val="right"/>
            </w:pPr>
          </w:p>
        </w:tc>
        <w:tc>
          <w:tcPr>
            <w:tcW w:w="859" w:type="dxa"/>
            <w:tcBorders>
              <w:top w:val="single" w:sz="4" w:space="0" w:color="auto"/>
              <w:left w:val="nil"/>
              <w:bottom w:val="nil"/>
              <w:right w:val="nil"/>
            </w:tcBorders>
            <w:vAlign w:val="bottom"/>
          </w:tcPr>
          <w:p w14:paraId="2FCCE078" w14:textId="77777777" w:rsidR="003F79EF" w:rsidRDefault="003F79EF" w:rsidP="00F9496A">
            <w:pPr>
              <w:pStyle w:val="T2"/>
              <w:jc w:val="right"/>
              <w:rPr>
                <w:bCs/>
              </w:rPr>
            </w:pPr>
          </w:p>
        </w:tc>
      </w:tr>
      <w:tr w:rsidR="003F79EF" w14:paraId="51BBF657" w14:textId="77777777" w:rsidTr="00855549">
        <w:trPr>
          <w:jc w:val="center"/>
        </w:trPr>
        <w:tc>
          <w:tcPr>
            <w:tcW w:w="10487" w:type="dxa"/>
            <w:gridSpan w:val="8"/>
            <w:tcBorders>
              <w:top w:val="nil"/>
              <w:left w:val="nil"/>
              <w:bottom w:val="nil"/>
              <w:right w:val="nil"/>
            </w:tcBorders>
            <w:vAlign w:val="bottom"/>
          </w:tcPr>
          <w:p w14:paraId="72C02E45" w14:textId="77777777" w:rsidR="003F79EF" w:rsidRPr="00F55D04" w:rsidRDefault="003F79EF" w:rsidP="00F55D04">
            <w:pPr>
              <w:pStyle w:val="T2"/>
              <w:jc w:val="both"/>
              <w:rPr>
                <w:bCs/>
                <w:sz w:val="14"/>
                <w:szCs w:val="14"/>
              </w:rPr>
            </w:pPr>
            <w:r w:rsidRPr="00F55D04">
              <w:rPr>
                <w:sz w:val="14"/>
                <w:szCs w:val="14"/>
              </w:rPr>
              <w:t>* Re-presented to reflect the change in presentation on a basis consistent with the current year as set out in Note 1</w:t>
            </w:r>
          </w:p>
        </w:tc>
      </w:tr>
    </w:tbl>
    <w:p w14:paraId="32E64963" w14:textId="77777777" w:rsidR="003F79EF" w:rsidRDefault="003F79EF" w:rsidP="00F55D04">
      <w:pPr>
        <w:pStyle w:val="Heading1"/>
        <w:tabs>
          <w:tab w:val="left" w:pos="2580"/>
        </w:tabs>
      </w:pPr>
      <w:bookmarkStart w:id="0" w:name="_Hlk5966349"/>
    </w:p>
    <w:p w14:paraId="479A3661" w14:textId="77777777" w:rsidR="009100FA" w:rsidRDefault="009100FA" w:rsidP="009100FA">
      <w:pPr>
        <w:pStyle w:val="Heading2"/>
        <w:ind w:left="-142"/>
      </w:pPr>
      <w:r w:rsidRPr="00875751">
        <w:t xml:space="preserve">CONDENSED </w:t>
      </w:r>
      <w:r>
        <w:t xml:space="preserve">GROUP </w:t>
      </w:r>
      <w:r w:rsidRPr="00875751">
        <w:t xml:space="preserve">STATEMENT OF </w:t>
      </w:r>
      <w:r>
        <w:t>COMPREHENSIVE INCOME</w:t>
      </w:r>
    </w:p>
    <w:p w14:paraId="0224F1CC" w14:textId="77777777" w:rsidR="00773F7B" w:rsidRDefault="009100FA" w:rsidP="009100FA">
      <w:pPr>
        <w:pStyle w:val="Heading2"/>
        <w:ind w:left="-142"/>
      </w:pPr>
      <w:r w:rsidRPr="00E34FD1">
        <w:t xml:space="preserve">for the half year ended </w:t>
      </w:r>
      <w:r>
        <w:t>26 March 2021</w:t>
      </w:r>
      <w:r w:rsidR="003F79EF">
        <w:tab/>
      </w:r>
      <w:bookmarkStart w:id="1" w:name="_Hlk5966511"/>
      <w:bookmarkEnd w:id="0"/>
    </w:p>
    <w:p w14:paraId="5E5CC852" w14:textId="77777777" w:rsidR="008F0275" w:rsidRPr="008F0275" w:rsidRDefault="008F0275" w:rsidP="008F0275"/>
    <w:tbl>
      <w:tblPr>
        <w:tblStyle w:val="TableGrid"/>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7"/>
        <w:gridCol w:w="1701"/>
        <w:gridCol w:w="1701"/>
      </w:tblGrid>
      <w:tr w:rsidR="00773F7B" w14:paraId="2F3FBDCC" w14:textId="77777777" w:rsidTr="005B3BEE">
        <w:trPr>
          <w:jc w:val="center"/>
        </w:trPr>
        <w:tc>
          <w:tcPr>
            <w:tcW w:w="7087" w:type="dxa"/>
          </w:tcPr>
          <w:p w14:paraId="287DC7E3" w14:textId="77777777" w:rsidR="00773F7B" w:rsidRDefault="00773F7B" w:rsidP="00773F7B">
            <w:pPr>
              <w:pStyle w:val="T2"/>
            </w:pPr>
          </w:p>
        </w:tc>
        <w:tc>
          <w:tcPr>
            <w:tcW w:w="1701" w:type="dxa"/>
            <w:vAlign w:val="center"/>
          </w:tcPr>
          <w:p w14:paraId="7C6A0EA0" w14:textId="77777777" w:rsidR="00773F7B" w:rsidRDefault="00773F7B" w:rsidP="00773F7B">
            <w:pPr>
              <w:pStyle w:val="T2"/>
              <w:jc w:val="right"/>
              <w:rPr>
                <w:b/>
              </w:rPr>
            </w:pPr>
            <w:r w:rsidRPr="00E86C8F">
              <w:rPr>
                <w:b/>
              </w:rPr>
              <w:t xml:space="preserve">Half year ended </w:t>
            </w:r>
          </w:p>
          <w:p w14:paraId="0BC0150D" w14:textId="77777777" w:rsidR="00773F7B" w:rsidRPr="00E86C8F" w:rsidRDefault="00946079" w:rsidP="00773F7B">
            <w:pPr>
              <w:pStyle w:val="T2"/>
              <w:jc w:val="right"/>
              <w:rPr>
                <w:b/>
              </w:rPr>
            </w:pPr>
            <w:r>
              <w:rPr>
                <w:b/>
              </w:rPr>
              <w:t>26 March 2021</w:t>
            </w:r>
          </w:p>
        </w:tc>
        <w:tc>
          <w:tcPr>
            <w:tcW w:w="1701" w:type="dxa"/>
            <w:vAlign w:val="center"/>
          </w:tcPr>
          <w:p w14:paraId="62F45030" w14:textId="77777777" w:rsidR="00773F7B" w:rsidRPr="005D0EFF" w:rsidRDefault="00773F7B" w:rsidP="00773F7B">
            <w:pPr>
              <w:pStyle w:val="T2"/>
              <w:jc w:val="right"/>
              <w:rPr>
                <w:bCs/>
              </w:rPr>
            </w:pPr>
            <w:r w:rsidRPr="005D0EFF">
              <w:rPr>
                <w:bCs/>
              </w:rPr>
              <w:t xml:space="preserve">Half year ended </w:t>
            </w:r>
          </w:p>
          <w:p w14:paraId="51B531AE" w14:textId="77777777" w:rsidR="00773F7B" w:rsidRPr="005D0EFF" w:rsidRDefault="00946079" w:rsidP="00773F7B">
            <w:pPr>
              <w:pStyle w:val="T2"/>
              <w:jc w:val="right"/>
              <w:rPr>
                <w:bCs/>
              </w:rPr>
            </w:pPr>
            <w:r>
              <w:rPr>
                <w:bCs/>
              </w:rPr>
              <w:t>27 March 2020</w:t>
            </w:r>
          </w:p>
        </w:tc>
      </w:tr>
      <w:tr w:rsidR="00773F7B" w14:paraId="22C07EC3" w14:textId="77777777" w:rsidTr="005B3BEE">
        <w:trPr>
          <w:jc w:val="center"/>
        </w:trPr>
        <w:tc>
          <w:tcPr>
            <w:tcW w:w="7087" w:type="dxa"/>
          </w:tcPr>
          <w:p w14:paraId="3B610FEE" w14:textId="77777777" w:rsidR="00773F7B" w:rsidRDefault="00773F7B" w:rsidP="00773F7B">
            <w:pPr>
              <w:pStyle w:val="T2"/>
            </w:pPr>
          </w:p>
        </w:tc>
        <w:tc>
          <w:tcPr>
            <w:tcW w:w="1701" w:type="dxa"/>
            <w:vAlign w:val="center"/>
          </w:tcPr>
          <w:p w14:paraId="15ACE89E" w14:textId="77777777" w:rsidR="00773F7B" w:rsidRPr="00E86C8F" w:rsidRDefault="00773F7B" w:rsidP="00773F7B">
            <w:pPr>
              <w:pStyle w:val="T2"/>
              <w:jc w:val="right"/>
              <w:rPr>
                <w:b/>
                <w:sz w:val="16"/>
                <w:szCs w:val="16"/>
              </w:rPr>
            </w:pPr>
            <w:r w:rsidRPr="00E86C8F">
              <w:rPr>
                <w:b/>
                <w:sz w:val="16"/>
                <w:szCs w:val="16"/>
              </w:rPr>
              <w:t>(Unaudited)</w:t>
            </w:r>
          </w:p>
        </w:tc>
        <w:tc>
          <w:tcPr>
            <w:tcW w:w="1701" w:type="dxa"/>
            <w:vAlign w:val="center"/>
          </w:tcPr>
          <w:p w14:paraId="2564AFFF" w14:textId="77777777" w:rsidR="00773F7B" w:rsidRPr="00006931" w:rsidRDefault="00773F7B" w:rsidP="00773F7B">
            <w:pPr>
              <w:pStyle w:val="T2"/>
              <w:jc w:val="right"/>
              <w:rPr>
                <w:bCs/>
                <w:sz w:val="16"/>
                <w:szCs w:val="16"/>
              </w:rPr>
            </w:pPr>
            <w:r w:rsidRPr="005D0EFF">
              <w:rPr>
                <w:bCs/>
                <w:sz w:val="16"/>
                <w:szCs w:val="16"/>
              </w:rPr>
              <w:t>(Unaudited)</w:t>
            </w:r>
          </w:p>
        </w:tc>
      </w:tr>
      <w:tr w:rsidR="00773F7B" w14:paraId="6DC3A07D" w14:textId="77777777" w:rsidTr="005B3BEE">
        <w:trPr>
          <w:jc w:val="center"/>
        </w:trPr>
        <w:tc>
          <w:tcPr>
            <w:tcW w:w="7087" w:type="dxa"/>
            <w:tcBorders>
              <w:bottom w:val="single" w:sz="2" w:space="0" w:color="auto"/>
            </w:tcBorders>
          </w:tcPr>
          <w:p w14:paraId="4DCBD05C" w14:textId="77777777" w:rsidR="00773F7B" w:rsidRDefault="00773F7B" w:rsidP="00773F7B">
            <w:pPr>
              <w:pStyle w:val="T2"/>
            </w:pPr>
          </w:p>
        </w:tc>
        <w:tc>
          <w:tcPr>
            <w:tcW w:w="1701" w:type="dxa"/>
            <w:tcBorders>
              <w:bottom w:val="single" w:sz="2" w:space="0" w:color="auto"/>
            </w:tcBorders>
            <w:vAlign w:val="center"/>
          </w:tcPr>
          <w:p w14:paraId="1F054B3E" w14:textId="77777777" w:rsidR="00773F7B" w:rsidRPr="00E86C8F" w:rsidRDefault="00773F7B" w:rsidP="00773F7B">
            <w:pPr>
              <w:pStyle w:val="T2"/>
              <w:jc w:val="right"/>
              <w:rPr>
                <w:b/>
              </w:rPr>
            </w:pPr>
            <w:r w:rsidRPr="00E86C8F">
              <w:rPr>
                <w:b/>
              </w:rPr>
              <w:t>£m</w:t>
            </w:r>
          </w:p>
        </w:tc>
        <w:tc>
          <w:tcPr>
            <w:tcW w:w="1701" w:type="dxa"/>
            <w:tcBorders>
              <w:bottom w:val="single" w:sz="2" w:space="0" w:color="auto"/>
            </w:tcBorders>
            <w:vAlign w:val="center"/>
          </w:tcPr>
          <w:p w14:paraId="292439A1" w14:textId="77777777" w:rsidR="00773F7B" w:rsidRDefault="00773F7B" w:rsidP="00773F7B">
            <w:pPr>
              <w:pStyle w:val="T2"/>
              <w:jc w:val="right"/>
            </w:pPr>
            <w:r>
              <w:t>£m</w:t>
            </w:r>
          </w:p>
        </w:tc>
      </w:tr>
      <w:tr w:rsidR="00773F7B" w14:paraId="4CBAAB37" w14:textId="77777777" w:rsidTr="005B3BEE">
        <w:trPr>
          <w:jc w:val="center"/>
        </w:trPr>
        <w:tc>
          <w:tcPr>
            <w:tcW w:w="7087" w:type="dxa"/>
            <w:tcBorders>
              <w:top w:val="single" w:sz="2" w:space="0" w:color="auto"/>
            </w:tcBorders>
          </w:tcPr>
          <w:p w14:paraId="04F0D4CC" w14:textId="77777777" w:rsidR="00773F7B" w:rsidRPr="00E86C8F" w:rsidRDefault="00773F7B" w:rsidP="006D6AC9">
            <w:pPr>
              <w:pStyle w:val="T2"/>
              <w:jc w:val="left"/>
              <w:rPr>
                <w:b/>
              </w:rPr>
            </w:pPr>
            <w:r w:rsidRPr="00E86C8F">
              <w:rPr>
                <w:b/>
              </w:rPr>
              <w:t>Items of income and expen</w:t>
            </w:r>
            <w:r w:rsidR="006D6AC9">
              <w:rPr>
                <w:b/>
              </w:rPr>
              <w:t xml:space="preserve">se taken directly to equity </w:t>
            </w:r>
          </w:p>
        </w:tc>
        <w:tc>
          <w:tcPr>
            <w:tcW w:w="1701" w:type="dxa"/>
            <w:tcBorders>
              <w:top w:val="single" w:sz="2" w:space="0" w:color="auto"/>
            </w:tcBorders>
            <w:vAlign w:val="bottom"/>
          </w:tcPr>
          <w:p w14:paraId="2620537A" w14:textId="77777777" w:rsidR="00773F7B" w:rsidRPr="005D0EFF" w:rsidRDefault="00773F7B" w:rsidP="00773F7B">
            <w:pPr>
              <w:pStyle w:val="T2"/>
              <w:jc w:val="right"/>
              <w:rPr>
                <w:bCs/>
              </w:rPr>
            </w:pPr>
          </w:p>
        </w:tc>
        <w:tc>
          <w:tcPr>
            <w:tcW w:w="1701" w:type="dxa"/>
            <w:tcBorders>
              <w:top w:val="single" w:sz="2" w:space="0" w:color="auto"/>
            </w:tcBorders>
            <w:vAlign w:val="bottom"/>
          </w:tcPr>
          <w:p w14:paraId="412F4018" w14:textId="77777777" w:rsidR="00773F7B" w:rsidRDefault="00773F7B" w:rsidP="00773F7B">
            <w:pPr>
              <w:pStyle w:val="T2"/>
              <w:jc w:val="right"/>
            </w:pPr>
            <w:r w:rsidRPr="0096767F">
              <w:rPr>
                <w:bCs/>
              </w:rPr>
              <w:t> </w:t>
            </w:r>
          </w:p>
        </w:tc>
      </w:tr>
      <w:tr w:rsidR="00FE3A03" w14:paraId="5A652C48" w14:textId="77777777" w:rsidTr="005B3BEE">
        <w:trPr>
          <w:jc w:val="center"/>
        </w:trPr>
        <w:tc>
          <w:tcPr>
            <w:tcW w:w="7087" w:type="dxa"/>
          </w:tcPr>
          <w:p w14:paraId="3047364C" w14:textId="77777777" w:rsidR="00FE3A03" w:rsidRPr="00E86C8F" w:rsidRDefault="00FE3A03" w:rsidP="00773F7B">
            <w:pPr>
              <w:pStyle w:val="T2"/>
              <w:jc w:val="left"/>
              <w:rPr>
                <w:b/>
              </w:rPr>
            </w:pPr>
          </w:p>
        </w:tc>
        <w:tc>
          <w:tcPr>
            <w:tcW w:w="1701" w:type="dxa"/>
            <w:vAlign w:val="bottom"/>
          </w:tcPr>
          <w:p w14:paraId="36FAC8DE" w14:textId="77777777" w:rsidR="00FE3A03" w:rsidRPr="005D0EFF" w:rsidRDefault="00FE3A03" w:rsidP="00773F7B">
            <w:pPr>
              <w:pStyle w:val="T2"/>
              <w:jc w:val="right"/>
              <w:rPr>
                <w:bCs/>
              </w:rPr>
            </w:pPr>
          </w:p>
        </w:tc>
        <w:tc>
          <w:tcPr>
            <w:tcW w:w="1701" w:type="dxa"/>
            <w:vAlign w:val="bottom"/>
          </w:tcPr>
          <w:p w14:paraId="4DF8BC85" w14:textId="77777777" w:rsidR="00FE3A03" w:rsidRDefault="00FE3A03" w:rsidP="00773F7B">
            <w:pPr>
              <w:pStyle w:val="T2"/>
              <w:jc w:val="right"/>
            </w:pPr>
          </w:p>
        </w:tc>
      </w:tr>
      <w:tr w:rsidR="00773F7B" w14:paraId="4747A01E" w14:textId="77777777" w:rsidTr="005B3BEE">
        <w:trPr>
          <w:jc w:val="center"/>
        </w:trPr>
        <w:tc>
          <w:tcPr>
            <w:tcW w:w="7087" w:type="dxa"/>
          </w:tcPr>
          <w:p w14:paraId="7660AA8F" w14:textId="77777777" w:rsidR="00773F7B" w:rsidRPr="00E86C8F" w:rsidRDefault="00773F7B" w:rsidP="00773F7B">
            <w:pPr>
              <w:pStyle w:val="T2"/>
              <w:jc w:val="left"/>
              <w:rPr>
                <w:b/>
              </w:rPr>
            </w:pPr>
            <w:r w:rsidRPr="00E86C8F">
              <w:rPr>
                <w:b/>
              </w:rPr>
              <w:t>Items that will not be reclassified to profit or loss:</w:t>
            </w:r>
          </w:p>
        </w:tc>
        <w:tc>
          <w:tcPr>
            <w:tcW w:w="1701" w:type="dxa"/>
            <w:vAlign w:val="bottom"/>
          </w:tcPr>
          <w:p w14:paraId="757C1912" w14:textId="77777777" w:rsidR="00773F7B" w:rsidRPr="005D0EFF" w:rsidRDefault="00773F7B" w:rsidP="00773F7B">
            <w:pPr>
              <w:pStyle w:val="T2"/>
              <w:jc w:val="right"/>
              <w:rPr>
                <w:bCs/>
              </w:rPr>
            </w:pPr>
          </w:p>
        </w:tc>
        <w:tc>
          <w:tcPr>
            <w:tcW w:w="1701" w:type="dxa"/>
            <w:vAlign w:val="bottom"/>
          </w:tcPr>
          <w:p w14:paraId="34DAC1C0" w14:textId="77777777" w:rsidR="00773F7B" w:rsidRDefault="00773F7B" w:rsidP="00773F7B">
            <w:pPr>
              <w:pStyle w:val="T2"/>
              <w:jc w:val="right"/>
            </w:pPr>
          </w:p>
        </w:tc>
      </w:tr>
      <w:tr w:rsidR="00FD7948" w14:paraId="5E6656C1" w14:textId="77777777" w:rsidTr="00FD7948">
        <w:trPr>
          <w:jc w:val="center"/>
        </w:trPr>
        <w:tc>
          <w:tcPr>
            <w:tcW w:w="7087" w:type="dxa"/>
          </w:tcPr>
          <w:p w14:paraId="21D66FAC" w14:textId="77777777" w:rsidR="00FD7948" w:rsidRPr="00765393" w:rsidRDefault="00FD7948" w:rsidP="00FD7948">
            <w:pPr>
              <w:pStyle w:val="T2"/>
              <w:jc w:val="left"/>
            </w:pPr>
            <w:r w:rsidRPr="00765393">
              <w:t xml:space="preserve">Actuarial </w:t>
            </w:r>
            <w:r w:rsidR="00AD50AA">
              <w:t xml:space="preserve">gain </w:t>
            </w:r>
            <w:r w:rsidRPr="00765393">
              <w:t>on Group</w:t>
            </w:r>
            <w:r>
              <w:t xml:space="preserve"> legacy</w:t>
            </w:r>
            <w:r w:rsidRPr="00765393">
              <w:t xml:space="preserve"> defined benefit pension schemes</w:t>
            </w:r>
          </w:p>
        </w:tc>
        <w:tc>
          <w:tcPr>
            <w:tcW w:w="1701" w:type="dxa"/>
          </w:tcPr>
          <w:p w14:paraId="3A86EBFB" w14:textId="77777777" w:rsidR="00FD7948" w:rsidRPr="0010152A" w:rsidRDefault="001355BD" w:rsidP="00FD7948">
            <w:pPr>
              <w:pStyle w:val="T2"/>
              <w:jc w:val="right"/>
              <w:rPr>
                <w:b/>
                <w:bCs/>
              </w:rPr>
            </w:pPr>
            <w:r>
              <w:rPr>
                <w:b/>
                <w:bCs/>
              </w:rPr>
              <w:t>12.6</w:t>
            </w:r>
          </w:p>
        </w:tc>
        <w:tc>
          <w:tcPr>
            <w:tcW w:w="1701" w:type="dxa"/>
            <w:vAlign w:val="bottom"/>
          </w:tcPr>
          <w:p w14:paraId="6517D57F" w14:textId="77777777" w:rsidR="00FD7948" w:rsidRDefault="00FD7948" w:rsidP="00FD7948">
            <w:pPr>
              <w:pStyle w:val="T2"/>
              <w:jc w:val="right"/>
            </w:pPr>
            <w:r>
              <w:rPr>
                <w:bCs/>
              </w:rPr>
              <w:t>32.0</w:t>
            </w:r>
          </w:p>
        </w:tc>
      </w:tr>
      <w:tr w:rsidR="00FD7948" w14:paraId="78E1AC36" w14:textId="77777777" w:rsidTr="00FD7948">
        <w:trPr>
          <w:jc w:val="center"/>
        </w:trPr>
        <w:tc>
          <w:tcPr>
            <w:tcW w:w="7087" w:type="dxa"/>
            <w:tcBorders>
              <w:bottom w:val="single" w:sz="2" w:space="0" w:color="auto"/>
            </w:tcBorders>
          </w:tcPr>
          <w:p w14:paraId="171B205A" w14:textId="77777777" w:rsidR="00FD7948" w:rsidRPr="00765393" w:rsidRDefault="00FD7948" w:rsidP="00FD7948">
            <w:pPr>
              <w:pStyle w:val="T2"/>
              <w:jc w:val="left"/>
            </w:pPr>
            <w:r w:rsidRPr="00765393">
              <w:t xml:space="preserve">Deferred tax on Group </w:t>
            </w:r>
            <w:r>
              <w:t xml:space="preserve">legacy </w:t>
            </w:r>
            <w:r w:rsidRPr="00765393">
              <w:t>defined benefit pension schemes</w:t>
            </w:r>
          </w:p>
        </w:tc>
        <w:tc>
          <w:tcPr>
            <w:tcW w:w="1701" w:type="dxa"/>
            <w:tcBorders>
              <w:bottom w:val="single" w:sz="2" w:space="0" w:color="auto"/>
            </w:tcBorders>
          </w:tcPr>
          <w:p w14:paraId="06B4E84D" w14:textId="39B83D16" w:rsidR="00FD7948" w:rsidRPr="00BE7391" w:rsidRDefault="00FB74EC" w:rsidP="00FB74EC">
            <w:pPr>
              <w:pStyle w:val="T2"/>
              <w:tabs>
                <w:tab w:val="center" w:pos="742"/>
                <w:tab w:val="right" w:pos="1485"/>
              </w:tabs>
              <w:jc w:val="right"/>
              <w:rPr>
                <w:b/>
                <w:bCs/>
                <w:highlight w:val="yellow"/>
              </w:rPr>
            </w:pPr>
            <w:r>
              <w:rPr>
                <w:b/>
                <w:bCs/>
              </w:rPr>
              <w:t>(2.3)</w:t>
            </w:r>
          </w:p>
        </w:tc>
        <w:tc>
          <w:tcPr>
            <w:tcW w:w="1701" w:type="dxa"/>
            <w:tcBorders>
              <w:bottom w:val="single" w:sz="2" w:space="0" w:color="auto"/>
            </w:tcBorders>
            <w:vAlign w:val="bottom"/>
          </w:tcPr>
          <w:p w14:paraId="65409003" w14:textId="77777777" w:rsidR="00FD7948" w:rsidRPr="00BE7391" w:rsidRDefault="00FD7948" w:rsidP="00FD7948">
            <w:pPr>
              <w:pStyle w:val="T2"/>
              <w:jc w:val="right"/>
              <w:rPr>
                <w:highlight w:val="yellow"/>
              </w:rPr>
            </w:pPr>
            <w:r>
              <w:rPr>
                <w:bCs/>
              </w:rPr>
              <w:t>(2.7)</w:t>
            </w:r>
          </w:p>
        </w:tc>
      </w:tr>
      <w:tr w:rsidR="00FD7948" w14:paraId="2021A236" w14:textId="77777777" w:rsidTr="00FD7948">
        <w:trPr>
          <w:jc w:val="center"/>
        </w:trPr>
        <w:tc>
          <w:tcPr>
            <w:tcW w:w="7087" w:type="dxa"/>
            <w:tcBorders>
              <w:top w:val="single" w:sz="2" w:space="0" w:color="auto"/>
              <w:bottom w:val="single" w:sz="2" w:space="0" w:color="auto"/>
            </w:tcBorders>
          </w:tcPr>
          <w:p w14:paraId="04988DC1" w14:textId="77777777" w:rsidR="00FD7948" w:rsidRPr="00765393" w:rsidRDefault="00FD7948" w:rsidP="00FD7948">
            <w:pPr>
              <w:pStyle w:val="T2"/>
              <w:jc w:val="left"/>
            </w:pPr>
          </w:p>
        </w:tc>
        <w:tc>
          <w:tcPr>
            <w:tcW w:w="1701" w:type="dxa"/>
            <w:tcBorders>
              <w:top w:val="single" w:sz="2" w:space="0" w:color="auto"/>
              <w:bottom w:val="single" w:sz="2" w:space="0" w:color="auto"/>
            </w:tcBorders>
          </w:tcPr>
          <w:p w14:paraId="6B82DB95" w14:textId="77777777" w:rsidR="00FD7948" w:rsidRPr="0010152A" w:rsidRDefault="001355BD" w:rsidP="00D439D4">
            <w:pPr>
              <w:pStyle w:val="T2"/>
              <w:jc w:val="right"/>
              <w:rPr>
                <w:b/>
                <w:bCs/>
              </w:rPr>
            </w:pPr>
            <w:r>
              <w:rPr>
                <w:b/>
                <w:bCs/>
              </w:rPr>
              <w:t>1</w:t>
            </w:r>
            <w:r w:rsidR="00D439D4">
              <w:rPr>
                <w:b/>
                <w:bCs/>
              </w:rPr>
              <w:t>0.3</w:t>
            </w:r>
          </w:p>
        </w:tc>
        <w:tc>
          <w:tcPr>
            <w:tcW w:w="1701" w:type="dxa"/>
            <w:tcBorders>
              <w:top w:val="single" w:sz="2" w:space="0" w:color="auto"/>
              <w:bottom w:val="single" w:sz="2" w:space="0" w:color="auto"/>
            </w:tcBorders>
            <w:vAlign w:val="bottom"/>
          </w:tcPr>
          <w:p w14:paraId="162EE55B" w14:textId="77777777" w:rsidR="00FD7948" w:rsidRDefault="00FD7948" w:rsidP="00FD7948">
            <w:pPr>
              <w:pStyle w:val="T2"/>
              <w:jc w:val="right"/>
            </w:pPr>
            <w:r>
              <w:rPr>
                <w:bCs/>
              </w:rPr>
              <w:t>29.3</w:t>
            </w:r>
          </w:p>
        </w:tc>
      </w:tr>
      <w:tr w:rsidR="00773F7B" w14:paraId="1E8793E9" w14:textId="77777777" w:rsidTr="005B3BEE">
        <w:trPr>
          <w:jc w:val="center"/>
        </w:trPr>
        <w:tc>
          <w:tcPr>
            <w:tcW w:w="7087" w:type="dxa"/>
            <w:tcBorders>
              <w:top w:val="single" w:sz="2" w:space="0" w:color="auto"/>
            </w:tcBorders>
            <w:vAlign w:val="bottom"/>
          </w:tcPr>
          <w:p w14:paraId="4558B667" w14:textId="77777777" w:rsidR="00773F7B" w:rsidRPr="00E86C8F" w:rsidRDefault="00773F7B" w:rsidP="00773F7B">
            <w:pPr>
              <w:pStyle w:val="T2"/>
              <w:jc w:val="left"/>
              <w:rPr>
                <w:b/>
              </w:rPr>
            </w:pPr>
            <w:r w:rsidRPr="00E86C8F">
              <w:rPr>
                <w:b/>
              </w:rPr>
              <w:t>Items that may subsequently be reclassified to profit or loss:</w:t>
            </w:r>
          </w:p>
        </w:tc>
        <w:tc>
          <w:tcPr>
            <w:tcW w:w="1701" w:type="dxa"/>
            <w:tcBorders>
              <w:top w:val="single" w:sz="2" w:space="0" w:color="auto"/>
            </w:tcBorders>
            <w:vAlign w:val="bottom"/>
          </w:tcPr>
          <w:p w14:paraId="775A5D83" w14:textId="77777777" w:rsidR="00773F7B" w:rsidRPr="005D0EFF" w:rsidRDefault="00773F7B" w:rsidP="00773F7B">
            <w:pPr>
              <w:pStyle w:val="T2"/>
              <w:jc w:val="right"/>
              <w:rPr>
                <w:bCs/>
              </w:rPr>
            </w:pPr>
          </w:p>
        </w:tc>
        <w:tc>
          <w:tcPr>
            <w:tcW w:w="1701" w:type="dxa"/>
            <w:tcBorders>
              <w:top w:val="single" w:sz="2" w:space="0" w:color="auto"/>
            </w:tcBorders>
            <w:vAlign w:val="bottom"/>
          </w:tcPr>
          <w:p w14:paraId="60C27176" w14:textId="77777777" w:rsidR="00773F7B" w:rsidRDefault="00773F7B" w:rsidP="00773F7B">
            <w:pPr>
              <w:pStyle w:val="T2"/>
              <w:jc w:val="right"/>
            </w:pPr>
          </w:p>
        </w:tc>
      </w:tr>
      <w:tr w:rsidR="00FD7948" w14:paraId="044D299E" w14:textId="77777777" w:rsidTr="00FD7948">
        <w:trPr>
          <w:jc w:val="center"/>
        </w:trPr>
        <w:tc>
          <w:tcPr>
            <w:tcW w:w="7087" w:type="dxa"/>
            <w:vAlign w:val="bottom"/>
          </w:tcPr>
          <w:p w14:paraId="52421587" w14:textId="77777777" w:rsidR="00FD7948" w:rsidRPr="00765393" w:rsidRDefault="00FD7948" w:rsidP="00FD7948">
            <w:pPr>
              <w:pStyle w:val="T2"/>
              <w:jc w:val="left"/>
            </w:pPr>
            <w:r w:rsidRPr="00765393">
              <w:t>Currency translation adjustment</w:t>
            </w:r>
          </w:p>
        </w:tc>
        <w:tc>
          <w:tcPr>
            <w:tcW w:w="1701" w:type="dxa"/>
          </w:tcPr>
          <w:p w14:paraId="4C40CB9C" w14:textId="77777777" w:rsidR="00FD7948" w:rsidRPr="0010152A" w:rsidRDefault="00AD50AA" w:rsidP="0041734A">
            <w:pPr>
              <w:pStyle w:val="T2"/>
              <w:jc w:val="right"/>
              <w:rPr>
                <w:b/>
                <w:bCs/>
              </w:rPr>
            </w:pPr>
            <w:r>
              <w:rPr>
                <w:b/>
                <w:bCs/>
              </w:rPr>
              <w:t>(3.</w:t>
            </w:r>
            <w:r w:rsidR="00863360">
              <w:rPr>
                <w:b/>
                <w:bCs/>
              </w:rPr>
              <w:t>4</w:t>
            </w:r>
            <w:r>
              <w:rPr>
                <w:b/>
                <w:bCs/>
              </w:rPr>
              <w:t>)</w:t>
            </w:r>
          </w:p>
        </w:tc>
        <w:tc>
          <w:tcPr>
            <w:tcW w:w="1701" w:type="dxa"/>
            <w:vAlign w:val="bottom"/>
          </w:tcPr>
          <w:p w14:paraId="6CD00B44" w14:textId="77777777" w:rsidR="00FD7948" w:rsidRDefault="00FD7948" w:rsidP="00FD7948">
            <w:pPr>
              <w:pStyle w:val="T2"/>
              <w:jc w:val="right"/>
            </w:pPr>
            <w:r>
              <w:rPr>
                <w:bCs/>
              </w:rPr>
              <w:t>1.0</w:t>
            </w:r>
          </w:p>
        </w:tc>
      </w:tr>
      <w:tr w:rsidR="00FD7948" w14:paraId="39246850" w14:textId="77777777" w:rsidTr="00FD7948">
        <w:trPr>
          <w:jc w:val="center"/>
        </w:trPr>
        <w:tc>
          <w:tcPr>
            <w:tcW w:w="7087" w:type="dxa"/>
            <w:vAlign w:val="bottom"/>
          </w:tcPr>
          <w:p w14:paraId="1F4233E5" w14:textId="77777777" w:rsidR="00FD7948" w:rsidRPr="00765393" w:rsidRDefault="00FD7948" w:rsidP="00B75408">
            <w:pPr>
              <w:pStyle w:val="T2"/>
              <w:jc w:val="left"/>
            </w:pPr>
            <w:r w:rsidRPr="00765393">
              <w:t xml:space="preserve">Translation reserve transferred to </w:t>
            </w:r>
            <w:r>
              <w:t>I</w:t>
            </w:r>
            <w:r w:rsidRPr="00765393">
              <w:t xml:space="preserve">ncome </w:t>
            </w:r>
            <w:r>
              <w:t>S</w:t>
            </w:r>
            <w:r w:rsidRPr="00765393">
              <w:t xml:space="preserve">tatement </w:t>
            </w:r>
            <w:r w:rsidR="00B75408">
              <w:t>on disposal of subsidiary</w:t>
            </w:r>
          </w:p>
        </w:tc>
        <w:tc>
          <w:tcPr>
            <w:tcW w:w="1701" w:type="dxa"/>
          </w:tcPr>
          <w:p w14:paraId="49CD9316" w14:textId="77777777" w:rsidR="00FD7948" w:rsidRPr="00B535FA" w:rsidRDefault="00AD50AA" w:rsidP="00FD7948">
            <w:pPr>
              <w:pStyle w:val="T2"/>
              <w:jc w:val="right"/>
              <w:rPr>
                <w:b/>
                <w:bCs/>
              </w:rPr>
            </w:pPr>
            <w:r>
              <w:rPr>
                <w:b/>
                <w:bCs/>
              </w:rPr>
              <w:t>(1.0)</w:t>
            </w:r>
          </w:p>
        </w:tc>
        <w:tc>
          <w:tcPr>
            <w:tcW w:w="1701" w:type="dxa"/>
            <w:vAlign w:val="bottom"/>
          </w:tcPr>
          <w:p w14:paraId="6E9083FD" w14:textId="77777777" w:rsidR="00FD7948" w:rsidRDefault="00FD7948" w:rsidP="00FD7948">
            <w:pPr>
              <w:pStyle w:val="T2"/>
              <w:jc w:val="right"/>
            </w:pPr>
            <w:r w:rsidRPr="0096767F">
              <w:rPr>
                <w:bCs/>
              </w:rPr>
              <w:t>–</w:t>
            </w:r>
          </w:p>
        </w:tc>
      </w:tr>
      <w:tr w:rsidR="00D477E0" w14:paraId="4F3DEB4F" w14:textId="77777777" w:rsidTr="00FD7948">
        <w:trPr>
          <w:jc w:val="center"/>
        </w:trPr>
        <w:tc>
          <w:tcPr>
            <w:tcW w:w="7087" w:type="dxa"/>
            <w:vAlign w:val="bottom"/>
          </w:tcPr>
          <w:p w14:paraId="44C29204" w14:textId="77777777" w:rsidR="00D477E0" w:rsidRPr="00D477E0" w:rsidRDefault="00D477E0" w:rsidP="00D477E0">
            <w:pPr>
              <w:pStyle w:val="T2"/>
              <w:jc w:val="left"/>
              <w:rPr>
                <w:b/>
              </w:rPr>
            </w:pPr>
            <w:r>
              <w:rPr>
                <w:rFonts w:ascii="Calibri" w:hAnsi="Calibri" w:cs="Calibri"/>
                <w:bCs/>
              </w:rPr>
              <w:t>Non-controlling interest transferred to Income Statement on disposal of subsidiary</w:t>
            </w:r>
          </w:p>
        </w:tc>
        <w:tc>
          <w:tcPr>
            <w:tcW w:w="1701" w:type="dxa"/>
          </w:tcPr>
          <w:p w14:paraId="77686BD5" w14:textId="77777777" w:rsidR="00D477E0" w:rsidRPr="00B75C09" w:rsidRDefault="00AD50AA" w:rsidP="00D477E0">
            <w:pPr>
              <w:pStyle w:val="T2"/>
              <w:jc w:val="right"/>
              <w:rPr>
                <w:b/>
                <w:bCs/>
              </w:rPr>
            </w:pPr>
            <w:r>
              <w:rPr>
                <w:b/>
                <w:bCs/>
              </w:rPr>
              <w:t>(5.8)</w:t>
            </w:r>
          </w:p>
        </w:tc>
        <w:tc>
          <w:tcPr>
            <w:tcW w:w="1701" w:type="dxa"/>
            <w:vAlign w:val="bottom"/>
          </w:tcPr>
          <w:p w14:paraId="7BFDB60C" w14:textId="77777777" w:rsidR="00D477E0" w:rsidRDefault="00D477E0" w:rsidP="00D477E0">
            <w:pPr>
              <w:pStyle w:val="T2"/>
              <w:jc w:val="right"/>
            </w:pPr>
            <w:r w:rsidRPr="0096767F">
              <w:rPr>
                <w:bCs/>
              </w:rPr>
              <w:t>–</w:t>
            </w:r>
          </w:p>
        </w:tc>
      </w:tr>
      <w:tr w:rsidR="00D477E0" w14:paraId="1AD57828" w14:textId="77777777" w:rsidTr="00FD7948">
        <w:trPr>
          <w:jc w:val="center"/>
        </w:trPr>
        <w:tc>
          <w:tcPr>
            <w:tcW w:w="7087" w:type="dxa"/>
            <w:vAlign w:val="bottom"/>
          </w:tcPr>
          <w:p w14:paraId="157926C5" w14:textId="77777777" w:rsidR="00D477E0" w:rsidRPr="00765393" w:rsidRDefault="00D477E0" w:rsidP="00D477E0">
            <w:pPr>
              <w:pStyle w:val="T2"/>
              <w:jc w:val="left"/>
            </w:pPr>
            <w:r w:rsidRPr="00765393">
              <w:t>Cash flow hedges:</w:t>
            </w:r>
          </w:p>
        </w:tc>
        <w:tc>
          <w:tcPr>
            <w:tcW w:w="1701" w:type="dxa"/>
          </w:tcPr>
          <w:p w14:paraId="63D10AB6" w14:textId="77777777" w:rsidR="00D477E0" w:rsidRPr="00B535FA" w:rsidRDefault="00D477E0" w:rsidP="00D477E0">
            <w:pPr>
              <w:pStyle w:val="T2"/>
              <w:jc w:val="right"/>
              <w:rPr>
                <w:b/>
                <w:bCs/>
              </w:rPr>
            </w:pPr>
          </w:p>
        </w:tc>
        <w:tc>
          <w:tcPr>
            <w:tcW w:w="1701" w:type="dxa"/>
            <w:vAlign w:val="bottom"/>
          </w:tcPr>
          <w:p w14:paraId="6594DC54" w14:textId="77777777" w:rsidR="00D477E0" w:rsidRDefault="00D477E0" w:rsidP="00D477E0">
            <w:pPr>
              <w:pStyle w:val="T2"/>
              <w:jc w:val="right"/>
            </w:pPr>
          </w:p>
        </w:tc>
      </w:tr>
      <w:tr w:rsidR="00D477E0" w14:paraId="3CA56FF7" w14:textId="77777777" w:rsidTr="00FD7948">
        <w:trPr>
          <w:jc w:val="center"/>
        </w:trPr>
        <w:tc>
          <w:tcPr>
            <w:tcW w:w="7087" w:type="dxa"/>
            <w:vAlign w:val="bottom"/>
          </w:tcPr>
          <w:p w14:paraId="0A6F50C1" w14:textId="77777777" w:rsidR="00D477E0" w:rsidRPr="00765393" w:rsidRDefault="00D477E0" w:rsidP="00D477E0">
            <w:pPr>
              <w:pStyle w:val="T2"/>
              <w:jc w:val="left"/>
            </w:pPr>
            <w:r>
              <w:t xml:space="preserve">     </w:t>
            </w:r>
            <w:r w:rsidRPr="00765393">
              <w:t>fair value movement taken to equity</w:t>
            </w:r>
          </w:p>
        </w:tc>
        <w:tc>
          <w:tcPr>
            <w:tcW w:w="1701" w:type="dxa"/>
          </w:tcPr>
          <w:p w14:paraId="6B79B4C2" w14:textId="77777777" w:rsidR="00D477E0" w:rsidRPr="00B535FA" w:rsidRDefault="00AD50AA" w:rsidP="00D439D4">
            <w:pPr>
              <w:pStyle w:val="T2"/>
              <w:jc w:val="right"/>
              <w:rPr>
                <w:b/>
                <w:bCs/>
              </w:rPr>
            </w:pPr>
            <w:r>
              <w:rPr>
                <w:b/>
                <w:bCs/>
              </w:rPr>
              <w:t>(0.</w:t>
            </w:r>
            <w:r w:rsidR="000F1ADC">
              <w:rPr>
                <w:b/>
                <w:bCs/>
              </w:rPr>
              <w:t>8</w:t>
            </w:r>
            <w:r>
              <w:rPr>
                <w:b/>
                <w:bCs/>
              </w:rPr>
              <w:t>)</w:t>
            </w:r>
          </w:p>
        </w:tc>
        <w:tc>
          <w:tcPr>
            <w:tcW w:w="1701" w:type="dxa"/>
            <w:vAlign w:val="bottom"/>
          </w:tcPr>
          <w:p w14:paraId="37185C9B" w14:textId="77777777" w:rsidR="00D477E0" w:rsidRDefault="00D477E0" w:rsidP="00D477E0">
            <w:pPr>
              <w:pStyle w:val="T2"/>
              <w:jc w:val="right"/>
            </w:pPr>
            <w:r>
              <w:rPr>
                <w:bCs/>
              </w:rPr>
              <w:t>2.4</w:t>
            </w:r>
            <w:r w:rsidRPr="0096767F">
              <w:rPr>
                <w:bCs/>
              </w:rPr>
              <w:t xml:space="preserve"> </w:t>
            </w:r>
          </w:p>
        </w:tc>
      </w:tr>
      <w:tr w:rsidR="00D477E0" w14:paraId="4A0B8005" w14:textId="77777777" w:rsidTr="00FD7948">
        <w:trPr>
          <w:jc w:val="center"/>
        </w:trPr>
        <w:tc>
          <w:tcPr>
            <w:tcW w:w="7087" w:type="dxa"/>
            <w:tcBorders>
              <w:bottom w:val="single" w:sz="2" w:space="0" w:color="auto"/>
            </w:tcBorders>
            <w:vAlign w:val="bottom"/>
          </w:tcPr>
          <w:p w14:paraId="31C51F69" w14:textId="77777777" w:rsidR="00D477E0" w:rsidRPr="00765393" w:rsidRDefault="00D477E0" w:rsidP="00D477E0">
            <w:pPr>
              <w:pStyle w:val="T2"/>
              <w:jc w:val="left"/>
            </w:pPr>
            <w:r>
              <w:t xml:space="preserve">     </w:t>
            </w:r>
            <w:r w:rsidRPr="00765393">
              <w:t>transfer to Income Statement for the period</w:t>
            </w:r>
          </w:p>
        </w:tc>
        <w:tc>
          <w:tcPr>
            <w:tcW w:w="1701" w:type="dxa"/>
            <w:tcBorders>
              <w:bottom w:val="single" w:sz="2" w:space="0" w:color="auto"/>
            </w:tcBorders>
          </w:tcPr>
          <w:p w14:paraId="7252E053" w14:textId="77777777" w:rsidR="00D477E0" w:rsidRPr="00B535FA" w:rsidRDefault="00D439D4" w:rsidP="0041734A">
            <w:pPr>
              <w:pStyle w:val="T2"/>
              <w:jc w:val="right"/>
              <w:rPr>
                <w:b/>
                <w:bCs/>
              </w:rPr>
            </w:pPr>
            <w:r>
              <w:rPr>
                <w:b/>
                <w:bCs/>
              </w:rPr>
              <w:t>0.</w:t>
            </w:r>
            <w:r w:rsidR="000F1ADC">
              <w:rPr>
                <w:b/>
                <w:bCs/>
              </w:rPr>
              <w:t>6</w:t>
            </w:r>
          </w:p>
        </w:tc>
        <w:tc>
          <w:tcPr>
            <w:tcW w:w="1701" w:type="dxa"/>
            <w:tcBorders>
              <w:bottom w:val="single" w:sz="2" w:space="0" w:color="auto"/>
            </w:tcBorders>
            <w:vAlign w:val="bottom"/>
          </w:tcPr>
          <w:p w14:paraId="7074C08B" w14:textId="77777777" w:rsidR="00D477E0" w:rsidRDefault="00D477E0" w:rsidP="00D477E0">
            <w:pPr>
              <w:pStyle w:val="T2"/>
              <w:jc w:val="right"/>
            </w:pPr>
            <w:r>
              <w:rPr>
                <w:bCs/>
              </w:rPr>
              <w:t>0.1</w:t>
            </w:r>
          </w:p>
        </w:tc>
      </w:tr>
      <w:tr w:rsidR="00D477E0" w14:paraId="5260D832" w14:textId="77777777" w:rsidTr="00FD7948">
        <w:trPr>
          <w:jc w:val="center"/>
        </w:trPr>
        <w:tc>
          <w:tcPr>
            <w:tcW w:w="7087" w:type="dxa"/>
            <w:tcBorders>
              <w:top w:val="single" w:sz="2" w:space="0" w:color="auto"/>
              <w:bottom w:val="single" w:sz="2" w:space="0" w:color="auto"/>
            </w:tcBorders>
          </w:tcPr>
          <w:p w14:paraId="363B0C78" w14:textId="77777777" w:rsidR="00D477E0" w:rsidRPr="00765393" w:rsidRDefault="00D477E0" w:rsidP="00D477E0">
            <w:pPr>
              <w:pStyle w:val="T2"/>
              <w:jc w:val="left"/>
            </w:pPr>
          </w:p>
        </w:tc>
        <w:tc>
          <w:tcPr>
            <w:tcW w:w="1701" w:type="dxa"/>
            <w:tcBorders>
              <w:top w:val="single" w:sz="2" w:space="0" w:color="auto"/>
              <w:bottom w:val="single" w:sz="2" w:space="0" w:color="auto"/>
            </w:tcBorders>
          </w:tcPr>
          <w:p w14:paraId="125A2A78" w14:textId="77777777" w:rsidR="00D477E0" w:rsidRPr="00B535FA" w:rsidRDefault="00AD50AA" w:rsidP="00D439D4">
            <w:pPr>
              <w:pStyle w:val="T2"/>
              <w:jc w:val="right"/>
              <w:rPr>
                <w:b/>
                <w:bCs/>
              </w:rPr>
            </w:pPr>
            <w:r>
              <w:rPr>
                <w:b/>
                <w:bCs/>
              </w:rPr>
              <w:t>(10.</w:t>
            </w:r>
            <w:r w:rsidR="00863360">
              <w:rPr>
                <w:b/>
                <w:bCs/>
              </w:rPr>
              <w:t>4</w:t>
            </w:r>
            <w:r>
              <w:rPr>
                <w:b/>
                <w:bCs/>
              </w:rPr>
              <w:t>)</w:t>
            </w:r>
          </w:p>
        </w:tc>
        <w:tc>
          <w:tcPr>
            <w:tcW w:w="1701" w:type="dxa"/>
            <w:tcBorders>
              <w:top w:val="single" w:sz="2" w:space="0" w:color="auto"/>
              <w:bottom w:val="single" w:sz="2" w:space="0" w:color="auto"/>
            </w:tcBorders>
            <w:vAlign w:val="bottom"/>
          </w:tcPr>
          <w:p w14:paraId="281BED06" w14:textId="77777777" w:rsidR="00D477E0" w:rsidRDefault="00D477E0" w:rsidP="00D477E0">
            <w:pPr>
              <w:pStyle w:val="T2"/>
              <w:jc w:val="right"/>
            </w:pPr>
            <w:r>
              <w:rPr>
                <w:bCs/>
              </w:rPr>
              <w:t>3.5</w:t>
            </w:r>
          </w:p>
        </w:tc>
      </w:tr>
      <w:tr w:rsidR="00D477E0" w14:paraId="2AED3DB9" w14:textId="77777777" w:rsidTr="00FD7948">
        <w:trPr>
          <w:jc w:val="center"/>
        </w:trPr>
        <w:tc>
          <w:tcPr>
            <w:tcW w:w="7087" w:type="dxa"/>
            <w:tcBorders>
              <w:top w:val="single" w:sz="2" w:space="0" w:color="auto"/>
            </w:tcBorders>
          </w:tcPr>
          <w:p w14:paraId="6852C7E9" w14:textId="77777777" w:rsidR="00D477E0" w:rsidRPr="00765393" w:rsidRDefault="00D477E0" w:rsidP="00D477E0">
            <w:pPr>
              <w:pStyle w:val="T2"/>
              <w:jc w:val="left"/>
            </w:pPr>
            <w:r w:rsidRPr="00765393">
              <w:t>Net income recognised directly within equity</w:t>
            </w:r>
          </w:p>
        </w:tc>
        <w:tc>
          <w:tcPr>
            <w:tcW w:w="1701" w:type="dxa"/>
            <w:tcBorders>
              <w:top w:val="single" w:sz="2" w:space="0" w:color="auto"/>
            </w:tcBorders>
          </w:tcPr>
          <w:p w14:paraId="4ACC1601" w14:textId="77777777" w:rsidR="00D477E0" w:rsidRPr="00D439D4" w:rsidRDefault="00863360" w:rsidP="00D477E0">
            <w:pPr>
              <w:pStyle w:val="T2"/>
              <w:jc w:val="right"/>
              <w:rPr>
                <w:b/>
                <w:bCs/>
              </w:rPr>
            </w:pPr>
            <w:r>
              <w:rPr>
                <w:b/>
                <w:bCs/>
              </w:rPr>
              <w:t>(0.1)</w:t>
            </w:r>
          </w:p>
        </w:tc>
        <w:tc>
          <w:tcPr>
            <w:tcW w:w="1701" w:type="dxa"/>
            <w:tcBorders>
              <w:top w:val="single" w:sz="2" w:space="0" w:color="auto"/>
            </w:tcBorders>
            <w:vAlign w:val="bottom"/>
          </w:tcPr>
          <w:p w14:paraId="1274EE78" w14:textId="77777777" w:rsidR="00D477E0" w:rsidRDefault="00D477E0" w:rsidP="00D477E0">
            <w:pPr>
              <w:pStyle w:val="T2"/>
              <w:jc w:val="right"/>
            </w:pPr>
            <w:r>
              <w:rPr>
                <w:bCs/>
              </w:rPr>
              <w:t>32.8</w:t>
            </w:r>
          </w:p>
        </w:tc>
      </w:tr>
      <w:tr w:rsidR="00D477E0" w14:paraId="75CE98CA" w14:textId="77777777" w:rsidTr="001F1616">
        <w:trPr>
          <w:jc w:val="center"/>
        </w:trPr>
        <w:tc>
          <w:tcPr>
            <w:tcW w:w="7087" w:type="dxa"/>
            <w:tcBorders>
              <w:bottom w:val="single" w:sz="2" w:space="0" w:color="auto"/>
            </w:tcBorders>
          </w:tcPr>
          <w:p w14:paraId="6A65AAA9" w14:textId="77777777" w:rsidR="00D477E0" w:rsidRPr="00765393" w:rsidRDefault="00CC64F8" w:rsidP="00D477E0">
            <w:pPr>
              <w:pStyle w:val="T2"/>
              <w:jc w:val="left"/>
            </w:pPr>
            <w:r>
              <w:t xml:space="preserve">Result </w:t>
            </w:r>
            <w:r w:rsidR="00D477E0" w:rsidRPr="00765393">
              <w:t>for the financial period</w:t>
            </w:r>
          </w:p>
        </w:tc>
        <w:tc>
          <w:tcPr>
            <w:tcW w:w="1701" w:type="dxa"/>
            <w:tcBorders>
              <w:bottom w:val="single" w:sz="2" w:space="0" w:color="auto"/>
            </w:tcBorders>
          </w:tcPr>
          <w:p w14:paraId="59510809" w14:textId="77777777" w:rsidR="00D477E0" w:rsidRPr="00B535FA" w:rsidRDefault="00AD50AA" w:rsidP="0041734A">
            <w:pPr>
              <w:pStyle w:val="T2"/>
              <w:jc w:val="right"/>
              <w:rPr>
                <w:b/>
                <w:bCs/>
              </w:rPr>
            </w:pPr>
            <w:r>
              <w:rPr>
                <w:b/>
                <w:bCs/>
              </w:rPr>
              <w:t>0.</w:t>
            </w:r>
            <w:r w:rsidR="00E9079C">
              <w:rPr>
                <w:b/>
                <w:bCs/>
              </w:rPr>
              <w:t>4</w:t>
            </w:r>
          </w:p>
        </w:tc>
        <w:tc>
          <w:tcPr>
            <w:tcW w:w="1701" w:type="dxa"/>
            <w:tcBorders>
              <w:bottom w:val="single" w:sz="2" w:space="0" w:color="auto"/>
            </w:tcBorders>
            <w:vAlign w:val="bottom"/>
          </w:tcPr>
          <w:p w14:paraId="14AE17AA" w14:textId="77777777" w:rsidR="00D477E0" w:rsidRDefault="00D477E0" w:rsidP="00D477E0">
            <w:pPr>
              <w:pStyle w:val="T2"/>
              <w:jc w:val="right"/>
            </w:pPr>
            <w:r>
              <w:rPr>
                <w:bCs/>
              </w:rPr>
              <w:t>24.2</w:t>
            </w:r>
          </w:p>
        </w:tc>
      </w:tr>
      <w:tr w:rsidR="00D477E0" w14:paraId="5362021F" w14:textId="77777777" w:rsidTr="001F1616">
        <w:trPr>
          <w:jc w:val="center"/>
        </w:trPr>
        <w:tc>
          <w:tcPr>
            <w:tcW w:w="7087" w:type="dxa"/>
            <w:tcBorders>
              <w:top w:val="single" w:sz="2" w:space="0" w:color="auto"/>
              <w:bottom w:val="single" w:sz="2" w:space="0" w:color="auto"/>
            </w:tcBorders>
          </w:tcPr>
          <w:p w14:paraId="11C87AE4" w14:textId="77777777" w:rsidR="00D477E0" w:rsidRPr="00704CCC" w:rsidRDefault="00D477E0" w:rsidP="00D477E0">
            <w:pPr>
              <w:pStyle w:val="T2"/>
              <w:jc w:val="left"/>
              <w:rPr>
                <w:b/>
              </w:rPr>
            </w:pPr>
            <w:r w:rsidRPr="00704CCC">
              <w:rPr>
                <w:b/>
              </w:rPr>
              <w:t xml:space="preserve">Total </w:t>
            </w:r>
            <w:r>
              <w:rPr>
                <w:b/>
              </w:rPr>
              <w:t>comprehensive</w:t>
            </w:r>
            <w:r w:rsidRPr="00704CCC">
              <w:rPr>
                <w:b/>
              </w:rPr>
              <w:t xml:space="preserve"> income for the financial period</w:t>
            </w:r>
          </w:p>
        </w:tc>
        <w:tc>
          <w:tcPr>
            <w:tcW w:w="1701" w:type="dxa"/>
            <w:tcBorders>
              <w:top w:val="single" w:sz="2" w:space="0" w:color="auto"/>
              <w:bottom w:val="single" w:sz="2" w:space="0" w:color="auto"/>
            </w:tcBorders>
          </w:tcPr>
          <w:p w14:paraId="531F39E5" w14:textId="77777777" w:rsidR="00D477E0" w:rsidRPr="00B535FA" w:rsidRDefault="00D439D4">
            <w:pPr>
              <w:pStyle w:val="T2"/>
              <w:jc w:val="right"/>
              <w:rPr>
                <w:b/>
                <w:bCs/>
              </w:rPr>
            </w:pPr>
            <w:r>
              <w:rPr>
                <w:b/>
                <w:bCs/>
              </w:rPr>
              <w:t>0.</w:t>
            </w:r>
            <w:r w:rsidR="00863360">
              <w:rPr>
                <w:b/>
                <w:bCs/>
              </w:rPr>
              <w:t>3</w:t>
            </w:r>
          </w:p>
        </w:tc>
        <w:tc>
          <w:tcPr>
            <w:tcW w:w="1701" w:type="dxa"/>
            <w:tcBorders>
              <w:top w:val="single" w:sz="2" w:space="0" w:color="auto"/>
              <w:bottom w:val="single" w:sz="2" w:space="0" w:color="auto"/>
            </w:tcBorders>
            <w:vAlign w:val="bottom"/>
          </w:tcPr>
          <w:p w14:paraId="6FFCE174" w14:textId="77777777" w:rsidR="00D477E0" w:rsidRDefault="00D477E0" w:rsidP="00D477E0">
            <w:pPr>
              <w:pStyle w:val="T2"/>
              <w:jc w:val="right"/>
            </w:pPr>
            <w:r>
              <w:rPr>
                <w:bCs/>
              </w:rPr>
              <w:t>57.0</w:t>
            </w:r>
          </w:p>
        </w:tc>
      </w:tr>
      <w:tr w:rsidR="00D477E0" w14:paraId="6F5083D5" w14:textId="77777777" w:rsidTr="001F1616">
        <w:trPr>
          <w:jc w:val="center"/>
        </w:trPr>
        <w:tc>
          <w:tcPr>
            <w:tcW w:w="7087" w:type="dxa"/>
            <w:tcBorders>
              <w:top w:val="single" w:sz="2" w:space="0" w:color="auto"/>
            </w:tcBorders>
          </w:tcPr>
          <w:p w14:paraId="71F83726" w14:textId="77777777" w:rsidR="00D477E0" w:rsidRPr="00765393" w:rsidRDefault="00D477E0" w:rsidP="00D477E0">
            <w:pPr>
              <w:pStyle w:val="T2"/>
              <w:jc w:val="left"/>
            </w:pPr>
          </w:p>
        </w:tc>
        <w:tc>
          <w:tcPr>
            <w:tcW w:w="1701" w:type="dxa"/>
            <w:tcBorders>
              <w:top w:val="single" w:sz="2" w:space="0" w:color="auto"/>
            </w:tcBorders>
            <w:vAlign w:val="bottom"/>
          </w:tcPr>
          <w:p w14:paraId="5A68AF7A" w14:textId="77777777" w:rsidR="00D477E0" w:rsidRPr="005D0EFF" w:rsidRDefault="00D477E0" w:rsidP="00D477E0">
            <w:pPr>
              <w:pStyle w:val="T2"/>
              <w:jc w:val="right"/>
              <w:rPr>
                <w:bCs/>
              </w:rPr>
            </w:pPr>
          </w:p>
        </w:tc>
        <w:tc>
          <w:tcPr>
            <w:tcW w:w="1701" w:type="dxa"/>
            <w:tcBorders>
              <w:top w:val="single" w:sz="2" w:space="0" w:color="auto"/>
            </w:tcBorders>
            <w:vAlign w:val="bottom"/>
          </w:tcPr>
          <w:p w14:paraId="7D20D321" w14:textId="77777777" w:rsidR="00D477E0" w:rsidRDefault="00D477E0" w:rsidP="00D477E0">
            <w:pPr>
              <w:pStyle w:val="T2"/>
              <w:jc w:val="right"/>
            </w:pPr>
          </w:p>
        </w:tc>
      </w:tr>
      <w:tr w:rsidR="00D477E0" w14:paraId="59363CB4" w14:textId="77777777" w:rsidTr="005B3BEE">
        <w:trPr>
          <w:jc w:val="center"/>
        </w:trPr>
        <w:tc>
          <w:tcPr>
            <w:tcW w:w="7087" w:type="dxa"/>
            <w:vAlign w:val="bottom"/>
          </w:tcPr>
          <w:p w14:paraId="7EDE837A" w14:textId="77777777" w:rsidR="00D477E0" w:rsidRPr="00704CCC" w:rsidRDefault="00D477E0" w:rsidP="00D477E0">
            <w:pPr>
              <w:pStyle w:val="T2"/>
              <w:jc w:val="left"/>
              <w:rPr>
                <w:b/>
              </w:rPr>
            </w:pPr>
            <w:r w:rsidRPr="00704CCC">
              <w:rPr>
                <w:b/>
              </w:rPr>
              <w:t>Attributable to:</w:t>
            </w:r>
          </w:p>
        </w:tc>
        <w:tc>
          <w:tcPr>
            <w:tcW w:w="1701" w:type="dxa"/>
            <w:vAlign w:val="bottom"/>
          </w:tcPr>
          <w:p w14:paraId="3966DE53" w14:textId="77777777" w:rsidR="00D477E0" w:rsidRPr="005D0EFF" w:rsidRDefault="00D477E0" w:rsidP="00D477E0">
            <w:pPr>
              <w:pStyle w:val="T2"/>
              <w:jc w:val="right"/>
              <w:rPr>
                <w:bCs/>
              </w:rPr>
            </w:pPr>
          </w:p>
        </w:tc>
        <w:tc>
          <w:tcPr>
            <w:tcW w:w="1701" w:type="dxa"/>
            <w:vAlign w:val="bottom"/>
          </w:tcPr>
          <w:p w14:paraId="3A6BEB7F" w14:textId="77777777" w:rsidR="00D477E0" w:rsidRDefault="00D477E0" w:rsidP="00D477E0">
            <w:pPr>
              <w:pStyle w:val="T2"/>
              <w:jc w:val="right"/>
            </w:pPr>
          </w:p>
        </w:tc>
      </w:tr>
      <w:tr w:rsidR="00D477E0" w14:paraId="5C33FCC4" w14:textId="77777777" w:rsidTr="00FD7948">
        <w:trPr>
          <w:jc w:val="center"/>
        </w:trPr>
        <w:tc>
          <w:tcPr>
            <w:tcW w:w="7087" w:type="dxa"/>
            <w:vAlign w:val="bottom"/>
          </w:tcPr>
          <w:p w14:paraId="10C3AFDE" w14:textId="77777777" w:rsidR="00D477E0" w:rsidRPr="00765393" w:rsidRDefault="00D477E0" w:rsidP="00D477E0">
            <w:pPr>
              <w:pStyle w:val="T2"/>
              <w:jc w:val="left"/>
            </w:pPr>
            <w:r w:rsidRPr="00765393">
              <w:t>Equity</w:t>
            </w:r>
            <w:r>
              <w:t xml:space="preserve"> Shareholders</w:t>
            </w:r>
          </w:p>
        </w:tc>
        <w:tc>
          <w:tcPr>
            <w:tcW w:w="1701" w:type="dxa"/>
          </w:tcPr>
          <w:p w14:paraId="3E3E8F65" w14:textId="2FCE8C54" w:rsidR="00D477E0" w:rsidRPr="00863360" w:rsidRDefault="006316BB" w:rsidP="00874753">
            <w:pPr>
              <w:pStyle w:val="T2"/>
              <w:tabs>
                <w:tab w:val="center" w:pos="742"/>
                <w:tab w:val="right" w:pos="1485"/>
              </w:tabs>
              <w:jc w:val="right"/>
              <w:rPr>
                <w:b/>
                <w:bCs/>
              </w:rPr>
            </w:pPr>
            <w:r>
              <w:rPr>
                <w:b/>
                <w:bCs/>
              </w:rPr>
              <w:t>6.0</w:t>
            </w:r>
          </w:p>
        </w:tc>
        <w:tc>
          <w:tcPr>
            <w:tcW w:w="1701" w:type="dxa"/>
            <w:vAlign w:val="bottom"/>
          </w:tcPr>
          <w:p w14:paraId="010FF4EE" w14:textId="77777777" w:rsidR="00D477E0" w:rsidRDefault="00D477E0" w:rsidP="00D477E0">
            <w:pPr>
              <w:pStyle w:val="T2"/>
              <w:jc w:val="right"/>
            </w:pPr>
            <w:r>
              <w:rPr>
                <w:bCs/>
              </w:rPr>
              <w:t>56.1</w:t>
            </w:r>
          </w:p>
        </w:tc>
      </w:tr>
      <w:tr w:rsidR="00D477E0" w14:paraId="284CB073" w14:textId="77777777" w:rsidTr="001F1616">
        <w:trPr>
          <w:jc w:val="center"/>
        </w:trPr>
        <w:tc>
          <w:tcPr>
            <w:tcW w:w="7087" w:type="dxa"/>
            <w:tcBorders>
              <w:bottom w:val="single" w:sz="2" w:space="0" w:color="auto"/>
            </w:tcBorders>
            <w:vAlign w:val="bottom"/>
          </w:tcPr>
          <w:p w14:paraId="5174CEC9" w14:textId="77777777" w:rsidR="00D477E0" w:rsidRPr="00765393" w:rsidRDefault="00D477E0" w:rsidP="00D477E0">
            <w:pPr>
              <w:pStyle w:val="T2"/>
              <w:jc w:val="left"/>
            </w:pPr>
            <w:r w:rsidRPr="00765393">
              <w:t>Non</w:t>
            </w:r>
            <w:r>
              <w:t>–</w:t>
            </w:r>
            <w:r w:rsidRPr="00765393">
              <w:t>controlling interests</w:t>
            </w:r>
          </w:p>
        </w:tc>
        <w:tc>
          <w:tcPr>
            <w:tcW w:w="1701" w:type="dxa"/>
            <w:tcBorders>
              <w:bottom w:val="single" w:sz="2" w:space="0" w:color="auto"/>
            </w:tcBorders>
          </w:tcPr>
          <w:p w14:paraId="092DC353" w14:textId="77777777" w:rsidR="00D477E0" w:rsidRPr="00B535FA" w:rsidRDefault="006316BB" w:rsidP="00D477E0">
            <w:pPr>
              <w:pStyle w:val="T2"/>
              <w:jc w:val="right"/>
              <w:rPr>
                <w:b/>
                <w:bCs/>
              </w:rPr>
            </w:pPr>
            <w:r>
              <w:rPr>
                <w:b/>
                <w:bCs/>
              </w:rPr>
              <w:t>(5.7)</w:t>
            </w:r>
          </w:p>
        </w:tc>
        <w:tc>
          <w:tcPr>
            <w:tcW w:w="1701" w:type="dxa"/>
            <w:tcBorders>
              <w:bottom w:val="single" w:sz="2" w:space="0" w:color="auto"/>
            </w:tcBorders>
            <w:vAlign w:val="bottom"/>
          </w:tcPr>
          <w:p w14:paraId="3BAAF383" w14:textId="77777777" w:rsidR="00D477E0" w:rsidRDefault="00D477E0" w:rsidP="00D477E0">
            <w:pPr>
              <w:pStyle w:val="T2"/>
              <w:jc w:val="right"/>
            </w:pPr>
            <w:r>
              <w:rPr>
                <w:bCs/>
              </w:rPr>
              <w:t>0.9</w:t>
            </w:r>
          </w:p>
        </w:tc>
      </w:tr>
      <w:tr w:rsidR="00D477E0" w14:paraId="072F63F3" w14:textId="77777777" w:rsidTr="001F1616">
        <w:trPr>
          <w:jc w:val="center"/>
        </w:trPr>
        <w:tc>
          <w:tcPr>
            <w:tcW w:w="7087" w:type="dxa"/>
            <w:tcBorders>
              <w:top w:val="single" w:sz="2" w:space="0" w:color="auto"/>
              <w:bottom w:val="single" w:sz="2" w:space="0" w:color="auto"/>
            </w:tcBorders>
            <w:vAlign w:val="bottom"/>
          </w:tcPr>
          <w:p w14:paraId="2119E6AC" w14:textId="77777777" w:rsidR="00D477E0" w:rsidRPr="00704CCC" w:rsidRDefault="00D477E0" w:rsidP="00D477E0">
            <w:pPr>
              <w:pStyle w:val="T2"/>
              <w:jc w:val="left"/>
              <w:rPr>
                <w:b/>
              </w:rPr>
            </w:pPr>
            <w:r>
              <w:rPr>
                <w:b/>
              </w:rPr>
              <w:t>Total comprehensive</w:t>
            </w:r>
            <w:r w:rsidRPr="00704CCC">
              <w:rPr>
                <w:b/>
              </w:rPr>
              <w:t xml:space="preserve"> income for the financial period</w:t>
            </w:r>
          </w:p>
        </w:tc>
        <w:tc>
          <w:tcPr>
            <w:tcW w:w="1701" w:type="dxa"/>
            <w:tcBorders>
              <w:top w:val="single" w:sz="2" w:space="0" w:color="auto"/>
              <w:bottom w:val="single" w:sz="2" w:space="0" w:color="auto"/>
            </w:tcBorders>
          </w:tcPr>
          <w:p w14:paraId="79B3257B" w14:textId="77777777" w:rsidR="00D477E0" w:rsidRPr="00B535FA" w:rsidRDefault="00D439D4">
            <w:pPr>
              <w:pStyle w:val="T2"/>
              <w:jc w:val="right"/>
              <w:rPr>
                <w:b/>
                <w:bCs/>
              </w:rPr>
            </w:pPr>
            <w:r>
              <w:rPr>
                <w:b/>
                <w:bCs/>
              </w:rPr>
              <w:t>0.</w:t>
            </w:r>
            <w:r w:rsidR="00863360">
              <w:rPr>
                <w:b/>
                <w:bCs/>
              </w:rPr>
              <w:t>3</w:t>
            </w:r>
          </w:p>
        </w:tc>
        <w:tc>
          <w:tcPr>
            <w:tcW w:w="1701" w:type="dxa"/>
            <w:tcBorders>
              <w:top w:val="single" w:sz="2" w:space="0" w:color="auto"/>
              <w:bottom w:val="single" w:sz="2" w:space="0" w:color="auto"/>
            </w:tcBorders>
            <w:vAlign w:val="bottom"/>
          </w:tcPr>
          <w:p w14:paraId="68B1C715" w14:textId="77777777" w:rsidR="00D477E0" w:rsidRDefault="00D477E0" w:rsidP="00D477E0">
            <w:pPr>
              <w:pStyle w:val="T2"/>
              <w:jc w:val="right"/>
            </w:pPr>
            <w:r>
              <w:rPr>
                <w:bCs/>
              </w:rPr>
              <w:t>57.0</w:t>
            </w:r>
          </w:p>
        </w:tc>
      </w:tr>
      <w:tr w:rsidR="00D477E0" w14:paraId="1D846C21" w14:textId="77777777" w:rsidTr="001F1616">
        <w:trPr>
          <w:jc w:val="center"/>
        </w:trPr>
        <w:tc>
          <w:tcPr>
            <w:tcW w:w="7087" w:type="dxa"/>
            <w:tcBorders>
              <w:top w:val="single" w:sz="2" w:space="0" w:color="auto"/>
            </w:tcBorders>
          </w:tcPr>
          <w:p w14:paraId="401A034C" w14:textId="77777777" w:rsidR="00D477E0" w:rsidRPr="00704CCC" w:rsidRDefault="00D477E0" w:rsidP="00D477E0">
            <w:pPr>
              <w:pStyle w:val="T2"/>
              <w:jc w:val="left"/>
              <w:rPr>
                <w:b/>
              </w:rPr>
            </w:pPr>
          </w:p>
        </w:tc>
        <w:tc>
          <w:tcPr>
            <w:tcW w:w="1701" w:type="dxa"/>
            <w:tcBorders>
              <w:top w:val="single" w:sz="2" w:space="0" w:color="auto"/>
            </w:tcBorders>
            <w:vAlign w:val="bottom"/>
          </w:tcPr>
          <w:p w14:paraId="40FD3FEB" w14:textId="77777777" w:rsidR="00D477E0" w:rsidRPr="005D0EFF" w:rsidRDefault="00D477E0" w:rsidP="00D477E0">
            <w:pPr>
              <w:pStyle w:val="T2"/>
              <w:jc w:val="right"/>
              <w:rPr>
                <w:bCs/>
              </w:rPr>
            </w:pPr>
          </w:p>
        </w:tc>
        <w:tc>
          <w:tcPr>
            <w:tcW w:w="1701" w:type="dxa"/>
            <w:tcBorders>
              <w:top w:val="single" w:sz="2" w:space="0" w:color="auto"/>
            </w:tcBorders>
            <w:vAlign w:val="bottom"/>
          </w:tcPr>
          <w:p w14:paraId="4E89F4E2" w14:textId="77777777" w:rsidR="00D477E0" w:rsidRDefault="00D477E0" w:rsidP="00D477E0">
            <w:pPr>
              <w:pStyle w:val="T2"/>
              <w:jc w:val="right"/>
            </w:pPr>
          </w:p>
        </w:tc>
      </w:tr>
    </w:tbl>
    <w:p w14:paraId="7C34E249" w14:textId="77777777" w:rsidR="009100FA" w:rsidRDefault="009100FA" w:rsidP="009100FA">
      <w:pPr>
        <w:pStyle w:val="Heading2"/>
        <w:ind w:left="-567"/>
      </w:pPr>
    </w:p>
    <w:p w14:paraId="13DA027C" w14:textId="77777777" w:rsidR="009100FA" w:rsidRDefault="009100FA" w:rsidP="009100FA">
      <w:pPr>
        <w:pStyle w:val="Heading2"/>
        <w:ind w:left="-142"/>
      </w:pPr>
      <w:r w:rsidRPr="006F55A8">
        <w:t xml:space="preserve">CONDENSED </w:t>
      </w:r>
      <w:r>
        <w:t xml:space="preserve">GROUP </w:t>
      </w:r>
      <w:r w:rsidRPr="006F55A8">
        <w:t xml:space="preserve">STATEMENT </w:t>
      </w:r>
      <w:r>
        <w:t>OF FINANCIAL POSITION</w:t>
      </w:r>
    </w:p>
    <w:p w14:paraId="2D9DFB2E" w14:textId="77777777" w:rsidR="009100FA" w:rsidRDefault="009100FA" w:rsidP="009100FA">
      <w:pPr>
        <w:pStyle w:val="Heading2"/>
        <w:ind w:left="-142"/>
      </w:pPr>
      <w:r>
        <w:t>as at</w:t>
      </w:r>
      <w:r w:rsidRPr="00E34FD1">
        <w:t xml:space="preserve"> </w:t>
      </w:r>
      <w:r>
        <w:t>26 March 2021</w:t>
      </w:r>
    </w:p>
    <w:p w14:paraId="20B9ED07" w14:textId="77777777" w:rsidR="008F0275" w:rsidRPr="008F0275" w:rsidRDefault="008F0275" w:rsidP="008F0275"/>
    <w:bookmarkEnd w:id="1"/>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709"/>
        <w:gridCol w:w="1512"/>
        <w:gridCol w:w="1512"/>
        <w:gridCol w:w="1512"/>
      </w:tblGrid>
      <w:tr w:rsidR="0040521A" w14:paraId="7C87A1A4" w14:textId="77777777" w:rsidTr="0040521A">
        <w:trPr>
          <w:jc w:val="center"/>
        </w:trPr>
        <w:tc>
          <w:tcPr>
            <w:tcW w:w="5387" w:type="dxa"/>
          </w:tcPr>
          <w:p w14:paraId="17C6ECCD" w14:textId="77777777" w:rsidR="0040521A" w:rsidRDefault="0040521A" w:rsidP="00D6564B">
            <w:pPr>
              <w:pStyle w:val="T2"/>
            </w:pPr>
          </w:p>
        </w:tc>
        <w:tc>
          <w:tcPr>
            <w:tcW w:w="709" w:type="dxa"/>
          </w:tcPr>
          <w:p w14:paraId="45774459" w14:textId="77777777" w:rsidR="0040521A" w:rsidRDefault="0040521A" w:rsidP="00D6564B">
            <w:pPr>
              <w:pStyle w:val="T2"/>
              <w:jc w:val="right"/>
            </w:pPr>
          </w:p>
        </w:tc>
        <w:tc>
          <w:tcPr>
            <w:tcW w:w="1512" w:type="dxa"/>
            <w:vAlign w:val="bottom"/>
          </w:tcPr>
          <w:p w14:paraId="0B85D5F0" w14:textId="77777777" w:rsidR="0040521A" w:rsidRDefault="0040521A" w:rsidP="00E651EE">
            <w:pPr>
              <w:pStyle w:val="T2"/>
              <w:jc w:val="right"/>
              <w:rPr>
                <w:b/>
              </w:rPr>
            </w:pPr>
            <w:r>
              <w:rPr>
                <w:b/>
              </w:rPr>
              <w:t xml:space="preserve">March </w:t>
            </w:r>
          </w:p>
          <w:p w14:paraId="286D163B" w14:textId="77777777" w:rsidR="0040521A" w:rsidRDefault="0040521A" w:rsidP="00E651EE">
            <w:pPr>
              <w:pStyle w:val="T2"/>
              <w:jc w:val="right"/>
              <w:rPr>
                <w:b/>
              </w:rPr>
            </w:pPr>
            <w:r>
              <w:rPr>
                <w:b/>
              </w:rPr>
              <w:t>2021</w:t>
            </w:r>
          </w:p>
          <w:p w14:paraId="7BFA9831" w14:textId="77777777" w:rsidR="0040521A" w:rsidRPr="007F7736" w:rsidRDefault="0040521A" w:rsidP="00E651EE">
            <w:pPr>
              <w:pStyle w:val="T2"/>
              <w:jc w:val="right"/>
              <w:rPr>
                <w:b/>
              </w:rPr>
            </w:pPr>
            <w:r w:rsidRPr="00A30CBB">
              <w:rPr>
                <w:b/>
              </w:rPr>
              <w:t>(Unaudited)</w:t>
            </w:r>
          </w:p>
        </w:tc>
        <w:tc>
          <w:tcPr>
            <w:tcW w:w="1512" w:type="dxa"/>
            <w:vAlign w:val="bottom"/>
          </w:tcPr>
          <w:p w14:paraId="57AD89EF" w14:textId="77777777" w:rsidR="0040521A" w:rsidRDefault="0040521A" w:rsidP="00E651EE">
            <w:pPr>
              <w:pStyle w:val="T2"/>
              <w:jc w:val="right"/>
            </w:pPr>
            <w:r>
              <w:t xml:space="preserve">September </w:t>
            </w:r>
          </w:p>
          <w:p w14:paraId="379172A9" w14:textId="77777777" w:rsidR="0040521A" w:rsidRDefault="0040521A" w:rsidP="00E651EE">
            <w:pPr>
              <w:pStyle w:val="T2"/>
              <w:jc w:val="right"/>
            </w:pPr>
            <w:r>
              <w:t>2020</w:t>
            </w:r>
          </w:p>
          <w:p w14:paraId="61E89941" w14:textId="77777777" w:rsidR="0040521A" w:rsidRDefault="0040521A" w:rsidP="00E651EE">
            <w:pPr>
              <w:pStyle w:val="T2"/>
              <w:jc w:val="right"/>
            </w:pPr>
            <w:r w:rsidRPr="00A30CBB">
              <w:t>(Audited</w:t>
            </w:r>
            <w:r>
              <w:t>)</w:t>
            </w:r>
          </w:p>
        </w:tc>
        <w:tc>
          <w:tcPr>
            <w:tcW w:w="1512" w:type="dxa"/>
          </w:tcPr>
          <w:p w14:paraId="334C46FA" w14:textId="77777777" w:rsidR="0040521A" w:rsidRDefault="0040521A" w:rsidP="00E651EE">
            <w:pPr>
              <w:pStyle w:val="T2"/>
              <w:jc w:val="right"/>
            </w:pPr>
            <w:r>
              <w:t xml:space="preserve">March </w:t>
            </w:r>
          </w:p>
          <w:p w14:paraId="104BC209" w14:textId="77777777" w:rsidR="0040521A" w:rsidRDefault="0040521A" w:rsidP="00E651EE">
            <w:pPr>
              <w:pStyle w:val="T2"/>
              <w:jc w:val="right"/>
            </w:pPr>
            <w:r>
              <w:t>2020</w:t>
            </w:r>
          </w:p>
          <w:p w14:paraId="455F853F" w14:textId="77777777" w:rsidR="0040521A" w:rsidRDefault="0040521A" w:rsidP="00E651EE">
            <w:pPr>
              <w:pStyle w:val="T2"/>
              <w:jc w:val="right"/>
            </w:pPr>
            <w:r>
              <w:t>(unaudited)</w:t>
            </w:r>
            <w:r w:rsidR="00EE0C86">
              <w:t>*</w:t>
            </w:r>
          </w:p>
        </w:tc>
      </w:tr>
      <w:tr w:rsidR="0040521A" w14:paraId="288ED12F" w14:textId="77777777" w:rsidTr="0040521A">
        <w:trPr>
          <w:jc w:val="center"/>
        </w:trPr>
        <w:tc>
          <w:tcPr>
            <w:tcW w:w="5387" w:type="dxa"/>
            <w:tcBorders>
              <w:bottom w:val="single" w:sz="2" w:space="0" w:color="auto"/>
            </w:tcBorders>
          </w:tcPr>
          <w:p w14:paraId="7A511606" w14:textId="77777777" w:rsidR="0040521A" w:rsidRDefault="0040521A" w:rsidP="00D6564B">
            <w:pPr>
              <w:pStyle w:val="T2"/>
            </w:pPr>
          </w:p>
        </w:tc>
        <w:tc>
          <w:tcPr>
            <w:tcW w:w="709" w:type="dxa"/>
            <w:tcBorders>
              <w:bottom w:val="single" w:sz="2" w:space="0" w:color="auto"/>
            </w:tcBorders>
          </w:tcPr>
          <w:p w14:paraId="13C6D15A" w14:textId="77777777" w:rsidR="0040521A" w:rsidRDefault="0040521A" w:rsidP="00D6564B">
            <w:pPr>
              <w:pStyle w:val="T2"/>
              <w:jc w:val="right"/>
            </w:pPr>
            <w:r>
              <w:t>Notes</w:t>
            </w:r>
          </w:p>
        </w:tc>
        <w:tc>
          <w:tcPr>
            <w:tcW w:w="1512" w:type="dxa"/>
            <w:tcBorders>
              <w:bottom w:val="single" w:sz="2" w:space="0" w:color="auto"/>
            </w:tcBorders>
          </w:tcPr>
          <w:p w14:paraId="4D5A3632" w14:textId="77777777" w:rsidR="0040521A" w:rsidRPr="007F7736" w:rsidRDefault="0040521A" w:rsidP="00D6564B">
            <w:pPr>
              <w:pStyle w:val="T2"/>
              <w:jc w:val="right"/>
              <w:rPr>
                <w:b/>
              </w:rPr>
            </w:pPr>
            <w:r w:rsidRPr="00A30CBB">
              <w:rPr>
                <w:b/>
              </w:rPr>
              <w:t>£m</w:t>
            </w:r>
          </w:p>
        </w:tc>
        <w:tc>
          <w:tcPr>
            <w:tcW w:w="1512" w:type="dxa"/>
            <w:tcBorders>
              <w:bottom w:val="single" w:sz="2" w:space="0" w:color="auto"/>
            </w:tcBorders>
          </w:tcPr>
          <w:p w14:paraId="18DE0777" w14:textId="77777777" w:rsidR="0040521A" w:rsidRDefault="0040521A" w:rsidP="00D6564B">
            <w:pPr>
              <w:pStyle w:val="T2"/>
              <w:jc w:val="right"/>
            </w:pPr>
            <w:r w:rsidRPr="00A30CBB">
              <w:t>£m</w:t>
            </w:r>
          </w:p>
        </w:tc>
        <w:tc>
          <w:tcPr>
            <w:tcW w:w="1512" w:type="dxa"/>
            <w:tcBorders>
              <w:bottom w:val="single" w:sz="2" w:space="0" w:color="auto"/>
            </w:tcBorders>
          </w:tcPr>
          <w:p w14:paraId="18D117E8" w14:textId="77777777" w:rsidR="0040521A" w:rsidRPr="00A30CBB" w:rsidRDefault="0040521A" w:rsidP="00D6564B">
            <w:pPr>
              <w:pStyle w:val="T2"/>
              <w:jc w:val="right"/>
            </w:pPr>
            <w:r>
              <w:t>£m</w:t>
            </w:r>
          </w:p>
        </w:tc>
      </w:tr>
      <w:tr w:rsidR="0040521A" w14:paraId="2B1979F3" w14:textId="77777777" w:rsidTr="0040521A">
        <w:trPr>
          <w:jc w:val="center"/>
        </w:trPr>
        <w:tc>
          <w:tcPr>
            <w:tcW w:w="5387" w:type="dxa"/>
            <w:tcBorders>
              <w:top w:val="single" w:sz="2" w:space="0" w:color="auto"/>
            </w:tcBorders>
          </w:tcPr>
          <w:p w14:paraId="09FBD0DE" w14:textId="77777777" w:rsidR="0040521A" w:rsidRPr="00D515EB" w:rsidRDefault="0040521A" w:rsidP="00D6564B">
            <w:pPr>
              <w:pStyle w:val="T2"/>
              <w:jc w:val="left"/>
              <w:rPr>
                <w:b/>
              </w:rPr>
            </w:pPr>
            <w:r w:rsidRPr="00D515EB">
              <w:rPr>
                <w:b/>
              </w:rPr>
              <w:lastRenderedPageBreak/>
              <w:t>ASSETS</w:t>
            </w:r>
          </w:p>
        </w:tc>
        <w:tc>
          <w:tcPr>
            <w:tcW w:w="709" w:type="dxa"/>
            <w:tcBorders>
              <w:top w:val="single" w:sz="2" w:space="0" w:color="auto"/>
            </w:tcBorders>
          </w:tcPr>
          <w:p w14:paraId="1C88917E" w14:textId="77777777" w:rsidR="0040521A" w:rsidRPr="004A4F57" w:rsidRDefault="0040521A" w:rsidP="00D6564B">
            <w:pPr>
              <w:pStyle w:val="T2"/>
              <w:jc w:val="right"/>
            </w:pPr>
          </w:p>
        </w:tc>
        <w:tc>
          <w:tcPr>
            <w:tcW w:w="1512" w:type="dxa"/>
            <w:tcBorders>
              <w:top w:val="single" w:sz="2" w:space="0" w:color="auto"/>
            </w:tcBorders>
          </w:tcPr>
          <w:p w14:paraId="3E425522" w14:textId="77777777" w:rsidR="0040521A" w:rsidRPr="005D0EFF" w:rsidRDefault="0040521A" w:rsidP="00D6564B">
            <w:pPr>
              <w:pStyle w:val="T2"/>
              <w:jc w:val="right"/>
              <w:rPr>
                <w:bCs/>
              </w:rPr>
            </w:pPr>
          </w:p>
        </w:tc>
        <w:tc>
          <w:tcPr>
            <w:tcW w:w="1512" w:type="dxa"/>
            <w:tcBorders>
              <w:top w:val="single" w:sz="2" w:space="0" w:color="auto"/>
            </w:tcBorders>
          </w:tcPr>
          <w:p w14:paraId="11C8C256" w14:textId="77777777" w:rsidR="0040521A" w:rsidRPr="00A30CBB" w:rsidRDefault="0040521A" w:rsidP="00D6564B">
            <w:pPr>
              <w:pStyle w:val="T2"/>
              <w:jc w:val="right"/>
            </w:pPr>
          </w:p>
        </w:tc>
        <w:tc>
          <w:tcPr>
            <w:tcW w:w="1512" w:type="dxa"/>
            <w:tcBorders>
              <w:top w:val="single" w:sz="2" w:space="0" w:color="auto"/>
            </w:tcBorders>
          </w:tcPr>
          <w:p w14:paraId="5DD40D92" w14:textId="77777777" w:rsidR="0040521A" w:rsidRPr="00A30CBB" w:rsidRDefault="0040521A" w:rsidP="00D6564B">
            <w:pPr>
              <w:pStyle w:val="T2"/>
              <w:jc w:val="right"/>
            </w:pPr>
          </w:p>
        </w:tc>
      </w:tr>
      <w:tr w:rsidR="0040521A" w14:paraId="00EBF5BC" w14:textId="77777777" w:rsidTr="0040521A">
        <w:trPr>
          <w:jc w:val="center"/>
        </w:trPr>
        <w:tc>
          <w:tcPr>
            <w:tcW w:w="5387" w:type="dxa"/>
          </w:tcPr>
          <w:p w14:paraId="0B6825F0" w14:textId="77777777" w:rsidR="0040521A" w:rsidRPr="00D515EB" w:rsidRDefault="0040521A" w:rsidP="00D6564B">
            <w:pPr>
              <w:pStyle w:val="T2"/>
              <w:jc w:val="left"/>
              <w:rPr>
                <w:b/>
              </w:rPr>
            </w:pPr>
            <w:r w:rsidRPr="00D515EB">
              <w:rPr>
                <w:b/>
              </w:rPr>
              <w:t>Non</w:t>
            </w:r>
            <w:r>
              <w:rPr>
                <w:b/>
              </w:rPr>
              <w:t>–</w:t>
            </w:r>
            <w:r w:rsidRPr="00D515EB">
              <w:rPr>
                <w:b/>
              </w:rPr>
              <w:t>current assets</w:t>
            </w:r>
          </w:p>
        </w:tc>
        <w:tc>
          <w:tcPr>
            <w:tcW w:w="709" w:type="dxa"/>
          </w:tcPr>
          <w:p w14:paraId="358426AE" w14:textId="77777777" w:rsidR="0040521A" w:rsidRPr="004A4F57" w:rsidRDefault="0040521A" w:rsidP="00D6564B">
            <w:pPr>
              <w:pStyle w:val="T2"/>
              <w:jc w:val="right"/>
            </w:pPr>
          </w:p>
        </w:tc>
        <w:tc>
          <w:tcPr>
            <w:tcW w:w="1512" w:type="dxa"/>
          </w:tcPr>
          <w:p w14:paraId="29CCA76C" w14:textId="77777777" w:rsidR="0040521A" w:rsidRPr="005D0EFF" w:rsidRDefault="0040521A" w:rsidP="00D6564B">
            <w:pPr>
              <w:pStyle w:val="T2"/>
              <w:jc w:val="right"/>
              <w:rPr>
                <w:bCs/>
              </w:rPr>
            </w:pPr>
          </w:p>
        </w:tc>
        <w:tc>
          <w:tcPr>
            <w:tcW w:w="1512" w:type="dxa"/>
          </w:tcPr>
          <w:p w14:paraId="2B3F9548" w14:textId="77777777" w:rsidR="0040521A" w:rsidRPr="00A30CBB" w:rsidRDefault="0040521A" w:rsidP="00D6564B">
            <w:pPr>
              <w:pStyle w:val="T2"/>
              <w:jc w:val="right"/>
            </w:pPr>
          </w:p>
        </w:tc>
        <w:tc>
          <w:tcPr>
            <w:tcW w:w="1512" w:type="dxa"/>
          </w:tcPr>
          <w:p w14:paraId="414EA3BA" w14:textId="77777777" w:rsidR="0040521A" w:rsidRPr="00A30CBB" w:rsidRDefault="0040521A" w:rsidP="00D6564B">
            <w:pPr>
              <w:pStyle w:val="T2"/>
              <w:jc w:val="right"/>
            </w:pPr>
          </w:p>
        </w:tc>
      </w:tr>
      <w:tr w:rsidR="0040521A" w14:paraId="27695CB2" w14:textId="77777777" w:rsidTr="0040521A">
        <w:trPr>
          <w:jc w:val="center"/>
        </w:trPr>
        <w:tc>
          <w:tcPr>
            <w:tcW w:w="5387" w:type="dxa"/>
          </w:tcPr>
          <w:p w14:paraId="773ED4A2" w14:textId="77777777" w:rsidR="0040521A" w:rsidRPr="00765393" w:rsidRDefault="0040521A" w:rsidP="00785766">
            <w:pPr>
              <w:pStyle w:val="T2"/>
              <w:jc w:val="left"/>
            </w:pPr>
            <w:r w:rsidRPr="00765393">
              <w:t>Goodwill and intangible assets</w:t>
            </w:r>
          </w:p>
        </w:tc>
        <w:tc>
          <w:tcPr>
            <w:tcW w:w="709" w:type="dxa"/>
          </w:tcPr>
          <w:p w14:paraId="4070328E" w14:textId="77777777" w:rsidR="0040521A" w:rsidRPr="00A31437" w:rsidRDefault="00E126B5" w:rsidP="00785766">
            <w:pPr>
              <w:pStyle w:val="T2"/>
              <w:jc w:val="right"/>
            </w:pPr>
            <w:r>
              <w:t>9</w:t>
            </w:r>
          </w:p>
        </w:tc>
        <w:tc>
          <w:tcPr>
            <w:tcW w:w="1512" w:type="dxa"/>
          </w:tcPr>
          <w:p w14:paraId="2B503F96" w14:textId="77777777" w:rsidR="0040521A" w:rsidRPr="00B535FA" w:rsidRDefault="00932659" w:rsidP="00785766">
            <w:pPr>
              <w:pStyle w:val="T2"/>
              <w:jc w:val="right"/>
              <w:rPr>
                <w:b/>
                <w:bCs/>
              </w:rPr>
            </w:pPr>
            <w:r>
              <w:rPr>
                <w:b/>
                <w:bCs/>
              </w:rPr>
              <w:t>475.6</w:t>
            </w:r>
          </w:p>
        </w:tc>
        <w:tc>
          <w:tcPr>
            <w:tcW w:w="1512" w:type="dxa"/>
          </w:tcPr>
          <w:p w14:paraId="40A43AB4" w14:textId="77777777" w:rsidR="0040521A" w:rsidRPr="00A30CBB" w:rsidRDefault="0040521A" w:rsidP="00785766">
            <w:pPr>
              <w:pStyle w:val="T2"/>
              <w:jc w:val="right"/>
            </w:pPr>
            <w:r>
              <w:rPr>
                <w:bCs/>
              </w:rPr>
              <w:t>478.5</w:t>
            </w:r>
          </w:p>
        </w:tc>
        <w:tc>
          <w:tcPr>
            <w:tcW w:w="1512" w:type="dxa"/>
          </w:tcPr>
          <w:p w14:paraId="776CE3BA" w14:textId="77777777" w:rsidR="00EE0C86" w:rsidRDefault="00EE0C86" w:rsidP="00EE0C86">
            <w:pPr>
              <w:pStyle w:val="T2"/>
              <w:jc w:val="right"/>
              <w:rPr>
                <w:bCs/>
              </w:rPr>
            </w:pPr>
            <w:r>
              <w:rPr>
                <w:bCs/>
              </w:rPr>
              <w:t>480.9</w:t>
            </w:r>
          </w:p>
        </w:tc>
      </w:tr>
      <w:tr w:rsidR="0040521A" w14:paraId="04AF339A" w14:textId="77777777" w:rsidTr="0040521A">
        <w:trPr>
          <w:jc w:val="center"/>
        </w:trPr>
        <w:tc>
          <w:tcPr>
            <w:tcW w:w="5387" w:type="dxa"/>
          </w:tcPr>
          <w:p w14:paraId="1015D18A" w14:textId="77777777" w:rsidR="0040521A" w:rsidRPr="00765393" w:rsidRDefault="0040521A" w:rsidP="00785766">
            <w:pPr>
              <w:pStyle w:val="T2"/>
              <w:jc w:val="left"/>
            </w:pPr>
            <w:r w:rsidRPr="00765393">
              <w:t>Property, plant and equipment</w:t>
            </w:r>
          </w:p>
        </w:tc>
        <w:tc>
          <w:tcPr>
            <w:tcW w:w="709" w:type="dxa"/>
          </w:tcPr>
          <w:p w14:paraId="30144971" w14:textId="77777777" w:rsidR="0040521A" w:rsidRPr="00A31437" w:rsidRDefault="00E126B5" w:rsidP="00785766">
            <w:pPr>
              <w:pStyle w:val="T2"/>
              <w:jc w:val="right"/>
            </w:pPr>
            <w:r>
              <w:t>9</w:t>
            </w:r>
          </w:p>
        </w:tc>
        <w:tc>
          <w:tcPr>
            <w:tcW w:w="1512" w:type="dxa"/>
          </w:tcPr>
          <w:p w14:paraId="15523145" w14:textId="77777777" w:rsidR="0040521A" w:rsidRPr="00B535FA" w:rsidRDefault="00932659" w:rsidP="0086385F">
            <w:pPr>
              <w:pStyle w:val="T2"/>
              <w:jc w:val="right"/>
              <w:rPr>
                <w:b/>
                <w:bCs/>
              </w:rPr>
            </w:pPr>
            <w:r>
              <w:rPr>
                <w:b/>
                <w:bCs/>
              </w:rPr>
              <w:t>310.1</w:t>
            </w:r>
          </w:p>
        </w:tc>
        <w:tc>
          <w:tcPr>
            <w:tcW w:w="1512" w:type="dxa"/>
          </w:tcPr>
          <w:p w14:paraId="0D38E6E8" w14:textId="77777777" w:rsidR="0040521A" w:rsidRPr="00A30CBB" w:rsidRDefault="0040521A" w:rsidP="00785766">
            <w:pPr>
              <w:pStyle w:val="T2"/>
              <w:jc w:val="right"/>
            </w:pPr>
            <w:r>
              <w:rPr>
                <w:bCs/>
              </w:rPr>
              <w:t>313.2</w:t>
            </w:r>
          </w:p>
        </w:tc>
        <w:tc>
          <w:tcPr>
            <w:tcW w:w="1512" w:type="dxa"/>
          </w:tcPr>
          <w:p w14:paraId="5AFF06A8" w14:textId="77777777" w:rsidR="0040521A" w:rsidRDefault="00EE0C86" w:rsidP="00785766">
            <w:pPr>
              <w:pStyle w:val="T2"/>
              <w:jc w:val="right"/>
              <w:rPr>
                <w:bCs/>
              </w:rPr>
            </w:pPr>
            <w:r>
              <w:rPr>
                <w:bCs/>
              </w:rPr>
              <w:t>333.3</w:t>
            </w:r>
          </w:p>
        </w:tc>
      </w:tr>
      <w:tr w:rsidR="0040521A" w14:paraId="7B5E9F78" w14:textId="77777777" w:rsidTr="0040521A">
        <w:trPr>
          <w:jc w:val="center"/>
        </w:trPr>
        <w:tc>
          <w:tcPr>
            <w:tcW w:w="5387" w:type="dxa"/>
          </w:tcPr>
          <w:p w14:paraId="505B42E2" w14:textId="77777777" w:rsidR="0040521A" w:rsidRPr="00765393" w:rsidRDefault="0040521A" w:rsidP="00F250D9">
            <w:pPr>
              <w:pStyle w:val="T2"/>
              <w:jc w:val="left"/>
            </w:pPr>
            <w:r>
              <w:t>Right-of-use assets</w:t>
            </w:r>
          </w:p>
        </w:tc>
        <w:tc>
          <w:tcPr>
            <w:tcW w:w="709" w:type="dxa"/>
          </w:tcPr>
          <w:p w14:paraId="5821AAD2" w14:textId="77777777" w:rsidR="0040521A" w:rsidRDefault="00E126B5" w:rsidP="00785766">
            <w:pPr>
              <w:pStyle w:val="T2"/>
              <w:jc w:val="right"/>
            </w:pPr>
            <w:r>
              <w:t>9</w:t>
            </w:r>
          </w:p>
        </w:tc>
        <w:tc>
          <w:tcPr>
            <w:tcW w:w="1512" w:type="dxa"/>
          </w:tcPr>
          <w:p w14:paraId="1EA32883" w14:textId="77777777" w:rsidR="0040521A" w:rsidRPr="00B535FA" w:rsidRDefault="0040521A" w:rsidP="0086385F">
            <w:pPr>
              <w:pStyle w:val="T2"/>
              <w:jc w:val="right"/>
              <w:rPr>
                <w:b/>
                <w:bCs/>
              </w:rPr>
            </w:pPr>
            <w:r w:rsidRPr="0086385F">
              <w:rPr>
                <w:b/>
                <w:bCs/>
              </w:rPr>
              <w:t>5</w:t>
            </w:r>
            <w:r w:rsidR="0086385F" w:rsidRPr="0086385F">
              <w:rPr>
                <w:b/>
                <w:bCs/>
              </w:rPr>
              <w:t>6</w:t>
            </w:r>
            <w:r w:rsidRPr="0086385F">
              <w:rPr>
                <w:b/>
                <w:bCs/>
              </w:rPr>
              <w:t>.</w:t>
            </w:r>
            <w:r w:rsidR="0086385F">
              <w:rPr>
                <w:b/>
                <w:bCs/>
              </w:rPr>
              <w:t>6</w:t>
            </w:r>
          </w:p>
        </w:tc>
        <w:tc>
          <w:tcPr>
            <w:tcW w:w="1512" w:type="dxa"/>
          </w:tcPr>
          <w:p w14:paraId="7455E47B" w14:textId="77777777" w:rsidR="0040521A" w:rsidRPr="0096767F" w:rsidRDefault="0040521A" w:rsidP="00785766">
            <w:pPr>
              <w:pStyle w:val="T2"/>
              <w:jc w:val="right"/>
              <w:rPr>
                <w:bCs/>
              </w:rPr>
            </w:pPr>
            <w:r>
              <w:rPr>
                <w:bCs/>
              </w:rPr>
              <w:t>55.6</w:t>
            </w:r>
          </w:p>
        </w:tc>
        <w:tc>
          <w:tcPr>
            <w:tcW w:w="1512" w:type="dxa"/>
          </w:tcPr>
          <w:p w14:paraId="1E2B3A0C" w14:textId="77777777" w:rsidR="0040521A" w:rsidRDefault="00EE0C86" w:rsidP="00785766">
            <w:pPr>
              <w:pStyle w:val="T2"/>
              <w:jc w:val="right"/>
              <w:rPr>
                <w:bCs/>
              </w:rPr>
            </w:pPr>
            <w:r>
              <w:rPr>
                <w:bCs/>
              </w:rPr>
              <w:t>57.0</w:t>
            </w:r>
          </w:p>
        </w:tc>
      </w:tr>
      <w:tr w:rsidR="0040521A" w14:paraId="5EC81275" w14:textId="77777777" w:rsidTr="0040521A">
        <w:trPr>
          <w:jc w:val="center"/>
        </w:trPr>
        <w:tc>
          <w:tcPr>
            <w:tcW w:w="5387" w:type="dxa"/>
          </w:tcPr>
          <w:p w14:paraId="7818B8E0" w14:textId="77777777" w:rsidR="0040521A" w:rsidRPr="00765393" w:rsidRDefault="0040521A" w:rsidP="00785766">
            <w:pPr>
              <w:pStyle w:val="T2"/>
              <w:jc w:val="left"/>
            </w:pPr>
            <w:r w:rsidRPr="00765393">
              <w:t>Investment property</w:t>
            </w:r>
          </w:p>
        </w:tc>
        <w:tc>
          <w:tcPr>
            <w:tcW w:w="709" w:type="dxa"/>
          </w:tcPr>
          <w:p w14:paraId="677953FF" w14:textId="77777777" w:rsidR="0040521A" w:rsidRPr="00A31437" w:rsidRDefault="00E126B5" w:rsidP="00785766">
            <w:pPr>
              <w:pStyle w:val="T2"/>
              <w:jc w:val="right"/>
            </w:pPr>
            <w:r>
              <w:t>9</w:t>
            </w:r>
          </w:p>
        </w:tc>
        <w:tc>
          <w:tcPr>
            <w:tcW w:w="1512" w:type="dxa"/>
          </w:tcPr>
          <w:p w14:paraId="349849C2" w14:textId="77777777" w:rsidR="0040521A" w:rsidRPr="00B535FA" w:rsidRDefault="0040521A" w:rsidP="00785766">
            <w:pPr>
              <w:pStyle w:val="T2"/>
              <w:jc w:val="right"/>
              <w:rPr>
                <w:b/>
                <w:bCs/>
              </w:rPr>
            </w:pPr>
            <w:r>
              <w:rPr>
                <w:b/>
                <w:bCs/>
              </w:rPr>
              <w:t>5.9</w:t>
            </w:r>
          </w:p>
        </w:tc>
        <w:tc>
          <w:tcPr>
            <w:tcW w:w="1512" w:type="dxa"/>
          </w:tcPr>
          <w:p w14:paraId="51527570" w14:textId="77777777" w:rsidR="0040521A" w:rsidRPr="00A30CBB" w:rsidRDefault="0040521A" w:rsidP="00785766">
            <w:pPr>
              <w:pStyle w:val="T2"/>
              <w:jc w:val="right"/>
            </w:pPr>
            <w:r>
              <w:rPr>
                <w:bCs/>
              </w:rPr>
              <w:t>6.1</w:t>
            </w:r>
          </w:p>
        </w:tc>
        <w:tc>
          <w:tcPr>
            <w:tcW w:w="1512" w:type="dxa"/>
          </w:tcPr>
          <w:p w14:paraId="63701AFC" w14:textId="77777777" w:rsidR="0040521A" w:rsidRDefault="00EE0C86" w:rsidP="00785766">
            <w:pPr>
              <w:pStyle w:val="T2"/>
              <w:jc w:val="right"/>
              <w:rPr>
                <w:bCs/>
              </w:rPr>
            </w:pPr>
            <w:r>
              <w:rPr>
                <w:bCs/>
              </w:rPr>
              <w:t>5.8</w:t>
            </w:r>
          </w:p>
        </w:tc>
      </w:tr>
      <w:tr w:rsidR="00EE0C86" w14:paraId="129EBF53" w14:textId="77777777" w:rsidTr="0040521A">
        <w:trPr>
          <w:jc w:val="center"/>
        </w:trPr>
        <w:tc>
          <w:tcPr>
            <w:tcW w:w="5387" w:type="dxa"/>
          </w:tcPr>
          <w:p w14:paraId="3C78F556" w14:textId="77777777" w:rsidR="00EE0C86" w:rsidRPr="00765393" w:rsidRDefault="00FE3A03" w:rsidP="00785766">
            <w:pPr>
              <w:pStyle w:val="T2"/>
              <w:jc w:val="left"/>
            </w:pPr>
            <w:r>
              <w:t>Investment in a</w:t>
            </w:r>
            <w:r w:rsidR="00EE0C86">
              <w:t>ssociate</w:t>
            </w:r>
          </w:p>
        </w:tc>
        <w:tc>
          <w:tcPr>
            <w:tcW w:w="709" w:type="dxa"/>
          </w:tcPr>
          <w:p w14:paraId="0768AE20" w14:textId="77777777" w:rsidR="00EE0C86" w:rsidRDefault="00EE0C86" w:rsidP="00785766">
            <w:pPr>
              <w:pStyle w:val="T2"/>
              <w:jc w:val="right"/>
            </w:pPr>
          </w:p>
        </w:tc>
        <w:tc>
          <w:tcPr>
            <w:tcW w:w="1512" w:type="dxa"/>
          </w:tcPr>
          <w:p w14:paraId="55ECB8D9" w14:textId="77777777" w:rsidR="00EE0C86" w:rsidRDefault="00EE0C86" w:rsidP="00785766">
            <w:pPr>
              <w:pStyle w:val="T2"/>
              <w:jc w:val="right"/>
              <w:rPr>
                <w:b/>
                <w:bCs/>
              </w:rPr>
            </w:pPr>
            <w:r w:rsidRPr="007D2821">
              <w:rPr>
                <w:b/>
                <w:bCs/>
              </w:rPr>
              <w:t>–</w:t>
            </w:r>
          </w:p>
        </w:tc>
        <w:tc>
          <w:tcPr>
            <w:tcW w:w="1512" w:type="dxa"/>
          </w:tcPr>
          <w:p w14:paraId="757C31A6" w14:textId="77777777" w:rsidR="00EE0C86" w:rsidRDefault="00EE0C86" w:rsidP="00785766">
            <w:pPr>
              <w:pStyle w:val="T2"/>
              <w:jc w:val="right"/>
              <w:rPr>
                <w:bCs/>
              </w:rPr>
            </w:pPr>
            <w:r w:rsidRPr="0040521A">
              <w:t>–</w:t>
            </w:r>
          </w:p>
        </w:tc>
        <w:tc>
          <w:tcPr>
            <w:tcW w:w="1512" w:type="dxa"/>
          </w:tcPr>
          <w:p w14:paraId="38899ED2" w14:textId="77777777" w:rsidR="00EE0C86" w:rsidRDefault="00EE0C86" w:rsidP="00785766">
            <w:pPr>
              <w:pStyle w:val="T2"/>
              <w:jc w:val="right"/>
              <w:rPr>
                <w:bCs/>
              </w:rPr>
            </w:pPr>
            <w:r>
              <w:rPr>
                <w:bCs/>
              </w:rPr>
              <w:t>1.3</w:t>
            </w:r>
          </w:p>
        </w:tc>
      </w:tr>
      <w:tr w:rsidR="0040521A" w14:paraId="1699AACC" w14:textId="77777777" w:rsidTr="0040521A">
        <w:trPr>
          <w:jc w:val="center"/>
        </w:trPr>
        <w:tc>
          <w:tcPr>
            <w:tcW w:w="5387" w:type="dxa"/>
          </w:tcPr>
          <w:p w14:paraId="6F1E8F3E" w14:textId="77777777" w:rsidR="0040521A" w:rsidRPr="00765393" w:rsidRDefault="0040521A" w:rsidP="00785766">
            <w:pPr>
              <w:pStyle w:val="T2"/>
              <w:jc w:val="left"/>
            </w:pPr>
            <w:r w:rsidRPr="00765393">
              <w:t>Retirement benefit assets</w:t>
            </w:r>
          </w:p>
        </w:tc>
        <w:tc>
          <w:tcPr>
            <w:tcW w:w="709" w:type="dxa"/>
          </w:tcPr>
          <w:p w14:paraId="026A314B" w14:textId="77777777" w:rsidR="0040521A" w:rsidRPr="00A31437" w:rsidRDefault="00F250D9" w:rsidP="00E126B5">
            <w:pPr>
              <w:pStyle w:val="T2"/>
              <w:jc w:val="right"/>
            </w:pPr>
            <w:r>
              <w:t>1</w:t>
            </w:r>
            <w:r w:rsidR="00E126B5">
              <w:t>3</w:t>
            </w:r>
          </w:p>
        </w:tc>
        <w:tc>
          <w:tcPr>
            <w:tcW w:w="1512" w:type="dxa"/>
          </w:tcPr>
          <w:p w14:paraId="3EF1AFC9" w14:textId="77777777" w:rsidR="0040521A" w:rsidRPr="00B535FA" w:rsidRDefault="0040521A" w:rsidP="00785766">
            <w:pPr>
              <w:pStyle w:val="T2"/>
              <w:jc w:val="right"/>
              <w:rPr>
                <w:b/>
                <w:bCs/>
              </w:rPr>
            </w:pPr>
            <w:r>
              <w:rPr>
                <w:b/>
                <w:bCs/>
              </w:rPr>
              <w:t>39.8</w:t>
            </w:r>
          </w:p>
        </w:tc>
        <w:tc>
          <w:tcPr>
            <w:tcW w:w="1512" w:type="dxa"/>
          </w:tcPr>
          <w:p w14:paraId="58F18BEF" w14:textId="77777777" w:rsidR="0040521A" w:rsidRPr="00A30CBB" w:rsidRDefault="0040521A" w:rsidP="00785766">
            <w:pPr>
              <w:pStyle w:val="T2"/>
              <w:jc w:val="right"/>
            </w:pPr>
            <w:r>
              <w:rPr>
                <w:bCs/>
              </w:rPr>
              <w:t>42.9</w:t>
            </w:r>
          </w:p>
        </w:tc>
        <w:tc>
          <w:tcPr>
            <w:tcW w:w="1512" w:type="dxa"/>
          </w:tcPr>
          <w:p w14:paraId="45923F78" w14:textId="77777777" w:rsidR="0040521A" w:rsidRDefault="00EE0C86" w:rsidP="00785766">
            <w:pPr>
              <w:pStyle w:val="T2"/>
              <w:jc w:val="right"/>
              <w:rPr>
                <w:bCs/>
              </w:rPr>
            </w:pPr>
            <w:r>
              <w:rPr>
                <w:bCs/>
              </w:rPr>
              <w:t>49.3</w:t>
            </w:r>
          </w:p>
        </w:tc>
      </w:tr>
      <w:tr w:rsidR="0040521A" w14:paraId="682772C1" w14:textId="77777777" w:rsidTr="0040521A">
        <w:trPr>
          <w:jc w:val="center"/>
        </w:trPr>
        <w:tc>
          <w:tcPr>
            <w:tcW w:w="5387" w:type="dxa"/>
          </w:tcPr>
          <w:p w14:paraId="203A2389" w14:textId="77777777" w:rsidR="0040521A" w:rsidRPr="00765393" w:rsidRDefault="0040521A" w:rsidP="00785766">
            <w:pPr>
              <w:pStyle w:val="T2"/>
              <w:jc w:val="left"/>
            </w:pPr>
            <w:r>
              <w:t>Derivative financial instruments</w:t>
            </w:r>
          </w:p>
        </w:tc>
        <w:tc>
          <w:tcPr>
            <w:tcW w:w="709" w:type="dxa"/>
          </w:tcPr>
          <w:p w14:paraId="717206EC" w14:textId="77777777" w:rsidR="0040521A" w:rsidRPr="00A31437" w:rsidRDefault="0040521A" w:rsidP="00E126B5">
            <w:pPr>
              <w:pStyle w:val="T2"/>
              <w:jc w:val="right"/>
            </w:pPr>
            <w:r>
              <w:t>1</w:t>
            </w:r>
            <w:r w:rsidR="00E126B5">
              <w:t>1</w:t>
            </w:r>
          </w:p>
        </w:tc>
        <w:tc>
          <w:tcPr>
            <w:tcW w:w="1512" w:type="dxa"/>
          </w:tcPr>
          <w:p w14:paraId="3E8088DD" w14:textId="77777777" w:rsidR="0040521A" w:rsidRPr="00B535FA" w:rsidRDefault="0040521A" w:rsidP="00785766">
            <w:pPr>
              <w:pStyle w:val="T2"/>
              <w:jc w:val="right"/>
              <w:rPr>
                <w:b/>
                <w:bCs/>
              </w:rPr>
            </w:pPr>
            <w:r w:rsidRPr="007D2821">
              <w:rPr>
                <w:b/>
                <w:bCs/>
              </w:rPr>
              <w:t>–</w:t>
            </w:r>
          </w:p>
        </w:tc>
        <w:tc>
          <w:tcPr>
            <w:tcW w:w="1512" w:type="dxa"/>
          </w:tcPr>
          <w:p w14:paraId="640F6D4F" w14:textId="77777777" w:rsidR="0040521A" w:rsidRPr="00A30CBB" w:rsidRDefault="0040521A" w:rsidP="00785766">
            <w:pPr>
              <w:pStyle w:val="T2"/>
              <w:jc w:val="right"/>
            </w:pPr>
            <w:r>
              <w:rPr>
                <w:bCs/>
              </w:rPr>
              <w:t>3.0</w:t>
            </w:r>
          </w:p>
        </w:tc>
        <w:tc>
          <w:tcPr>
            <w:tcW w:w="1512" w:type="dxa"/>
          </w:tcPr>
          <w:p w14:paraId="3EE16689" w14:textId="77777777" w:rsidR="0040521A" w:rsidRDefault="00EE0C86" w:rsidP="00785766">
            <w:pPr>
              <w:pStyle w:val="T2"/>
              <w:jc w:val="right"/>
              <w:rPr>
                <w:bCs/>
              </w:rPr>
            </w:pPr>
            <w:r>
              <w:rPr>
                <w:bCs/>
              </w:rPr>
              <w:t>6.5</w:t>
            </w:r>
          </w:p>
        </w:tc>
      </w:tr>
      <w:tr w:rsidR="0040521A" w14:paraId="5FCF34F7" w14:textId="77777777" w:rsidTr="0040521A">
        <w:trPr>
          <w:jc w:val="center"/>
        </w:trPr>
        <w:tc>
          <w:tcPr>
            <w:tcW w:w="5387" w:type="dxa"/>
          </w:tcPr>
          <w:p w14:paraId="4C6A3FE9" w14:textId="77777777" w:rsidR="0040521A" w:rsidRPr="00765393" w:rsidRDefault="0040521A" w:rsidP="00785766">
            <w:pPr>
              <w:pStyle w:val="T2"/>
              <w:jc w:val="left"/>
            </w:pPr>
            <w:r w:rsidRPr="00765393">
              <w:t>Deferred tax assets</w:t>
            </w:r>
          </w:p>
        </w:tc>
        <w:tc>
          <w:tcPr>
            <w:tcW w:w="709" w:type="dxa"/>
          </w:tcPr>
          <w:p w14:paraId="2322B9C5" w14:textId="77777777" w:rsidR="0040521A" w:rsidRPr="00A31437" w:rsidRDefault="0040521A" w:rsidP="00785766">
            <w:pPr>
              <w:pStyle w:val="T2"/>
              <w:jc w:val="right"/>
            </w:pPr>
          </w:p>
        </w:tc>
        <w:tc>
          <w:tcPr>
            <w:tcW w:w="1512" w:type="dxa"/>
          </w:tcPr>
          <w:p w14:paraId="063D722B" w14:textId="77777777" w:rsidR="0040521A" w:rsidRPr="00B535FA" w:rsidRDefault="0040521A" w:rsidP="0041734A">
            <w:pPr>
              <w:pStyle w:val="T2"/>
              <w:jc w:val="right"/>
              <w:rPr>
                <w:b/>
                <w:bCs/>
              </w:rPr>
            </w:pPr>
            <w:r>
              <w:rPr>
                <w:b/>
                <w:bCs/>
              </w:rPr>
              <w:t>4</w:t>
            </w:r>
            <w:r w:rsidR="00D439D4">
              <w:rPr>
                <w:b/>
                <w:bCs/>
              </w:rPr>
              <w:t>4</w:t>
            </w:r>
            <w:r>
              <w:rPr>
                <w:b/>
                <w:bCs/>
              </w:rPr>
              <w:t>.</w:t>
            </w:r>
            <w:r w:rsidR="00E9079C">
              <w:rPr>
                <w:b/>
                <w:bCs/>
              </w:rPr>
              <w:t>6</w:t>
            </w:r>
          </w:p>
        </w:tc>
        <w:tc>
          <w:tcPr>
            <w:tcW w:w="1512" w:type="dxa"/>
          </w:tcPr>
          <w:p w14:paraId="7E51868D" w14:textId="77777777" w:rsidR="0040521A" w:rsidRPr="00A30CBB" w:rsidRDefault="0040521A" w:rsidP="00785766">
            <w:pPr>
              <w:pStyle w:val="T2"/>
              <w:jc w:val="right"/>
            </w:pPr>
            <w:r>
              <w:rPr>
                <w:bCs/>
              </w:rPr>
              <w:t>46.1</w:t>
            </w:r>
          </w:p>
        </w:tc>
        <w:tc>
          <w:tcPr>
            <w:tcW w:w="1512" w:type="dxa"/>
          </w:tcPr>
          <w:p w14:paraId="18A3D280" w14:textId="77777777" w:rsidR="0040521A" w:rsidRDefault="00EE0C86" w:rsidP="00785766">
            <w:pPr>
              <w:pStyle w:val="T2"/>
              <w:jc w:val="right"/>
              <w:rPr>
                <w:bCs/>
              </w:rPr>
            </w:pPr>
            <w:r>
              <w:rPr>
                <w:bCs/>
              </w:rPr>
              <w:t>32.5</w:t>
            </w:r>
          </w:p>
        </w:tc>
      </w:tr>
      <w:tr w:rsidR="0040521A" w14:paraId="1D658632" w14:textId="77777777" w:rsidTr="00D439D4">
        <w:trPr>
          <w:jc w:val="center"/>
        </w:trPr>
        <w:tc>
          <w:tcPr>
            <w:tcW w:w="5387" w:type="dxa"/>
            <w:tcBorders>
              <w:bottom w:val="single" w:sz="2" w:space="0" w:color="auto"/>
            </w:tcBorders>
          </w:tcPr>
          <w:p w14:paraId="2B2FD7FA" w14:textId="77777777" w:rsidR="0040521A" w:rsidRPr="00362A41" w:rsidRDefault="0040521A" w:rsidP="00785766">
            <w:pPr>
              <w:pStyle w:val="T2"/>
              <w:jc w:val="left"/>
            </w:pPr>
            <w:r w:rsidRPr="00362A41">
              <w:t>Trade and other receivables</w:t>
            </w:r>
          </w:p>
        </w:tc>
        <w:tc>
          <w:tcPr>
            <w:tcW w:w="709" w:type="dxa"/>
            <w:tcBorders>
              <w:bottom w:val="single" w:sz="2" w:space="0" w:color="auto"/>
            </w:tcBorders>
          </w:tcPr>
          <w:p w14:paraId="657D490A" w14:textId="77777777" w:rsidR="0040521A" w:rsidRPr="00A31437" w:rsidRDefault="0040521A" w:rsidP="00785766">
            <w:pPr>
              <w:pStyle w:val="T2"/>
              <w:jc w:val="right"/>
            </w:pPr>
          </w:p>
        </w:tc>
        <w:tc>
          <w:tcPr>
            <w:tcW w:w="1512" w:type="dxa"/>
            <w:tcBorders>
              <w:bottom w:val="single" w:sz="2" w:space="0" w:color="auto"/>
            </w:tcBorders>
          </w:tcPr>
          <w:p w14:paraId="1267FFD1" w14:textId="77777777" w:rsidR="0040521A" w:rsidRPr="0040521A" w:rsidRDefault="0040521A" w:rsidP="00785766">
            <w:pPr>
              <w:pStyle w:val="T2"/>
              <w:jc w:val="right"/>
              <w:rPr>
                <w:b/>
                <w:bCs/>
              </w:rPr>
            </w:pPr>
            <w:r w:rsidRPr="0040521A">
              <w:rPr>
                <w:b/>
                <w:bCs/>
              </w:rPr>
              <w:t>0.5</w:t>
            </w:r>
          </w:p>
        </w:tc>
        <w:tc>
          <w:tcPr>
            <w:tcW w:w="1512" w:type="dxa"/>
            <w:tcBorders>
              <w:bottom w:val="single" w:sz="2" w:space="0" w:color="auto"/>
            </w:tcBorders>
          </w:tcPr>
          <w:p w14:paraId="3ACDC014" w14:textId="77777777" w:rsidR="0040521A" w:rsidRPr="0040521A" w:rsidRDefault="0040521A" w:rsidP="00785766">
            <w:pPr>
              <w:pStyle w:val="T2"/>
              <w:jc w:val="right"/>
            </w:pPr>
            <w:r w:rsidRPr="0040521A">
              <w:t>–</w:t>
            </w:r>
          </w:p>
        </w:tc>
        <w:tc>
          <w:tcPr>
            <w:tcW w:w="1512" w:type="dxa"/>
            <w:tcBorders>
              <w:bottom w:val="single" w:sz="2" w:space="0" w:color="auto"/>
            </w:tcBorders>
          </w:tcPr>
          <w:p w14:paraId="024EA03A" w14:textId="77777777" w:rsidR="0040521A" w:rsidRPr="0040521A" w:rsidRDefault="00EE0C86" w:rsidP="00785766">
            <w:pPr>
              <w:pStyle w:val="T2"/>
              <w:jc w:val="right"/>
            </w:pPr>
            <w:r w:rsidRPr="0040521A">
              <w:t>–</w:t>
            </w:r>
          </w:p>
        </w:tc>
      </w:tr>
      <w:tr w:rsidR="0040521A" w14:paraId="681BED7C" w14:textId="77777777" w:rsidTr="00D439D4">
        <w:trPr>
          <w:jc w:val="center"/>
        </w:trPr>
        <w:tc>
          <w:tcPr>
            <w:tcW w:w="5387" w:type="dxa"/>
            <w:tcBorders>
              <w:top w:val="single" w:sz="2" w:space="0" w:color="auto"/>
              <w:bottom w:val="single" w:sz="2" w:space="0" w:color="auto"/>
            </w:tcBorders>
          </w:tcPr>
          <w:p w14:paraId="5AD9FDB0" w14:textId="77777777" w:rsidR="0040521A" w:rsidRPr="00D515EB" w:rsidRDefault="0040521A" w:rsidP="00785766">
            <w:pPr>
              <w:pStyle w:val="T2"/>
              <w:jc w:val="left"/>
              <w:rPr>
                <w:b/>
              </w:rPr>
            </w:pPr>
            <w:r w:rsidRPr="00D515EB">
              <w:rPr>
                <w:b/>
              </w:rPr>
              <w:t>Total non</w:t>
            </w:r>
            <w:r>
              <w:rPr>
                <w:b/>
              </w:rPr>
              <w:t>–</w:t>
            </w:r>
            <w:r w:rsidRPr="00D515EB">
              <w:rPr>
                <w:b/>
              </w:rPr>
              <w:t>current assets</w:t>
            </w:r>
          </w:p>
        </w:tc>
        <w:tc>
          <w:tcPr>
            <w:tcW w:w="709" w:type="dxa"/>
            <w:tcBorders>
              <w:top w:val="single" w:sz="2" w:space="0" w:color="auto"/>
              <w:bottom w:val="single" w:sz="2" w:space="0" w:color="auto"/>
            </w:tcBorders>
          </w:tcPr>
          <w:p w14:paraId="77E62B64" w14:textId="77777777" w:rsidR="0040521A" w:rsidRPr="00A31437" w:rsidRDefault="0040521A" w:rsidP="00785766">
            <w:pPr>
              <w:pStyle w:val="T2"/>
              <w:jc w:val="right"/>
            </w:pPr>
          </w:p>
        </w:tc>
        <w:tc>
          <w:tcPr>
            <w:tcW w:w="1512" w:type="dxa"/>
            <w:tcBorders>
              <w:top w:val="single" w:sz="2" w:space="0" w:color="auto"/>
              <w:bottom w:val="single" w:sz="4" w:space="0" w:color="auto"/>
            </w:tcBorders>
          </w:tcPr>
          <w:p w14:paraId="541B8F17" w14:textId="77777777" w:rsidR="0040521A" w:rsidRPr="00B535FA" w:rsidRDefault="0040521A" w:rsidP="0041734A">
            <w:pPr>
              <w:pStyle w:val="T2"/>
              <w:jc w:val="right"/>
              <w:rPr>
                <w:b/>
                <w:bCs/>
              </w:rPr>
            </w:pPr>
            <w:r>
              <w:rPr>
                <w:b/>
                <w:bCs/>
              </w:rPr>
              <w:t>93</w:t>
            </w:r>
            <w:r w:rsidR="00E9079C">
              <w:rPr>
                <w:b/>
                <w:bCs/>
              </w:rPr>
              <w:t>3.1</w:t>
            </w:r>
          </w:p>
        </w:tc>
        <w:tc>
          <w:tcPr>
            <w:tcW w:w="1512" w:type="dxa"/>
            <w:tcBorders>
              <w:top w:val="single" w:sz="2" w:space="0" w:color="auto"/>
              <w:bottom w:val="single" w:sz="2" w:space="0" w:color="auto"/>
            </w:tcBorders>
          </w:tcPr>
          <w:p w14:paraId="404D579F" w14:textId="77777777" w:rsidR="0040521A" w:rsidRPr="00A30CBB" w:rsidRDefault="0040521A" w:rsidP="00785766">
            <w:pPr>
              <w:pStyle w:val="T2"/>
              <w:jc w:val="right"/>
            </w:pPr>
            <w:r>
              <w:rPr>
                <w:bCs/>
              </w:rPr>
              <w:t>945.4</w:t>
            </w:r>
          </w:p>
        </w:tc>
        <w:tc>
          <w:tcPr>
            <w:tcW w:w="1512" w:type="dxa"/>
            <w:tcBorders>
              <w:top w:val="single" w:sz="2" w:space="0" w:color="auto"/>
              <w:bottom w:val="single" w:sz="2" w:space="0" w:color="auto"/>
            </w:tcBorders>
          </w:tcPr>
          <w:p w14:paraId="722748AC" w14:textId="77777777" w:rsidR="0040521A" w:rsidRDefault="00EE0C86" w:rsidP="00785766">
            <w:pPr>
              <w:pStyle w:val="T2"/>
              <w:jc w:val="right"/>
              <w:rPr>
                <w:bCs/>
              </w:rPr>
            </w:pPr>
            <w:r>
              <w:rPr>
                <w:bCs/>
              </w:rPr>
              <w:t>966.6</w:t>
            </w:r>
          </w:p>
        </w:tc>
      </w:tr>
      <w:tr w:rsidR="00C16F21" w:rsidRPr="00C16F21" w14:paraId="610697DE" w14:textId="77777777" w:rsidTr="00D439D4">
        <w:trPr>
          <w:jc w:val="center"/>
        </w:trPr>
        <w:tc>
          <w:tcPr>
            <w:tcW w:w="5387" w:type="dxa"/>
          </w:tcPr>
          <w:p w14:paraId="1272A9C2" w14:textId="77777777" w:rsidR="00C16F21" w:rsidRPr="00C16F21" w:rsidRDefault="00C16F21" w:rsidP="00D6564B">
            <w:pPr>
              <w:pStyle w:val="T2"/>
              <w:jc w:val="left"/>
              <w:rPr>
                <w:b/>
                <w:sz w:val="10"/>
                <w:szCs w:val="10"/>
              </w:rPr>
            </w:pPr>
          </w:p>
        </w:tc>
        <w:tc>
          <w:tcPr>
            <w:tcW w:w="709" w:type="dxa"/>
          </w:tcPr>
          <w:p w14:paraId="53E726AE" w14:textId="77777777" w:rsidR="00C16F21" w:rsidRPr="00C16F21" w:rsidRDefault="00C16F21" w:rsidP="00D6564B">
            <w:pPr>
              <w:pStyle w:val="T2"/>
              <w:jc w:val="right"/>
              <w:rPr>
                <w:sz w:val="10"/>
                <w:szCs w:val="10"/>
              </w:rPr>
            </w:pPr>
          </w:p>
        </w:tc>
        <w:tc>
          <w:tcPr>
            <w:tcW w:w="1512" w:type="dxa"/>
            <w:tcBorders>
              <w:top w:val="single" w:sz="4" w:space="0" w:color="auto"/>
            </w:tcBorders>
          </w:tcPr>
          <w:p w14:paraId="65C3CBAF" w14:textId="77777777" w:rsidR="00C16F21" w:rsidRPr="00C16F21" w:rsidRDefault="00C16F21" w:rsidP="00D6564B">
            <w:pPr>
              <w:pStyle w:val="T2"/>
              <w:jc w:val="right"/>
              <w:rPr>
                <w:b/>
                <w:bCs/>
                <w:sz w:val="10"/>
                <w:szCs w:val="10"/>
              </w:rPr>
            </w:pPr>
          </w:p>
        </w:tc>
        <w:tc>
          <w:tcPr>
            <w:tcW w:w="1512" w:type="dxa"/>
          </w:tcPr>
          <w:p w14:paraId="2369D6B0" w14:textId="77777777" w:rsidR="00C16F21" w:rsidRPr="00C16F21" w:rsidRDefault="00C16F21" w:rsidP="00D6564B">
            <w:pPr>
              <w:pStyle w:val="T2"/>
              <w:jc w:val="right"/>
              <w:rPr>
                <w:sz w:val="10"/>
                <w:szCs w:val="10"/>
              </w:rPr>
            </w:pPr>
          </w:p>
        </w:tc>
        <w:tc>
          <w:tcPr>
            <w:tcW w:w="1512" w:type="dxa"/>
          </w:tcPr>
          <w:p w14:paraId="2E5DD6CF" w14:textId="77777777" w:rsidR="00C16F21" w:rsidRPr="00C16F21" w:rsidRDefault="00C16F21" w:rsidP="00D6564B">
            <w:pPr>
              <w:pStyle w:val="T2"/>
              <w:jc w:val="right"/>
              <w:rPr>
                <w:sz w:val="10"/>
                <w:szCs w:val="10"/>
              </w:rPr>
            </w:pPr>
          </w:p>
        </w:tc>
      </w:tr>
      <w:tr w:rsidR="0040521A" w14:paraId="66AAB390" w14:textId="77777777" w:rsidTr="0040521A">
        <w:trPr>
          <w:jc w:val="center"/>
        </w:trPr>
        <w:tc>
          <w:tcPr>
            <w:tcW w:w="5387" w:type="dxa"/>
          </w:tcPr>
          <w:p w14:paraId="54FD033A" w14:textId="77777777" w:rsidR="0040521A" w:rsidRPr="00D515EB" w:rsidRDefault="0040521A" w:rsidP="00D6564B">
            <w:pPr>
              <w:pStyle w:val="T2"/>
              <w:jc w:val="left"/>
              <w:rPr>
                <w:b/>
              </w:rPr>
            </w:pPr>
            <w:r w:rsidRPr="00D515EB">
              <w:rPr>
                <w:b/>
              </w:rPr>
              <w:t>Current assets</w:t>
            </w:r>
          </w:p>
        </w:tc>
        <w:tc>
          <w:tcPr>
            <w:tcW w:w="709" w:type="dxa"/>
          </w:tcPr>
          <w:p w14:paraId="0971B146" w14:textId="77777777" w:rsidR="0040521A" w:rsidRPr="00A31437" w:rsidRDefault="0040521A" w:rsidP="00D6564B">
            <w:pPr>
              <w:pStyle w:val="T2"/>
              <w:jc w:val="right"/>
            </w:pPr>
          </w:p>
        </w:tc>
        <w:tc>
          <w:tcPr>
            <w:tcW w:w="1512" w:type="dxa"/>
          </w:tcPr>
          <w:p w14:paraId="69AA7ECD" w14:textId="77777777" w:rsidR="0040521A" w:rsidRPr="00B535FA" w:rsidRDefault="0040521A" w:rsidP="00D6564B">
            <w:pPr>
              <w:pStyle w:val="T2"/>
              <w:jc w:val="right"/>
              <w:rPr>
                <w:b/>
                <w:bCs/>
              </w:rPr>
            </w:pPr>
          </w:p>
        </w:tc>
        <w:tc>
          <w:tcPr>
            <w:tcW w:w="1512" w:type="dxa"/>
          </w:tcPr>
          <w:p w14:paraId="4CCF7D67" w14:textId="77777777" w:rsidR="0040521A" w:rsidRPr="002C5AD6" w:rsidRDefault="0040521A" w:rsidP="00D6564B">
            <w:pPr>
              <w:pStyle w:val="T2"/>
              <w:jc w:val="right"/>
            </w:pPr>
          </w:p>
        </w:tc>
        <w:tc>
          <w:tcPr>
            <w:tcW w:w="1512" w:type="dxa"/>
          </w:tcPr>
          <w:p w14:paraId="4F0AA6B8" w14:textId="77777777" w:rsidR="0040521A" w:rsidRPr="002C5AD6" w:rsidRDefault="0040521A" w:rsidP="00D6564B">
            <w:pPr>
              <w:pStyle w:val="T2"/>
              <w:jc w:val="right"/>
            </w:pPr>
          </w:p>
        </w:tc>
      </w:tr>
      <w:tr w:rsidR="0040521A" w14:paraId="2E6524AA" w14:textId="77777777" w:rsidTr="0040521A">
        <w:trPr>
          <w:jc w:val="center"/>
        </w:trPr>
        <w:tc>
          <w:tcPr>
            <w:tcW w:w="5387" w:type="dxa"/>
          </w:tcPr>
          <w:p w14:paraId="3DB78988" w14:textId="77777777" w:rsidR="0040521A" w:rsidRPr="00765393" w:rsidRDefault="0040521A" w:rsidP="00785766">
            <w:pPr>
              <w:pStyle w:val="T2"/>
              <w:jc w:val="left"/>
            </w:pPr>
            <w:r w:rsidRPr="00765393">
              <w:t>Inventories</w:t>
            </w:r>
          </w:p>
        </w:tc>
        <w:tc>
          <w:tcPr>
            <w:tcW w:w="709" w:type="dxa"/>
          </w:tcPr>
          <w:p w14:paraId="452407AA" w14:textId="77777777" w:rsidR="0040521A" w:rsidRPr="00A31437" w:rsidRDefault="0040521A" w:rsidP="00785766">
            <w:pPr>
              <w:pStyle w:val="T2"/>
              <w:jc w:val="right"/>
            </w:pPr>
          </w:p>
        </w:tc>
        <w:tc>
          <w:tcPr>
            <w:tcW w:w="1512" w:type="dxa"/>
          </w:tcPr>
          <w:p w14:paraId="1246D5C2" w14:textId="77777777" w:rsidR="0040521A" w:rsidRPr="00B535FA" w:rsidRDefault="0040521A" w:rsidP="00785766">
            <w:pPr>
              <w:pStyle w:val="T2"/>
              <w:jc w:val="right"/>
              <w:rPr>
                <w:b/>
                <w:bCs/>
              </w:rPr>
            </w:pPr>
            <w:r>
              <w:rPr>
                <w:b/>
                <w:bCs/>
              </w:rPr>
              <w:t>49.3</w:t>
            </w:r>
          </w:p>
        </w:tc>
        <w:tc>
          <w:tcPr>
            <w:tcW w:w="1512" w:type="dxa"/>
          </w:tcPr>
          <w:p w14:paraId="42833484" w14:textId="77777777" w:rsidR="0040521A" w:rsidRPr="002C5AD6" w:rsidRDefault="0040521A" w:rsidP="00785766">
            <w:pPr>
              <w:pStyle w:val="T2"/>
              <w:jc w:val="right"/>
            </w:pPr>
            <w:r>
              <w:rPr>
                <w:bCs/>
              </w:rPr>
              <w:t>44.7</w:t>
            </w:r>
          </w:p>
        </w:tc>
        <w:tc>
          <w:tcPr>
            <w:tcW w:w="1512" w:type="dxa"/>
          </w:tcPr>
          <w:p w14:paraId="3E8278E8" w14:textId="77777777" w:rsidR="0040521A" w:rsidRDefault="00EE0C86" w:rsidP="00785766">
            <w:pPr>
              <w:pStyle w:val="T2"/>
              <w:jc w:val="right"/>
              <w:rPr>
                <w:bCs/>
              </w:rPr>
            </w:pPr>
            <w:r>
              <w:rPr>
                <w:bCs/>
              </w:rPr>
              <w:t>48.0</w:t>
            </w:r>
          </w:p>
        </w:tc>
      </w:tr>
      <w:tr w:rsidR="0040521A" w14:paraId="3BE69D5C" w14:textId="77777777" w:rsidTr="0040521A">
        <w:trPr>
          <w:jc w:val="center"/>
        </w:trPr>
        <w:tc>
          <w:tcPr>
            <w:tcW w:w="5387" w:type="dxa"/>
          </w:tcPr>
          <w:p w14:paraId="793C5310" w14:textId="77777777" w:rsidR="0040521A" w:rsidRPr="00765393" w:rsidRDefault="0040521A" w:rsidP="00785766">
            <w:pPr>
              <w:pStyle w:val="T2"/>
              <w:jc w:val="left"/>
            </w:pPr>
            <w:r w:rsidRPr="00765393">
              <w:t>Trade and other receivables</w:t>
            </w:r>
          </w:p>
        </w:tc>
        <w:tc>
          <w:tcPr>
            <w:tcW w:w="709" w:type="dxa"/>
          </w:tcPr>
          <w:p w14:paraId="1A4B8DB1" w14:textId="77777777" w:rsidR="0040521A" w:rsidRPr="00A31437" w:rsidRDefault="0040521A" w:rsidP="00785766">
            <w:pPr>
              <w:pStyle w:val="T2"/>
              <w:jc w:val="right"/>
            </w:pPr>
          </w:p>
        </w:tc>
        <w:tc>
          <w:tcPr>
            <w:tcW w:w="1512" w:type="dxa"/>
          </w:tcPr>
          <w:p w14:paraId="5F8782F6" w14:textId="77777777" w:rsidR="0040521A" w:rsidRPr="00B535FA" w:rsidRDefault="0040521A" w:rsidP="00785766">
            <w:pPr>
              <w:pStyle w:val="T2"/>
              <w:jc w:val="right"/>
              <w:rPr>
                <w:b/>
                <w:bCs/>
              </w:rPr>
            </w:pPr>
            <w:r>
              <w:rPr>
                <w:b/>
                <w:bCs/>
              </w:rPr>
              <w:t>153.9</w:t>
            </w:r>
          </w:p>
        </w:tc>
        <w:tc>
          <w:tcPr>
            <w:tcW w:w="1512" w:type="dxa"/>
          </w:tcPr>
          <w:p w14:paraId="6CB7F207" w14:textId="77777777" w:rsidR="0040521A" w:rsidRPr="002C5AD6" w:rsidRDefault="0040521A" w:rsidP="00785766">
            <w:pPr>
              <w:pStyle w:val="T2"/>
              <w:jc w:val="right"/>
            </w:pPr>
            <w:r>
              <w:rPr>
                <w:bCs/>
              </w:rPr>
              <w:t>157.7</w:t>
            </w:r>
          </w:p>
        </w:tc>
        <w:tc>
          <w:tcPr>
            <w:tcW w:w="1512" w:type="dxa"/>
          </w:tcPr>
          <w:p w14:paraId="67CCEE80" w14:textId="77777777" w:rsidR="0040521A" w:rsidRDefault="00EE0C86" w:rsidP="00785766">
            <w:pPr>
              <w:pStyle w:val="T2"/>
              <w:jc w:val="right"/>
              <w:rPr>
                <w:bCs/>
              </w:rPr>
            </w:pPr>
            <w:r>
              <w:rPr>
                <w:bCs/>
              </w:rPr>
              <w:t>171.3</w:t>
            </w:r>
          </w:p>
        </w:tc>
      </w:tr>
      <w:tr w:rsidR="0040521A" w14:paraId="4EBDCEB0" w14:textId="77777777" w:rsidTr="0040521A">
        <w:trPr>
          <w:jc w:val="center"/>
        </w:trPr>
        <w:tc>
          <w:tcPr>
            <w:tcW w:w="5387" w:type="dxa"/>
          </w:tcPr>
          <w:p w14:paraId="192FABBD" w14:textId="77777777" w:rsidR="0040521A" w:rsidRDefault="0040521A" w:rsidP="00785766">
            <w:pPr>
              <w:pStyle w:val="T2"/>
              <w:jc w:val="left"/>
            </w:pPr>
            <w:r w:rsidRPr="00765393">
              <w:t>Cash and cash equivalents</w:t>
            </w:r>
          </w:p>
        </w:tc>
        <w:tc>
          <w:tcPr>
            <w:tcW w:w="709" w:type="dxa"/>
          </w:tcPr>
          <w:p w14:paraId="54DC38EB" w14:textId="77777777" w:rsidR="0040521A" w:rsidRPr="00A31437" w:rsidRDefault="0040521A" w:rsidP="00785766">
            <w:pPr>
              <w:pStyle w:val="T2"/>
              <w:jc w:val="right"/>
            </w:pPr>
          </w:p>
        </w:tc>
        <w:tc>
          <w:tcPr>
            <w:tcW w:w="1512" w:type="dxa"/>
          </w:tcPr>
          <w:p w14:paraId="1F805F3F" w14:textId="77777777" w:rsidR="0040521A" w:rsidRDefault="0040521A" w:rsidP="00785766">
            <w:pPr>
              <w:pStyle w:val="T2"/>
              <w:jc w:val="right"/>
              <w:rPr>
                <w:b/>
                <w:bCs/>
              </w:rPr>
            </w:pPr>
            <w:r>
              <w:rPr>
                <w:b/>
                <w:bCs/>
              </w:rPr>
              <w:t>48.4</w:t>
            </w:r>
          </w:p>
        </w:tc>
        <w:tc>
          <w:tcPr>
            <w:tcW w:w="1512" w:type="dxa"/>
          </w:tcPr>
          <w:p w14:paraId="1AD2BF7E" w14:textId="77777777" w:rsidR="0040521A" w:rsidRDefault="0040521A" w:rsidP="00785766">
            <w:pPr>
              <w:pStyle w:val="T2"/>
              <w:jc w:val="right"/>
              <w:rPr>
                <w:bCs/>
              </w:rPr>
            </w:pPr>
            <w:r>
              <w:rPr>
                <w:bCs/>
              </w:rPr>
              <w:t>267.0</w:t>
            </w:r>
          </w:p>
        </w:tc>
        <w:tc>
          <w:tcPr>
            <w:tcW w:w="1512" w:type="dxa"/>
          </w:tcPr>
          <w:p w14:paraId="220902D1" w14:textId="77777777" w:rsidR="0040521A" w:rsidRDefault="00EE0C86" w:rsidP="00785766">
            <w:pPr>
              <w:pStyle w:val="T2"/>
              <w:jc w:val="right"/>
              <w:rPr>
                <w:bCs/>
              </w:rPr>
            </w:pPr>
            <w:r>
              <w:rPr>
                <w:bCs/>
              </w:rPr>
              <w:t>272.6</w:t>
            </w:r>
          </w:p>
        </w:tc>
      </w:tr>
      <w:tr w:rsidR="0040521A" w14:paraId="20EA88D1" w14:textId="77777777" w:rsidTr="0040521A">
        <w:trPr>
          <w:jc w:val="center"/>
        </w:trPr>
        <w:tc>
          <w:tcPr>
            <w:tcW w:w="5387" w:type="dxa"/>
          </w:tcPr>
          <w:p w14:paraId="62AF09B5" w14:textId="77777777" w:rsidR="0040521A" w:rsidRDefault="0040521A" w:rsidP="00785766">
            <w:pPr>
              <w:pStyle w:val="T2"/>
              <w:jc w:val="left"/>
            </w:pPr>
            <w:r>
              <w:t>Derivative financial instruments</w:t>
            </w:r>
          </w:p>
        </w:tc>
        <w:tc>
          <w:tcPr>
            <w:tcW w:w="709" w:type="dxa"/>
          </w:tcPr>
          <w:p w14:paraId="70144170" w14:textId="77777777" w:rsidR="0040521A" w:rsidRPr="00A31437" w:rsidRDefault="004454AA" w:rsidP="00785766">
            <w:pPr>
              <w:pStyle w:val="T2"/>
              <w:jc w:val="right"/>
            </w:pPr>
            <w:r>
              <w:t>11</w:t>
            </w:r>
          </w:p>
        </w:tc>
        <w:tc>
          <w:tcPr>
            <w:tcW w:w="1512" w:type="dxa"/>
          </w:tcPr>
          <w:p w14:paraId="541F59FA" w14:textId="77777777" w:rsidR="0040521A" w:rsidRDefault="0040521A" w:rsidP="00785766">
            <w:pPr>
              <w:pStyle w:val="T2"/>
              <w:jc w:val="right"/>
              <w:rPr>
                <w:b/>
                <w:bCs/>
              </w:rPr>
            </w:pPr>
            <w:r w:rsidRPr="00AA3A63">
              <w:rPr>
                <w:b/>
                <w:bCs/>
              </w:rPr>
              <w:t>–</w:t>
            </w:r>
          </w:p>
        </w:tc>
        <w:tc>
          <w:tcPr>
            <w:tcW w:w="1512" w:type="dxa"/>
          </w:tcPr>
          <w:p w14:paraId="51CBA210" w14:textId="77777777" w:rsidR="0040521A" w:rsidRDefault="0040521A" w:rsidP="00785766">
            <w:pPr>
              <w:pStyle w:val="T2"/>
              <w:jc w:val="right"/>
              <w:rPr>
                <w:bCs/>
              </w:rPr>
            </w:pPr>
            <w:r>
              <w:rPr>
                <w:bCs/>
              </w:rPr>
              <w:t>0.6</w:t>
            </w:r>
          </w:p>
        </w:tc>
        <w:tc>
          <w:tcPr>
            <w:tcW w:w="1512" w:type="dxa"/>
          </w:tcPr>
          <w:p w14:paraId="0C151C47" w14:textId="77777777" w:rsidR="0040521A" w:rsidRDefault="00EE0C86" w:rsidP="00785766">
            <w:pPr>
              <w:pStyle w:val="T2"/>
              <w:jc w:val="right"/>
              <w:rPr>
                <w:bCs/>
              </w:rPr>
            </w:pPr>
            <w:r w:rsidRPr="0040521A">
              <w:t>–</w:t>
            </w:r>
          </w:p>
        </w:tc>
      </w:tr>
      <w:tr w:rsidR="0040521A" w14:paraId="0CC74933" w14:textId="77777777" w:rsidTr="0040521A">
        <w:trPr>
          <w:jc w:val="center"/>
        </w:trPr>
        <w:tc>
          <w:tcPr>
            <w:tcW w:w="5387" w:type="dxa"/>
          </w:tcPr>
          <w:p w14:paraId="608F762B" w14:textId="77777777" w:rsidR="0040521A" w:rsidRPr="00765393" w:rsidRDefault="0040521A" w:rsidP="00785766">
            <w:pPr>
              <w:pStyle w:val="T2"/>
              <w:jc w:val="left"/>
            </w:pPr>
            <w:r>
              <w:t>Current tax receivable</w:t>
            </w:r>
          </w:p>
        </w:tc>
        <w:tc>
          <w:tcPr>
            <w:tcW w:w="709" w:type="dxa"/>
          </w:tcPr>
          <w:p w14:paraId="7AB52AF5" w14:textId="77777777" w:rsidR="0040521A" w:rsidRPr="00A31437" w:rsidRDefault="0040521A" w:rsidP="00785766">
            <w:pPr>
              <w:pStyle w:val="T2"/>
              <w:jc w:val="right"/>
            </w:pPr>
          </w:p>
        </w:tc>
        <w:tc>
          <w:tcPr>
            <w:tcW w:w="1512" w:type="dxa"/>
          </w:tcPr>
          <w:p w14:paraId="133DE2F5" w14:textId="77777777" w:rsidR="0040521A" w:rsidRDefault="0040521A" w:rsidP="00785766">
            <w:pPr>
              <w:pStyle w:val="T2"/>
              <w:jc w:val="right"/>
              <w:rPr>
                <w:b/>
                <w:bCs/>
              </w:rPr>
            </w:pPr>
            <w:r w:rsidRPr="00AA3A63">
              <w:rPr>
                <w:b/>
                <w:bCs/>
              </w:rPr>
              <w:t>–</w:t>
            </w:r>
          </w:p>
        </w:tc>
        <w:tc>
          <w:tcPr>
            <w:tcW w:w="1512" w:type="dxa"/>
          </w:tcPr>
          <w:p w14:paraId="48387E7C" w14:textId="77777777" w:rsidR="0040521A" w:rsidRDefault="0040521A" w:rsidP="00785766">
            <w:pPr>
              <w:pStyle w:val="T2"/>
              <w:jc w:val="right"/>
              <w:rPr>
                <w:bCs/>
              </w:rPr>
            </w:pPr>
            <w:r>
              <w:rPr>
                <w:bCs/>
              </w:rPr>
              <w:t>0.5</w:t>
            </w:r>
          </w:p>
        </w:tc>
        <w:tc>
          <w:tcPr>
            <w:tcW w:w="1512" w:type="dxa"/>
          </w:tcPr>
          <w:p w14:paraId="3A593EB4" w14:textId="77777777" w:rsidR="0040521A" w:rsidRDefault="00EE0C86" w:rsidP="00785766">
            <w:pPr>
              <w:pStyle w:val="T2"/>
              <w:jc w:val="right"/>
              <w:rPr>
                <w:bCs/>
              </w:rPr>
            </w:pPr>
            <w:r>
              <w:rPr>
                <w:bCs/>
              </w:rPr>
              <w:t>0.5</w:t>
            </w:r>
          </w:p>
        </w:tc>
      </w:tr>
      <w:tr w:rsidR="0040521A" w14:paraId="60190DF4" w14:textId="77777777" w:rsidTr="0040521A">
        <w:trPr>
          <w:jc w:val="center"/>
        </w:trPr>
        <w:tc>
          <w:tcPr>
            <w:tcW w:w="5387" w:type="dxa"/>
          </w:tcPr>
          <w:p w14:paraId="544FD9C8" w14:textId="77777777" w:rsidR="0040521A" w:rsidRPr="00765393" w:rsidRDefault="0040521A" w:rsidP="00785766">
            <w:pPr>
              <w:pStyle w:val="T2"/>
              <w:jc w:val="left"/>
            </w:pPr>
            <w:r>
              <w:t>Assets held for sale</w:t>
            </w:r>
          </w:p>
        </w:tc>
        <w:tc>
          <w:tcPr>
            <w:tcW w:w="709" w:type="dxa"/>
          </w:tcPr>
          <w:p w14:paraId="1662A699" w14:textId="77777777" w:rsidR="0040521A" w:rsidRPr="00A31437" w:rsidRDefault="0040521A" w:rsidP="00785766">
            <w:pPr>
              <w:pStyle w:val="T2"/>
              <w:jc w:val="right"/>
            </w:pPr>
          </w:p>
        </w:tc>
        <w:tc>
          <w:tcPr>
            <w:tcW w:w="1512" w:type="dxa"/>
          </w:tcPr>
          <w:p w14:paraId="619E065C" w14:textId="77777777" w:rsidR="0040521A" w:rsidRPr="00B535FA" w:rsidRDefault="0040521A" w:rsidP="00785766">
            <w:pPr>
              <w:pStyle w:val="T2"/>
              <w:jc w:val="right"/>
              <w:rPr>
                <w:b/>
                <w:bCs/>
              </w:rPr>
            </w:pPr>
            <w:r w:rsidRPr="00AA3A63">
              <w:rPr>
                <w:b/>
                <w:bCs/>
              </w:rPr>
              <w:t>–</w:t>
            </w:r>
          </w:p>
        </w:tc>
        <w:tc>
          <w:tcPr>
            <w:tcW w:w="1512" w:type="dxa"/>
          </w:tcPr>
          <w:p w14:paraId="0666DBE8" w14:textId="77777777" w:rsidR="0040521A" w:rsidRPr="002C5AD6" w:rsidRDefault="0040521A" w:rsidP="00785766">
            <w:pPr>
              <w:pStyle w:val="T2"/>
              <w:jc w:val="right"/>
            </w:pPr>
            <w:r>
              <w:rPr>
                <w:bCs/>
              </w:rPr>
              <w:t>11.2</w:t>
            </w:r>
          </w:p>
        </w:tc>
        <w:tc>
          <w:tcPr>
            <w:tcW w:w="1512" w:type="dxa"/>
          </w:tcPr>
          <w:p w14:paraId="330EF6A6" w14:textId="77777777" w:rsidR="0040521A" w:rsidRDefault="00EE0C86" w:rsidP="00785766">
            <w:pPr>
              <w:pStyle w:val="T2"/>
              <w:jc w:val="right"/>
              <w:rPr>
                <w:bCs/>
              </w:rPr>
            </w:pPr>
            <w:r w:rsidRPr="0040521A">
              <w:t>–</w:t>
            </w:r>
          </w:p>
        </w:tc>
      </w:tr>
      <w:tr w:rsidR="0040521A" w14:paraId="16175EDB" w14:textId="77777777" w:rsidTr="001F1616">
        <w:trPr>
          <w:jc w:val="center"/>
        </w:trPr>
        <w:tc>
          <w:tcPr>
            <w:tcW w:w="5387" w:type="dxa"/>
            <w:tcBorders>
              <w:top w:val="single" w:sz="2" w:space="0" w:color="auto"/>
              <w:bottom w:val="single" w:sz="2" w:space="0" w:color="auto"/>
            </w:tcBorders>
          </w:tcPr>
          <w:p w14:paraId="3C3926B4" w14:textId="77777777" w:rsidR="0040521A" w:rsidRPr="00D515EB" w:rsidRDefault="0040521A" w:rsidP="00785766">
            <w:pPr>
              <w:pStyle w:val="T2"/>
              <w:jc w:val="left"/>
              <w:rPr>
                <w:b/>
              </w:rPr>
            </w:pPr>
            <w:r w:rsidRPr="00D515EB">
              <w:rPr>
                <w:b/>
              </w:rPr>
              <w:t>Total current assets</w:t>
            </w:r>
          </w:p>
        </w:tc>
        <w:tc>
          <w:tcPr>
            <w:tcW w:w="709" w:type="dxa"/>
            <w:tcBorders>
              <w:top w:val="single" w:sz="2" w:space="0" w:color="auto"/>
              <w:bottom w:val="single" w:sz="2" w:space="0" w:color="auto"/>
            </w:tcBorders>
          </w:tcPr>
          <w:p w14:paraId="778E91CB" w14:textId="77777777" w:rsidR="0040521A" w:rsidRPr="00A31437" w:rsidRDefault="0040521A" w:rsidP="00785766">
            <w:pPr>
              <w:pStyle w:val="T2"/>
              <w:jc w:val="right"/>
            </w:pPr>
          </w:p>
        </w:tc>
        <w:tc>
          <w:tcPr>
            <w:tcW w:w="1512" w:type="dxa"/>
            <w:tcBorders>
              <w:top w:val="single" w:sz="2" w:space="0" w:color="auto"/>
              <w:bottom w:val="single" w:sz="2" w:space="0" w:color="auto"/>
            </w:tcBorders>
          </w:tcPr>
          <w:p w14:paraId="337C00BF" w14:textId="77777777" w:rsidR="0040521A" w:rsidRPr="00B535FA" w:rsidRDefault="0040521A" w:rsidP="00785766">
            <w:pPr>
              <w:pStyle w:val="T2"/>
              <w:jc w:val="right"/>
              <w:rPr>
                <w:b/>
                <w:bCs/>
              </w:rPr>
            </w:pPr>
            <w:r>
              <w:rPr>
                <w:b/>
                <w:bCs/>
              </w:rPr>
              <w:t>251.6</w:t>
            </w:r>
          </w:p>
        </w:tc>
        <w:tc>
          <w:tcPr>
            <w:tcW w:w="1512" w:type="dxa"/>
            <w:tcBorders>
              <w:top w:val="single" w:sz="2" w:space="0" w:color="auto"/>
              <w:bottom w:val="single" w:sz="2" w:space="0" w:color="auto"/>
            </w:tcBorders>
          </w:tcPr>
          <w:p w14:paraId="37357DB9" w14:textId="77777777" w:rsidR="0040521A" w:rsidRPr="002C5AD6" w:rsidRDefault="0040521A" w:rsidP="00785766">
            <w:pPr>
              <w:pStyle w:val="T2"/>
              <w:jc w:val="right"/>
            </w:pPr>
            <w:r>
              <w:rPr>
                <w:bCs/>
              </w:rPr>
              <w:t>481.7</w:t>
            </w:r>
          </w:p>
        </w:tc>
        <w:tc>
          <w:tcPr>
            <w:tcW w:w="1512" w:type="dxa"/>
            <w:tcBorders>
              <w:top w:val="single" w:sz="2" w:space="0" w:color="auto"/>
              <w:bottom w:val="single" w:sz="2" w:space="0" w:color="auto"/>
            </w:tcBorders>
          </w:tcPr>
          <w:p w14:paraId="1A24EFFC" w14:textId="77777777" w:rsidR="0040521A" w:rsidRDefault="00EE0C86" w:rsidP="00785766">
            <w:pPr>
              <w:pStyle w:val="T2"/>
              <w:jc w:val="right"/>
              <w:rPr>
                <w:bCs/>
              </w:rPr>
            </w:pPr>
            <w:r>
              <w:rPr>
                <w:bCs/>
              </w:rPr>
              <w:t>492.4</w:t>
            </w:r>
          </w:p>
        </w:tc>
      </w:tr>
      <w:tr w:rsidR="0040521A" w14:paraId="0271A18E" w14:textId="77777777" w:rsidTr="001F1616">
        <w:trPr>
          <w:jc w:val="center"/>
        </w:trPr>
        <w:tc>
          <w:tcPr>
            <w:tcW w:w="5387" w:type="dxa"/>
            <w:tcBorders>
              <w:top w:val="single" w:sz="2" w:space="0" w:color="auto"/>
              <w:bottom w:val="single" w:sz="2" w:space="0" w:color="auto"/>
            </w:tcBorders>
          </w:tcPr>
          <w:p w14:paraId="199EB5E7" w14:textId="77777777" w:rsidR="0040521A" w:rsidRPr="00D515EB" w:rsidRDefault="0040521A" w:rsidP="00785766">
            <w:pPr>
              <w:pStyle w:val="T2"/>
              <w:jc w:val="left"/>
              <w:rPr>
                <w:b/>
              </w:rPr>
            </w:pPr>
            <w:r w:rsidRPr="00D515EB">
              <w:rPr>
                <w:b/>
              </w:rPr>
              <w:t>Total assets</w:t>
            </w:r>
          </w:p>
        </w:tc>
        <w:tc>
          <w:tcPr>
            <w:tcW w:w="709" w:type="dxa"/>
            <w:tcBorders>
              <w:top w:val="single" w:sz="2" w:space="0" w:color="auto"/>
              <w:bottom w:val="single" w:sz="2" w:space="0" w:color="auto"/>
            </w:tcBorders>
          </w:tcPr>
          <w:p w14:paraId="78B51730" w14:textId="77777777" w:rsidR="0040521A" w:rsidRPr="00A31437" w:rsidRDefault="0040521A" w:rsidP="00785766">
            <w:pPr>
              <w:pStyle w:val="T2"/>
              <w:jc w:val="right"/>
            </w:pPr>
          </w:p>
        </w:tc>
        <w:tc>
          <w:tcPr>
            <w:tcW w:w="1512" w:type="dxa"/>
            <w:tcBorders>
              <w:top w:val="single" w:sz="2" w:space="0" w:color="auto"/>
              <w:bottom w:val="single" w:sz="2" w:space="0" w:color="auto"/>
            </w:tcBorders>
          </w:tcPr>
          <w:p w14:paraId="56477616" w14:textId="77777777" w:rsidR="0040521A" w:rsidRPr="00B535FA" w:rsidRDefault="0040521A" w:rsidP="0041734A">
            <w:pPr>
              <w:pStyle w:val="T2"/>
              <w:jc w:val="right"/>
              <w:rPr>
                <w:b/>
                <w:bCs/>
              </w:rPr>
            </w:pPr>
            <w:r>
              <w:rPr>
                <w:b/>
                <w:bCs/>
              </w:rPr>
              <w:t>1,18</w:t>
            </w:r>
            <w:r w:rsidR="00D439D4">
              <w:rPr>
                <w:b/>
                <w:bCs/>
              </w:rPr>
              <w:t>4</w:t>
            </w:r>
            <w:r>
              <w:rPr>
                <w:b/>
                <w:bCs/>
              </w:rPr>
              <w:t>.</w:t>
            </w:r>
            <w:r w:rsidR="00E9079C">
              <w:rPr>
                <w:b/>
                <w:bCs/>
              </w:rPr>
              <w:t>7</w:t>
            </w:r>
          </w:p>
        </w:tc>
        <w:tc>
          <w:tcPr>
            <w:tcW w:w="1512" w:type="dxa"/>
            <w:tcBorders>
              <w:top w:val="single" w:sz="2" w:space="0" w:color="auto"/>
              <w:bottom w:val="single" w:sz="2" w:space="0" w:color="auto"/>
            </w:tcBorders>
          </w:tcPr>
          <w:p w14:paraId="0E8A0855" w14:textId="77777777" w:rsidR="0040521A" w:rsidRDefault="0040521A" w:rsidP="00785766">
            <w:pPr>
              <w:pStyle w:val="T2"/>
              <w:jc w:val="right"/>
            </w:pPr>
            <w:r>
              <w:rPr>
                <w:bCs/>
              </w:rPr>
              <w:t>1,427.1</w:t>
            </w:r>
          </w:p>
        </w:tc>
        <w:tc>
          <w:tcPr>
            <w:tcW w:w="1512" w:type="dxa"/>
            <w:tcBorders>
              <w:top w:val="single" w:sz="2" w:space="0" w:color="auto"/>
              <w:bottom w:val="single" w:sz="2" w:space="0" w:color="auto"/>
            </w:tcBorders>
          </w:tcPr>
          <w:p w14:paraId="606E4C4A" w14:textId="77777777" w:rsidR="0040521A" w:rsidRDefault="00EE0C86" w:rsidP="00785766">
            <w:pPr>
              <w:pStyle w:val="T2"/>
              <w:jc w:val="right"/>
              <w:rPr>
                <w:bCs/>
              </w:rPr>
            </w:pPr>
            <w:r>
              <w:rPr>
                <w:bCs/>
              </w:rPr>
              <w:t>1,459.0</w:t>
            </w:r>
          </w:p>
        </w:tc>
      </w:tr>
      <w:tr w:rsidR="0040521A" w14:paraId="3EB05964" w14:textId="77777777" w:rsidTr="001F1616">
        <w:trPr>
          <w:jc w:val="center"/>
        </w:trPr>
        <w:tc>
          <w:tcPr>
            <w:tcW w:w="5387" w:type="dxa"/>
            <w:tcBorders>
              <w:top w:val="single" w:sz="2" w:space="0" w:color="auto"/>
            </w:tcBorders>
          </w:tcPr>
          <w:p w14:paraId="5C4F82ED" w14:textId="77777777" w:rsidR="0040521A" w:rsidRPr="00C16F21" w:rsidRDefault="0040521A" w:rsidP="00D6564B">
            <w:pPr>
              <w:pStyle w:val="T2"/>
              <w:jc w:val="left"/>
              <w:rPr>
                <w:sz w:val="10"/>
                <w:szCs w:val="10"/>
              </w:rPr>
            </w:pPr>
          </w:p>
        </w:tc>
        <w:tc>
          <w:tcPr>
            <w:tcW w:w="709" w:type="dxa"/>
            <w:tcBorders>
              <w:top w:val="single" w:sz="2" w:space="0" w:color="auto"/>
            </w:tcBorders>
          </w:tcPr>
          <w:p w14:paraId="715E9CBB" w14:textId="77777777" w:rsidR="0040521A" w:rsidRPr="00C16F21" w:rsidRDefault="0040521A" w:rsidP="00D6564B">
            <w:pPr>
              <w:pStyle w:val="T2"/>
              <w:jc w:val="right"/>
              <w:rPr>
                <w:sz w:val="10"/>
                <w:szCs w:val="10"/>
              </w:rPr>
            </w:pPr>
          </w:p>
        </w:tc>
        <w:tc>
          <w:tcPr>
            <w:tcW w:w="1512" w:type="dxa"/>
            <w:tcBorders>
              <w:top w:val="single" w:sz="2" w:space="0" w:color="auto"/>
            </w:tcBorders>
          </w:tcPr>
          <w:p w14:paraId="55AFB296" w14:textId="77777777" w:rsidR="0040521A" w:rsidRPr="00C16F21" w:rsidRDefault="0040521A" w:rsidP="00D6564B">
            <w:pPr>
              <w:pStyle w:val="T2"/>
              <w:jc w:val="right"/>
              <w:rPr>
                <w:b/>
                <w:bCs/>
                <w:sz w:val="10"/>
                <w:szCs w:val="10"/>
              </w:rPr>
            </w:pPr>
          </w:p>
        </w:tc>
        <w:tc>
          <w:tcPr>
            <w:tcW w:w="1512" w:type="dxa"/>
            <w:tcBorders>
              <w:top w:val="single" w:sz="2" w:space="0" w:color="auto"/>
            </w:tcBorders>
          </w:tcPr>
          <w:p w14:paraId="5062F9AF" w14:textId="77777777" w:rsidR="0040521A" w:rsidRPr="00C16F21" w:rsidRDefault="0040521A" w:rsidP="00D6564B">
            <w:pPr>
              <w:pStyle w:val="T2"/>
              <w:jc w:val="right"/>
              <w:rPr>
                <w:sz w:val="10"/>
                <w:szCs w:val="10"/>
              </w:rPr>
            </w:pPr>
          </w:p>
        </w:tc>
        <w:tc>
          <w:tcPr>
            <w:tcW w:w="1512" w:type="dxa"/>
            <w:tcBorders>
              <w:top w:val="single" w:sz="2" w:space="0" w:color="auto"/>
            </w:tcBorders>
          </w:tcPr>
          <w:p w14:paraId="00119C93" w14:textId="77777777" w:rsidR="0040521A" w:rsidRPr="00C16F21" w:rsidRDefault="0040521A" w:rsidP="00D6564B">
            <w:pPr>
              <w:pStyle w:val="T2"/>
              <w:jc w:val="right"/>
              <w:rPr>
                <w:sz w:val="10"/>
                <w:szCs w:val="10"/>
              </w:rPr>
            </w:pPr>
          </w:p>
        </w:tc>
      </w:tr>
      <w:tr w:rsidR="0040521A" w14:paraId="094AE594" w14:textId="77777777" w:rsidTr="0040521A">
        <w:trPr>
          <w:jc w:val="center"/>
        </w:trPr>
        <w:tc>
          <w:tcPr>
            <w:tcW w:w="5387" w:type="dxa"/>
          </w:tcPr>
          <w:p w14:paraId="0E622EB2" w14:textId="77777777" w:rsidR="0040521A" w:rsidRPr="00D515EB" w:rsidRDefault="0040521A" w:rsidP="00D6564B">
            <w:pPr>
              <w:pStyle w:val="T2"/>
              <w:jc w:val="left"/>
              <w:rPr>
                <w:b/>
              </w:rPr>
            </w:pPr>
            <w:r w:rsidRPr="00D515EB">
              <w:rPr>
                <w:b/>
              </w:rPr>
              <w:t>EQUITY</w:t>
            </w:r>
          </w:p>
        </w:tc>
        <w:tc>
          <w:tcPr>
            <w:tcW w:w="709" w:type="dxa"/>
          </w:tcPr>
          <w:p w14:paraId="67A609D9" w14:textId="77777777" w:rsidR="0040521A" w:rsidRPr="00A31437" w:rsidRDefault="0040521A" w:rsidP="00D6564B">
            <w:pPr>
              <w:pStyle w:val="T2"/>
              <w:jc w:val="right"/>
            </w:pPr>
          </w:p>
        </w:tc>
        <w:tc>
          <w:tcPr>
            <w:tcW w:w="1512" w:type="dxa"/>
          </w:tcPr>
          <w:p w14:paraId="67D4C9F5" w14:textId="77777777" w:rsidR="0040521A" w:rsidRPr="00B535FA" w:rsidRDefault="0040521A" w:rsidP="00D6564B">
            <w:pPr>
              <w:pStyle w:val="T2"/>
              <w:jc w:val="right"/>
              <w:rPr>
                <w:b/>
                <w:bCs/>
              </w:rPr>
            </w:pPr>
          </w:p>
        </w:tc>
        <w:tc>
          <w:tcPr>
            <w:tcW w:w="1512" w:type="dxa"/>
          </w:tcPr>
          <w:p w14:paraId="6954AD12" w14:textId="77777777" w:rsidR="0040521A" w:rsidRDefault="0040521A" w:rsidP="00D6564B">
            <w:pPr>
              <w:pStyle w:val="T2"/>
              <w:jc w:val="right"/>
            </w:pPr>
          </w:p>
        </w:tc>
        <w:tc>
          <w:tcPr>
            <w:tcW w:w="1512" w:type="dxa"/>
          </w:tcPr>
          <w:p w14:paraId="7080690C" w14:textId="77777777" w:rsidR="0040521A" w:rsidRDefault="0040521A" w:rsidP="00D6564B">
            <w:pPr>
              <w:pStyle w:val="T2"/>
              <w:jc w:val="right"/>
            </w:pPr>
          </w:p>
        </w:tc>
      </w:tr>
      <w:tr w:rsidR="0040521A" w14:paraId="13A7C981" w14:textId="77777777" w:rsidTr="0040521A">
        <w:trPr>
          <w:jc w:val="center"/>
        </w:trPr>
        <w:tc>
          <w:tcPr>
            <w:tcW w:w="5387" w:type="dxa"/>
          </w:tcPr>
          <w:p w14:paraId="195607C1" w14:textId="77777777" w:rsidR="0040521A" w:rsidRPr="00D515EB" w:rsidRDefault="0040521A" w:rsidP="00D6564B">
            <w:pPr>
              <w:pStyle w:val="T2"/>
              <w:jc w:val="left"/>
              <w:rPr>
                <w:b/>
              </w:rPr>
            </w:pPr>
            <w:r w:rsidRPr="00D515EB">
              <w:rPr>
                <w:b/>
              </w:rPr>
              <w:t>Capital and reserves attributable to equity holders of the Company</w:t>
            </w:r>
          </w:p>
        </w:tc>
        <w:tc>
          <w:tcPr>
            <w:tcW w:w="709" w:type="dxa"/>
          </w:tcPr>
          <w:p w14:paraId="1474384E" w14:textId="77777777" w:rsidR="0040521A" w:rsidRPr="00A31437" w:rsidRDefault="0040521A" w:rsidP="00D6564B">
            <w:pPr>
              <w:pStyle w:val="T2"/>
              <w:jc w:val="right"/>
            </w:pPr>
          </w:p>
        </w:tc>
        <w:tc>
          <w:tcPr>
            <w:tcW w:w="1512" w:type="dxa"/>
          </w:tcPr>
          <w:p w14:paraId="49A0BCDC" w14:textId="77777777" w:rsidR="0040521A" w:rsidRPr="00B535FA" w:rsidRDefault="0040521A" w:rsidP="00D6564B">
            <w:pPr>
              <w:pStyle w:val="T2"/>
              <w:jc w:val="right"/>
              <w:rPr>
                <w:b/>
                <w:bCs/>
              </w:rPr>
            </w:pPr>
          </w:p>
        </w:tc>
        <w:tc>
          <w:tcPr>
            <w:tcW w:w="1512" w:type="dxa"/>
          </w:tcPr>
          <w:p w14:paraId="367A2A6D" w14:textId="77777777" w:rsidR="0040521A" w:rsidRDefault="0040521A" w:rsidP="00D6564B">
            <w:pPr>
              <w:pStyle w:val="T2"/>
              <w:jc w:val="right"/>
            </w:pPr>
          </w:p>
        </w:tc>
        <w:tc>
          <w:tcPr>
            <w:tcW w:w="1512" w:type="dxa"/>
          </w:tcPr>
          <w:p w14:paraId="07BA5DA9" w14:textId="77777777" w:rsidR="0040521A" w:rsidRDefault="0040521A" w:rsidP="00D6564B">
            <w:pPr>
              <w:pStyle w:val="T2"/>
              <w:jc w:val="right"/>
            </w:pPr>
          </w:p>
        </w:tc>
      </w:tr>
      <w:tr w:rsidR="0040521A" w14:paraId="335938CA" w14:textId="77777777" w:rsidTr="0040521A">
        <w:trPr>
          <w:jc w:val="center"/>
        </w:trPr>
        <w:tc>
          <w:tcPr>
            <w:tcW w:w="5387" w:type="dxa"/>
          </w:tcPr>
          <w:p w14:paraId="26EA1AAE" w14:textId="77777777" w:rsidR="0040521A" w:rsidRPr="006D3169" w:rsidRDefault="0040521A" w:rsidP="00785766">
            <w:pPr>
              <w:pStyle w:val="T2"/>
              <w:jc w:val="left"/>
            </w:pPr>
            <w:r w:rsidRPr="006D3169">
              <w:t>Share capital</w:t>
            </w:r>
          </w:p>
        </w:tc>
        <w:tc>
          <w:tcPr>
            <w:tcW w:w="709" w:type="dxa"/>
          </w:tcPr>
          <w:p w14:paraId="7E0E3D41" w14:textId="77777777" w:rsidR="0040521A" w:rsidRPr="00A31437" w:rsidRDefault="0040521A" w:rsidP="00785766">
            <w:pPr>
              <w:pStyle w:val="T2"/>
              <w:jc w:val="right"/>
            </w:pPr>
          </w:p>
        </w:tc>
        <w:tc>
          <w:tcPr>
            <w:tcW w:w="1512" w:type="dxa"/>
          </w:tcPr>
          <w:p w14:paraId="0350E1B9" w14:textId="77777777" w:rsidR="0040521A" w:rsidRPr="00B535FA" w:rsidRDefault="0040521A" w:rsidP="00785766">
            <w:pPr>
              <w:pStyle w:val="T2"/>
              <w:jc w:val="right"/>
              <w:rPr>
                <w:b/>
                <w:bCs/>
              </w:rPr>
            </w:pPr>
            <w:r>
              <w:rPr>
                <w:b/>
                <w:bCs/>
              </w:rPr>
              <w:t>5.3</w:t>
            </w:r>
          </w:p>
        </w:tc>
        <w:tc>
          <w:tcPr>
            <w:tcW w:w="1512" w:type="dxa"/>
          </w:tcPr>
          <w:p w14:paraId="50F03A77" w14:textId="77777777" w:rsidR="0040521A" w:rsidRPr="009D01DA" w:rsidRDefault="0040521A" w:rsidP="00785766">
            <w:pPr>
              <w:pStyle w:val="T2"/>
              <w:jc w:val="right"/>
            </w:pPr>
            <w:r w:rsidRPr="0096767F">
              <w:rPr>
                <w:bCs/>
              </w:rPr>
              <w:t>4.5</w:t>
            </w:r>
          </w:p>
        </w:tc>
        <w:tc>
          <w:tcPr>
            <w:tcW w:w="1512" w:type="dxa"/>
          </w:tcPr>
          <w:p w14:paraId="2AFFD348" w14:textId="77777777" w:rsidR="0040521A" w:rsidRPr="0096767F" w:rsidRDefault="00EE0C86" w:rsidP="00785766">
            <w:pPr>
              <w:pStyle w:val="T2"/>
              <w:jc w:val="right"/>
              <w:rPr>
                <w:bCs/>
              </w:rPr>
            </w:pPr>
            <w:r>
              <w:rPr>
                <w:bCs/>
              </w:rPr>
              <w:t>4.5</w:t>
            </w:r>
          </w:p>
        </w:tc>
      </w:tr>
      <w:tr w:rsidR="0040521A" w14:paraId="7A586EE2" w14:textId="77777777" w:rsidTr="0040521A">
        <w:trPr>
          <w:jc w:val="center"/>
        </w:trPr>
        <w:tc>
          <w:tcPr>
            <w:tcW w:w="5387" w:type="dxa"/>
          </w:tcPr>
          <w:p w14:paraId="00E469BD" w14:textId="77777777" w:rsidR="0040521A" w:rsidRPr="006D3169" w:rsidRDefault="0040521A" w:rsidP="00785766">
            <w:pPr>
              <w:pStyle w:val="T2"/>
              <w:jc w:val="left"/>
            </w:pPr>
            <w:r w:rsidRPr="006D3169">
              <w:t xml:space="preserve">Share premium </w:t>
            </w:r>
          </w:p>
        </w:tc>
        <w:tc>
          <w:tcPr>
            <w:tcW w:w="709" w:type="dxa"/>
          </w:tcPr>
          <w:p w14:paraId="55B92EA8" w14:textId="77777777" w:rsidR="0040521A" w:rsidRPr="00A31437" w:rsidRDefault="0040521A" w:rsidP="00785766">
            <w:pPr>
              <w:pStyle w:val="T2"/>
              <w:jc w:val="right"/>
            </w:pPr>
          </w:p>
        </w:tc>
        <w:tc>
          <w:tcPr>
            <w:tcW w:w="1512" w:type="dxa"/>
          </w:tcPr>
          <w:p w14:paraId="3C3FC94F" w14:textId="77777777" w:rsidR="0040521A" w:rsidRPr="00B535FA" w:rsidRDefault="0040521A" w:rsidP="00785766">
            <w:pPr>
              <w:pStyle w:val="T2"/>
              <w:jc w:val="right"/>
              <w:rPr>
                <w:b/>
                <w:bCs/>
              </w:rPr>
            </w:pPr>
            <w:r>
              <w:rPr>
                <w:b/>
                <w:bCs/>
              </w:rPr>
              <w:t>89.6</w:t>
            </w:r>
          </w:p>
        </w:tc>
        <w:tc>
          <w:tcPr>
            <w:tcW w:w="1512" w:type="dxa"/>
          </w:tcPr>
          <w:p w14:paraId="761ABEAD" w14:textId="77777777" w:rsidR="0040521A" w:rsidRPr="009D01DA" w:rsidRDefault="0040521A" w:rsidP="00785766">
            <w:pPr>
              <w:pStyle w:val="T2"/>
              <w:jc w:val="right"/>
            </w:pPr>
            <w:r>
              <w:rPr>
                <w:bCs/>
              </w:rPr>
              <w:t>0.4</w:t>
            </w:r>
          </w:p>
        </w:tc>
        <w:tc>
          <w:tcPr>
            <w:tcW w:w="1512" w:type="dxa"/>
          </w:tcPr>
          <w:p w14:paraId="7B11F106" w14:textId="77777777" w:rsidR="0040521A" w:rsidRDefault="00EE0C86" w:rsidP="00785766">
            <w:pPr>
              <w:pStyle w:val="T2"/>
              <w:jc w:val="right"/>
              <w:rPr>
                <w:bCs/>
              </w:rPr>
            </w:pPr>
            <w:r>
              <w:rPr>
                <w:bCs/>
              </w:rPr>
              <w:t>0.4</w:t>
            </w:r>
          </w:p>
        </w:tc>
      </w:tr>
      <w:tr w:rsidR="0040521A" w14:paraId="7C49FDD2" w14:textId="77777777" w:rsidTr="0040521A">
        <w:trPr>
          <w:jc w:val="center"/>
        </w:trPr>
        <w:tc>
          <w:tcPr>
            <w:tcW w:w="5387" w:type="dxa"/>
            <w:tcBorders>
              <w:bottom w:val="single" w:sz="2" w:space="0" w:color="auto"/>
            </w:tcBorders>
          </w:tcPr>
          <w:p w14:paraId="2DA2D01C" w14:textId="77777777" w:rsidR="0040521A" w:rsidRPr="006D3169" w:rsidRDefault="0040521A" w:rsidP="00785766">
            <w:pPr>
              <w:pStyle w:val="T2"/>
              <w:jc w:val="left"/>
            </w:pPr>
            <w:r w:rsidRPr="006D3169">
              <w:t>Reserves</w:t>
            </w:r>
          </w:p>
        </w:tc>
        <w:tc>
          <w:tcPr>
            <w:tcW w:w="709" w:type="dxa"/>
            <w:tcBorders>
              <w:bottom w:val="single" w:sz="2" w:space="0" w:color="auto"/>
            </w:tcBorders>
          </w:tcPr>
          <w:p w14:paraId="5A168D53" w14:textId="77777777" w:rsidR="0040521A" w:rsidRPr="00A31437" w:rsidRDefault="0040521A" w:rsidP="00785766">
            <w:pPr>
              <w:pStyle w:val="T2"/>
              <w:jc w:val="right"/>
            </w:pPr>
          </w:p>
        </w:tc>
        <w:tc>
          <w:tcPr>
            <w:tcW w:w="1512" w:type="dxa"/>
            <w:tcBorders>
              <w:bottom w:val="single" w:sz="2" w:space="0" w:color="auto"/>
            </w:tcBorders>
          </w:tcPr>
          <w:p w14:paraId="2E388A1C" w14:textId="77777777" w:rsidR="0040521A" w:rsidRPr="00B535FA" w:rsidRDefault="0040521A" w:rsidP="0041734A">
            <w:pPr>
              <w:pStyle w:val="T2"/>
              <w:jc w:val="right"/>
              <w:rPr>
                <w:b/>
                <w:bCs/>
              </w:rPr>
            </w:pPr>
            <w:r>
              <w:rPr>
                <w:b/>
                <w:bCs/>
              </w:rPr>
              <w:t>27</w:t>
            </w:r>
            <w:r w:rsidR="00D439D4">
              <w:rPr>
                <w:b/>
                <w:bCs/>
              </w:rPr>
              <w:t>5</w:t>
            </w:r>
            <w:r>
              <w:rPr>
                <w:b/>
                <w:bCs/>
              </w:rPr>
              <w:t>.</w:t>
            </w:r>
            <w:r w:rsidR="00E9079C">
              <w:rPr>
                <w:b/>
                <w:bCs/>
              </w:rPr>
              <w:t>6</w:t>
            </w:r>
          </w:p>
        </w:tc>
        <w:tc>
          <w:tcPr>
            <w:tcW w:w="1512" w:type="dxa"/>
            <w:tcBorders>
              <w:bottom w:val="single" w:sz="2" w:space="0" w:color="auto"/>
            </w:tcBorders>
          </w:tcPr>
          <w:p w14:paraId="4A172FA9" w14:textId="77777777" w:rsidR="0040521A" w:rsidRPr="009D01DA" w:rsidRDefault="0040521A" w:rsidP="00785766">
            <w:pPr>
              <w:pStyle w:val="T2"/>
              <w:jc w:val="right"/>
            </w:pPr>
            <w:r w:rsidRPr="0096767F">
              <w:rPr>
                <w:bCs/>
              </w:rPr>
              <w:t>2</w:t>
            </w:r>
            <w:r>
              <w:rPr>
                <w:bCs/>
              </w:rPr>
              <w:t>71.6</w:t>
            </w:r>
          </w:p>
        </w:tc>
        <w:tc>
          <w:tcPr>
            <w:tcW w:w="1512" w:type="dxa"/>
            <w:tcBorders>
              <w:bottom w:val="single" w:sz="2" w:space="0" w:color="auto"/>
            </w:tcBorders>
          </w:tcPr>
          <w:p w14:paraId="768C37EA" w14:textId="77777777" w:rsidR="0040521A" w:rsidRPr="0096767F" w:rsidRDefault="00EE0C86" w:rsidP="00785766">
            <w:pPr>
              <w:pStyle w:val="T2"/>
              <w:jc w:val="right"/>
              <w:rPr>
                <w:bCs/>
              </w:rPr>
            </w:pPr>
            <w:r>
              <w:rPr>
                <w:bCs/>
              </w:rPr>
              <w:t>331.7</w:t>
            </w:r>
          </w:p>
        </w:tc>
      </w:tr>
      <w:tr w:rsidR="0040521A" w14:paraId="587F1623" w14:textId="77777777" w:rsidTr="0040521A">
        <w:trPr>
          <w:jc w:val="center"/>
        </w:trPr>
        <w:tc>
          <w:tcPr>
            <w:tcW w:w="5387" w:type="dxa"/>
            <w:tcBorders>
              <w:top w:val="single" w:sz="2" w:space="0" w:color="auto"/>
            </w:tcBorders>
          </w:tcPr>
          <w:p w14:paraId="3D9B5E32" w14:textId="77777777" w:rsidR="0040521A" w:rsidRPr="006D3169" w:rsidRDefault="0040521A" w:rsidP="00785766">
            <w:pPr>
              <w:pStyle w:val="T2"/>
              <w:jc w:val="left"/>
            </w:pPr>
          </w:p>
        </w:tc>
        <w:tc>
          <w:tcPr>
            <w:tcW w:w="709" w:type="dxa"/>
            <w:tcBorders>
              <w:top w:val="single" w:sz="2" w:space="0" w:color="auto"/>
            </w:tcBorders>
          </w:tcPr>
          <w:p w14:paraId="0C797637" w14:textId="77777777" w:rsidR="0040521A" w:rsidRPr="00A31437" w:rsidRDefault="0040521A" w:rsidP="00785766">
            <w:pPr>
              <w:pStyle w:val="T2"/>
              <w:jc w:val="right"/>
            </w:pPr>
          </w:p>
        </w:tc>
        <w:tc>
          <w:tcPr>
            <w:tcW w:w="1512" w:type="dxa"/>
            <w:tcBorders>
              <w:top w:val="single" w:sz="2" w:space="0" w:color="auto"/>
            </w:tcBorders>
          </w:tcPr>
          <w:p w14:paraId="2AB8CB7D" w14:textId="77777777" w:rsidR="0040521A" w:rsidRPr="00B535FA" w:rsidRDefault="0040521A" w:rsidP="0041734A">
            <w:pPr>
              <w:pStyle w:val="T2"/>
              <w:jc w:val="right"/>
              <w:rPr>
                <w:b/>
                <w:bCs/>
              </w:rPr>
            </w:pPr>
            <w:r>
              <w:rPr>
                <w:b/>
                <w:bCs/>
              </w:rPr>
              <w:t>37</w:t>
            </w:r>
            <w:r w:rsidR="00D439D4">
              <w:rPr>
                <w:b/>
                <w:bCs/>
              </w:rPr>
              <w:t>0.</w:t>
            </w:r>
            <w:r w:rsidR="00E9079C">
              <w:rPr>
                <w:b/>
                <w:bCs/>
              </w:rPr>
              <w:t>5</w:t>
            </w:r>
          </w:p>
        </w:tc>
        <w:tc>
          <w:tcPr>
            <w:tcW w:w="1512" w:type="dxa"/>
            <w:tcBorders>
              <w:top w:val="single" w:sz="2" w:space="0" w:color="auto"/>
            </w:tcBorders>
          </w:tcPr>
          <w:p w14:paraId="0E633409" w14:textId="77777777" w:rsidR="0040521A" w:rsidRPr="009D01DA" w:rsidRDefault="0040521A" w:rsidP="00785766">
            <w:pPr>
              <w:pStyle w:val="T2"/>
              <w:jc w:val="right"/>
            </w:pPr>
            <w:r w:rsidRPr="0096767F">
              <w:rPr>
                <w:bCs/>
              </w:rPr>
              <w:t>2</w:t>
            </w:r>
            <w:r>
              <w:rPr>
                <w:bCs/>
              </w:rPr>
              <w:t>76.5</w:t>
            </w:r>
          </w:p>
        </w:tc>
        <w:tc>
          <w:tcPr>
            <w:tcW w:w="1512" w:type="dxa"/>
            <w:tcBorders>
              <w:top w:val="single" w:sz="2" w:space="0" w:color="auto"/>
            </w:tcBorders>
          </w:tcPr>
          <w:p w14:paraId="0ECFE489" w14:textId="77777777" w:rsidR="0040521A" w:rsidRPr="0096767F" w:rsidRDefault="00EE0C86" w:rsidP="00785766">
            <w:pPr>
              <w:pStyle w:val="T2"/>
              <w:jc w:val="right"/>
              <w:rPr>
                <w:bCs/>
              </w:rPr>
            </w:pPr>
            <w:r>
              <w:rPr>
                <w:bCs/>
              </w:rPr>
              <w:t>336.6</w:t>
            </w:r>
          </w:p>
        </w:tc>
      </w:tr>
      <w:tr w:rsidR="0040521A" w14:paraId="67CEC39B" w14:textId="77777777" w:rsidTr="0040521A">
        <w:trPr>
          <w:jc w:val="center"/>
        </w:trPr>
        <w:tc>
          <w:tcPr>
            <w:tcW w:w="5387" w:type="dxa"/>
            <w:tcBorders>
              <w:bottom w:val="single" w:sz="2" w:space="0" w:color="auto"/>
            </w:tcBorders>
          </w:tcPr>
          <w:p w14:paraId="1E8129AA" w14:textId="77777777" w:rsidR="0040521A" w:rsidRPr="006D3169" w:rsidRDefault="0040521A" w:rsidP="00785766">
            <w:pPr>
              <w:pStyle w:val="T2"/>
              <w:jc w:val="left"/>
            </w:pPr>
            <w:r w:rsidRPr="006D3169">
              <w:t>Non</w:t>
            </w:r>
            <w:r>
              <w:t>–</w:t>
            </w:r>
            <w:r w:rsidRPr="006D3169">
              <w:t>controlling interests</w:t>
            </w:r>
          </w:p>
        </w:tc>
        <w:tc>
          <w:tcPr>
            <w:tcW w:w="709" w:type="dxa"/>
            <w:tcBorders>
              <w:bottom w:val="single" w:sz="2" w:space="0" w:color="auto"/>
            </w:tcBorders>
          </w:tcPr>
          <w:p w14:paraId="5C281647" w14:textId="77777777" w:rsidR="0040521A" w:rsidRPr="00A31437" w:rsidRDefault="0040521A" w:rsidP="00785766">
            <w:pPr>
              <w:pStyle w:val="T2"/>
              <w:jc w:val="right"/>
            </w:pPr>
          </w:p>
        </w:tc>
        <w:tc>
          <w:tcPr>
            <w:tcW w:w="1512" w:type="dxa"/>
            <w:tcBorders>
              <w:bottom w:val="single" w:sz="2" w:space="0" w:color="auto"/>
            </w:tcBorders>
          </w:tcPr>
          <w:p w14:paraId="08EB927D" w14:textId="77777777" w:rsidR="0040521A" w:rsidRPr="00B535FA" w:rsidRDefault="0040521A" w:rsidP="00785766">
            <w:pPr>
              <w:pStyle w:val="T2"/>
              <w:jc w:val="right"/>
              <w:rPr>
                <w:b/>
                <w:bCs/>
              </w:rPr>
            </w:pPr>
            <w:r w:rsidRPr="0059324E">
              <w:rPr>
                <w:b/>
                <w:bCs/>
              </w:rPr>
              <w:t>–</w:t>
            </w:r>
          </w:p>
        </w:tc>
        <w:tc>
          <w:tcPr>
            <w:tcW w:w="1512" w:type="dxa"/>
            <w:tcBorders>
              <w:bottom w:val="single" w:sz="2" w:space="0" w:color="auto"/>
            </w:tcBorders>
          </w:tcPr>
          <w:p w14:paraId="505F8014" w14:textId="77777777" w:rsidR="0040521A" w:rsidRPr="009D01DA" w:rsidRDefault="0040521A" w:rsidP="00785766">
            <w:pPr>
              <w:pStyle w:val="T2"/>
              <w:jc w:val="right"/>
            </w:pPr>
            <w:r>
              <w:rPr>
                <w:bCs/>
              </w:rPr>
              <w:t>5.7</w:t>
            </w:r>
          </w:p>
        </w:tc>
        <w:tc>
          <w:tcPr>
            <w:tcW w:w="1512" w:type="dxa"/>
            <w:tcBorders>
              <w:bottom w:val="single" w:sz="2" w:space="0" w:color="auto"/>
            </w:tcBorders>
          </w:tcPr>
          <w:p w14:paraId="7AC161B8" w14:textId="77777777" w:rsidR="0040521A" w:rsidRDefault="00EE0C86" w:rsidP="00785766">
            <w:pPr>
              <w:pStyle w:val="T2"/>
              <w:jc w:val="right"/>
              <w:rPr>
                <w:bCs/>
              </w:rPr>
            </w:pPr>
            <w:r>
              <w:rPr>
                <w:bCs/>
              </w:rPr>
              <w:t>4.9</w:t>
            </w:r>
          </w:p>
        </w:tc>
      </w:tr>
      <w:tr w:rsidR="0040521A" w14:paraId="35ADBF1E" w14:textId="77777777" w:rsidTr="0040521A">
        <w:trPr>
          <w:jc w:val="center"/>
        </w:trPr>
        <w:tc>
          <w:tcPr>
            <w:tcW w:w="5387" w:type="dxa"/>
            <w:tcBorders>
              <w:top w:val="single" w:sz="2" w:space="0" w:color="auto"/>
              <w:bottom w:val="single" w:sz="2" w:space="0" w:color="auto"/>
            </w:tcBorders>
          </w:tcPr>
          <w:p w14:paraId="02330394" w14:textId="77777777" w:rsidR="0040521A" w:rsidRPr="00D515EB" w:rsidRDefault="0040521A" w:rsidP="00785766">
            <w:pPr>
              <w:pStyle w:val="T2"/>
              <w:jc w:val="left"/>
              <w:rPr>
                <w:b/>
              </w:rPr>
            </w:pPr>
            <w:r w:rsidRPr="00D515EB">
              <w:rPr>
                <w:b/>
              </w:rPr>
              <w:t>Total equity</w:t>
            </w:r>
          </w:p>
        </w:tc>
        <w:tc>
          <w:tcPr>
            <w:tcW w:w="709" w:type="dxa"/>
            <w:tcBorders>
              <w:top w:val="single" w:sz="2" w:space="0" w:color="auto"/>
              <w:bottom w:val="single" w:sz="2" w:space="0" w:color="auto"/>
            </w:tcBorders>
          </w:tcPr>
          <w:p w14:paraId="7A1CF850" w14:textId="77777777" w:rsidR="0040521A" w:rsidRPr="00A31437" w:rsidRDefault="0040521A" w:rsidP="00785766">
            <w:pPr>
              <w:pStyle w:val="T2"/>
              <w:jc w:val="right"/>
            </w:pPr>
          </w:p>
        </w:tc>
        <w:tc>
          <w:tcPr>
            <w:tcW w:w="1512" w:type="dxa"/>
            <w:tcBorders>
              <w:top w:val="single" w:sz="2" w:space="0" w:color="auto"/>
              <w:bottom w:val="single" w:sz="2" w:space="0" w:color="auto"/>
            </w:tcBorders>
          </w:tcPr>
          <w:p w14:paraId="446F1411" w14:textId="77777777" w:rsidR="0040521A" w:rsidRPr="00B535FA" w:rsidRDefault="0040521A" w:rsidP="0041734A">
            <w:pPr>
              <w:pStyle w:val="T2"/>
              <w:jc w:val="right"/>
              <w:rPr>
                <w:b/>
                <w:bCs/>
              </w:rPr>
            </w:pPr>
            <w:r>
              <w:rPr>
                <w:b/>
                <w:bCs/>
              </w:rPr>
              <w:t>37</w:t>
            </w:r>
            <w:r w:rsidR="00D439D4">
              <w:rPr>
                <w:b/>
                <w:bCs/>
              </w:rPr>
              <w:t>0.</w:t>
            </w:r>
            <w:r w:rsidR="00E9079C">
              <w:rPr>
                <w:b/>
                <w:bCs/>
              </w:rPr>
              <w:t>5</w:t>
            </w:r>
          </w:p>
        </w:tc>
        <w:tc>
          <w:tcPr>
            <w:tcW w:w="1512" w:type="dxa"/>
            <w:tcBorders>
              <w:top w:val="single" w:sz="2" w:space="0" w:color="auto"/>
              <w:bottom w:val="single" w:sz="2" w:space="0" w:color="auto"/>
            </w:tcBorders>
          </w:tcPr>
          <w:p w14:paraId="7461BC72" w14:textId="77777777" w:rsidR="0040521A" w:rsidRDefault="0040521A" w:rsidP="00785766">
            <w:pPr>
              <w:pStyle w:val="T2"/>
              <w:jc w:val="right"/>
            </w:pPr>
            <w:r>
              <w:rPr>
                <w:bCs/>
              </w:rPr>
              <w:t>282.2</w:t>
            </w:r>
          </w:p>
        </w:tc>
        <w:tc>
          <w:tcPr>
            <w:tcW w:w="1512" w:type="dxa"/>
            <w:tcBorders>
              <w:top w:val="single" w:sz="2" w:space="0" w:color="auto"/>
              <w:bottom w:val="single" w:sz="2" w:space="0" w:color="auto"/>
            </w:tcBorders>
          </w:tcPr>
          <w:p w14:paraId="64874D4F" w14:textId="77777777" w:rsidR="0040521A" w:rsidRDefault="00EE0C86" w:rsidP="00785766">
            <w:pPr>
              <w:pStyle w:val="T2"/>
              <w:jc w:val="right"/>
              <w:rPr>
                <w:bCs/>
              </w:rPr>
            </w:pPr>
            <w:r>
              <w:rPr>
                <w:bCs/>
              </w:rPr>
              <w:t>341.5</w:t>
            </w:r>
          </w:p>
        </w:tc>
      </w:tr>
      <w:tr w:rsidR="0040521A" w14:paraId="0795C315" w14:textId="77777777" w:rsidTr="0040521A">
        <w:trPr>
          <w:jc w:val="center"/>
        </w:trPr>
        <w:tc>
          <w:tcPr>
            <w:tcW w:w="5387" w:type="dxa"/>
            <w:tcBorders>
              <w:top w:val="single" w:sz="2" w:space="0" w:color="auto"/>
            </w:tcBorders>
          </w:tcPr>
          <w:p w14:paraId="6589BF8F" w14:textId="77777777" w:rsidR="0040521A" w:rsidRPr="00C16F21" w:rsidRDefault="0040521A" w:rsidP="00D6564B">
            <w:pPr>
              <w:pStyle w:val="T2"/>
              <w:jc w:val="left"/>
              <w:rPr>
                <w:sz w:val="10"/>
                <w:szCs w:val="10"/>
              </w:rPr>
            </w:pPr>
          </w:p>
        </w:tc>
        <w:tc>
          <w:tcPr>
            <w:tcW w:w="709" w:type="dxa"/>
            <w:tcBorders>
              <w:top w:val="single" w:sz="2" w:space="0" w:color="auto"/>
            </w:tcBorders>
          </w:tcPr>
          <w:p w14:paraId="7086ACBC" w14:textId="77777777" w:rsidR="0040521A" w:rsidRPr="00C16F21" w:rsidRDefault="0040521A" w:rsidP="00D6564B">
            <w:pPr>
              <w:pStyle w:val="T2"/>
              <w:jc w:val="right"/>
              <w:rPr>
                <w:sz w:val="10"/>
                <w:szCs w:val="10"/>
              </w:rPr>
            </w:pPr>
          </w:p>
        </w:tc>
        <w:tc>
          <w:tcPr>
            <w:tcW w:w="1512" w:type="dxa"/>
            <w:tcBorders>
              <w:top w:val="single" w:sz="2" w:space="0" w:color="auto"/>
            </w:tcBorders>
          </w:tcPr>
          <w:p w14:paraId="799D95B0" w14:textId="77777777" w:rsidR="0040521A" w:rsidRPr="00C16F21" w:rsidRDefault="0040521A" w:rsidP="00D6564B">
            <w:pPr>
              <w:pStyle w:val="T2"/>
              <w:jc w:val="right"/>
              <w:rPr>
                <w:b/>
                <w:bCs/>
                <w:sz w:val="10"/>
                <w:szCs w:val="10"/>
              </w:rPr>
            </w:pPr>
          </w:p>
        </w:tc>
        <w:tc>
          <w:tcPr>
            <w:tcW w:w="1512" w:type="dxa"/>
            <w:tcBorders>
              <w:top w:val="single" w:sz="2" w:space="0" w:color="auto"/>
            </w:tcBorders>
          </w:tcPr>
          <w:p w14:paraId="2D8488A2" w14:textId="77777777" w:rsidR="0040521A" w:rsidRPr="00C16F21" w:rsidRDefault="0040521A" w:rsidP="00D6564B">
            <w:pPr>
              <w:pStyle w:val="T2"/>
              <w:jc w:val="right"/>
              <w:rPr>
                <w:sz w:val="10"/>
                <w:szCs w:val="10"/>
              </w:rPr>
            </w:pPr>
          </w:p>
        </w:tc>
        <w:tc>
          <w:tcPr>
            <w:tcW w:w="1512" w:type="dxa"/>
            <w:tcBorders>
              <w:top w:val="single" w:sz="2" w:space="0" w:color="auto"/>
            </w:tcBorders>
          </w:tcPr>
          <w:p w14:paraId="507A86E4" w14:textId="77777777" w:rsidR="0040521A" w:rsidRPr="00C16F21" w:rsidRDefault="0040521A" w:rsidP="00D6564B">
            <w:pPr>
              <w:pStyle w:val="T2"/>
              <w:jc w:val="right"/>
              <w:rPr>
                <w:sz w:val="10"/>
                <w:szCs w:val="10"/>
              </w:rPr>
            </w:pPr>
          </w:p>
        </w:tc>
      </w:tr>
      <w:tr w:rsidR="0040521A" w14:paraId="6C33CCD8" w14:textId="77777777" w:rsidTr="0040521A">
        <w:trPr>
          <w:jc w:val="center"/>
        </w:trPr>
        <w:tc>
          <w:tcPr>
            <w:tcW w:w="5387" w:type="dxa"/>
          </w:tcPr>
          <w:p w14:paraId="17699F79" w14:textId="77777777" w:rsidR="0040521A" w:rsidRPr="00D515EB" w:rsidRDefault="0040521A" w:rsidP="00D6564B">
            <w:pPr>
              <w:pStyle w:val="T2"/>
              <w:jc w:val="left"/>
              <w:rPr>
                <w:b/>
              </w:rPr>
            </w:pPr>
            <w:r w:rsidRPr="00D515EB">
              <w:rPr>
                <w:b/>
              </w:rPr>
              <w:t>LIABILITIES</w:t>
            </w:r>
          </w:p>
        </w:tc>
        <w:tc>
          <w:tcPr>
            <w:tcW w:w="709" w:type="dxa"/>
          </w:tcPr>
          <w:p w14:paraId="4A17AA31" w14:textId="77777777" w:rsidR="0040521A" w:rsidRPr="00A31437" w:rsidRDefault="0040521A" w:rsidP="00D6564B">
            <w:pPr>
              <w:pStyle w:val="T2"/>
              <w:jc w:val="right"/>
            </w:pPr>
          </w:p>
        </w:tc>
        <w:tc>
          <w:tcPr>
            <w:tcW w:w="1512" w:type="dxa"/>
          </w:tcPr>
          <w:p w14:paraId="08E8ED59" w14:textId="77777777" w:rsidR="0040521A" w:rsidRPr="00B535FA" w:rsidRDefault="0040521A" w:rsidP="00D6564B">
            <w:pPr>
              <w:pStyle w:val="T2"/>
              <w:jc w:val="right"/>
              <w:rPr>
                <w:b/>
                <w:bCs/>
              </w:rPr>
            </w:pPr>
          </w:p>
        </w:tc>
        <w:tc>
          <w:tcPr>
            <w:tcW w:w="1512" w:type="dxa"/>
          </w:tcPr>
          <w:p w14:paraId="6AE6371C" w14:textId="77777777" w:rsidR="0040521A" w:rsidRDefault="0040521A" w:rsidP="00D6564B">
            <w:pPr>
              <w:pStyle w:val="T2"/>
              <w:jc w:val="right"/>
            </w:pPr>
          </w:p>
        </w:tc>
        <w:tc>
          <w:tcPr>
            <w:tcW w:w="1512" w:type="dxa"/>
          </w:tcPr>
          <w:p w14:paraId="1CDD2DD4" w14:textId="77777777" w:rsidR="0040521A" w:rsidRDefault="0040521A" w:rsidP="00D6564B">
            <w:pPr>
              <w:pStyle w:val="T2"/>
              <w:jc w:val="right"/>
            </w:pPr>
          </w:p>
        </w:tc>
      </w:tr>
      <w:tr w:rsidR="0040521A" w14:paraId="468853F9" w14:textId="77777777" w:rsidTr="0040521A">
        <w:trPr>
          <w:jc w:val="center"/>
        </w:trPr>
        <w:tc>
          <w:tcPr>
            <w:tcW w:w="5387" w:type="dxa"/>
          </w:tcPr>
          <w:p w14:paraId="1A466877" w14:textId="77777777" w:rsidR="0040521A" w:rsidRPr="00D515EB" w:rsidRDefault="0040521A" w:rsidP="00D6564B">
            <w:pPr>
              <w:pStyle w:val="T2"/>
              <w:jc w:val="left"/>
              <w:rPr>
                <w:b/>
              </w:rPr>
            </w:pPr>
            <w:r w:rsidRPr="00D515EB">
              <w:rPr>
                <w:b/>
              </w:rPr>
              <w:t>Non</w:t>
            </w:r>
            <w:r>
              <w:rPr>
                <w:b/>
              </w:rPr>
              <w:t>–</w:t>
            </w:r>
            <w:r w:rsidRPr="00D515EB">
              <w:rPr>
                <w:b/>
              </w:rPr>
              <w:t>current liabilities</w:t>
            </w:r>
          </w:p>
        </w:tc>
        <w:tc>
          <w:tcPr>
            <w:tcW w:w="709" w:type="dxa"/>
          </w:tcPr>
          <w:p w14:paraId="1A226996" w14:textId="77777777" w:rsidR="0040521A" w:rsidRPr="00A31437" w:rsidRDefault="0040521A" w:rsidP="00D6564B">
            <w:pPr>
              <w:pStyle w:val="T2"/>
              <w:jc w:val="right"/>
            </w:pPr>
          </w:p>
        </w:tc>
        <w:tc>
          <w:tcPr>
            <w:tcW w:w="1512" w:type="dxa"/>
          </w:tcPr>
          <w:p w14:paraId="3539567E" w14:textId="77777777" w:rsidR="0040521A" w:rsidRPr="00B535FA" w:rsidRDefault="0040521A" w:rsidP="00D6564B">
            <w:pPr>
              <w:pStyle w:val="T2"/>
              <w:jc w:val="right"/>
              <w:rPr>
                <w:b/>
                <w:bCs/>
              </w:rPr>
            </w:pPr>
          </w:p>
        </w:tc>
        <w:tc>
          <w:tcPr>
            <w:tcW w:w="1512" w:type="dxa"/>
          </w:tcPr>
          <w:p w14:paraId="73B7DFAF" w14:textId="77777777" w:rsidR="0040521A" w:rsidRDefault="0040521A" w:rsidP="00D6564B">
            <w:pPr>
              <w:pStyle w:val="T2"/>
              <w:jc w:val="right"/>
            </w:pPr>
          </w:p>
        </w:tc>
        <w:tc>
          <w:tcPr>
            <w:tcW w:w="1512" w:type="dxa"/>
          </w:tcPr>
          <w:p w14:paraId="700D3A73" w14:textId="77777777" w:rsidR="0040521A" w:rsidRDefault="0040521A" w:rsidP="00D6564B">
            <w:pPr>
              <w:pStyle w:val="T2"/>
              <w:jc w:val="right"/>
            </w:pPr>
          </w:p>
        </w:tc>
      </w:tr>
      <w:tr w:rsidR="0040521A" w14:paraId="1B60856E" w14:textId="77777777" w:rsidTr="0040521A">
        <w:trPr>
          <w:jc w:val="center"/>
        </w:trPr>
        <w:tc>
          <w:tcPr>
            <w:tcW w:w="5387" w:type="dxa"/>
          </w:tcPr>
          <w:p w14:paraId="770A5D95" w14:textId="77777777" w:rsidR="0040521A" w:rsidRPr="006D3169" w:rsidRDefault="0040521A" w:rsidP="00785766">
            <w:pPr>
              <w:pStyle w:val="T2"/>
              <w:jc w:val="left"/>
            </w:pPr>
            <w:r w:rsidRPr="006D3169">
              <w:t>Borrowings</w:t>
            </w:r>
          </w:p>
        </w:tc>
        <w:tc>
          <w:tcPr>
            <w:tcW w:w="709" w:type="dxa"/>
          </w:tcPr>
          <w:p w14:paraId="63B50D12" w14:textId="77777777" w:rsidR="0040521A" w:rsidRPr="00A31437" w:rsidRDefault="0040521A" w:rsidP="00E126B5">
            <w:pPr>
              <w:pStyle w:val="T2"/>
              <w:jc w:val="right"/>
            </w:pPr>
            <w:r w:rsidRPr="00A31437">
              <w:t>1</w:t>
            </w:r>
            <w:r w:rsidR="00E126B5">
              <w:t>1</w:t>
            </w:r>
          </w:p>
        </w:tc>
        <w:tc>
          <w:tcPr>
            <w:tcW w:w="1512" w:type="dxa"/>
          </w:tcPr>
          <w:p w14:paraId="33C353C4" w14:textId="77777777" w:rsidR="0040521A" w:rsidRPr="00B535FA" w:rsidRDefault="0040521A" w:rsidP="00D439D4">
            <w:pPr>
              <w:pStyle w:val="T2"/>
              <w:jc w:val="right"/>
              <w:rPr>
                <w:b/>
                <w:bCs/>
              </w:rPr>
            </w:pPr>
            <w:r>
              <w:rPr>
                <w:b/>
                <w:bCs/>
              </w:rPr>
              <w:t>24</w:t>
            </w:r>
            <w:r w:rsidR="00D439D4">
              <w:rPr>
                <w:b/>
                <w:bCs/>
              </w:rPr>
              <w:t>0.7</w:t>
            </w:r>
          </w:p>
        </w:tc>
        <w:tc>
          <w:tcPr>
            <w:tcW w:w="1512" w:type="dxa"/>
          </w:tcPr>
          <w:p w14:paraId="67715314" w14:textId="77777777" w:rsidR="0040521A" w:rsidRPr="006F478A" w:rsidRDefault="0040521A" w:rsidP="00785766">
            <w:pPr>
              <w:pStyle w:val="T2"/>
              <w:jc w:val="right"/>
            </w:pPr>
            <w:r>
              <w:rPr>
                <w:bCs/>
              </w:rPr>
              <w:t>397.5</w:t>
            </w:r>
          </w:p>
        </w:tc>
        <w:tc>
          <w:tcPr>
            <w:tcW w:w="1512" w:type="dxa"/>
          </w:tcPr>
          <w:p w14:paraId="018D0E0C" w14:textId="77777777" w:rsidR="0040521A" w:rsidRDefault="00EE0C86" w:rsidP="00785766">
            <w:pPr>
              <w:pStyle w:val="T2"/>
              <w:jc w:val="right"/>
              <w:rPr>
                <w:bCs/>
              </w:rPr>
            </w:pPr>
            <w:r>
              <w:rPr>
                <w:bCs/>
              </w:rPr>
              <w:t>345.6</w:t>
            </w:r>
          </w:p>
        </w:tc>
      </w:tr>
      <w:tr w:rsidR="0040521A" w14:paraId="1F382382" w14:textId="77777777" w:rsidTr="0040521A">
        <w:trPr>
          <w:jc w:val="center"/>
        </w:trPr>
        <w:tc>
          <w:tcPr>
            <w:tcW w:w="5387" w:type="dxa"/>
          </w:tcPr>
          <w:p w14:paraId="60EB80BC" w14:textId="77777777" w:rsidR="0040521A" w:rsidRPr="006D3169" w:rsidRDefault="0040521A" w:rsidP="00785766">
            <w:pPr>
              <w:pStyle w:val="T2"/>
              <w:jc w:val="left"/>
            </w:pPr>
            <w:r>
              <w:t>Lease liabilities</w:t>
            </w:r>
          </w:p>
        </w:tc>
        <w:tc>
          <w:tcPr>
            <w:tcW w:w="709" w:type="dxa"/>
          </w:tcPr>
          <w:p w14:paraId="45B6A558" w14:textId="77777777" w:rsidR="0040521A" w:rsidRPr="00A31437" w:rsidRDefault="0040521A" w:rsidP="00785766">
            <w:pPr>
              <w:pStyle w:val="T2"/>
              <w:jc w:val="right"/>
            </w:pPr>
          </w:p>
        </w:tc>
        <w:tc>
          <w:tcPr>
            <w:tcW w:w="1512" w:type="dxa"/>
          </w:tcPr>
          <w:p w14:paraId="0AF1F87D" w14:textId="77777777" w:rsidR="0040521A" w:rsidRDefault="0040521A" w:rsidP="00785766">
            <w:pPr>
              <w:pStyle w:val="T2"/>
              <w:jc w:val="right"/>
              <w:rPr>
                <w:b/>
                <w:bCs/>
              </w:rPr>
            </w:pPr>
            <w:r>
              <w:rPr>
                <w:b/>
                <w:bCs/>
              </w:rPr>
              <w:t>45.6</w:t>
            </w:r>
          </w:p>
        </w:tc>
        <w:tc>
          <w:tcPr>
            <w:tcW w:w="1512" w:type="dxa"/>
          </w:tcPr>
          <w:p w14:paraId="7FD68CE0" w14:textId="77777777" w:rsidR="0040521A" w:rsidRDefault="0040521A" w:rsidP="00785766">
            <w:pPr>
              <w:pStyle w:val="T2"/>
              <w:jc w:val="right"/>
              <w:rPr>
                <w:bCs/>
              </w:rPr>
            </w:pPr>
            <w:r>
              <w:rPr>
                <w:bCs/>
              </w:rPr>
              <w:t>46.6</w:t>
            </w:r>
          </w:p>
        </w:tc>
        <w:tc>
          <w:tcPr>
            <w:tcW w:w="1512" w:type="dxa"/>
          </w:tcPr>
          <w:p w14:paraId="64E779CA" w14:textId="77777777" w:rsidR="0040521A" w:rsidRDefault="00EE0C86" w:rsidP="00785766">
            <w:pPr>
              <w:pStyle w:val="T2"/>
              <w:jc w:val="right"/>
              <w:rPr>
                <w:bCs/>
              </w:rPr>
            </w:pPr>
            <w:r>
              <w:rPr>
                <w:bCs/>
              </w:rPr>
              <w:t>49.0</w:t>
            </w:r>
          </w:p>
        </w:tc>
      </w:tr>
      <w:tr w:rsidR="0040521A" w14:paraId="4AE17179" w14:textId="77777777" w:rsidTr="0040521A">
        <w:trPr>
          <w:jc w:val="center"/>
        </w:trPr>
        <w:tc>
          <w:tcPr>
            <w:tcW w:w="5387" w:type="dxa"/>
          </w:tcPr>
          <w:p w14:paraId="47B705FF" w14:textId="77777777" w:rsidR="0040521A" w:rsidRPr="006D3169" w:rsidRDefault="0040521A" w:rsidP="00785766">
            <w:pPr>
              <w:pStyle w:val="T2"/>
              <w:jc w:val="left"/>
            </w:pPr>
            <w:r w:rsidRPr="006D3169">
              <w:t>Other payables</w:t>
            </w:r>
          </w:p>
        </w:tc>
        <w:tc>
          <w:tcPr>
            <w:tcW w:w="709" w:type="dxa"/>
          </w:tcPr>
          <w:p w14:paraId="536DE452" w14:textId="77777777" w:rsidR="0040521A" w:rsidRPr="00A31437" w:rsidRDefault="0040521A" w:rsidP="00785766">
            <w:pPr>
              <w:pStyle w:val="T2"/>
              <w:jc w:val="right"/>
            </w:pPr>
          </w:p>
        </w:tc>
        <w:tc>
          <w:tcPr>
            <w:tcW w:w="1512" w:type="dxa"/>
          </w:tcPr>
          <w:p w14:paraId="39DD1214" w14:textId="77777777" w:rsidR="0040521A" w:rsidRDefault="0040521A" w:rsidP="00785766">
            <w:pPr>
              <w:pStyle w:val="T2"/>
              <w:jc w:val="right"/>
              <w:rPr>
                <w:b/>
                <w:bCs/>
              </w:rPr>
            </w:pPr>
            <w:r>
              <w:rPr>
                <w:b/>
                <w:bCs/>
              </w:rPr>
              <w:t>3.7</w:t>
            </w:r>
          </w:p>
        </w:tc>
        <w:tc>
          <w:tcPr>
            <w:tcW w:w="1512" w:type="dxa"/>
          </w:tcPr>
          <w:p w14:paraId="710B5F81" w14:textId="77777777" w:rsidR="0040521A" w:rsidRDefault="0040521A" w:rsidP="00785766">
            <w:pPr>
              <w:pStyle w:val="T2"/>
              <w:jc w:val="right"/>
              <w:rPr>
                <w:bCs/>
              </w:rPr>
            </w:pPr>
            <w:r w:rsidRPr="0096767F">
              <w:rPr>
                <w:bCs/>
              </w:rPr>
              <w:t>3.7</w:t>
            </w:r>
          </w:p>
        </w:tc>
        <w:tc>
          <w:tcPr>
            <w:tcW w:w="1512" w:type="dxa"/>
          </w:tcPr>
          <w:p w14:paraId="5C5BDAB0" w14:textId="77777777" w:rsidR="0040521A" w:rsidRPr="0096767F" w:rsidRDefault="00EE0C86" w:rsidP="00785766">
            <w:pPr>
              <w:pStyle w:val="T2"/>
              <w:jc w:val="right"/>
              <w:rPr>
                <w:bCs/>
              </w:rPr>
            </w:pPr>
            <w:r>
              <w:rPr>
                <w:bCs/>
              </w:rPr>
              <w:t>3.7</w:t>
            </w:r>
          </w:p>
        </w:tc>
      </w:tr>
      <w:tr w:rsidR="0040521A" w14:paraId="3FF44A91" w14:textId="77777777" w:rsidTr="0040521A">
        <w:trPr>
          <w:jc w:val="center"/>
        </w:trPr>
        <w:tc>
          <w:tcPr>
            <w:tcW w:w="5387" w:type="dxa"/>
          </w:tcPr>
          <w:p w14:paraId="45CAF923" w14:textId="77777777" w:rsidR="0040521A" w:rsidRPr="006D3169" w:rsidRDefault="0040521A" w:rsidP="00785766">
            <w:pPr>
              <w:pStyle w:val="T2"/>
              <w:jc w:val="left"/>
            </w:pPr>
            <w:r w:rsidRPr="006D3169">
              <w:t>Derivative financial instruments</w:t>
            </w:r>
          </w:p>
        </w:tc>
        <w:tc>
          <w:tcPr>
            <w:tcW w:w="709" w:type="dxa"/>
          </w:tcPr>
          <w:p w14:paraId="16C486D0" w14:textId="77777777" w:rsidR="0040521A" w:rsidRPr="00A31437" w:rsidRDefault="0040521A" w:rsidP="00E126B5">
            <w:pPr>
              <w:pStyle w:val="T2"/>
              <w:jc w:val="right"/>
            </w:pPr>
            <w:r w:rsidRPr="00A31437">
              <w:t>1</w:t>
            </w:r>
            <w:r w:rsidR="00E126B5">
              <w:t>1</w:t>
            </w:r>
          </w:p>
        </w:tc>
        <w:tc>
          <w:tcPr>
            <w:tcW w:w="1512" w:type="dxa"/>
          </w:tcPr>
          <w:p w14:paraId="0C749DE7" w14:textId="77777777" w:rsidR="0040521A" w:rsidRPr="00B535FA" w:rsidRDefault="0040521A" w:rsidP="00785766">
            <w:pPr>
              <w:pStyle w:val="T2"/>
              <w:jc w:val="right"/>
              <w:rPr>
                <w:b/>
                <w:bCs/>
              </w:rPr>
            </w:pPr>
            <w:r>
              <w:rPr>
                <w:b/>
                <w:bCs/>
              </w:rPr>
              <w:t>3.1</w:t>
            </w:r>
          </w:p>
        </w:tc>
        <w:tc>
          <w:tcPr>
            <w:tcW w:w="1512" w:type="dxa"/>
          </w:tcPr>
          <w:p w14:paraId="70DA4D34" w14:textId="77777777" w:rsidR="0040521A" w:rsidRPr="006F478A" w:rsidRDefault="0040521A" w:rsidP="00785766">
            <w:pPr>
              <w:pStyle w:val="T2"/>
              <w:jc w:val="right"/>
            </w:pPr>
            <w:r>
              <w:rPr>
                <w:bCs/>
              </w:rPr>
              <w:t>2.5</w:t>
            </w:r>
          </w:p>
        </w:tc>
        <w:tc>
          <w:tcPr>
            <w:tcW w:w="1512" w:type="dxa"/>
          </w:tcPr>
          <w:p w14:paraId="01D0BD21" w14:textId="77777777" w:rsidR="0040521A" w:rsidRDefault="00EE0C86" w:rsidP="00785766">
            <w:pPr>
              <w:pStyle w:val="T2"/>
              <w:jc w:val="right"/>
              <w:rPr>
                <w:bCs/>
              </w:rPr>
            </w:pPr>
            <w:r>
              <w:rPr>
                <w:bCs/>
              </w:rPr>
              <w:t>2.8</w:t>
            </w:r>
          </w:p>
        </w:tc>
      </w:tr>
      <w:tr w:rsidR="0040521A" w14:paraId="74EDA01D" w14:textId="77777777" w:rsidTr="0040521A">
        <w:trPr>
          <w:jc w:val="center"/>
        </w:trPr>
        <w:tc>
          <w:tcPr>
            <w:tcW w:w="5387" w:type="dxa"/>
          </w:tcPr>
          <w:p w14:paraId="19DD83A2" w14:textId="77777777" w:rsidR="0040521A" w:rsidRPr="006D3169" w:rsidRDefault="0040521A" w:rsidP="00785766">
            <w:pPr>
              <w:pStyle w:val="T2"/>
              <w:jc w:val="left"/>
            </w:pPr>
            <w:r>
              <w:t xml:space="preserve">Provisions </w:t>
            </w:r>
          </w:p>
        </w:tc>
        <w:tc>
          <w:tcPr>
            <w:tcW w:w="709" w:type="dxa"/>
          </w:tcPr>
          <w:p w14:paraId="620F97FF" w14:textId="77777777" w:rsidR="0040521A" w:rsidRPr="00A31437" w:rsidRDefault="0040521A" w:rsidP="00E126B5">
            <w:pPr>
              <w:pStyle w:val="T2"/>
              <w:jc w:val="right"/>
            </w:pPr>
            <w:r>
              <w:t>1</w:t>
            </w:r>
            <w:r w:rsidR="00E126B5">
              <w:t>2</w:t>
            </w:r>
          </w:p>
        </w:tc>
        <w:tc>
          <w:tcPr>
            <w:tcW w:w="1512" w:type="dxa"/>
          </w:tcPr>
          <w:p w14:paraId="0B46E9AE" w14:textId="77777777" w:rsidR="0040521A" w:rsidRPr="00B535FA" w:rsidRDefault="00932659" w:rsidP="00785766">
            <w:pPr>
              <w:pStyle w:val="T2"/>
              <w:jc w:val="right"/>
              <w:rPr>
                <w:b/>
                <w:bCs/>
              </w:rPr>
            </w:pPr>
            <w:r>
              <w:rPr>
                <w:b/>
                <w:bCs/>
              </w:rPr>
              <w:t>6.0</w:t>
            </w:r>
          </w:p>
        </w:tc>
        <w:tc>
          <w:tcPr>
            <w:tcW w:w="1512" w:type="dxa"/>
          </w:tcPr>
          <w:p w14:paraId="3A7F7C19" w14:textId="77777777" w:rsidR="0040521A" w:rsidRPr="0096767F" w:rsidRDefault="0040521A" w:rsidP="00785766">
            <w:pPr>
              <w:pStyle w:val="T2"/>
              <w:jc w:val="right"/>
              <w:rPr>
                <w:bCs/>
              </w:rPr>
            </w:pPr>
            <w:r>
              <w:rPr>
                <w:bCs/>
              </w:rPr>
              <w:t>5.4</w:t>
            </w:r>
          </w:p>
        </w:tc>
        <w:tc>
          <w:tcPr>
            <w:tcW w:w="1512" w:type="dxa"/>
          </w:tcPr>
          <w:p w14:paraId="47C89449" w14:textId="77777777" w:rsidR="0040521A" w:rsidRDefault="00EE0C86" w:rsidP="00785766">
            <w:pPr>
              <w:pStyle w:val="T2"/>
              <w:jc w:val="right"/>
              <w:rPr>
                <w:bCs/>
              </w:rPr>
            </w:pPr>
            <w:r>
              <w:rPr>
                <w:bCs/>
              </w:rPr>
              <w:t>5.1</w:t>
            </w:r>
          </w:p>
        </w:tc>
      </w:tr>
      <w:tr w:rsidR="0040521A" w14:paraId="59536B34" w14:textId="77777777" w:rsidTr="0040521A">
        <w:trPr>
          <w:jc w:val="center"/>
        </w:trPr>
        <w:tc>
          <w:tcPr>
            <w:tcW w:w="5387" w:type="dxa"/>
          </w:tcPr>
          <w:p w14:paraId="5B247271" w14:textId="77777777" w:rsidR="0040521A" w:rsidRPr="006D3169" w:rsidRDefault="0040521A" w:rsidP="00785766">
            <w:pPr>
              <w:pStyle w:val="T2"/>
              <w:jc w:val="left"/>
            </w:pPr>
            <w:r w:rsidRPr="006D3169">
              <w:t>Retirement benefit obligations</w:t>
            </w:r>
          </w:p>
        </w:tc>
        <w:tc>
          <w:tcPr>
            <w:tcW w:w="709" w:type="dxa"/>
          </w:tcPr>
          <w:p w14:paraId="20474746" w14:textId="77777777" w:rsidR="0040521A" w:rsidRPr="00A31437" w:rsidRDefault="0040521A" w:rsidP="00E126B5">
            <w:pPr>
              <w:pStyle w:val="T2"/>
              <w:jc w:val="right"/>
            </w:pPr>
            <w:r>
              <w:t>1</w:t>
            </w:r>
            <w:r w:rsidR="00E126B5">
              <w:t>3</w:t>
            </w:r>
          </w:p>
        </w:tc>
        <w:tc>
          <w:tcPr>
            <w:tcW w:w="1512" w:type="dxa"/>
          </w:tcPr>
          <w:p w14:paraId="69860352" w14:textId="77777777" w:rsidR="0040521A" w:rsidRPr="00B535FA" w:rsidRDefault="0040521A" w:rsidP="00785766">
            <w:pPr>
              <w:pStyle w:val="T2"/>
              <w:jc w:val="right"/>
              <w:rPr>
                <w:b/>
                <w:bCs/>
              </w:rPr>
            </w:pPr>
            <w:r>
              <w:rPr>
                <w:b/>
                <w:bCs/>
              </w:rPr>
              <w:t>111.7</w:t>
            </w:r>
          </w:p>
        </w:tc>
        <w:tc>
          <w:tcPr>
            <w:tcW w:w="1512" w:type="dxa"/>
          </w:tcPr>
          <w:p w14:paraId="553A5826" w14:textId="77777777" w:rsidR="0040521A" w:rsidRPr="006F478A" w:rsidRDefault="0040521A" w:rsidP="00785766">
            <w:pPr>
              <w:pStyle w:val="T2"/>
              <w:jc w:val="right"/>
            </w:pPr>
            <w:r w:rsidRPr="0096767F">
              <w:rPr>
                <w:bCs/>
              </w:rPr>
              <w:t>1</w:t>
            </w:r>
            <w:r>
              <w:rPr>
                <w:bCs/>
              </w:rPr>
              <w:t>25.0</w:t>
            </w:r>
          </w:p>
        </w:tc>
        <w:tc>
          <w:tcPr>
            <w:tcW w:w="1512" w:type="dxa"/>
          </w:tcPr>
          <w:p w14:paraId="3A549135" w14:textId="77777777" w:rsidR="0040521A" w:rsidRPr="0096767F" w:rsidRDefault="00EE0C86" w:rsidP="00785766">
            <w:pPr>
              <w:pStyle w:val="T2"/>
              <w:jc w:val="right"/>
              <w:rPr>
                <w:bCs/>
              </w:rPr>
            </w:pPr>
            <w:r>
              <w:rPr>
                <w:bCs/>
              </w:rPr>
              <w:t>101.6</w:t>
            </w:r>
          </w:p>
        </w:tc>
      </w:tr>
      <w:tr w:rsidR="0040521A" w14:paraId="0C60784E" w14:textId="77777777" w:rsidTr="0040521A">
        <w:trPr>
          <w:jc w:val="center"/>
        </w:trPr>
        <w:tc>
          <w:tcPr>
            <w:tcW w:w="5387" w:type="dxa"/>
            <w:tcBorders>
              <w:bottom w:val="single" w:sz="2" w:space="0" w:color="auto"/>
            </w:tcBorders>
          </w:tcPr>
          <w:p w14:paraId="704498A2" w14:textId="77777777" w:rsidR="0040521A" w:rsidRPr="006D3169" w:rsidRDefault="0040521A" w:rsidP="00785766">
            <w:pPr>
              <w:pStyle w:val="T2"/>
              <w:jc w:val="left"/>
            </w:pPr>
            <w:r w:rsidRPr="006D3169">
              <w:t>Deferred tax liabilities</w:t>
            </w:r>
          </w:p>
        </w:tc>
        <w:tc>
          <w:tcPr>
            <w:tcW w:w="709" w:type="dxa"/>
            <w:tcBorders>
              <w:bottom w:val="single" w:sz="2" w:space="0" w:color="auto"/>
            </w:tcBorders>
          </w:tcPr>
          <w:p w14:paraId="12A06A87" w14:textId="77777777" w:rsidR="0040521A" w:rsidRPr="00A31437" w:rsidRDefault="0040521A" w:rsidP="00785766">
            <w:pPr>
              <w:pStyle w:val="T2"/>
              <w:jc w:val="right"/>
            </w:pPr>
          </w:p>
        </w:tc>
        <w:tc>
          <w:tcPr>
            <w:tcW w:w="1512" w:type="dxa"/>
            <w:tcBorders>
              <w:bottom w:val="single" w:sz="2" w:space="0" w:color="auto"/>
            </w:tcBorders>
          </w:tcPr>
          <w:p w14:paraId="2F237145" w14:textId="77777777" w:rsidR="0040521A" w:rsidRPr="00B535FA" w:rsidRDefault="0040521A" w:rsidP="0041734A">
            <w:pPr>
              <w:pStyle w:val="T2"/>
              <w:jc w:val="right"/>
              <w:rPr>
                <w:b/>
                <w:bCs/>
              </w:rPr>
            </w:pPr>
            <w:r>
              <w:rPr>
                <w:b/>
                <w:bCs/>
              </w:rPr>
              <w:t>1</w:t>
            </w:r>
            <w:r w:rsidR="00D439D4">
              <w:rPr>
                <w:b/>
                <w:bCs/>
              </w:rPr>
              <w:t>0.</w:t>
            </w:r>
            <w:r w:rsidR="00E9079C">
              <w:rPr>
                <w:b/>
                <w:bCs/>
              </w:rPr>
              <w:t>8</w:t>
            </w:r>
          </w:p>
        </w:tc>
        <w:tc>
          <w:tcPr>
            <w:tcW w:w="1512" w:type="dxa"/>
            <w:tcBorders>
              <w:bottom w:val="single" w:sz="2" w:space="0" w:color="auto"/>
            </w:tcBorders>
          </w:tcPr>
          <w:p w14:paraId="7DBD2EB1" w14:textId="77777777" w:rsidR="0040521A" w:rsidRPr="006F478A" w:rsidRDefault="0040521A" w:rsidP="00785766">
            <w:pPr>
              <w:pStyle w:val="T2"/>
              <w:jc w:val="right"/>
            </w:pPr>
            <w:r>
              <w:rPr>
                <w:bCs/>
              </w:rPr>
              <w:t>11.5</w:t>
            </w:r>
          </w:p>
        </w:tc>
        <w:tc>
          <w:tcPr>
            <w:tcW w:w="1512" w:type="dxa"/>
            <w:tcBorders>
              <w:bottom w:val="single" w:sz="2" w:space="0" w:color="auto"/>
            </w:tcBorders>
          </w:tcPr>
          <w:p w14:paraId="5DB53934" w14:textId="77777777" w:rsidR="0040521A" w:rsidRDefault="00EE0C86" w:rsidP="00785766">
            <w:pPr>
              <w:pStyle w:val="T2"/>
              <w:jc w:val="right"/>
              <w:rPr>
                <w:bCs/>
              </w:rPr>
            </w:pPr>
            <w:r>
              <w:rPr>
                <w:bCs/>
              </w:rPr>
              <w:t>6.4</w:t>
            </w:r>
          </w:p>
        </w:tc>
      </w:tr>
      <w:tr w:rsidR="0040521A" w14:paraId="78A94ABA" w14:textId="77777777" w:rsidTr="0040521A">
        <w:trPr>
          <w:jc w:val="center"/>
        </w:trPr>
        <w:tc>
          <w:tcPr>
            <w:tcW w:w="5387" w:type="dxa"/>
            <w:tcBorders>
              <w:top w:val="single" w:sz="2" w:space="0" w:color="auto"/>
              <w:bottom w:val="single" w:sz="2" w:space="0" w:color="auto"/>
            </w:tcBorders>
          </w:tcPr>
          <w:p w14:paraId="6BF3F7D7" w14:textId="77777777" w:rsidR="0040521A" w:rsidRPr="00D515EB" w:rsidRDefault="0040521A" w:rsidP="00785766">
            <w:pPr>
              <w:pStyle w:val="T2"/>
              <w:jc w:val="left"/>
              <w:rPr>
                <w:b/>
              </w:rPr>
            </w:pPr>
            <w:r w:rsidRPr="00D515EB">
              <w:rPr>
                <w:b/>
              </w:rPr>
              <w:t>Total non</w:t>
            </w:r>
            <w:r>
              <w:rPr>
                <w:b/>
              </w:rPr>
              <w:t>–</w:t>
            </w:r>
            <w:r w:rsidRPr="00D515EB">
              <w:rPr>
                <w:b/>
              </w:rPr>
              <w:t>current liabilities</w:t>
            </w:r>
          </w:p>
        </w:tc>
        <w:tc>
          <w:tcPr>
            <w:tcW w:w="709" w:type="dxa"/>
            <w:tcBorders>
              <w:top w:val="single" w:sz="2" w:space="0" w:color="auto"/>
              <w:bottom w:val="single" w:sz="2" w:space="0" w:color="auto"/>
            </w:tcBorders>
          </w:tcPr>
          <w:p w14:paraId="0977D318" w14:textId="77777777" w:rsidR="0040521A" w:rsidRPr="00A31437" w:rsidRDefault="0040521A" w:rsidP="00785766">
            <w:pPr>
              <w:pStyle w:val="T2"/>
              <w:jc w:val="right"/>
            </w:pPr>
          </w:p>
        </w:tc>
        <w:tc>
          <w:tcPr>
            <w:tcW w:w="1512" w:type="dxa"/>
            <w:tcBorders>
              <w:top w:val="single" w:sz="2" w:space="0" w:color="auto"/>
              <w:bottom w:val="single" w:sz="2" w:space="0" w:color="auto"/>
            </w:tcBorders>
          </w:tcPr>
          <w:p w14:paraId="54E9E70E" w14:textId="77777777" w:rsidR="0040521A" w:rsidRPr="00B535FA" w:rsidRDefault="0040521A">
            <w:pPr>
              <w:pStyle w:val="T2"/>
              <w:jc w:val="right"/>
              <w:rPr>
                <w:b/>
                <w:bCs/>
              </w:rPr>
            </w:pPr>
            <w:r>
              <w:rPr>
                <w:b/>
                <w:bCs/>
              </w:rPr>
              <w:t>42</w:t>
            </w:r>
            <w:r w:rsidR="00932659">
              <w:rPr>
                <w:b/>
                <w:bCs/>
              </w:rPr>
              <w:t>1.6</w:t>
            </w:r>
          </w:p>
        </w:tc>
        <w:tc>
          <w:tcPr>
            <w:tcW w:w="1512" w:type="dxa"/>
            <w:tcBorders>
              <w:top w:val="single" w:sz="2" w:space="0" w:color="auto"/>
              <w:bottom w:val="single" w:sz="2" w:space="0" w:color="auto"/>
            </w:tcBorders>
          </w:tcPr>
          <w:p w14:paraId="2C51EBCA" w14:textId="77777777" w:rsidR="0040521A" w:rsidRDefault="0040521A" w:rsidP="00785766">
            <w:pPr>
              <w:pStyle w:val="T2"/>
              <w:jc w:val="right"/>
            </w:pPr>
            <w:r>
              <w:rPr>
                <w:bCs/>
              </w:rPr>
              <w:t>592.2</w:t>
            </w:r>
          </w:p>
        </w:tc>
        <w:tc>
          <w:tcPr>
            <w:tcW w:w="1512" w:type="dxa"/>
            <w:tcBorders>
              <w:top w:val="single" w:sz="2" w:space="0" w:color="auto"/>
              <w:bottom w:val="single" w:sz="2" w:space="0" w:color="auto"/>
            </w:tcBorders>
          </w:tcPr>
          <w:p w14:paraId="5DCF66D8" w14:textId="77777777" w:rsidR="0040521A" w:rsidRDefault="00EE0C86" w:rsidP="00785766">
            <w:pPr>
              <w:pStyle w:val="T2"/>
              <w:jc w:val="right"/>
              <w:rPr>
                <w:bCs/>
              </w:rPr>
            </w:pPr>
            <w:r>
              <w:rPr>
                <w:bCs/>
              </w:rPr>
              <w:t>514.2</w:t>
            </w:r>
          </w:p>
        </w:tc>
      </w:tr>
      <w:tr w:rsidR="0040521A" w14:paraId="5CEF3671" w14:textId="77777777" w:rsidTr="0040521A">
        <w:trPr>
          <w:jc w:val="center"/>
        </w:trPr>
        <w:tc>
          <w:tcPr>
            <w:tcW w:w="5387" w:type="dxa"/>
            <w:tcBorders>
              <w:top w:val="single" w:sz="2" w:space="0" w:color="auto"/>
            </w:tcBorders>
          </w:tcPr>
          <w:p w14:paraId="11A4AEBE" w14:textId="77777777" w:rsidR="0040521A" w:rsidRPr="00C16F21" w:rsidRDefault="0040521A" w:rsidP="00D6564B">
            <w:pPr>
              <w:pStyle w:val="T2"/>
              <w:jc w:val="left"/>
              <w:rPr>
                <w:sz w:val="10"/>
                <w:szCs w:val="10"/>
              </w:rPr>
            </w:pPr>
          </w:p>
        </w:tc>
        <w:tc>
          <w:tcPr>
            <w:tcW w:w="709" w:type="dxa"/>
            <w:tcBorders>
              <w:top w:val="single" w:sz="2" w:space="0" w:color="auto"/>
            </w:tcBorders>
          </w:tcPr>
          <w:p w14:paraId="75D07B86" w14:textId="77777777" w:rsidR="0040521A" w:rsidRPr="00C16F21" w:rsidRDefault="0040521A" w:rsidP="00D6564B">
            <w:pPr>
              <w:pStyle w:val="T2"/>
              <w:jc w:val="right"/>
              <w:rPr>
                <w:sz w:val="10"/>
                <w:szCs w:val="10"/>
              </w:rPr>
            </w:pPr>
          </w:p>
        </w:tc>
        <w:tc>
          <w:tcPr>
            <w:tcW w:w="1512" w:type="dxa"/>
            <w:tcBorders>
              <w:top w:val="single" w:sz="2" w:space="0" w:color="auto"/>
            </w:tcBorders>
          </w:tcPr>
          <w:p w14:paraId="5A1FAEFA" w14:textId="77777777" w:rsidR="0040521A" w:rsidRPr="00C16F21" w:rsidRDefault="0040521A" w:rsidP="00D6564B">
            <w:pPr>
              <w:pStyle w:val="T2"/>
              <w:jc w:val="right"/>
              <w:rPr>
                <w:b/>
                <w:bCs/>
                <w:sz w:val="10"/>
                <w:szCs w:val="10"/>
              </w:rPr>
            </w:pPr>
          </w:p>
        </w:tc>
        <w:tc>
          <w:tcPr>
            <w:tcW w:w="1512" w:type="dxa"/>
            <w:tcBorders>
              <w:top w:val="single" w:sz="2" w:space="0" w:color="auto"/>
            </w:tcBorders>
          </w:tcPr>
          <w:p w14:paraId="0C888ADC" w14:textId="77777777" w:rsidR="0040521A" w:rsidRPr="00C16F21" w:rsidRDefault="0040521A" w:rsidP="00D6564B">
            <w:pPr>
              <w:pStyle w:val="T2"/>
              <w:jc w:val="right"/>
              <w:rPr>
                <w:sz w:val="10"/>
                <w:szCs w:val="10"/>
              </w:rPr>
            </w:pPr>
          </w:p>
        </w:tc>
        <w:tc>
          <w:tcPr>
            <w:tcW w:w="1512" w:type="dxa"/>
            <w:tcBorders>
              <w:top w:val="single" w:sz="2" w:space="0" w:color="auto"/>
            </w:tcBorders>
          </w:tcPr>
          <w:p w14:paraId="6D43CBD2" w14:textId="77777777" w:rsidR="0040521A" w:rsidRPr="00C16F21" w:rsidRDefault="0040521A" w:rsidP="00D6564B">
            <w:pPr>
              <w:pStyle w:val="T2"/>
              <w:jc w:val="right"/>
              <w:rPr>
                <w:sz w:val="10"/>
                <w:szCs w:val="10"/>
              </w:rPr>
            </w:pPr>
          </w:p>
        </w:tc>
      </w:tr>
      <w:tr w:rsidR="0040521A" w14:paraId="66055409" w14:textId="77777777" w:rsidTr="0040521A">
        <w:trPr>
          <w:jc w:val="center"/>
        </w:trPr>
        <w:tc>
          <w:tcPr>
            <w:tcW w:w="5387" w:type="dxa"/>
          </w:tcPr>
          <w:p w14:paraId="60087054" w14:textId="77777777" w:rsidR="0040521A" w:rsidRPr="00D515EB" w:rsidRDefault="0040521A" w:rsidP="00D6564B">
            <w:pPr>
              <w:pStyle w:val="T2"/>
              <w:jc w:val="left"/>
              <w:rPr>
                <w:b/>
              </w:rPr>
            </w:pPr>
            <w:r w:rsidRPr="00D515EB">
              <w:rPr>
                <w:b/>
              </w:rPr>
              <w:t>Current liabilities</w:t>
            </w:r>
          </w:p>
        </w:tc>
        <w:tc>
          <w:tcPr>
            <w:tcW w:w="709" w:type="dxa"/>
            <w:vAlign w:val="bottom"/>
          </w:tcPr>
          <w:p w14:paraId="3ECA3A35" w14:textId="77777777" w:rsidR="0040521A" w:rsidRPr="00A31437" w:rsidRDefault="0040521A" w:rsidP="00D6564B">
            <w:pPr>
              <w:pStyle w:val="T2"/>
              <w:jc w:val="right"/>
            </w:pPr>
          </w:p>
        </w:tc>
        <w:tc>
          <w:tcPr>
            <w:tcW w:w="1512" w:type="dxa"/>
          </w:tcPr>
          <w:p w14:paraId="6F27C81C" w14:textId="77777777" w:rsidR="0040521A" w:rsidRPr="00B535FA" w:rsidRDefault="0040521A" w:rsidP="00D6564B">
            <w:pPr>
              <w:pStyle w:val="T2"/>
              <w:jc w:val="right"/>
              <w:rPr>
                <w:b/>
                <w:bCs/>
              </w:rPr>
            </w:pPr>
          </w:p>
        </w:tc>
        <w:tc>
          <w:tcPr>
            <w:tcW w:w="1512" w:type="dxa"/>
          </w:tcPr>
          <w:p w14:paraId="6434D79A" w14:textId="77777777" w:rsidR="0040521A" w:rsidRDefault="0040521A" w:rsidP="00D6564B">
            <w:pPr>
              <w:pStyle w:val="T2"/>
            </w:pPr>
          </w:p>
        </w:tc>
        <w:tc>
          <w:tcPr>
            <w:tcW w:w="1512" w:type="dxa"/>
          </w:tcPr>
          <w:p w14:paraId="5A400B7B" w14:textId="77777777" w:rsidR="0040521A" w:rsidRDefault="0040521A" w:rsidP="00D6564B">
            <w:pPr>
              <w:pStyle w:val="T2"/>
            </w:pPr>
          </w:p>
        </w:tc>
      </w:tr>
      <w:tr w:rsidR="0040521A" w14:paraId="279B3E21" w14:textId="77777777" w:rsidTr="0040521A">
        <w:trPr>
          <w:jc w:val="center"/>
        </w:trPr>
        <w:tc>
          <w:tcPr>
            <w:tcW w:w="5387" w:type="dxa"/>
          </w:tcPr>
          <w:p w14:paraId="7575BBC0" w14:textId="77777777" w:rsidR="0040521A" w:rsidRPr="006D3169" w:rsidRDefault="0040521A" w:rsidP="00785766">
            <w:pPr>
              <w:pStyle w:val="T2"/>
              <w:jc w:val="left"/>
            </w:pPr>
            <w:r>
              <w:t>Borrowings</w:t>
            </w:r>
          </w:p>
        </w:tc>
        <w:tc>
          <w:tcPr>
            <w:tcW w:w="709" w:type="dxa"/>
            <w:vAlign w:val="bottom"/>
          </w:tcPr>
          <w:p w14:paraId="40B0B6D3" w14:textId="77777777" w:rsidR="0040521A" w:rsidRDefault="00F250D9" w:rsidP="00E126B5">
            <w:pPr>
              <w:pStyle w:val="T2"/>
              <w:jc w:val="right"/>
              <w:rPr>
                <w:rFonts w:cs="Calibri"/>
              </w:rPr>
            </w:pPr>
            <w:r>
              <w:rPr>
                <w:rFonts w:cs="Calibri"/>
              </w:rPr>
              <w:t>1</w:t>
            </w:r>
            <w:r w:rsidR="00E126B5">
              <w:rPr>
                <w:rFonts w:cs="Calibri"/>
              </w:rPr>
              <w:t>1</w:t>
            </w:r>
          </w:p>
        </w:tc>
        <w:tc>
          <w:tcPr>
            <w:tcW w:w="1512" w:type="dxa"/>
          </w:tcPr>
          <w:p w14:paraId="5662A314" w14:textId="77777777" w:rsidR="0040521A" w:rsidRDefault="0040521A" w:rsidP="00D439D4">
            <w:pPr>
              <w:pStyle w:val="T2"/>
              <w:jc w:val="right"/>
              <w:rPr>
                <w:b/>
                <w:bCs/>
              </w:rPr>
            </w:pPr>
            <w:r>
              <w:rPr>
                <w:b/>
                <w:bCs/>
              </w:rPr>
              <w:t>7</w:t>
            </w:r>
            <w:r w:rsidR="00D439D4">
              <w:rPr>
                <w:b/>
                <w:bCs/>
              </w:rPr>
              <w:t>9.0</w:t>
            </w:r>
          </w:p>
        </w:tc>
        <w:tc>
          <w:tcPr>
            <w:tcW w:w="1512" w:type="dxa"/>
          </w:tcPr>
          <w:p w14:paraId="21171BB9" w14:textId="77777777" w:rsidR="0040521A" w:rsidRPr="0096767F" w:rsidRDefault="0040521A" w:rsidP="00785766">
            <w:pPr>
              <w:pStyle w:val="T2"/>
              <w:jc w:val="right"/>
              <w:rPr>
                <w:bCs/>
              </w:rPr>
            </w:pPr>
            <w:r>
              <w:rPr>
                <w:bCs/>
              </w:rPr>
              <w:t>220.0</w:t>
            </w:r>
          </w:p>
        </w:tc>
        <w:tc>
          <w:tcPr>
            <w:tcW w:w="1512" w:type="dxa"/>
          </w:tcPr>
          <w:p w14:paraId="0E8F3970" w14:textId="77777777" w:rsidR="0040521A" w:rsidRDefault="00EE0C86" w:rsidP="00785766">
            <w:pPr>
              <w:pStyle w:val="T2"/>
              <w:jc w:val="right"/>
              <w:rPr>
                <w:bCs/>
              </w:rPr>
            </w:pPr>
            <w:r>
              <w:rPr>
                <w:bCs/>
              </w:rPr>
              <w:t>238.1</w:t>
            </w:r>
          </w:p>
        </w:tc>
      </w:tr>
      <w:tr w:rsidR="0040521A" w14:paraId="51C4D011" w14:textId="77777777" w:rsidTr="0040521A">
        <w:trPr>
          <w:jc w:val="center"/>
        </w:trPr>
        <w:tc>
          <w:tcPr>
            <w:tcW w:w="5387" w:type="dxa"/>
          </w:tcPr>
          <w:p w14:paraId="09AB338F" w14:textId="77777777" w:rsidR="0040521A" w:rsidRPr="006D3169" w:rsidRDefault="0040521A" w:rsidP="00785766">
            <w:pPr>
              <w:pStyle w:val="T2"/>
              <w:jc w:val="left"/>
            </w:pPr>
            <w:r w:rsidRPr="006D3169">
              <w:t>Trade and other payables</w:t>
            </w:r>
          </w:p>
        </w:tc>
        <w:tc>
          <w:tcPr>
            <w:tcW w:w="709" w:type="dxa"/>
            <w:vAlign w:val="bottom"/>
          </w:tcPr>
          <w:p w14:paraId="07E5B7F0" w14:textId="77777777" w:rsidR="0040521A" w:rsidRDefault="0040521A" w:rsidP="00785766">
            <w:pPr>
              <w:pStyle w:val="T2"/>
              <w:jc w:val="right"/>
              <w:rPr>
                <w:rFonts w:cs="Calibri"/>
              </w:rPr>
            </w:pPr>
          </w:p>
        </w:tc>
        <w:tc>
          <w:tcPr>
            <w:tcW w:w="1512" w:type="dxa"/>
          </w:tcPr>
          <w:p w14:paraId="12CE3481" w14:textId="77777777" w:rsidR="0040521A" w:rsidRDefault="00E9079C" w:rsidP="00D439D4">
            <w:pPr>
              <w:pStyle w:val="T2"/>
              <w:jc w:val="right"/>
              <w:rPr>
                <w:b/>
                <w:bCs/>
              </w:rPr>
            </w:pPr>
            <w:r>
              <w:rPr>
                <w:b/>
                <w:bCs/>
              </w:rPr>
              <w:t>282.2</w:t>
            </w:r>
          </w:p>
        </w:tc>
        <w:tc>
          <w:tcPr>
            <w:tcW w:w="1512" w:type="dxa"/>
          </w:tcPr>
          <w:p w14:paraId="0BC0E2D4" w14:textId="77777777" w:rsidR="0040521A" w:rsidRPr="0096767F" w:rsidRDefault="0040521A" w:rsidP="00785766">
            <w:pPr>
              <w:pStyle w:val="T2"/>
              <w:jc w:val="right"/>
              <w:rPr>
                <w:bCs/>
              </w:rPr>
            </w:pPr>
            <w:r>
              <w:rPr>
                <w:bCs/>
              </w:rPr>
              <w:t>302.0</w:t>
            </w:r>
          </w:p>
        </w:tc>
        <w:tc>
          <w:tcPr>
            <w:tcW w:w="1512" w:type="dxa"/>
          </w:tcPr>
          <w:p w14:paraId="01CA87B5" w14:textId="77777777" w:rsidR="0040521A" w:rsidRDefault="00EE0C86" w:rsidP="00785766">
            <w:pPr>
              <w:pStyle w:val="T2"/>
              <w:jc w:val="right"/>
              <w:rPr>
                <w:bCs/>
              </w:rPr>
            </w:pPr>
            <w:r>
              <w:rPr>
                <w:bCs/>
              </w:rPr>
              <w:t>335.5</w:t>
            </w:r>
          </w:p>
        </w:tc>
      </w:tr>
      <w:tr w:rsidR="0040521A" w14:paraId="0660E8E2" w14:textId="77777777" w:rsidTr="0040521A">
        <w:trPr>
          <w:jc w:val="center"/>
        </w:trPr>
        <w:tc>
          <w:tcPr>
            <w:tcW w:w="5387" w:type="dxa"/>
          </w:tcPr>
          <w:p w14:paraId="066F078E" w14:textId="77777777" w:rsidR="0040521A" w:rsidRPr="006D3169" w:rsidRDefault="0040521A" w:rsidP="00785766">
            <w:pPr>
              <w:pStyle w:val="T2"/>
              <w:jc w:val="left"/>
            </w:pPr>
            <w:r>
              <w:t>Lease liabilities</w:t>
            </w:r>
          </w:p>
        </w:tc>
        <w:tc>
          <w:tcPr>
            <w:tcW w:w="709" w:type="dxa"/>
            <w:vAlign w:val="bottom"/>
          </w:tcPr>
          <w:p w14:paraId="6C8181DD" w14:textId="77777777" w:rsidR="0040521A" w:rsidRDefault="0040521A" w:rsidP="00785766">
            <w:pPr>
              <w:pStyle w:val="T2"/>
              <w:jc w:val="right"/>
              <w:rPr>
                <w:rFonts w:cs="Calibri"/>
              </w:rPr>
            </w:pPr>
          </w:p>
        </w:tc>
        <w:tc>
          <w:tcPr>
            <w:tcW w:w="1512" w:type="dxa"/>
          </w:tcPr>
          <w:p w14:paraId="3F5FECBA" w14:textId="77777777" w:rsidR="0040521A" w:rsidRDefault="0040521A" w:rsidP="00785766">
            <w:pPr>
              <w:pStyle w:val="T2"/>
              <w:jc w:val="right"/>
              <w:rPr>
                <w:b/>
                <w:bCs/>
              </w:rPr>
            </w:pPr>
            <w:r>
              <w:rPr>
                <w:b/>
                <w:bCs/>
              </w:rPr>
              <w:t>15.2</w:t>
            </w:r>
          </w:p>
        </w:tc>
        <w:tc>
          <w:tcPr>
            <w:tcW w:w="1512" w:type="dxa"/>
          </w:tcPr>
          <w:p w14:paraId="5E0975B5" w14:textId="77777777" w:rsidR="0040521A" w:rsidRPr="0096767F" w:rsidRDefault="0040521A" w:rsidP="00785766">
            <w:pPr>
              <w:pStyle w:val="T2"/>
              <w:jc w:val="right"/>
              <w:rPr>
                <w:bCs/>
              </w:rPr>
            </w:pPr>
            <w:r>
              <w:rPr>
                <w:bCs/>
              </w:rPr>
              <w:t>14.1</w:t>
            </w:r>
          </w:p>
        </w:tc>
        <w:tc>
          <w:tcPr>
            <w:tcW w:w="1512" w:type="dxa"/>
          </w:tcPr>
          <w:p w14:paraId="2BF58E4D" w14:textId="77777777" w:rsidR="0040521A" w:rsidRDefault="00EE0C86" w:rsidP="00785766">
            <w:pPr>
              <w:pStyle w:val="T2"/>
              <w:jc w:val="right"/>
              <w:rPr>
                <w:bCs/>
              </w:rPr>
            </w:pPr>
            <w:r>
              <w:rPr>
                <w:bCs/>
              </w:rPr>
              <w:t>14.3</w:t>
            </w:r>
          </w:p>
        </w:tc>
      </w:tr>
      <w:tr w:rsidR="0040521A" w14:paraId="7705AA85" w14:textId="77777777" w:rsidTr="0040521A">
        <w:trPr>
          <w:jc w:val="center"/>
        </w:trPr>
        <w:tc>
          <w:tcPr>
            <w:tcW w:w="5387" w:type="dxa"/>
          </w:tcPr>
          <w:p w14:paraId="4ED2CF76" w14:textId="77777777" w:rsidR="0040521A" w:rsidRPr="006D3169" w:rsidRDefault="0040521A" w:rsidP="00785766">
            <w:pPr>
              <w:pStyle w:val="T2"/>
              <w:jc w:val="left"/>
            </w:pPr>
            <w:r w:rsidRPr="006D3169">
              <w:t>Derivative financial instruments</w:t>
            </w:r>
          </w:p>
        </w:tc>
        <w:tc>
          <w:tcPr>
            <w:tcW w:w="709" w:type="dxa"/>
            <w:vAlign w:val="bottom"/>
          </w:tcPr>
          <w:p w14:paraId="086DC5E6" w14:textId="77777777" w:rsidR="0040521A" w:rsidRPr="00A31437" w:rsidRDefault="0040521A" w:rsidP="00E126B5">
            <w:pPr>
              <w:pStyle w:val="T2"/>
              <w:jc w:val="right"/>
              <w:rPr>
                <w:rFonts w:cs="Calibri"/>
              </w:rPr>
            </w:pPr>
            <w:r>
              <w:rPr>
                <w:rFonts w:cs="Calibri"/>
              </w:rPr>
              <w:t>1</w:t>
            </w:r>
            <w:r w:rsidR="00E126B5">
              <w:rPr>
                <w:rFonts w:cs="Calibri"/>
              </w:rPr>
              <w:t>1</w:t>
            </w:r>
          </w:p>
        </w:tc>
        <w:tc>
          <w:tcPr>
            <w:tcW w:w="1512" w:type="dxa"/>
          </w:tcPr>
          <w:p w14:paraId="764DCED6" w14:textId="77777777" w:rsidR="0040521A" w:rsidRPr="00B535FA" w:rsidRDefault="00EE0C86" w:rsidP="00785766">
            <w:pPr>
              <w:pStyle w:val="T2"/>
              <w:jc w:val="right"/>
              <w:rPr>
                <w:b/>
                <w:bCs/>
              </w:rPr>
            </w:pPr>
            <w:r>
              <w:rPr>
                <w:b/>
                <w:bCs/>
              </w:rPr>
              <w:t>4.2</w:t>
            </w:r>
          </w:p>
        </w:tc>
        <w:tc>
          <w:tcPr>
            <w:tcW w:w="1512" w:type="dxa"/>
          </w:tcPr>
          <w:p w14:paraId="2204D01F" w14:textId="77777777" w:rsidR="0040521A" w:rsidRPr="00DC32FB" w:rsidRDefault="0040521A" w:rsidP="00785766">
            <w:pPr>
              <w:pStyle w:val="T2"/>
              <w:jc w:val="right"/>
            </w:pPr>
            <w:r w:rsidRPr="0096767F">
              <w:rPr>
                <w:bCs/>
              </w:rPr>
              <w:t>–</w:t>
            </w:r>
          </w:p>
        </w:tc>
        <w:tc>
          <w:tcPr>
            <w:tcW w:w="1512" w:type="dxa"/>
          </w:tcPr>
          <w:p w14:paraId="2DB0E9CA" w14:textId="77777777" w:rsidR="0040521A" w:rsidRPr="0096767F" w:rsidRDefault="00EE0C86" w:rsidP="00785766">
            <w:pPr>
              <w:pStyle w:val="T2"/>
              <w:jc w:val="right"/>
              <w:rPr>
                <w:bCs/>
              </w:rPr>
            </w:pPr>
            <w:r>
              <w:rPr>
                <w:bCs/>
              </w:rPr>
              <w:t>0.2</w:t>
            </w:r>
          </w:p>
        </w:tc>
      </w:tr>
      <w:tr w:rsidR="0040521A" w14:paraId="7641E433" w14:textId="77777777" w:rsidTr="0040521A">
        <w:trPr>
          <w:jc w:val="center"/>
        </w:trPr>
        <w:tc>
          <w:tcPr>
            <w:tcW w:w="5387" w:type="dxa"/>
          </w:tcPr>
          <w:p w14:paraId="2F6B9CBD" w14:textId="77777777" w:rsidR="0040521A" w:rsidRPr="006D3169" w:rsidRDefault="0040521A" w:rsidP="00785766">
            <w:pPr>
              <w:pStyle w:val="T2"/>
              <w:jc w:val="left"/>
            </w:pPr>
            <w:r>
              <w:t xml:space="preserve">Provisions </w:t>
            </w:r>
          </w:p>
        </w:tc>
        <w:tc>
          <w:tcPr>
            <w:tcW w:w="709" w:type="dxa"/>
            <w:vAlign w:val="center"/>
          </w:tcPr>
          <w:p w14:paraId="4E68D234" w14:textId="77777777" w:rsidR="0040521A" w:rsidRPr="00A31437" w:rsidRDefault="0040521A" w:rsidP="00E126B5">
            <w:pPr>
              <w:pStyle w:val="T2"/>
              <w:jc w:val="right"/>
              <w:rPr>
                <w:rFonts w:cs="Calibri"/>
              </w:rPr>
            </w:pPr>
            <w:r>
              <w:rPr>
                <w:rFonts w:cs="Calibri"/>
              </w:rPr>
              <w:t>1</w:t>
            </w:r>
            <w:r w:rsidR="00E126B5">
              <w:rPr>
                <w:rFonts w:cs="Calibri"/>
              </w:rPr>
              <w:t>2</w:t>
            </w:r>
          </w:p>
        </w:tc>
        <w:tc>
          <w:tcPr>
            <w:tcW w:w="1512" w:type="dxa"/>
          </w:tcPr>
          <w:p w14:paraId="26550309" w14:textId="77777777" w:rsidR="0040521A" w:rsidRPr="00B535FA" w:rsidRDefault="00932659" w:rsidP="00785766">
            <w:pPr>
              <w:pStyle w:val="T2"/>
              <w:jc w:val="right"/>
              <w:rPr>
                <w:b/>
                <w:bCs/>
              </w:rPr>
            </w:pPr>
            <w:r>
              <w:rPr>
                <w:b/>
                <w:bCs/>
              </w:rPr>
              <w:t>2.2</w:t>
            </w:r>
          </w:p>
        </w:tc>
        <w:tc>
          <w:tcPr>
            <w:tcW w:w="1512" w:type="dxa"/>
          </w:tcPr>
          <w:p w14:paraId="26624A8F" w14:textId="77777777" w:rsidR="0040521A" w:rsidRPr="0096767F" w:rsidRDefault="0040521A" w:rsidP="00785766">
            <w:pPr>
              <w:pStyle w:val="T2"/>
              <w:jc w:val="right"/>
              <w:rPr>
                <w:bCs/>
              </w:rPr>
            </w:pPr>
            <w:r>
              <w:rPr>
                <w:bCs/>
              </w:rPr>
              <w:t>4.5</w:t>
            </w:r>
          </w:p>
        </w:tc>
        <w:tc>
          <w:tcPr>
            <w:tcW w:w="1512" w:type="dxa"/>
          </w:tcPr>
          <w:p w14:paraId="23D32512" w14:textId="77777777" w:rsidR="0040521A" w:rsidRDefault="00EE0C86" w:rsidP="00785766">
            <w:pPr>
              <w:pStyle w:val="T2"/>
              <w:jc w:val="right"/>
              <w:rPr>
                <w:bCs/>
              </w:rPr>
            </w:pPr>
            <w:r>
              <w:rPr>
                <w:bCs/>
              </w:rPr>
              <w:t>3.7</w:t>
            </w:r>
          </w:p>
        </w:tc>
      </w:tr>
      <w:tr w:rsidR="0040521A" w14:paraId="478E118F" w14:textId="77777777" w:rsidTr="0040521A">
        <w:trPr>
          <w:jc w:val="center"/>
        </w:trPr>
        <w:tc>
          <w:tcPr>
            <w:tcW w:w="5387" w:type="dxa"/>
          </w:tcPr>
          <w:p w14:paraId="58DC6F5D" w14:textId="77777777" w:rsidR="0040521A" w:rsidRPr="006D3169" w:rsidRDefault="0040521A" w:rsidP="00785766">
            <w:pPr>
              <w:pStyle w:val="T2"/>
              <w:jc w:val="left"/>
            </w:pPr>
            <w:r w:rsidRPr="006D3169">
              <w:t>Current tax payable</w:t>
            </w:r>
          </w:p>
        </w:tc>
        <w:tc>
          <w:tcPr>
            <w:tcW w:w="709" w:type="dxa"/>
            <w:vAlign w:val="bottom"/>
          </w:tcPr>
          <w:p w14:paraId="1BA91FEC" w14:textId="77777777" w:rsidR="0040521A" w:rsidRPr="00A31437" w:rsidRDefault="0040521A" w:rsidP="00785766">
            <w:pPr>
              <w:pStyle w:val="T2"/>
              <w:jc w:val="right"/>
              <w:rPr>
                <w:rFonts w:cs="Calibri"/>
              </w:rPr>
            </w:pPr>
          </w:p>
        </w:tc>
        <w:tc>
          <w:tcPr>
            <w:tcW w:w="1512" w:type="dxa"/>
          </w:tcPr>
          <w:p w14:paraId="423A721B" w14:textId="77777777" w:rsidR="0040521A" w:rsidRPr="00B535FA" w:rsidRDefault="00E9079C" w:rsidP="00785766">
            <w:pPr>
              <w:pStyle w:val="T2"/>
              <w:jc w:val="right"/>
              <w:rPr>
                <w:b/>
                <w:bCs/>
              </w:rPr>
            </w:pPr>
            <w:r>
              <w:rPr>
                <w:b/>
                <w:bCs/>
              </w:rPr>
              <w:t>9.8</w:t>
            </w:r>
          </w:p>
        </w:tc>
        <w:tc>
          <w:tcPr>
            <w:tcW w:w="1512" w:type="dxa"/>
          </w:tcPr>
          <w:p w14:paraId="573859B0" w14:textId="77777777" w:rsidR="0040521A" w:rsidRPr="00DC32FB" w:rsidRDefault="0040521A" w:rsidP="00785766">
            <w:pPr>
              <w:pStyle w:val="T2"/>
              <w:jc w:val="right"/>
            </w:pPr>
            <w:r>
              <w:rPr>
                <w:bCs/>
              </w:rPr>
              <w:t>10.4</w:t>
            </w:r>
          </w:p>
        </w:tc>
        <w:tc>
          <w:tcPr>
            <w:tcW w:w="1512" w:type="dxa"/>
          </w:tcPr>
          <w:p w14:paraId="27D593A6" w14:textId="77777777" w:rsidR="0040521A" w:rsidRDefault="00EE0C86" w:rsidP="00785766">
            <w:pPr>
              <w:pStyle w:val="T2"/>
              <w:jc w:val="right"/>
              <w:rPr>
                <w:bCs/>
              </w:rPr>
            </w:pPr>
            <w:r>
              <w:rPr>
                <w:bCs/>
              </w:rPr>
              <w:t>11.5</w:t>
            </w:r>
          </w:p>
        </w:tc>
      </w:tr>
      <w:tr w:rsidR="0040521A" w14:paraId="56FF34BB" w14:textId="77777777" w:rsidTr="0040521A">
        <w:trPr>
          <w:jc w:val="center"/>
        </w:trPr>
        <w:tc>
          <w:tcPr>
            <w:tcW w:w="5387" w:type="dxa"/>
          </w:tcPr>
          <w:p w14:paraId="30447504" w14:textId="77777777" w:rsidR="0040521A" w:rsidRPr="006D3169" w:rsidRDefault="0040521A" w:rsidP="00785766">
            <w:pPr>
              <w:pStyle w:val="T2"/>
              <w:jc w:val="left"/>
            </w:pPr>
            <w:r>
              <w:t>Liabilities held for sale</w:t>
            </w:r>
          </w:p>
        </w:tc>
        <w:tc>
          <w:tcPr>
            <w:tcW w:w="709" w:type="dxa"/>
            <w:vAlign w:val="bottom"/>
          </w:tcPr>
          <w:p w14:paraId="4D49DAAB" w14:textId="77777777" w:rsidR="0040521A" w:rsidRPr="00A31437" w:rsidRDefault="0040521A" w:rsidP="00785766">
            <w:pPr>
              <w:pStyle w:val="T2"/>
              <w:jc w:val="right"/>
              <w:rPr>
                <w:rFonts w:cs="Calibri"/>
              </w:rPr>
            </w:pPr>
          </w:p>
        </w:tc>
        <w:tc>
          <w:tcPr>
            <w:tcW w:w="1512" w:type="dxa"/>
          </w:tcPr>
          <w:p w14:paraId="25569F26" w14:textId="77777777" w:rsidR="0040521A" w:rsidRPr="00B535FA" w:rsidRDefault="0040521A" w:rsidP="00785766">
            <w:pPr>
              <w:pStyle w:val="T2"/>
              <w:jc w:val="right"/>
              <w:rPr>
                <w:b/>
                <w:bCs/>
              </w:rPr>
            </w:pPr>
            <w:r w:rsidRPr="00EA5873">
              <w:rPr>
                <w:b/>
                <w:bCs/>
              </w:rPr>
              <w:t>–</w:t>
            </w:r>
          </w:p>
        </w:tc>
        <w:tc>
          <w:tcPr>
            <w:tcW w:w="1512" w:type="dxa"/>
          </w:tcPr>
          <w:p w14:paraId="07244428" w14:textId="77777777" w:rsidR="0040521A" w:rsidRPr="00DC32FB" w:rsidRDefault="0040521A" w:rsidP="00785766">
            <w:pPr>
              <w:pStyle w:val="T2"/>
              <w:jc w:val="right"/>
            </w:pPr>
            <w:r>
              <w:t>1.7</w:t>
            </w:r>
          </w:p>
        </w:tc>
        <w:tc>
          <w:tcPr>
            <w:tcW w:w="1512" w:type="dxa"/>
          </w:tcPr>
          <w:p w14:paraId="155773B9" w14:textId="77777777" w:rsidR="0040521A" w:rsidRDefault="00EE0C86" w:rsidP="00785766">
            <w:pPr>
              <w:pStyle w:val="T2"/>
              <w:jc w:val="right"/>
            </w:pPr>
            <w:r w:rsidRPr="0040521A">
              <w:t>–</w:t>
            </w:r>
          </w:p>
        </w:tc>
      </w:tr>
      <w:tr w:rsidR="0040521A" w14:paraId="0DCAC680" w14:textId="77777777" w:rsidTr="0040521A">
        <w:trPr>
          <w:jc w:val="center"/>
        </w:trPr>
        <w:tc>
          <w:tcPr>
            <w:tcW w:w="5387" w:type="dxa"/>
            <w:tcBorders>
              <w:top w:val="single" w:sz="2" w:space="0" w:color="auto"/>
              <w:bottom w:val="single" w:sz="2" w:space="0" w:color="auto"/>
            </w:tcBorders>
          </w:tcPr>
          <w:p w14:paraId="1796D070" w14:textId="77777777" w:rsidR="0040521A" w:rsidRPr="00D515EB" w:rsidRDefault="0040521A" w:rsidP="00785766">
            <w:pPr>
              <w:pStyle w:val="T2"/>
              <w:jc w:val="left"/>
              <w:rPr>
                <w:b/>
              </w:rPr>
            </w:pPr>
            <w:r w:rsidRPr="00D515EB">
              <w:rPr>
                <w:b/>
              </w:rPr>
              <w:t>Total current liabilities</w:t>
            </w:r>
          </w:p>
        </w:tc>
        <w:tc>
          <w:tcPr>
            <w:tcW w:w="709" w:type="dxa"/>
            <w:tcBorders>
              <w:top w:val="single" w:sz="2" w:space="0" w:color="auto"/>
              <w:bottom w:val="single" w:sz="2" w:space="0" w:color="auto"/>
            </w:tcBorders>
            <w:vAlign w:val="bottom"/>
          </w:tcPr>
          <w:p w14:paraId="0FC71EC0" w14:textId="77777777" w:rsidR="0040521A" w:rsidRPr="00A31437" w:rsidRDefault="0040521A" w:rsidP="00785766">
            <w:pPr>
              <w:pStyle w:val="T2"/>
              <w:jc w:val="right"/>
              <w:rPr>
                <w:rFonts w:cs="Calibri"/>
              </w:rPr>
            </w:pPr>
            <w:r w:rsidRPr="00A31437">
              <w:rPr>
                <w:rFonts w:cs="Calibri"/>
              </w:rPr>
              <w:t> </w:t>
            </w:r>
          </w:p>
        </w:tc>
        <w:tc>
          <w:tcPr>
            <w:tcW w:w="1512" w:type="dxa"/>
            <w:tcBorders>
              <w:top w:val="single" w:sz="2" w:space="0" w:color="auto"/>
              <w:bottom w:val="single" w:sz="2" w:space="0" w:color="auto"/>
            </w:tcBorders>
          </w:tcPr>
          <w:p w14:paraId="64F358DB" w14:textId="77777777" w:rsidR="0040521A" w:rsidRPr="00B535FA" w:rsidRDefault="0040521A">
            <w:pPr>
              <w:pStyle w:val="T2"/>
              <w:jc w:val="right"/>
              <w:rPr>
                <w:b/>
                <w:bCs/>
              </w:rPr>
            </w:pPr>
            <w:r>
              <w:rPr>
                <w:b/>
                <w:bCs/>
              </w:rPr>
              <w:t>39</w:t>
            </w:r>
            <w:r w:rsidR="00932659">
              <w:rPr>
                <w:b/>
                <w:bCs/>
              </w:rPr>
              <w:t>2.6</w:t>
            </w:r>
          </w:p>
        </w:tc>
        <w:tc>
          <w:tcPr>
            <w:tcW w:w="1512" w:type="dxa"/>
            <w:tcBorders>
              <w:top w:val="single" w:sz="2" w:space="0" w:color="auto"/>
              <w:bottom w:val="single" w:sz="2" w:space="0" w:color="auto"/>
            </w:tcBorders>
          </w:tcPr>
          <w:p w14:paraId="66A4B0BC" w14:textId="77777777" w:rsidR="0040521A" w:rsidRPr="00DC32FB" w:rsidRDefault="0040521A" w:rsidP="00785766">
            <w:pPr>
              <w:pStyle w:val="T2"/>
              <w:jc w:val="right"/>
            </w:pPr>
            <w:r>
              <w:rPr>
                <w:bCs/>
              </w:rPr>
              <w:t>552.7</w:t>
            </w:r>
          </w:p>
        </w:tc>
        <w:tc>
          <w:tcPr>
            <w:tcW w:w="1512" w:type="dxa"/>
            <w:tcBorders>
              <w:top w:val="single" w:sz="2" w:space="0" w:color="auto"/>
              <w:bottom w:val="single" w:sz="2" w:space="0" w:color="auto"/>
            </w:tcBorders>
          </w:tcPr>
          <w:p w14:paraId="571CFAB5" w14:textId="77777777" w:rsidR="0040521A" w:rsidRDefault="00EE0C86" w:rsidP="00785766">
            <w:pPr>
              <w:pStyle w:val="T2"/>
              <w:jc w:val="right"/>
              <w:rPr>
                <w:bCs/>
              </w:rPr>
            </w:pPr>
            <w:r>
              <w:rPr>
                <w:bCs/>
              </w:rPr>
              <w:t>603.3</w:t>
            </w:r>
          </w:p>
        </w:tc>
      </w:tr>
      <w:tr w:rsidR="0040521A" w14:paraId="7E815F95" w14:textId="77777777" w:rsidTr="0040521A">
        <w:trPr>
          <w:jc w:val="center"/>
        </w:trPr>
        <w:tc>
          <w:tcPr>
            <w:tcW w:w="5387" w:type="dxa"/>
            <w:tcBorders>
              <w:top w:val="single" w:sz="2" w:space="0" w:color="auto"/>
              <w:bottom w:val="single" w:sz="2" w:space="0" w:color="auto"/>
            </w:tcBorders>
          </w:tcPr>
          <w:p w14:paraId="372DE0B0" w14:textId="77777777" w:rsidR="0040521A" w:rsidRPr="00D515EB" w:rsidRDefault="0040521A" w:rsidP="00785766">
            <w:pPr>
              <w:pStyle w:val="T2"/>
              <w:jc w:val="left"/>
              <w:rPr>
                <w:b/>
              </w:rPr>
            </w:pPr>
            <w:r w:rsidRPr="00D515EB">
              <w:rPr>
                <w:b/>
              </w:rPr>
              <w:t>Total liabilities</w:t>
            </w:r>
          </w:p>
        </w:tc>
        <w:tc>
          <w:tcPr>
            <w:tcW w:w="709" w:type="dxa"/>
            <w:tcBorders>
              <w:top w:val="single" w:sz="2" w:space="0" w:color="auto"/>
              <w:bottom w:val="single" w:sz="2" w:space="0" w:color="auto"/>
            </w:tcBorders>
            <w:vAlign w:val="center"/>
          </w:tcPr>
          <w:p w14:paraId="76117EA6" w14:textId="77777777" w:rsidR="0040521A" w:rsidRDefault="0040521A" w:rsidP="00785766">
            <w:pPr>
              <w:pStyle w:val="T2"/>
              <w:jc w:val="right"/>
              <w:rPr>
                <w:rFonts w:ascii="Calibri" w:hAnsi="Calibri" w:cs="Calibri"/>
                <w:sz w:val="20"/>
                <w:szCs w:val="20"/>
              </w:rPr>
            </w:pPr>
            <w:r>
              <w:rPr>
                <w:rFonts w:ascii="Calibri" w:hAnsi="Calibri" w:cs="Calibri"/>
                <w:sz w:val="20"/>
                <w:szCs w:val="20"/>
              </w:rPr>
              <w:t> </w:t>
            </w:r>
          </w:p>
        </w:tc>
        <w:tc>
          <w:tcPr>
            <w:tcW w:w="1512" w:type="dxa"/>
            <w:tcBorders>
              <w:top w:val="single" w:sz="2" w:space="0" w:color="auto"/>
              <w:bottom w:val="single" w:sz="2" w:space="0" w:color="auto"/>
            </w:tcBorders>
          </w:tcPr>
          <w:p w14:paraId="1834A7C9" w14:textId="77777777" w:rsidR="0040521A" w:rsidRPr="00B535FA" w:rsidRDefault="0040521A" w:rsidP="00D439D4">
            <w:pPr>
              <w:pStyle w:val="T2"/>
              <w:jc w:val="right"/>
              <w:rPr>
                <w:b/>
                <w:bCs/>
              </w:rPr>
            </w:pPr>
            <w:r>
              <w:rPr>
                <w:b/>
                <w:bCs/>
              </w:rPr>
              <w:t>81</w:t>
            </w:r>
            <w:r w:rsidR="00D439D4">
              <w:rPr>
                <w:b/>
                <w:bCs/>
              </w:rPr>
              <w:t>4.2</w:t>
            </w:r>
          </w:p>
        </w:tc>
        <w:tc>
          <w:tcPr>
            <w:tcW w:w="1512" w:type="dxa"/>
            <w:tcBorders>
              <w:top w:val="single" w:sz="2" w:space="0" w:color="auto"/>
              <w:bottom w:val="single" w:sz="2" w:space="0" w:color="auto"/>
            </w:tcBorders>
          </w:tcPr>
          <w:p w14:paraId="371578B3" w14:textId="77777777" w:rsidR="0040521A" w:rsidRPr="00DC32FB" w:rsidRDefault="0040521A" w:rsidP="00785766">
            <w:pPr>
              <w:pStyle w:val="T2"/>
              <w:jc w:val="right"/>
            </w:pPr>
            <w:r>
              <w:rPr>
                <w:bCs/>
              </w:rPr>
              <w:t>1,144.9</w:t>
            </w:r>
          </w:p>
        </w:tc>
        <w:tc>
          <w:tcPr>
            <w:tcW w:w="1512" w:type="dxa"/>
            <w:tcBorders>
              <w:top w:val="single" w:sz="2" w:space="0" w:color="auto"/>
              <w:bottom w:val="single" w:sz="2" w:space="0" w:color="auto"/>
            </w:tcBorders>
          </w:tcPr>
          <w:p w14:paraId="4DC44B16" w14:textId="77777777" w:rsidR="0040521A" w:rsidRDefault="00EE0C86" w:rsidP="00785766">
            <w:pPr>
              <w:pStyle w:val="T2"/>
              <w:jc w:val="right"/>
              <w:rPr>
                <w:bCs/>
              </w:rPr>
            </w:pPr>
            <w:r>
              <w:rPr>
                <w:bCs/>
              </w:rPr>
              <w:t>1,117.5</w:t>
            </w:r>
          </w:p>
        </w:tc>
      </w:tr>
      <w:tr w:rsidR="0040521A" w14:paraId="7BEC3A03" w14:textId="77777777" w:rsidTr="00FE3A03">
        <w:trPr>
          <w:jc w:val="center"/>
        </w:trPr>
        <w:tc>
          <w:tcPr>
            <w:tcW w:w="5387" w:type="dxa"/>
            <w:tcBorders>
              <w:top w:val="single" w:sz="2" w:space="0" w:color="auto"/>
              <w:bottom w:val="single" w:sz="2" w:space="0" w:color="auto"/>
            </w:tcBorders>
          </w:tcPr>
          <w:p w14:paraId="443CDA1B" w14:textId="77777777" w:rsidR="0040521A" w:rsidRPr="00C16F21" w:rsidRDefault="0040521A" w:rsidP="00785766">
            <w:pPr>
              <w:pStyle w:val="T2"/>
              <w:jc w:val="left"/>
              <w:rPr>
                <w:b/>
              </w:rPr>
            </w:pPr>
            <w:r w:rsidRPr="00C16F21">
              <w:rPr>
                <w:b/>
              </w:rPr>
              <w:t>Total equity and liabilities</w:t>
            </w:r>
          </w:p>
        </w:tc>
        <w:tc>
          <w:tcPr>
            <w:tcW w:w="709" w:type="dxa"/>
            <w:tcBorders>
              <w:top w:val="single" w:sz="2" w:space="0" w:color="auto"/>
              <w:bottom w:val="single" w:sz="2" w:space="0" w:color="auto"/>
            </w:tcBorders>
            <w:vAlign w:val="center"/>
          </w:tcPr>
          <w:p w14:paraId="6D8804C3" w14:textId="77777777" w:rsidR="0040521A" w:rsidRDefault="0040521A" w:rsidP="00785766">
            <w:pPr>
              <w:jc w:val="right"/>
              <w:rPr>
                <w:rFonts w:ascii="Calibri" w:hAnsi="Calibri" w:cs="Calibri"/>
                <w:b/>
                <w:bCs/>
                <w:sz w:val="20"/>
                <w:szCs w:val="20"/>
              </w:rPr>
            </w:pPr>
            <w:r>
              <w:rPr>
                <w:rFonts w:ascii="Calibri" w:hAnsi="Calibri" w:cs="Calibri"/>
                <w:b/>
                <w:bCs/>
                <w:sz w:val="20"/>
                <w:szCs w:val="20"/>
              </w:rPr>
              <w:t> </w:t>
            </w:r>
          </w:p>
        </w:tc>
        <w:tc>
          <w:tcPr>
            <w:tcW w:w="1512" w:type="dxa"/>
            <w:tcBorders>
              <w:top w:val="single" w:sz="2" w:space="0" w:color="auto"/>
              <w:bottom w:val="single" w:sz="2" w:space="0" w:color="auto"/>
            </w:tcBorders>
          </w:tcPr>
          <w:p w14:paraId="162BAD92" w14:textId="77777777" w:rsidR="0040521A" w:rsidRPr="00B535FA" w:rsidRDefault="0040521A" w:rsidP="0041734A">
            <w:pPr>
              <w:pStyle w:val="T2"/>
              <w:jc w:val="right"/>
              <w:rPr>
                <w:b/>
                <w:bCs/>
              </w:rPr>
            </w:pPr>
            <w:r>
              <w:rPr>
                <w:b/>
                <w:bCs/>
              </w:rPr>
              <w:t>1,18</w:t>
            </w:r>
            <w:r w:rsidR="00D439D4">
              <w:rPr>
                <w:b/>
                <w:bCs/>
              </w:rPr>
              <w:t>4.</w:t>
            </w:r>
            <w:r w:rsidR="00E9079C">
              <w:rPr>
                <w:b/>
                <w:bCs/>
              </w:rPr>
              <w:t>7</w:t>
            </w:r>
          </w:p>
        </w:tc>
        <w:tc>
          <w:tcPr>
            <w:tcW w:w="1512" w:type="dxa"/>
            <w:tcBorders>
              <w:top w:val="single" w:sz="2" w:space="0" w:color="auto"/>
              <w:bottom w:val="single" w:sz="2" w:space="0" w:color="auto"/>
            </w:tcBorders>
          </w:tcPr>
          <w:p w14:paraId="24AE6FEA" w14:textId="77777777" w:rsidR="0040521A" w:rsidRDefault="0040521A" w:rsidP="00785766">
            <w:pPr>
              <w:pStyle w:val="T2"/>
              <w:jc w:val="right"/>
            </w:pPr>
            <w:r w:rsidRPr="0096767F">
              <w:rPr>
                <w:bCs/>
              </w:rPr>
              <w:t>1,</w:t>
            </w:r>
            <w:r>
              <w:rPr>
                <w:bCs/>
              </w:rPr>
              <w:t>427.1</w:t>
            </w:r>
          </w:p>
        </w:tc>
        <w:tc>
          <w:tcPr>
            <w:tcW w:w="1512" w:type="dxa"/>
            <w:tcBorders>
              <w:top w:val="single" w:sz="2" w:space="0" w:color="auto"/>
              <w:bottom w:val="single" w:sz="2" w:space="0" w:color="auto"/>
            </w:tcBorders>
          </w:tcPr>
          <w:p w14:paraId="53082E7C" w14:textId="77777777" w:rsidR="0040521A" w:rsidRPr="0096767F" w:rsidRDefault="00EE0C86" w:rsidP="00785766">
            <w:pPr>
              <w:pStyle w:val="T2"/>
              <w:jc w:val="right"/>
              <w:rPr>
                <w:bCs/>
              </w:rPr>
            </w:pPr>
            <w:r>
              <w:rPr>
                <w:bCs/>
              </w:rPr>
              <w:t>1,459.0</w:t>
            </w:r>
          </w:p>
        </w:tc>
      </w:tr>
      <w:tr w:rsidR="00EE0C86" w14:paraId="6766BF45" w14:textId="77777777" w:rsidTr="00FE3A03">
        <w:trPr>
          <w:jc w:val="center"/>
        </w:trPr>
        <w:tc>
          <w:tcPr>
            <w:tcW w:w="10632" w:type="dxa"/>
            <w:gridSpan w:val="5"/>
            <w:tcBorders>
              <w:top w:val="single" w:sz="2" w:space="0" w:color="auto"/>
            </w:tcBorders>
          </w:tcPr>
          <w:p w14:paraId="307A85AB" w14:textId="77777777" w:rsidR="00EE0C86" w:rsidRPr="00C16F21" w:rsidRDefault="00C16F21" w:rsidP="00F9496A">
            <w:pPr>
              <w:pStyle w:val="T2"/>
              <w:numPr>
                <w:ilvl w:val="0"/>
                <w:numId w:val="10"/>
              </w:numPr>
              <w:ind w:left="318"/>
              <w:jc w:val="left"/>
              <w:rPr>
                <w:bCs/>
                <w:sz w:val="14"/>
                <w:szCs w:val="14"/>
              </w:rPr>
            </w:pPr>
            <w:r w:rsidRPr="00C16F21">
              <w:rPr>
                <w:bCs/>
                <w:sz w:val="14"/>
                <w:szCs w:val="14"/>
              </w:rPr>
              <w:t xml:space="preserve">The reported comparatives </w:t>
            </w:r>
            <w:r w:rsidR="00CC64F8">
              <w:rPr>
                <w:bCs/>
                <w:sz w:val="14"/>
                <w:szCs w:val="14"/>
              </w:rPr>
              <w:t xml:space="preserve">for March 2020 </w:t>
            </w:r>
            <w:r w:rsidRPr="00C16F21">
              <w:rPr>
                <w:bCs/>
                <w:sz w:val="14"/>
                <w:szCs w:val="14"/>
              </w:rPr>
              <w:t>have been restated to reflect a change in the presentation of cash at bank and bank overdrafts as set out in Note 1</w:t>
            </w:r>
          </w:p>
        </w:tc>
      </w:tr>
    </w:tbl>
    <w:p w14:paraId="6BC4A536" w14:textId="77777777" w:rsidR="00F274F4" w:rsidRDefault="000F2A63" w:rsidP="000F2A63">
      <w:pPr>
        <w:tabs>
          <w:tab w:val="left" w:pos="1375"/>
        </w:tabs>
        <w:rPr>
          <w:b/>
          <w:color w:val="002060"/>
          <w:sz w:val="28"/>
          <w:szCs w:val="28"/>
        </w:rPr>
      </w:pPr>
      <w:r>
        <w:rPr>
          <w:b/>
          <w:color w:val="002060"/>
          <w:sz w:val="28"/>
          <w:szCs w:val="28"/>
        </w:rPr>
        <w:tab/>
      </w:r>
    </w:p>
    <w:p w14:paraId="7202FF13" w14:textId="77777777" w:rsidR="000F2A63" w:rsidRDefault="000F2A63" w:rsidP="00EB44C4">
      <w:pPr>
        <w:pStyle w:val="Heading2"/>
        <w:ind w:left="-142"/>
      </w:pPr>
      <w:r w:rsidRPr="006F55A8">
        <w:t xml:space="preserve">CONDENSED </w:t>
      </w:r>
      <w:r>
        <w:t xml:space="preserve">GROUP </w:t>
      </w:r>
      <w:r w:rsidRPr="006F55A8">
        <w:t xml:space="preserve">STATEMENT </w:t>
      </w:r>
      <w:r>
        <w:t>OF CASH FLOWS</w:t>
      </w:r>
    </w:p>
    <w:p w14:paraId="780082D8" w14:textId="77777777" w:rsidR="00773F7B" w:rsidRDefault="000F2A63" w:rsidP="00EB44C4">
      <w:pPr>
        <w:pStyle w:val="Heading2"/>
        <w:ind w:left="-142"/>
        <w:rPr>
          <w:b w:val="0"/>
          <w:sz w:val="28"/>
          <w:szCs w:val="28"/>
        </w:rPr>
      </w:pPr>
      <w:r w:rsidRPr="00A70E4B">
        <w:t>for the half year ended</w:t>
      </w:r>
      <w:r w:rsidRPr="00E34FD1">
        <w:t xml:space="preserve"> </w:t>
      </w:r>
      <w:r>
        <w:t>26 March 2021</w:t>
      </w:r>
      <w:r>
        <w:br/>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gridCol w:w="648"/>
        <w:gridCol w:w="1701"/>
        <w:gridCol w:w="1701"/>
      </w:tblGrid>
      <w:tr w:rsidR="00773F7B" w14:paraId="5FC47EC2" w14:textId="77777777" w:rsidTr="005B3BEE">
        <w:trPr>
          <w:jc w:val="center"/>
        </w:trPr>
        <w:tc>
          <w:tcPr>
            <w:tcW w:w="6440" w:type="dxa"/>
          </w:tcPr>
          <w:p w14:paraId="46A89DEA" w14:textId="77777777" w:rsidR="00773F7B" w:rsidRDefault="00773F7B" w:rsidP="00773F7B">
            <w:pPr>
              <w:pStyle w:val="T2"/>
            </w:pPr>
          </w:p>
        </w:tc>
        <w:tc>
          <w:tcPr>
            <w:tcW w:w="648" w:type="dxa"/>
          </w:tcPr>
          <w:p w14:paraId="4DBF072E" w14:textId="77777777" w:rsidR="00773F7B" w:rsidRPr="002E6AF4" w:rsidRDefault="00773F7B" w:rsidP="00773F7B">
            <w:pPr>
              <w:pStyle w:val="T2"/>
              <w:jc w:val="right"/>
              <w:rPr>
                <w:b/>
              </w:rPr>
            </w:pPr>
          </w:p>
        </w:tc>
        <w:tc>
          <w:tcPr>
            <w:tcW w:w="1701" w:type="dxa"/>
          </w:tcPr>
          <w:p w14:paraId="34833C24" w14:textId="77777777" w:rsidR="00773F7B" w:rsidRDefault="00773F7B" w:rsidP="00773F7B">
            <w:pPr>
              <w:pStyle w:val="T2"/>
              <w:jc w:val="right"/>
              <w:rPr>
                <w:b/>
              </w:rPr>
            </w:pPr>
            <w:r w:rsidRPr="002E6AF4">
              <w:rPr>
                <w:b/>
              </w:rPr>
              <w:t xml:space="preserve">Half year ended </w:t>
            </w:r>
          </w:p>
          <w:p w14:paraId="29A6EF0C" w14:textId="77777777" w:rsidR="00773F7B" w:rsidRPr="00A70E4B" w:rsidRDefault="00946079" w:rsidP="00773F7B">
            <w:pPr>
              <w:pStyle w:val="T2"/>
              <w:jc w:val="right"/>
              <w:rPr>
                <w:b/>
              </w:rPr>
            </w:pPr>
            <w:r>
              <w:rPr>
                <w:b/>
              </w:rPr>
              <w:t>26 March 2021</w:t>
            </w:r>
          </w:p>
        </w:tc>
        <w:tc>
          <w:tcPr>
            <w:tcW w:w="1701" w:type="dxa"/>
          </w:tcPr>
          <w:p w14:paraId="042D5B28" w14:textId="77777777" w:rsidR="00773F7B" w:rsidRDefault="00773F7B" w:rsidP="005B3BEE">
            <w:pPr>
              <w:pStyle w:val="T2"/>
              <w:jc w:val="right"/>
            </w:pPr>
            <w:r w:rsidRPr="002E6AF4">
              <w:t xml:space="preserve">Half year ended </w:t>
            </w:r>
          </w:p>
          <w:p w14:paraId="5B0EBF0F" w14:textId="77777777" w:rsidR="00773F7B" w:rsidRDefault="00946079" w:rsidP="00773F7B">
            <w:pPr>
              <w:pStyle w:val="T2"/>
              <w:jc w:val="right"/>
            </w:pPr>
            <w:r>
              <w:t>27 March 2020</w:t>
            </w:r>
          </w:p>
        </w:tc>
      </w:tr>
      <w:tr w:rsidR="00773F7B" w14:paraId="6B06DD4B" w14:textId="77777777" w:rsidTr="005B3BEE">
        <w:trPr>
          <w:jc w:val="center"/>
        </w:trPr>
        <w:tc>
          <w:tcPr>
            <w:tcW w:w="6440" w:type="dxa"/>
          </w:tcPr>
          <w:p w14:paraId="103FD04A" w14:textId="77777777" w:rsidR="00773F7B" w:rsidRDefault="00773F7B" w:rsidP="00773F7B">
            <w:pPr>
              <w:pStyle w:val="T2"/>
            </w:pPr>
          </w:p>
        </w:tc>
        <w:tc>
          <w:tcPr>
            <w:tcW w:w="648" w:type="dxa"/>
          </w:tcPr>
          <w:p w14:paraId="7B266B5D" w14:textId="77777777" w:rsidR="00773F7B" w:rsidRPr="000606CD" w:rsidRDefault="00773F7B" w:rsidP="00773F7B">
            <w:pPr>
              <w:pStyle w:val="T2"/>
              <w:jc w:val="right"/>
            </w:pPr>
            <w:r w:rsidRPr="000606CD">
              <w:t>Notes</w:t>
            </w:r>
          </w:p>
        </w:tc>
        <w:tc>
          <w:tcPr>
            <w:tcW w:w="1701" w:type="dxa"/>
          </w:tcPr>
          <w:p w14:paraId="0BF1CFBE" w14:textId="77777777" w:rsidR="00773F7B" w:rsidRPr="00A70E4B" w:rsidRDefault="00773F7B" w:rsidP="00773F7B">
            <w:pPr>
              <w:pStyle w:val="T2"/>
              <w:jc w:val="right"/>
              <w:rPr>
                <w:b/>
              </w:rPr>
            </w:pPr>
            <w:r w:rsidRPr="002E6AF4">
              <w:rPr>
                <w:b/>
              </w:rPr>
              <w:t>(Unaudited)</w:t>
            </w:r>
          </w:p>
        </w:tc>
        <w:tc>
          <w:tcPr>
            <w:tcW w:w="1701" w:type="dxa"/>
          </w:tcPr>
          <w:p w14:paraId="56BB505D" w14:textId="77777777" w:rsidR="00773F7B" w:rsidRDefault="00773F7B" w:rsidP="00773F7B">
            <w:pPr>
              <w:pStyle w:val="T2"/>
              <w:jc w:val="right"/>
            </w:pPr>
            <w:r w:rsidRPr="002E6AF4">
              <w:t>(Unaudited)</w:t>
            </w:r>
          </w:p>
        </w:tc>
      </w:tr>
      <w:tr w:rsidR="00773F7B" w14:paraId="65DD48EF" w14:textId="77777777" w:rsidTr="005B3BEE">
        <w:trPr>
          <w:jc w:val="center"/>
        </w:trPr>
        <w:tc>
          <w:tcPr>
            <w:tcW w:w="6440" w:type="dxa"/>
            <w:tcBorders>
              <w:bottom w:val="single" w:sz="2" w:space="0" w:color="auto"/>
            </w:tcBorders>
          </w:tcPr>
          <w:p w14:paraId="01647A77" w14:textId="77777777" w:rsidR="00773F7B" w:rsidRDefault="00773F7B" w:rsidP="00773F7B">
            <w:pPr>
              <w:pStyle w:val="T2"/>
            </w:pPr>
          </w:p>
        </w:tc>
        <w:tc>
          <w:tcPr>
            <w:tcW w:w="648" w:type="dxa"/>
            <w:tcBorders>
              <w:bottom w:val="single" w:sz="2" w:space="0" w:color="auto"/>
            </w:tcBorders>
          </w:tcPr>
          <w:p w14:paraId="06BAD038" w14:textId="77777777" w:rsidR="00773F7B" w:rsidRPr="002E6AF4" w:rsidRDefault="00773F7B" w:rsidP="00773F7B">
            <w:pPr>
              <w:pStyle w:val="T2"/>
              <w:jc w:val="right"/>
              <w:rPr>
                <w:b/>
              </w:rPr>
            </w:pPr>
          </w:p>
        </w:tc>
        <w:tc>
          <w:tcPr>
            <w:tcW w:w="1701" w:type="dxa"/>
            <w:tcBorders>
              <w:bottom w:val="single" w:sz="2" w:space="0" w:color="auto"/>
            </w:tcBorders>
          </w:tcPr>
          <w:p w14:paraId="47D2B588" w14:textId="77777777" w:rsidR="00773F7B" w:rsidRPr="00A70E4B" w:rsidRDefault="00773F7B" w:rsidP="00773F7B">
            <w:pPr>
              <w:pStyle w:val="T2"/>
              <w:jc w:val="right"/>
              <w:rPr>
                <w:b/>
              </w:rPr>
            </w:pPr>
            <w:r w:rsidRPr="002E6AF4">
              <w:rPr>
                <w:b/>
              </w:rPr>
              <w:t>£m</w:t>
            </w:r>
          </w:p>
        </w:tc>
        <w:tc>
          <w:tcPr>
            <w:tcW w:w="1701" w:type="dxa"/>
            <w:tcBorders>
              <w:bottom w:val="single" w:sz="2" w:space="0" w:color="auto"/>
            </w:tcBorders>
          </w:tcPr>
          <w:p w14:paraId="798B08CB" w14:textId="77777777" w:rsidR="00773F7B" w:rsidRDefault="00773F7B" w:rsidP="00773F7B">
            <w:pPr>
              <w:pStyle w:val="T2"/>
              <w:jc w:val="right"/>
            </w:pPr>
            <w:r w:rsidRPr="002E6AF4">
              <w:t>£m</w:t>
            </w:r>
          </w:p>
        </w:tc>
      </w:tr>
      <w:tr w:rsidR="00E651EE" w14:paraId="40E789A7" w14:textId="77777777" w:rsidTr="005B3BEE">
        <w:trPr>
          <w:jc w:val="center"/>
        </w:trPr>
        <w:tc>
          <w:tcPr>
            <w:tcW w:w="6440" w:type="dxa"/>
            <w:tcBorders>
              <w:top w:val="single" w:sz="2" w:space="0" w:color="auto"/>
            </w:tcBorders>
          </w:tcPr>
          <w:p w14:paraId="7543D5F5" w14:textId="77777777" w:rsidR="00E651EE" w:rsidRPr="0094516A" w:rsidRDefault="00E251FD">
            <w:pPr>
              <w:pStyle w:val="T2"/>
              <w:jc w:val="left"/>
            </w:pPr>
            <w:r>
              <w:t>Loss/(p</w:t>
            </w:r>
            <w:r w:rsidR="00E651EE" w:rsidRPr="0094516A">
              <w:t>rofit</w:t>
            </w:r>
            <w:r>
              <w:t>)</w:t>
            </w:r>
            <w:r w:rsidR="00E651EE" w:rsidRPr="0094516A">
              <w:t xml:space="preserve"> before taxation</w:t>
            </w:r>
          </w:p>
        </w:tc>
        <w:tc>
          <w:tcPr>
            <w:tcW w:w="648" w:type="dxa"/>
            <w:tcBorders>
              <w:top w:val="single" w:sz="2" w:space="0" w:color="auto"/>
            </w:tcBorders>
          </w:tcPr>
          <w:p w14:paraId="46740FBD" w14:textId="77777777" w:rsidR="00E651EE" w:rsidRDefault="00E651EE" w:rsidP="00E651EE">
            <w:pPr>
              <w:pStyle w:val="T2"/>
              <w:jc w:val="right"/>
              <w:rPr>
                <w:b/>
              </w:rPr>
            </w:pPr>
          </w:p>
        </w:tc>
        <w:tc>
          <w:tcPr>
            <w:tcW w:w="1701" w:type="dxa"/>
            <w:tcBorders>
              <w:top w:val="single" w:sz="2" w:space="0" w:color="auto"/>
            </w:tcBorders>
          </w:tcPr>
          <w:p w14:paraId="6D8CA9B0" w14:textId="77777777" w:rsidR="00E651EE" w:rsidRPr="001917D0" w:rsidRDefault="00362A41" w:rsidP="005D3EAC">
            <w:pPr>
              <w:pStyle w:val="T2"/>
              <w:jc w:val="right"/>
              <w:rPr>
                <w:b/>
                <w:bCs/>
              </w:rPr>
            </w:pPr>
            <w:r>
              <w:rPr>
                <w:b/>
                <w:bCs/>
              </w:rPr>
              <w:t>(1.</w:t>
            </w:r>
            <w:r w:rsidR="005D3EAC">
              <w:rPr>
                <w:b/>
                <w:bCs/>
              </w:rPr>
              <w:t>8</w:t>
            </w:r>
            <w:r>
              <w:rPr>
                <w:b/>
                <w:bCs/>
              </w:rPr>
              <w:t>)</w:t>
            </w:r>
          </w:p>
        </w:tc>
        <w:tc>
          <w:tcPr>
            <w:tcW w:w="1701" w:type="dxa"/>
            <w:tcBorders>
              <w:top w:val="single" w:sz="2" w:space="0" w:color="auto"/>
            </w:tcBorders>
          </w:tcPr>
          <w:p w14:paraId="4856B195" w14:textId="77777777" w:rsidR="00E651EE" w:rsidRPr="003C1ACC" w:rsidRDefault="00E651EE" w:rsidP="00E651EE">
            <w:pPr>
              <w:pStyle w:val="T2"/>
              <w:jc w:val="right"/>
            </w:pPr>
            <w:r>
              <w:rPr>
                <w:bCs/>
              </w:rPr>
              <w:t>27.3</w:t>
            </w:r>
          </w:p>
        </w:tc>
      </w:tr>
      <w:tr w:rsidR="00E651EE" w14:paraId="6CD22655" w14:textId="77777777" w:rsidTr="005B3BEE">
        <w:trPr>
          <w:jc w:val="center"/>
        </w:trPr>
        <w:tc>
          <w:tcPr>
            <w:tcW w:w="6440" w:type="dxa"/>
          </w:tcPr>
          <w:p w14:paraId="0D98B46C" w14:textId="77777777" w:rsidR="00E651EE" w:rsidRPr="0094516A" w:rsidRDefault="00E651EE" w:rsidP="00E651EE">
            <w:pPr>
              <w:pStyle w:val="T2"/>
              <w:jc w:val="left"/>
            </w:pPr>
            <w:r w:rsidRPr="0094516A">
              <w:t xml:space="preserve">Finance income </w:t>
            </w:r>
          </w:p>
        </w:tc>
        <w:tc>
          <w:tcPr>
            <w:tcW w:w="648" w:type="dxa"/>
          </w:tcPr>
          <w:p w14:paraId="364E442A" w14:textId="77777777" w:rsidR="00E651EE" w:rsidRDefault="00E651EE" w:rsidP="00E651EE">
            <w:pPr>
              <w:pStyle w:val="T2"/>
              <w:jc w:val="right"/>
              <w:rPr>
                <w:b/>
              </w:rPr>
            </w:pPr>
          </w:p>
        </w:tc>
        <w:tc>
          <w:tcPr>
            <w:tcW w:w="1701" w:type="dxa"/>
          </w:tcPr>
          <w:p w14:paraId="7399CA2F" w14:textId="77777777" w:rsidR="00E651EE" w:rsidRPr="001917D0" w:rsidRDefault="000A3FCF" w:rsidP="00E651EE">
            <w:pPr>
              <w:pStyle w:val="T2"/>
              <w:jc w:val="right"/>
              <w:rPr>
                <w:b/>
                <w:bCs/>
              </w:rPr>
            </w:pPr>
            <w:r>
              <w:rPr>
                <w:b/>
                <w:bCs/>
              </w:rPr>
              <w:t>(0.4)</w:t>
            </w:r>
          </w:p>
        </w:tc>
        <w:tc>
          <w:tcPr>
            <w:tcW w:w="1701" w:type="dxa"/>
          </w:tcPr>
          <w:p w14:paraId="6DEE5F7D" w14:textId="77777777" w:rsidR="00E651EE" w:rsidRPr="003C1ACC" w:rsidRDefault="00E651EE" w:rsidP="000A3FCF">
            <w:pPr>
              <w:pStyle w:val="T2"/>
              <w:jc w:val="right"/>
            </w:pPr>
            <w:r w:rsidRPr="0096767F">
              <w:rPr>
                <w:bCs/>
              </w:rPr>
              <w:t>(0.</w:t>
            </w:r>
            <w:r w:rsidR="000A3FCF">
              <w:rPr>
                <w:bCs/>
              </w:rPr>
              <w:t>5</w:t>
            </w:r>
            <w:r w:rsidRPr="0096767F">
              <w:rPr>
                <w:bCs/>
              </w:rPr>
              <w:t>)</w:t>
            </w:r>
          </w:p>
        </w:tc>
      </w:tr>
      <w:tr w:rsidR="00E651EE" w14:paraId="5631B250" w14:textId="77777777" w:rsidTr="005B3BEE">
        <w:trPr>
          <w:jc w:val="center"/>
        </w:trPr>
        <w:tc>
          <w:tcPr>
            <w:tcW w:w="6440" w:type="dxa"/>
          </w:tcPr>
          <w:p w14:paraId="551588AF" w14:textId="77777777" w:rsidR="00E651EE" w:rsidRPr="0094516A" w:rsidRDefault="00E651EE" w:rsidP="00E651EE">
            <w:pPr>
              <w:pStyle w:val="T2"/>
              <w:jc w:val="left"/>
            </w:pPr>
            <w:r w:rsidRPr="0094516A">
              <w:t xml:space="preserve">Finance costs </w:t>
            </w:r>
          </w:p>
        </w:tc>
        <w:tc>
          <w:tcPr>
            <w:tcW w:w="648" w:type="dxa"/>
          </w:tcPr>
          <w:p w14:paraId="36297A84" w14:textId="77777777" w:rsidR="00E651EE" w:rsidRDefault="00E651EE" w:rsidP="00E651EE">
            <w:pPr>
              <w:pStyle w:val="T2"/>
              <w:jc w:val="right"/>
              <w:rPr>
                <w:b/>
              </w:rPr>
            </w:pPr>
          </w:p>
        </w:tc>
        <w:tc>
          <w:tcPr>
            <w:tcW w:w="1701" w:type="dxa"/>
          </w:tcPr>
          <w:p w14:paraId="704DE4BB" w14:textId="77777777" w:rsidR="00E651EE" w:rsidRPr="001917D0" w:rsidRDefault="000A3FCF" w:rsidP="00E651EE">
            <w:pPr>
              <w:pStyle w:val="T2"/>
              <w:jc w:val="right"/>
              <w:rPr>
                <w:b/>
                <w:bCs/>
              </w:rPr>
            </w:pPr>
            <w:r>
              <w:rPr>
                <w:b/>
                <w:bCs/>
              </w:rPr>
              <w:t>10.1</w:t>
            </w:r>
          </w:p>
        </w:tc>
        <w:tc>
          <w:tcPr>
            <w:tcW w:w="1701" w:type="dxa"/>
          </w:tcPr>
          <w:p w14:paraId="774CBE69" w14:textId="77777777" w:rsidR="00E651EE" w:rsidRPr="003C1ACC" w:rsidRDefault="000A3FCF" w:rsidP="00E651EE">
            <w:pPr>
              <w:pStyle w:val="T2"/>
              <w:jc w:val="right"/>
            </w:pPr>
            <w:r>
              <w:rPr>
                <w:bCs/>
              </w:rPr>
              <w:t>9.2</w:t>
            </w:r>
          </w:p>
        </w:tc>
      </w:tr>
      <w:tr w:rsidR="00E651EE" w14:paraId="66C926F0" w14:textId="77777777" w:rsidTr="005B3BEE">
        <w:trPr>
          <w:jc w:val="center"/>
        </w:trPr>
        <w:tc>
          <w:tcPr>
            <w:tcW w:w="6440" w:type="dxa"/>
          </w:tcPr>
          <w:p w14:paraId="4B927DC1" w14:textId="77777777" w:rsidR="00E651EE" w:rsidRPr="0094516A" w:rsidRDefault="00E651EE" w:rsidP="00E651EE">
            <w:pPr>
              <w:pStyle w:val="T2"/>
              <w:jc w:val="left"/>
            </w:pPr>
            <w:r w:rsidRPr="0094516A">
              <w:t>Share of profit of associates after tax</w:t>
            </w:r>
          </w:p>
        </w:tc>
        <w:tc>
          <w:tcPr>
            <w:tcW w:w="648" w:type="dxa"/>
          </w:tcPr>
          <w:p w14:paraId="4DEF3505" w14:textId="77777777" w:rsidR="00E651EE" w:rsidRDefault="00E651EE" w:rsidP="00E651EE">
            <w:pPr>
              <w:pStyle w:val="T2"/>
              <w:jc w:val="right"/>
              <w:rPr>
                <w:b/>
              </w:rPr>
            </w:pPr>
          </w:p>
        </w:tc>
        <w:tc>
          <w:tcPr>
            <w:tcW w:w="1701" w:type="dxa"/>
          </w:tcPr>
          <w:p w14:paraId="6CD1EDD6" w14:textId="77777777" w:rsidR="00E651EE" w:rsidRPr="001917D0" w:rsidRDefault="00E651EE" w:rsidP="00E651EE">
            <w:pPr>
              <w:pStyle w:val="T2"/>
              <w:jc w:val="right"/>
              <w:rPr>
                <w:b/>
                <w:bCs/>
              </w:rPr>
            </w:pPr>
            <w:r w:rsidRPr="00A86DE8">
              <w:rPr>
                <w:b/>
                <w:bCs/>
              </w:rPr>
              <w:t>–</w:t>
            </w:r>
          </w:p>
        </w:tc>
        <w:tc>
          <w:tcPr>
            <w:tcW w:w="1701" w:type="dxa"/>
          </w:tcPr>
          <w:p w14:paraId="4C9E0F98" w14:textId="77777777" w:rsidR="00E651EE" w:rsidRPr="003C1ACC" w:rsidRDefault="00E651EE" w:rsidP="00E651EE">
            <w:pPr>
              <w:pStyle w:val="T2"/>
              <w:jc w:val="right"/>
            </w:pPr>
            <w:r w:rsidRPr="0096767F">
              <w:rPr>
                <w:bCs/>
              </w:rPr>
              <w:t>(0.</w:t>
            </w:r>
            <w:r>
              <w:rPr>
                <w:bCs/>
              </w:rPr>
              <w:t>4</w:t>
            </w:r>
            <w:r w:rsidRPr="0096767F">
              <w:rPr>
                <w:bCs/>
              </w:rPr>
              <w:t>)</w:t>
            </w:r>
          </w:p>
        </w:tc>
      </w:tr>
      <w:tr w:rsidR="00E651EE" w14:paraId="661A6763" w14:textId="77777777" w:rsidTr="005B3BEE">
        <w:trPr>
          <w:jc w:val="center"/>
        </w:trPr>
        <w:tc>
          <w:tcPr>
            <w:tcW w:w="6440" w:type="dxa"/>
            <w:tcBorders>
              <w:bottom w:val="single" w:sz="2" w:space="0" w:color="auto"/>
            </w:tcBorders>
          </w:tcPr>
          <w:p w14:paraId="4DE7B488" w14:textId="77777777" w:rsidR="00E651EE" w:rsidRPr="0094516A" w:rsidRDefault="00E651EE" w:rsidP="00E651EE">
            <w:pPr>
              <w:pStyle w:val="T2"/>
              <w:jc w:val="left"/>
            </w:pPr>
            <w:r w:rsidRPr="0094516A">
              <w:t>Exceptional items</w:t>
            </w:r>
          </w:p>
        </w:tc>
        <w:tc>
          <w:tcPr>
            <w:tcW w:w="648" w:type="dxa"/>
            <w:tcBorders>
              <w:bottom w:val="single" w:sz="2" w:space="0" w:color="auto"/>
            </w:tcBorders>
          </w:tcPr>
          <w:p w14:paraId="4D059C19" w14:textId="77777777" w:rsidR="00E651EE" w:rsidRDefault="00E651EE" w:rsidP="00E651EE">
            <w:pPr>
              <w:pStyle w:val="T2"/>
              <w:jc w:val="right"/>
              <w:rPr>
                <w:b/>
              </w:rPr>
            </w:pPr>
          </w:p>
        </w:tc>
        <w:tc>
          <w:tcPr>
            <w:tcW w:w="1701" w:type="dxa"/>
            <w:tcBorders>
              <w:bottom w:val="single" w:sz="2" w:space="0" w:color="auto"/>
            </w:tcBorders>
          </w:tcPr>
          <w:p w14:paraId="6B424AFD" w14:textId="77777777" w:rsidR="00E651EE" w:rsidRPr="001917D0" w:rsidRDefault="006A575F" w:rsidP="0041734A">
            <w:pPr>
              <w:pStyle w:val="T2"/>
              <w:jc w:val="right"/>
              <w:rPr>
                <w:b/>
                <w:bCs/>
              </w:rPr>
            </w:pPr>
            <w:r>
              <w:rPr>
                <w:b/>
                <w:bCs/>
              </w:rPr>
              <w:t>(</w:t>
            </w:r>
            <w:r w:rsidR="00E9079C">
              <w:rPr>
                <w:b/>
                <w:bCs/>
              </w:rPr>
              <w:t>9</w:t>
            </w:r>
            <w:r>
              <w:rPr>
                <w:b/>
                <w:bCs/>
              </w:rPr>
              <w:t>.7)</w:t>
            </w:r>
          </w:p>
        </w:tc>
        <w:tc>
          <w:tcPr>
            <w:tcW w:w="1701" w:type="dxa"/>
            <w:tcBorders>
              <w:bottom w:val="single" w:sz="2" w:space="0" w:color="auto"/>
            </w:tcBorders>
          </w:tcPr>
          <w:p w14:paraId="6943B8EE" w14:textId="77777777" w:rsidR="00E651EE" w:rsidRPr="003C1ACC" w:rsidRDefault="00E651EE" w:rsidP="00E651EE">
            <w:pPr>
              <w:pStyle w:val="T2"/>
              <w:jc w:val="right"/>
            </w:pPr>
            <w:r w:rsidRPr="0096767F">
              <w:rPr>
                <w:bCs/>
              </w:rPr>
              <w:t>–</w:t>
            </w:r>
          </w:p>
        </w:tc>
      </w:tr>
      <w:tr w:rsidR="00E651EE" w14:paraId="6400A271" w14:textId="77777777" w:rsidTr="005B3BEE">
        <w:trPr>
          <w:jc w:val="center"/>
        </w:trPr>
        <w:tc>
          <w:tcPr>
            <w:tcW w:w="6440" w:type="dxa"/>
            <w:tcBorders>
              <w:top w:val="single" w:sz="2" w:space="0" w:color="auto"/>
            </w:tcBorders>
          </w:tcPr>
          <w:p w14:paraId="1DFD3482" w14:textId="77777777" w:rsidR="00E651EE" w:rsidRPr="00F15D5E" w:rsidRDefault="00E651EE">
            <w:pPr>
              <w:pStyle w:val="T2"/>
              <w:jc w:val="left"/>
              <w:rPr>
                <w:b/>
              </w:rPr>
            </w:pPr>
            <w:r w:rsidRPr="00F15D5E">
              <w:rPr>
                <w:b/>
              </w:rPr>
              <w:t xml:space="preserve">Operating </w:t>
            </w:r>
            <w:r w:rsidR="000123F9">
              <w:rPr>
                <w:b/>
              </w:rPr>
              <w:t>(loss)/p</w:t>
            </w:r>
            <w:r w:rsidRPr="00F15D5E">
              <w:rPr>
                <w:b/>
              </w:rPr>
              <w:t>rofit (pre–exceptional)</w:t>
            </w:r>
          </w:p>
        </w:tc>
        <w:tc>
          <w:tcPr>
            <w:tcW w:w="648" w:type="dxa"/>
            <w:tcBorders>
              <w:top w:val="single" w:sz="2" w:space="0" w:color="auto"/>
            </w:tcBorders>
          </w:tcPr>
          <w:p w14:paraId="15D41627" w14:textId="77777777" w:rsidR="00E651EE" w:rsidRPr="00F15D5E" w:rsidRDefault="00E651EE" w:rsidP="00E651EE">
            <w:pPr>
              <w:pStyle w:val="T2"/>
              <w:jc w:val="right"/>
            </w:pPr>
          </w:p>
        </w:tc>
        <w:tc>
          <w:tcPr>
            <w:tcW w:w="1701" w:type="dxa"/>
            <w:tcBorders>
              <w:top w:val="single" w:sz="2" w:space="0" w:color="auto"/>
            </w:tcBorders>
          </w:tcPr>
          <w:p w14:paraId="04628F1E" w14:textId="77777777" w:rsidR="00E651EE" w:rsidRPr="00F15D5E" w:rsidRDefault="006A575F" w:rsidP="0041734A">
            <w:pPr>
              <w:pStyle w:val="T2"/>
              <w:jc w:val="right"/>
              <w:rPr>
                <w:b/>
                <w:bCs/>
              </w:rPr>
            </w:pPr>
            <w:r>
              <w:rPr>
                <w:b/>
                <w:bCs/>
              </w:rPr>
              <w:t>(</w:t>
            </w:r>
            <w:r w:rsidR="00E9079C">
              <w:rPr>
                <w:b/>
                <w:bCs/>
              </w:rPr>
              <w:t>1.</w:t>
            </w:r>
            <w:r w:rsidR="005D3EAC">
              <w:rPr>
                <w:b/>
                <w:bCs/>
              </w:rPr>
              <w:t>8</w:t>
            </w:r>
            <w:r>
              <w:rPr>
                <w:b/>
                <w:bCs/>
              </w:rPr>
              <w:t>)</w:t>
            </w:r>
          </w:p>
        </w:tc>
        <w:tc>
          <w:tcPr>
            <w:tcW w:w="1701" w:type="dxa"/>
            <w:tcBorders>
              <w:top w:val="single" w:sz="2" w:space="0" w:color="auto"/>
            </w:tcBorders>
          </w:tcPr>
          <w:p w14:paraId="5419272C" w14:textId="77777777" w:rsidR="00E651EE" w:rsidRPr="00F15D5E" w:rsidRDefault="00E651EE" w:rsidP="00E651EE">
            <w:pPr>
              <w:pStyle w:val="T2"/>
              <w:jc w:val="right"/>
            </w:pPr>
            <w:r w:rsidRPr="00F15D5E">
              <w:rPr>
                <w:bCs/>
              </w:rPr>
              <w:t>35.6</w:t>
            </w:r>
          </w:p>
        </w:tc>
      </w:tr>
      <w:tr w:rsidR="00E651EE" w14:paraId="4577B254" w14:textId="77777777" w:rsidTr="005B3BEE">
        <w:trPr>
          <w:jc w:val="center"/>
        </w:trPr>
        <w:tc>
          <w:tcPr>
            <w:tcW w:w="6440" w:type="dxa"/>
          </w:tcPr>
          <w:p w14:paraId="0764B2A1" w14:textId="77777777" w:rsidR="00E651EE" w:rsidRPr="0094516A" w:rsidRDefault="00E651EE" w:rsidP="00E651EE">
            <w:pPr>
              <w:pStyle w:val="T2"/>
              <w:jc w:val="left"/>
            </w:pPr>
            <w:r w:rsidRPr="0094516A">
              <w:t>Depreciation</w:t>
            </w:r>
            <w:r w:rsidR="00157690">
              <w:t xml:space="preserve"> </w:t>
            </w:r>
          </w:p>
        </w:tc>
        <w:tc>
          <w:tcPr>
            <w:tcW w:w="648" w:type="dxa"/>
          </w:tcPr>
          <w:p w14:paraId="3D257B58" w14:textId="77777777" w:rsidR="00E651EE" w:rsidRPr="00E02FFC" w:rsidRDefault="00E651EE" w:rsidP="00E651EE">
            <w:pPr>
              <w:pStyle w:val="T2"/>
              <w:jc w:val="right"/>
            </w:pPr>
          </w:p>
        </w:tc>
        <w:tc>
          <w:tcPr>
            <w:tcW w:w="1701" w:type="dxa"/>
          </w:tcPr>
          <w:p w14:paraId="61F9A2ED" w14:textId="77777777" w:rsidR="00E651EE" w:rsidRPr="001917D0" w:rsidRDefault="003322D5" w:rsidP="00E651EE">
            <w:pPr>
              <w:pStyle w:val="T2"/>
              <w:jc w:val="right"/>
              <w:rPr>
                <w:b/>
                <w:bCs/>
              </w:rPr>
            </w:pPr>
            <w:r>
              <w:rPr>
                <w:b/>
                <w:bCs/>
              </w:rPr>
              <w:t>24.8</w:t>
            </w:r>
          </w:p>
        </w:tc>
        <w:tc>
          <w:tcPr>
            <w:tcW w:w="1701" w:type="dxa"/>
          </w:tcPr>
          <w:p w14:paraId="40EC54A2" w14:textId="77777777" w:rsidR="00E651EE" w:rsidRPr="003C1ACC" w:rsidRDefault="00E651EE" w:rsidP="00E651EE">
            <w:pPr>
              <w:pStyle w:val="T2"/>
              <w:jc w:val="right"/>
            </w:pPr>
            <w:r>
              <w:rPr>
                <w:bCs/>
              </w:rPr>
              <w:t>22.9</w:t>
            </w:r>
          </w:p>
        </w:tc>
      </w:tr>
      <w:tr w:rsidR="00E651EE" w14:paraId="6418B994" w14:textId="77777777" w:rsidTr="005B3BEE">
        <w:trPr>
          <w:jc w:val="center"/>
        </w:trPr>
        <w:tc>
          <w:tcPr>
            <w:tcW w:w="6440" w:type="dxa"/>
          </w:tcPr>
          <w:p w14:paraId="1C011470" w14:textId="77777777" w:rsidR="00E651EE" w:rsidRPr="0094516A" w:rsidRDefault="00E651EE" w:rsidP="00E651EE">
            <w:pPr>
              <w:pStyle w:val="T2"/>
              <w:jc w:val="left"/>
            </w:pPr>
            <w:r w:rsidRPr="0094516A">
              <w:t>Amortisation of intangible assets</w:t>
            </w:r>
          </w:p>
        </w:tc>
        <w:tc>
          <w:tcPr>
            <w:tcW w:w="648" w:type="dxa"/>
          </w:tcPr>
          <w:p w14:paraId="7079D0F2" w14:textId="77777777" w:rsidR="00E651EE" w:rsidRPr="00E02FFC" w:rsidRDefault="00E651EE" w:rsidP="00E651EE">
            <w:pPr>
              <w:pStyle w:val="T2"/>
              <w:jc w:val="right"/>
            </w:pPr>
          </w:p>
        </w:tc>
        <w:tc>
          <w:tcPr>
            <w:tcW w:w="1701" w:type="dxa"/>
          </w:tcPr>
          <w:p w14:paraId="0C51BFF7" w14:textId="77777777" w:rsidR="00E651EE" w:rsidRPr="001917D0" w:rsidRDefault="003322D5" w:rsidP="00E651EE">
            <w:pPr>
              <w:pStyle w:val="T2"/>
              <w:jc w:val="right"/>
              <w:rPr>
                <w:b/>
                <w:bCs/>
              </w:rPr>
            </w:pPr>
            <w:r>
              <w:rPr>
                <w:b/>
                <w:bCs/>
              </w:rPr>
              <w:t>3.5</w:t>
            </w:r>
          </w:p>
        </w:tc>
        <w:tc>
          <w:tcPr>
            <w:tcW w:w="1701" w:type="dxa"/>
          </w:tcPr>
          <w:p w14:paraId="373E1782" w14:textId="77777777" w:rsidR="00E651EE" w:rsidRPr="003C1ACC" w:rsidRDefault="00E651EE" w:rsidP="00E651EE">
            <w:pPr>
              <w:pStyle w:val="T2"/>
              <w:jc w:val="right"/>
            </w:pPr>
            <w:r>
              <w:rPr>
                <w:bCs/>
              </w:rPr>
              <w:t>5.3</w:t>
            </w:r>
          </w:p>
        </w:tc>
      </w:tr>
      <w:tr w:rsidR="00E651EE" w14:paraId="10CCA1DD" w14:textId="77777777" w:rsidTr="005B3BEE">
        <w:trPr>
          <w:jc w:val="center"/>
        </w:trPr>
        <w:tc>
          <w:tcPr>
            <w:tcW w:w="6440" w:type="dxa"/>
          </w:tcPr>
          <w:p w14:paraId="23945D6D" w14:textId="77777777" w:rsidR="00E651EE" w:rsidRPr="0094516A" w:rsidRDefault="00E651EE" w:rsidP="00E651EE">
            <w:pPr>
              <w:pStyle w:val="T2"/>
              <w:jc w:val="left"/>
            </w:pPr>
            <w:r w:rsidRPr="0094516A">
              <w:t>Employee share</w:t>
            </w:r>
            <w:r>
              <w:t>–</w:t>
            </w:r>
            <w:r w:rsidRPr="0094516A">
              <w:t>based payment expense</w:t>
            </w:r>
          </w:p>
        </w:tc>
        <w:tc>
          <w:tcPr>
            <w:tcW w:w="648" w:type="dxa"/>
          </w:tcPr>
          <w:p w14:paraId="0DD0DF57" w14:textId="77777777" w:rsidR="00E651EE" w:rsidRPr="00E02FFC" w:rsidRDefault="00E651EE" w:rsidP="00E651EE">
            <w:pPr>
              <w:pStyle w:val="T2"/>
              <w:jc w:val="right"/>
            </w:pPr>
          </w:p>
        </w:tc>
        <w:tc>
          <w:tcPr>
            <w:tcW w:w="1701" w:type="dxa"/>
          </w:tcPr>
          <w:p w14:paraId="2114BDB0" w14:textId="77777777" w:rsidR="00E651EE" w:rsidRPr="001917D0" w:rsidRDefault="00D439D4" w:rsidP="00E651EE">
            <w:pPr>
              <w:pStyle w:val="T2"/>
              <w:jc w:val="right"/>
              <w:rPr>
                <w:b/>
                <w:bCs/>
              </w:rPr>
            </w:pPr>
            <w:r>
              <w:rPr>
                <w:b/>
                <w:bCs/>
              </w:rPr>
              <w:t>1.0</w:t>
            </w:r>
          </w:p>
        </w:tc>
        <w:tc>
          <w:tcPr>
            <w:tcW w:w="1701" w:type="dxa"/>
          </w:tcPr>
          <w:p w14:paraId="33BDBB71" w14:textId="77777777" w:rsidR="00E651EE" w:rsidRPr="003C1ACC" w:rsidRDefault="00E651EE" w:rsidP="00E651EE">
            <w:pPr>
              <w:pStyle w:val="T2"/>
              <w:jc w:val="right"/>
            </w:pPr>
            <w:r>
              <w:rPr>
                <w:bCs/>
              </w:rPr>
              <w:t>0.9</w:t>
            </w:r>
          </w:p>
        </w:tc>
      </w:tr>
      <w:tr w:rsidR="00E651EE" w14:paraId="7D74CC96" w14:textId="77777777" w:rsidTr="005B3BEE">
        <w:trPr>
          <w:jc w:val="center"/>
        </w:trPr>
        <w:tc>
          <w:tcPr>
            <w:tcW w:w="6440" w:type="dxa"/>
          </w:tcPr>
          <w:p w14:paraId="156A5D86" w14:textId="77777777" w:rsidR="00E651EE" w:rsidRPr="0094516A" w:rsidRDefault="00E651EE" w:rsidP="00E651EE">
            <w:pPr>
              <w:pStyle w:val="T2"/>
              <w:jc w:val="left"/>
            </w:pPr>
            <w:r w:rsidRPr="0094516A">
              <w:t>Contributions to</w:t>
            </w:r>
            <w:r>
              <w:t xml:space="preserve"> Group</w:t>
            </w:r>
            <w:r w:rsidRPr="0094516A">
              <w:t xml:space="preserve"> </w:t>
            </w:r>
            <w:r>
              <w:t xml:space="preserve">legacy </w:t>
            </w:r>
            <w:r w:rsidRPr="0094516A">
              <w:t>defined benefit pension scheme</w:t>
            </w:r>
            <w:r>
              <w:t>s</w:t>
            </w:r>
          </w:p>
        </w:tc>
        <w:tc>
          <w:tcPr>
            <w:tcW w:w="648" w:type="dxa"/>
          </w:tcPr>
          <w:p w14:paraId="2C92A709" w14:textId="77777777" w:rsidR="00E651EE" w:rsidRPr="00E02FFC" w:rsidRDefault="00E651EE" w:rsidP="00E651EE">
            <w:pPr>
              <w:pStyle w:val="T2"/>
              <w:jc w:val="right"/>
            </w:pPr>
          </w:p>
        </w:tc>
        <w:tc>
          <w:tcPr>
            <w:tcW w:w="1701" w:type="dxa"/>
          </w:tcPr>
          <w:p w14:paraId="111ED771" w14:textId="77777777" w:rsidR="00E651EE" w:rsidRPr="001917D0" w:rsidRDefault="003322D5" w:rsidP="00F204CD">
            <w:pPr>
              <w:pStyle w:val="T2"/>
              <w:jc w:val="right"/>
              <w:rPr>
                <w:b/>
                <w:bCs/>
              </w:rPr>
            </w:pPr>
            <w:r>
              <w:rPr>
                <w:b/>
                <w:bCs/>
              </w:rPr>
              <w:t>(</w:t>
            </w:r>
            <w:r w:rsidR="00F204CD">
              <w:rPr>
                <w:b/>
                <w:bCs/>
              </w:rPr>
              <w:t>3.0</w:t>
            </w:r>
            <w:r>
              <w:rPr>
                <w:b/>
                <w:bCs/>
              </w:rPr>
              <w:t>)</w:t>
            </w:r>
          </w:p>
        </w:tc>
        <w:tc>
          <w:tcPr>
            <w:tcW w:w="1701" w:type="dxa"/>
          </w:tcPr>
          <w:p w14:paraId="673BD55A" w14:textId="77777777" w:rsidR="00E651EE" w:rsidRPr="003C1ACC" w:rsidRDefault="00E651EE" w:rsidP="00E651EE">
            <w:pPr>
              <w:pStyle w:val="T2"/>
              <w:jc w:val="right"/>
            </w:pPr>
            <w:r w:rsidRPr="0096767F">
              <w:rPr>
                <w:bCs/>
              </w:rPr>
              <w:t>(</w:t>
            </w:r>
            <w:r>
              <w:rPr>
                <w:bCs/>
              </w:rPr>
              <w:t>7.8</w:t>
            </w:r>
            <w:r w:rsidRPr="0096767F">
              <w:rPr>
                <w:bCs/>
              </w:rPr>
              <w:t>)</w:t>
            </w:r>
          </w:p>
        </w:tc>
      </w:tr>
      <w:tr w:rsidR="00E651EE" w14:paraId="3CDC3BC0" w14:textId="77777777" w:rsidTr="005B3BEE">
        <w:trPr>
          <w:jc w:val="center"/>
        </w:trPr>
        <w:tc>
          <w:tcPr>
            <w:tcW w:w="6440" w:type="dxa"/>
          </w:tcPr>
          <w:p w14:paraId="04D9901B" w14:textId="77777777" w:rsidR="00E651EE" w:rsidRPr="0094516A" w:rsidRDefault="00E651EE" w:rsidP="00E651EE">
            <w:pPr>
              <w:pStyle w:val="T2"/>
              <w:jc w:val="left"/>
            </w:pPr>
            <w:r w:rsidRPr="0094516A">
              <w:t>Working capital movement</w:t>
            </w:r>
          </w:p>
        </w:tc>
        <w:tc>
          <w:tcPr>
            <w:tcW w:w="648" w:type="dxa"/>
          </w:tcPr>
          <w:p w14:paraId="297A07CB" w14:textId="77777777" w:rsidR="00E651EE" w:rsidRPr="00E02FFC" w:rsidRDefault="00E651EE" w:rsidP="00E651EE">
            <w:pPr>
              <w:pStyle w:val="T2"/>
              <w:jc w:val="right"/>
            </w:pPr>
          </w:p>
        </w:tc>
        <w:tc>
          <w:tcPr>
            <w:tcW w:w="1701" w:type="dxa"/>
          </w:tcPr>
          <w:p w14:paraId="4989C220" w14:textId="77777777" w:rsidR="00E651EE" w:rsidRPr="001917D0" w:rsidRDefault="003322D5">
            <w:pPr>
              <w:pStyle w:val="T2"/>
              <w:jc w:val="right"/>
              <w:rPr>
                <w:b/>
                <w:bCs/>
              </w:rPr>
            </w:pPr>
            <w:r>
              <w:rPr>
                <w:b/>
                <w:bCs/>
              </w:rPr>
              <w:t>(</w:t>
            </w:r>
            <w:r w:rsidR="000123F9">
              <w:rPr>
                <w:b/>
                <w:bCs/>
              </w:rPr>
              <w:t>21.1</w:t>
            </w:r>
            <w:r>
              <w:rPr>
                <w:b/>
                <w:bCs/>
              </w:rPr>
              <w:t>)</w:t>
            </w:r>
          </w:p>
        </w:tc>
        <w:tc>
          <w:tcPr>
            <w:tcW w:w="1701" w:type="dxa"/>
          </w:tcPr>
          <w:p w14:paraId="44E91520" w14:textId="77777777" w:rsidR="00E651EE" w:rsidRPr="003C1ACC" w:rsidRDefault="00E651EE" w:rsidP="00E651EE">
            <w:pPr>
              <w:pStyle w:val="T2"/>
              <w:jc w:val="right"/>
            </w:pPr>
            <w:r w:rsidRPr="0096767F">
              <w:rPr>
                <w:bCs/>
              </w:rPr>
              <w:t>(</w:t>
            </w:r>
            <w:r>
              <w:rPr>
                <w:bCs/>
              </w:rPr>
              <w:t>21.8</w:t>
            </w:r>
            <w:r w:rsidRPr="0096767F">
              <w:rPr>
                <w:bCs/>
              </w:rPr>
              <w:t>)</w:t>
            </w:r>
          </w:p>
        </w:tc>
      </w:tr>
      <w:tr w:rsidR="00E651EE" w14:paraId="23CB358E" w14:textId="77777777" w:rsidTr="005B3BEE">
        <w:trPr>
          <w:jc w:val="center"/>
        </w:trPr>
        <w:tc>
          <w:tcPr>
            <w:tcW w:w="6440" w:type="dxa"/>
            <w:tcBorders>
              <w:bottom w:val="single" w:sz="2" w:space="0" w:color="auto"/>
            </w:tcBorders>
          </w:tcPr>
          <w:p w14:paraId="67ED0765" w14:textId="77777777" w:rsidR="00E651EE" w:rsidRPr="0094516A" w:rsidRDefault="00E651EE" w:rsidP="00E651EE">
            <w:pPr>
              <w:pStyle w:val="T2"/>
              <w:jc w:val="left"/>
            </w:pPr>
            <w:r w:rsidRPr="0094516A">
              <w:t>Other movements</w:t>
            </w:r>
          </w:p>
        </w:tc>
        <w:tc>
          <w:tcPr>
            <w:tcW w:w="648" w:type="dxa"/>
            <w:tcBorders>
              <w:bottom w:val="single" w:sz="2" w:space="0" w:color="auto"/>
            </w:tcBorders>
          </w:tcPr>
          <w:p w14:paraId="0B4194F2" w14:textId="77777777" w:rsidR="00E651EE" w:rsidRPr="00E02FFC" w:rsidRDefault="00E651EE" w:rsidP="00E651EE">
            <w:pPr>
              <w:pStyle w:val="T2"/>
              <w:jc w:val="right"/>
            </w:pPr>
          </w:p>
        </w:tc>
        <w:tc>
          <w:tcPr>
            <w:tcW w:w="1701" w:type="dxa"/>
            <w:tcBorders>
              <w:bottom w:val="single" w:sz="2" w:space="0" w:color="auto"/>
            </w:tcBorders>
          </w:tcPr>
          <w:p w14:paraId="6DFBC6ED" w14:textId="77777777" w:rsidR="00E651EE" w:rsidRPr="001917D0" w:rsidRDefault="003322D5" w:rsidP="00E651EE">
            <w:pPr>
              <w:pStyle w:val="T2"/>
              <w:jc w:val="right"/>
              <w:rPr>
                <w:b/>
                <w:bCs/>
              </w:rPr>
            </w:pPr>
            <w:r>
              <w:rPr>
                <w:b/>
                <w:bCs/>
              </w:rPr>
              <w:t>0.4</w:t>
            </w:r>
          </w:p>
        </w:tc>
        <w:tc>
          <w:tcPr>
            <w:tcW w:w="1701" w:type="dxa"/>
            <w:tcBorders>
              <w:bottom w:val="single" w:sz="2" w:space="0" w:color="auto"/>
            </w:tcBorders>
          </w:tcPr>
          <w:p w14:paraId="6F0B6915" w14:textId="77777777" w:rsidR="00E651EE" w:rsidRPr="003C1ACC" w:rsidRDefault="00E651EE" w:rsidP="00E651EE">
            <w:pPr>
              <w:pStyle w:val="T2"/>
              <w:jc w:val="right"/>
            </w:pPr>
            <w:r w:rsidRPr="0096767F">
              <w:rPr>
                <w:bCs/>
              </w:rPr>
              <w:t>–</w:t>
            </w:r>
          </w:p>
        </w:tc>
      </w:tr>
      <w:tr w:rsidR="00E651EE" w14:paraId="72794622" w14:textId="77777777" w:rsidTr="005B3BEE">
        <w:trPr>
          <w:jc w:val="center"/>
        </w:trPr>
        <w:tc>
          <w:tcPr>
            <w:tcW w:w="6440" w:type="dxa"/>
            <w:tcBorders>
              <w:top w:val="single" w:sz="2" w:space="0" w:color="auto"/>
            </w:tcBorders>
          </w:tcPr>
          <w:p w14:paraId="45D243DB" w14:textId="77777777" w:rsidR="00E651EE" w:rsidRPr="00B13DAE" w:rsidRDefault="00E651EE" w:rsidP="00E651EE">
            <w:pPr>
              <w:pStyle w:val="T2"/>
              <w:jc w:val="left"/>
              <w:rPr>
                <w:b/>
              </w:rPr>
            </w:pPr>
            <w:r w:rsidRPr="00B13DAE">
              <w:rPr>
                <w:b/>
              </w:rPr>
              <w:t>Net cash inflow from operating activities before exceptional items</w:t>
            </w:r>
          </w:p>
        </w:tc>
        <w:tc>
          <w:tcPr>
            <w:tcW w:w="648" w:type="dxa"/>
            <w:tcBorders>
              <w:top w:val="single" w:sz="2" w:space="0" w:color="auto"/>
            </w:tcBorders>
          </w:tcPr>
          <w:p w14:paraId="2E81F609" w14:textId="77777777" w:rsidR="00E651EE" w:rsidRPr="00E02FFC" w:rsidRDefault="00E651EE" w:rsidP="00E651EE">
            <w:pPr>
              <w:pStyle w:val="T2"/>
              <w:jc w:val="right"/>
            </w:pPr>
          </w:p>
        </w:tc>
        <w:tc>
          <w:tcPr>
            <w:tcW w:w="1701" w:type="dxa"/>
            <w:tcBorders>
              <w:top w:val="single" w:sz="2" w:space="0" w:color="auto"/>
            </w:tcBorders>
          </w:tcPr>
          <w:p w14:paraId="4AC88A11" w14:textId="77777777" w:rsidR="00E651EE" w:rsidRPr="001917D0" w:rsidRDefault="000123F9" w:rsidP="00F204CD">
            <w:pPr>
              <w:pStyle w:val="T2"/>
              <w:jc w:val="right"/>
              <w:rPr>
                <w:b/>
                <w:bCs/>
              </w:rPr>
            </w:pPr>
            <w:r>
              <w:rPr>
                <w:b/>
                <w:bCs/>
              </w:rPr>
              <w:t>3.8</w:t>
            </w:r>
          </w:p>
        </w:tc>
        <w:tc>
          <w:tcPr>
            <w:tcW w:w="1701" w:type="dxa"/>
            <w:tcBorders>
              <w:top w:val="single" w:sz="2" w:space="0" w:color="auto"/>
            </w:tcBorders>
          </w:tcPr>
          <w:p w14:paraId="0A657D01" w14:textId="77777777" w:rsidR="00E651EE" w:rsidRPr="003C1ACC" w:rsidRDefault="00E651EE" w:rsidP="00E651EE">
            <w:pPr>
              <w:pStyle w:val="T2"/>
              <w:jc w:val="right"/>
            </w:pPr>
            <w:r>
              <w:rPr>
                <w:bCs/>
              </w:rPr>
              <w:t>35.1</w:t>
            </w:r>
          </w:p>
        </w:tc>
      </w:tr>
      <w:tr w:rsidR="00E651EE" w14:paraId="6202DA56" w14:textId="77777777" w:rsidTr="005B3BEE">
        <w:trPr>
          <w:jc w:val="center"/>
        </w:trPr>
        <w:tc>
          <w:tcPr>
            <w:tcW w:w="6440" w:type="dxa"/>
          </w:tcPr>
          <w:p w14:paraId="31847E17" w14:textId="77777777" w:rsidR="00E651EE" w:rsidRPr="0094516A" w:rsidRDefault="00E651EE" w:rsidP="008F529E">
            <w:pPr>
              <w:pStyle w:val="T2"/>
              <w:jc w:val="left"/>
            </w:pPr>
            <w:r w:rsidRPr="0094516A">
              <w:t xml:space="preserve">Cash outflow related to </w:t>
            </w:r>
            <w:r w:rsidR="006316BB">
              <w:t>operati</w:t>
            </w:r>
            <w:r w:rsidR="00B41C0F">
              <w:t>ng activities</w:t>
            </w:r>
            <w:r w:rsidR="006316BB">
              <w:t xml:space="preserve"> </w:t>
            </w:r>
            <w:r w:rsidRPr="0094516A">
              <w:t>exceptional items</w:t>
            </w:r>
          </w:p>
        </w:tc>
        <w:tc>
          <w:tcPr>
            <w:tcW w:w="648" w:type="dxa"/>
          </w:tcPr>
          <w:p w14:paraId="42E5F606" w14:textId="77777777" w:rsidR="00E651EE" w:rsidRPr="00E02FFC" w:rsidRDefault="00E651EE" w:rsidP="00E651EE">
            <w:pPr>
              <w:pStyle w:val="T2"/>
              <w:jc w:val="right"/>
            </w:pPr>
          </w:p>
        </w:tc>
        <w:tc>
          <w:tcPr>
            <w:tcW w:w="1701" w:type="dxa"/>
          </w:tcPr>
          <w:p w14:paraId="0B1C0A77" w14:textId="77777777" w:rsidR="00E651EE" w:rsidRPr="001917D0" w:rsidRDefault="003322D5" w:rsidP="00F204CD">
            <w:pPr>
              <w:pStyle w:val="T2"/>
              <w:jc w:val="right"/>
              <w:rPr>
                <w:b/>
                <w:bCs/>
              </w:rPr>
            </w:pPr>
            <w:r>
              <w:rPr>
                <w:b/>
                <w:bCs/>
              </w:rPr>
              <w:t>(2.</w:t>
            </w:r>
            <w:r w:rsidR="00F204CD">
              <w:rPr>
                <w:b/>
                <w:bCs/>
              </w:rPr>
              <w:t>4</w:t>
            </w:r>
            <w:r>
              <w:rPr>
                <w:b/>
                <w:bCs/>
              </w:rPr>
              <w:t>)</w:t>
            </w:r>
          </w:p>
        </w:tc>
        <w:tc>
          <w:tcPr>
            <w:tcW w:w="1701" w:type="dxa"/>
          </w:tcPr>
          <w:p w14:paraId="4DCA393E" w14:textId="77777777" w:rsidR="00E651EE" w:rsidRPr="003C1ACC" w:rsidRDefault="00E651EE" w:rsidP="00E651EE">
            <w:pPr>
              <w:pStyle w:val="T2"/>
              <w:jc w:val="right"/>
            </w:pPr>
            <w:r w:rsidRPr="0096767F">
              <w:rPr>
                <w:bCs/>
              </w:rPr>
              <w:t>(</w:t>
            </w:r>
            <w:r>
              <w:rPr>
                <w:bCs/>
              </w:rPr>
              <w:t>2.6</w:t>
            </w:r>
            <w:r w:rsidRPr="0096767F">
              <w:rPr>
                <w:bCs/>
              </w:rPr>
              <w:t>)</w:t>
            </w:r>
          </w:p>
        </w:tc>
      </w:tr>
      <w:tr w:rsidR="00E651EE" w14:paraId="3909C1C2" w14:textId="77777777" w:rsidTr="005B3BEE">
        <w:trPr>
          <w:jc w:val="center"/>
        </w:trPr>
        <w:tc>
          <w:tcPr>
            <w:tcW w:w="6440" w:type="dxa"/>
          </w:tcPr>
          <w:p w14:paraId="227EF4C7" w14:textId="77777777" w:rsidR="00E651EE" w:rsidRPr="00383BB0" w:rsidRDefault="00E651EE" w:rsidP="00E651EE">
            <w:pPr>
              <w:pStyle w:val="T2"/>
              <w:jc w:val="left"/>
            </w:pPr>
            <w:r w:rsidRPr="00383BB0">
              <w:t xml:space="preserve">Interest paid </w:t>
            </w:r>
            <w:r>
              <w:t>(including lease liability interest)</w:t>
            </w:r>
          </w:p>
        </w:tc>
        <w:tc>
          <w:tcPr>
            <w:tcW w:w="648" w:type="dxa"/>
          </w:tcPr>
          <w:p w14:paraId="7B814078" w14:textId="77777777" w:rsidR="00E651EE" w:rsidRPr="00E02FFC" w:rsidRDefault="00E651EE" w:rsidP="00E651EE">
            <w:pPr>
              <w:pStyle w:val="T2"/>
              <w:jc w:val="right"/>
            </w:pPr>
          </w:p>
        </w:tc>
        <w:tc>
          <w:tcPr>
            <w:tcW w:w="1701" w:type="dxa"/>
          </w:tcPr>
          <w:p w14:paraId="2893350E" w14:textId="77777777" w:rsidR="00E651EE" w:rsidRPr="001917D0" w:rsidRDefault="00AD50AA" w:rsidP="00D3448E">
            <w:pPr>
              <w:pStyle w:val="T2"/>
              <w:jc w:val="right"/>
              <w:rPr>
                <w:b/>
                <w:bCs/>
              </w:rPr>
            </w:pPr>
            <w:r>
              <w:rPr>
                <w:b/>
                <w:bCs/>
              </w:rPr>
              <w:t>(</w:t>
            </w:r>
            <w:r w:rsidR="00D439D4">
              <w:rPr>
                <w:b/>
                <w:bCs/>
              </w:rPr>
              <w:t>9.</w:t>
            </w:r>
            <w:r w:rsidR="00D3448E">
              <w:rPr>
                <w:b/>
                <w:bCs/>
              </w:rPr>
              <w:t>2</w:t>
            </w:r>
            <w:r w:rsidR="003322D5">
              <w:rPr>
                <w:b/>
                <w:bCs/>
              </w:rPr>
              <w:t>)</w:t>
            </w:r>
          </w:p>
        </w:tc>
        <w:tc>
          <w:tcPr>
            <w:tcW w:w="1701" w:type="dxa"/>
          </w:tcPr>
          <w:p w14:paraId="32671E7F" w14:textId="77777777" w:rsidR="00E651EE" w:rsidRPr="003C1ACC" w:rsidRDefault="00E651EE" w:rsidP="00E651EE">
            <w:pPr>
              <w:pStyle w:val="T2"/>
              <w:jc w:val="right"/>
            </w:pPr>
            <w:r w:rsidRPr="0096767F">
              <w:rPr>
                <w:bCs/>
              </w:rPr>
              <w:t>(</w:t>
            </w:r>
            <w:r>
              <w:rPr>
                <w:bCs/>
              </w:rPr>
              <w:t>7.5</w:t>
            </w:r>
            <w:r w:rsidRPr="0096767F">
              <w:rPr>
                <w:bCs/>
              </w:rPr>
              <w:t>)</w:t>
            </w:r>
          </w:p>
        </w:tc>
      </w:tr>
      <w:tr w:rsidR="00E651EE" w14:paraId="4709FE37" w14:textId="77777777" w:rsidTr="005B3BEE">
        <w:trPr>
          <w:jc w:val="center"/>
        </w:trPr>
        <w:tc>
          <w:tcPr>
            <w:tcW w:w="6440" w:type="dxa"/>
            <w:tcBorders>
              <w:bottom w:val="single" w:sz="2" w:space="0" w:color="auto"/>
            </w:tcBorders>
          </w:tcPr>
          <w:p w14:paraId="465AFE3A" w14:textId="77777777" w:rsidR="00E651EE" w:rsidRPr="0094516A" w:rsidRDefault="00E651EE" w:rsidP="00E651EE">
            <w:pPr>
              <w:pStyle w:val="T2"/>
              <w:jc w:val="left"/>
            </w:pPr>
            <w:r w:rsidRPr="0094516A">
              <w:t xml:space="preserve">Tax </w:t>
            </w:r>
            <w:r>
              <w:t>paid</w:t>
            </w:r>
          </w:p>
        </w:tc>
        <w:tc>
          <w:tcPr>
            <w:tcW w:w="648" w:type="dxa"/>
            <w:tcBorders>
              <w:bottom w:val="single" w:sz="2" w:space="0" w:color="auto"/>
            </w:tcBorders>
          </w:tcPr>
          <w:p w14:paraId="2BD7CD3D" w14:textId="77777777" w:rsidR="00E651EE" w:rsidRPr="00E02FFC" w:rsidRDefault="00E651EE" w:rsidP="00E651EE">
            <w:pPr>
              <w:pStyle w:val="T2"/>
              <w:jc w:val="right"/>
            </w:pPr>
          </w:p>
        </w:tc>
        <w:tc>
          <w:tcPr>
            <w:tcW w:w="1701" w:type="dxa"/>
            <w:tcBorders>
              <w:bottom w:val="single" w:sz="2" w:space="0" w:color="auto"/>
            </w:tcBorders>
          </w:tcPr>
          <w:p w14:paraId="10E972A8" w14:textId="77777777" w:rsidR="00E651EE" w:rsidRPr="001917D0" w:rsidRDefault="00E651EE" w:rsidP="00E651EE">
            <w:pPr>
              <w:pStyle w:val="T2"/>
              <w:jc w:val="right"/>
              <w:rPr>
                <w:b/>
                <w:bCs/>
              </w:rPr>
            </w:pPr>
            <w:r w:rsidRPr="004C42E2">
              <w:rPr>
                <w:b/>
                <w:bCs/>
              </w:rPr>
              <w:t>–</w:t>
            </w:r>
          </w:p>
        </w:tc>
        <w:tc>
          <w:tcPr>
            <w:tcW w:w="1701" w:type="dxa"/>
            <w:tcBorders>
              <w:bottom w:val="single" w:sz="2" w:space="0" w:color="auto"/>
            </w:tcBorders>
          </w:tcPr>
          <w:p w14:paraId="66E0542C" w14:textId="77777777" w:rsidR="00E651EE" w:rsidRPr="003C1ACC" w:rsidRDefault="00E651EE" w:rsidP="00E651EE">
            <w:pPr>
              <w:pStyle w:val="T2"/>
              <w:jc w:val="right"/>
            </w:pPr>
            <w:r w:rsidRPr="0096767F">
              <w:rPr>
                <w:bCs/>
              </w:rPr>
              <w:t>(</w:t>
            </w:r>
            <w:r>
              <w:rPr>
                <w:bCs/>
              </w:rPr>
              <w:t>4.2</w:t>
            </w:r>
            <w:r w:rsidRPr="0096767F">
              <w:rPr>
                <w:bCs/>
              </w:rPr>
              <w:t>)</w:t>
            </w:r>
          </w:p>
        </w:tc>
      </w:tr>
      <w:tr w:rsidR="00E651EE" w14:paraId="4742C2F1" w14:textId="77777777" w:rsidTr="005B3BEE">
        <w:trPr>
          <w:jc w:val="center"/>
        </w:trPr>
        <w:tc>
          <w:tcPr>
            <w:tcW w:w="6440" w:type="dxa"/>
            <w:tcBorders>
              <w:top w:val="single" w:sz="2" w:space="0" w:color="auto"/>
              <w:bottom w:val="single" w:sz="2" w:space="0" w:color="auto"/>
            </w:tcBorders>
          </w:tcPr>
          <w:p w14:paraId="656A62D6" w14:textId="77777777" w:rsidR="00E651EE" w:rsidRPr="00B13DAE" w:rsidRDefault="00E651EE" w:rsidP="00F250D9">
            <w:pPr>
              <w:pStyle w:val="T2"/>
              <w:jc w:val="left"/>
              <w:rPr>
                <w:b/>
              </w:rPr>
            </w:pPr>
            <w:r w:rsidRPr="00B13DAE">
              <w:rPr>
                <w:b/>
              </w:rPr>
              <w:t>Net cash</w:t>
            </w:r>
            <w:r>
              <w:rPr>
                <w:b/>
              </w:rPr>
              <w:t xml:space="preserve"> (outflow)</w:t>
            </w:r>
            <w:r w:rsidR="00F250D9">
              <w:rPr>
                <w:b/>
              </w:rPr>
              <w:t>/inflow</w:t>
            </w:r>
            <w:r w:rsidRPr="00B13DAE">
              <w:rPr>
                <w:b/>
              </w:rPr>
              <w:t xml:space="preserve"> from operating activities</w:t>
            </w:r>
          </w:p>
        </w:tc>
        <w:tc>
          <w:tcPr>
            <w:tcW w:w="648" w:type="dxa"/>
            <w:tcBorders>
              <w:top w:val="single" w:sz="2" w:space="0" w:color="auto"/>
              <w:bottom w:val="single" w:sz="2" w:space="0" w:color="auto"/>
            </w:tcBorders>
          </w:tcPr>
          <w:p w14:paraId="3D5EAA4C" w14:textId="77777777" w:rsidR="00E651EE" w:rsidRPr="00E02FFC" w:rsidRDefault="00E651EE" w:rsidP="00E651EE">
            <w:pPr>
              <w:pStyle w:val="T2"/>
              <w:jc w:val="right"/>
            </w:pPr>
          </w:p>
        </w:tc>
        <w:tc>
          <w:tcPr>
            <w:tcW w:w="1701" w:type="dxa"/>
            <w:tcBorders>
              <w:top w:val="single" w:sz="2" w:space="0" w:color="auto"/>
              <w:bottom w:val="single" w:sz="2" w:space="0" w:color="auto"/>
            </w:tcBorders>
          </w:tcPr>
          <w:p w14:paraId="73B7F76E" w14:textId="77777777" w:rsidR="00E651EE" w:rsidRPr="001917D0" w:rsidRDefault="00AD50AA">
            <w:pPr>
              <w:pStyle w:val="T2"/>
              <w:jc w:val="right"/>
              <w:rPr>
                <w:b/>
                <w:bCs/>
              </w:rPr>
            </w:pPr>
            <w:r>
              <w:rPr>
                <w:b/>
                <w:bCs/>
              </w:rPr>
              <w:t>(</w:t>
            </w:r>
            <w:r w:rsidR="00E9079C">
              <w:rPr>
                <w:b/>
                <w:bCs/>
              </w:rPr>
              <w:t>7.</w:t>
            </w:r>
            <w:r w:rsidR="000123F9">
              <w:rPr>
                <w:b/>
                <w:bCs/>
              </w:rPr>
              <w:t>8</w:t>
            </w:r>
            <w:r w:rsidR="003322D5">
              <w:rPr>
                <w:b/>
                <w:bCs/>
              </w:rPr>
              <w:t>)</w:t>
            </w:r>
          </w:p>
        </w:tc>
        <w:tc>
          <w:tcPr>
            <w:tcW w:w="1701" w:type="dxa"/>
            <w:tcBorders>
              <w:top w:val="single" w:sz="2" w:space="0" w:color="auto"/>
              <w:bottom w:val="single" w:sz="2" w:space="0" w:color="auto"/>
            </w:tcBorders>
          </w:tcPr>
          <w:p w14:paraId="739C1E49" w14:textId="77777777" w:rsidR="00E651EE" w:rsidRPr="003C1ACC" w:rsidRDefault="00E651EE" w:rsidP="00E651EE">
            <w:pPr>
              <w:pStyle w:val="T2"/>
              <w:jc w:val="right"/>
            </w:pPr>
            <w:r>
              <w:rPr>
                <w:bCs/>
              </w:rPr>
              <w:t>20.8</w:t>
            </w:r>
          </w:p>
        </w:tc>
      </w:tr>
      <w:tr w:rsidR="00773F7B" w14:paraId="33D67258" w14:textId="77777777" w:rsidTr="005B3BEE">
        <w:trPr>
          <w:jc w:val="center"/>
        </w:trPr>
        <w:tc>
          <w:tcPr>
            <w:tcW w:w="6440" w:type="dxa"/>
            <w:tcBorders>
              <w:top w:val="single" w:sz="2" w:space="0" w:color="auto"/>
            </w:tcBorders>
          </w:tcPr>
          <w:p w14:paraId="673D6B18" w14:textId="77777777" w:rsidR="00773F7B" w:rsidRPr="0094516A" w:rsidRDefault="00773F7B" w:rsidP="00773F7B">
            <w:pPr>
              <w:pStyle w:val="T2"/>
              <w:jc w:val="left"/>
            </w:pPr>
          </w:p>
        </w:tc>
        <w:tc>
          <w:tcPr>
            <w:tcW w:w="648" w:type="dxa"/>
            <w:tcBorders>
              <w:top w:val="single" w:sz="2" w:space="0" w:color="auto"/>
            </w:tcBorders>
          </w:tcPr>
          <w:p w14:paraId="3A4265DD" w14:textId="77777777" w:rsidR="00773F7B" w:rsidRPr="00E02FFC" w:rsidRDefault="00773F7B" w:rsidP="00773F7B">
            <w:pPr>
              <w:pStyle w:val="T2"/>
              <w:jc w:val="right"/>
            </w:pPr>
          </w:p>
        </w:tc>
        <w:tc>
          <w:tcPr>
            <w:tcW w:w="1701" w:type="dxa"/>
            <w:tcBorders>
              <w:top w:val="single" w:sz="2" w:space="0" w:color="auto"/>
            </w:tcBorders>
          </w:tcPr>
          <w:p w14:paraId="204AA993" w14:textId="77777777" w:rsidR="00773F7B" w:rsidRPr="001917D0" w:rsidRDefault="00773F7B" w:rsidP="00773F7B">
            <w:pPr>
              <w:pStyle w:val="T2"/>
              <w:jc w:val="right"/>
              <w:rPr>
                <w:b/>
                <w:bCs/>
              </w:rPr>
            </w:pPr>
          </w:p>
        </w:tc>
        <w:tc>
          <w:tcPr>
            <w:tcW w:w="1701" w:type="dxa"/>
            <w:tcBorders>
              <w:top w:val="single" w:sz="2" w:space="0" w:color="auto"/>
            </w:tcBorders>
          </w:tcPr>
          <w:p w14:paraId="6B584185" w14:textId="77777777" w:rsidR="00773F7B" w:rsidRPr="003C1ACC" w:rsidRDefault="00773F7B" w:rsidP="00773F7B">
            <w:pPr>
              <w:pStyle w:val="T2"/>
              <w:jc w:val="right"/>
            </w:pPr>
          </w:p>
        </w:tc>
      </w:tr>
      <w:tr w:rsidR="00773F7B" w14:paraId="033FD1F1" w14:textId="77777777" w:rsidTr="005B3BEE">
        <w:trPr>
          <w:jc w:val="center"/>
        </w:trPr>
        <w:tc>
          <w:tcPr>
            <w:tcW w:w="6440" w:type="dxa"/>
          </w:tcPr>
          <w:p w14:paraId="44ED6A84" w14:textId="77777777" w:rsidR="00773F7B" w:rsidRPr="00B13DAE" w:rsidRDefault="00773F7B" w:rsidP="00773F7B">
            <w:pPr>
              <w:pStyle w:val="T2"/>
              <w:jc w:val="left"/>
              <w:rPr>
                <w:b/>
              </w:rPr>
            </w:pPr>
            <w:r w:rsidRPr="00B13DAE">
              <w:rPr>
                <w:b/>
              </w:rPr>
              <w:t>Cash flow from investing activities</w:t>
            </w:r>
          </w:p>
        </w:tc>
        <w:tc>
          <w:tcPr>
            <w:tcW w:w="648" w:type="dxa"/>
          </w:tcPr>
          <w:p w14:paraId="631C2DE8" w14:textId="77777777" w:rsidR="00773F7B" w:rsidRPr="00E02FFC" w:rsidRDefault="00773F7B" w:rsidP="00773F7B">
            <w:pPr>
              <w:pStyle w:val="T2"/>
              <w:jc w:val="right"/>
            </w:pPr>
          </w:p>
        </w:tc>
        <w:tc>
          <w:tcPr>
            <w:tcW w:w="1701" w:type="dxa"/>
          </w:tcPr>
          <w:p w14:paraId="4B1A02F5" w14:textId="77777777" w:rsidR="00773F7B" w:rsidRPr="001917D0" w:rsidRDefault="00773F7B" w:rsidP="00773F7B">
            <w:pPr>
              <w:pStyle w:val="T2"/>
              <w:jc w:val="right"/>
              <w:rPr>
                <w:b/>
                <w:bCs/>
              </w:rPr>
            </w:pPr>
          </w:p>
        </w:tc>
        <w:tc>
          <w:tcPr>
            <w:tcW w:w="1701" w:type="dxa"/>
          </w:tcPr>
          <w:p w14:paraId="3FF05D80" w14:textId="77777777" w:rsidR="00773F7B" w:rsidRPr="003C1ACC" w:rsidRDefault="00773F7B" w:rsidP="00773F7B">
            <w:pPr>
              <w:pStyle w:val="T2"/>
              <w:jc w:val="right"/>
            </w:pPr>
          </w:p>
        </w:tc>
      </w:tr>
      <w:tr w:rsidR="00E651EE" w14:paraId="1EF1BA63" w14:textId="77777777" w:rsidTr="005B3BEE">
        <w:trPr>
          <w:jc w:val="center"/>
        </w:trPr>
        <w:tc>
          <w:tcPr>
            <w:tcW w:w="6440" w:type="dxa"/>
          </w:tcPr>
          <w:p w14:paraId="4265C73E" w14:textId="77777777" w:rsidR="00E651EE" w:rsidRPr="0094516A" w:rsidRDefault="00E651EE" w:rsidP="00E651EE">
            <w:pPr>
              <w:pStyle w:val="T2"/>
              <w:jc w:val="left"/>
            </w:pPr>
            <w:r w:rsidRPr="0094516A">
              <w:t>Dividends received from associates</w:t>
            </w:r>
          </w:p>
        </w:tc>
        <w:tc>
          <w:tcPr>
            <w:tcW w:w="648" w:type="dxa"/>
          </w:tcPr>
          <w:p w14:paraId="5599744F" w14:textId="77777777" w:rsidR="00E651EE" w:rsidRPr="00E02FFC" w:rsidRDefault="00E651EE" w:rsidP="00E651EE">
            <w:pPr>
              <w:pStyle w:val="T2"/>
              <w:jc w:val="right"/>
            </w:pPr>
          </w:p>
        </w:tc>
        <w:tc>
          <w:tcPr>
            <w:tcW w:w="1701" w:type="dxa"/>
          </w:tcPr>
          <w:p w14:paraId="7B0FE2EC" w14:textId="77777777" w:rsidR="00E651EE" w:rsidRPr="001917D0" w:rsidRDefault="00E651EE" w:rsidP="00E651EE">
            <w:pPr>
              <w:pStyle w:val="T2"/>
              <w:jc w:val="right"/>
              <w:rPr>
                <w:b/>
                <w:bCs/>
              </w:rPr>
            </w:pPr>
            <w:r w:rsidRPr="00076014">
              <w:rPr>
                <w:b/>
                <w:bCs/>
              </w:rPr>
              <w:t>–</w:t>
            </w:r>
          </w:p>
        </w:tc>
        <w:tc>
          <w:tcPr>
            <w:tcW w:w="1701" w:type="dxa"/>
          </w:tcPr>
          <w:p w14:paraId="2B816AFA" w14:textId="77777777" w:rsidR="00E651EE" w:rsidRPr="003C1ACC" w:rsidRDefault="00E651EE" w:rsidP="00E651EE">
            <w:pPr>
              <w:pStyle w:val="T2"/>
              <w:jc w:val="right"/>
            </w:pPr>
            <w:r w:rsidRPr="0096767F">
              <w:rPr>
                <w:bCs/>
              </w:rPr>
              <w:t>0.</w:t>
            </w:r>
            <w:r>
              <w:rPr>
                <w:bCs/>
              </w:rPr>
              <w:t>3</w:t>
            </w:r>
          </w:p>
        </w:tc>
      </w:tr>
      <w:tr w:rsidR="00E651EE" w14:paraId="106169C7" w14:textId="77777777" w:rsidTr="005B3BEE">
        <w:trPr>
          <w:jc w:val="center"/>
        </w:trPr>
        <w:tc>
          <w:tcPr>
            <w:tcW w:w="6440" w:type="dxa"/>
          </w:tcPr>
          <w:p w14:paraId="3A8818F8" w14:textId="77777777" w:rsidR="00E651EE" w:rsidRPr="0094516A" w:rsidRDefault="00E651EE" w:rsidP="00E651EE">
            <w:pPr>
              <w:pStyle w:val="T2"/>
              <w:jc w:val="left"/>
            </w:pPr>
            <w:r w:rsidRPr="0094516A">
              <w:t>Purchase of property, plant and equipment</w:t>
            </w:r>
          </w:p>
        </w:tc>
        <w:tc>
          <w:tcPr>
            <w:tcW w:w="648" w:type="dxa"/>
          </w:tcPr>
          <w:p w14:paraId="1232B3FE" w14:textId="77777777" w:rsidR="00E651EE" w:rsidRPr="00E02FFC" w:rsidRDefault="00E651EE" w:rsidP="00E651EE">
            <w:pPr>
              <w:pStyle w:val="T2"/>
              <w:jc w:val="right"/>
            </w:pPr>
          </w:p>
        </w:tc>
        <w:tc>
          <w:tcPr>
            <w:tcW w:w="1701" w:type="dxa"/>
          </w:tcPr>
          <w:p w14:paraId="3E2FDF34" w14:textId="77777777" w:rsidR="00E651EE" w:rsidRPr="001917D0" w:rsidRDefault="003322D5" w:rsidP="00E651EE">
            <w:pPr>
              <w:pStyle w:val="T2"/>
              <w:jc w:val="right"/>
              <w:rPr>
                <w:b/>
                <w:bCs/>
              </w:rPr>
            </w:pPr>
            <w:r>
              <w:rPr>
                <w:b/>
                <w:bCs/>
              </w:rPr>
              <w:t>(15.0)</w:t>
            </w:r>
          </w:p>
        </w:tc>
        <w:tc>
          <w:tcPr>
            <w:tcW w:w="1701" w:type="dxa"/>
          </w:tcPr>
          <w:p w14:paraId="4D92B61E" w14:textId="77777777" w:rsidR="00E651EE" w:rsidRPr="003C1ACC" w:rsidRDefault="00E651EE" w:rsidP="00E651EE">
            <w:pPr>
              <w:pStyle w:val="T2"/>
              <w:jc w:val="right"/>
            </w:pPr>
            <w:r w:rsidRPr="0096767F">
              <w:rPr>
                <w:bCs/>
              </w:rPr>
              <w:t>(</w:t>
            </w:r>
            <w:r>
              <w:rPr>
                <w:bCs/>
              </w:rPr>
              <w:t>19.3</w:t>
            </w:r>
            <w:r w:rsidRPr="0096767F">
              <w:rPr>
                <w:bCs/>
              </w:rPr>
              <w:t>)</w:t>
            </w:r>
          </w:p>
        </w:tc>
      </w:tr>
      <w:tr w:rsidR="00E651EE" w14:paraId="5F247729" w14:textId="77777777" w:rsidTr="005B3BEE">
        <w:trPr>
          <w:jc w:val="center"/>
        </w:trPr>
        <w:tc>
          <w:tcPr>
            <w:tcW w:w="6440" w:type="dxa"/>
          </w:tcPr>
          <w:p w14:paraId="0423B8B6" w14:textId="77777777" w:rsidR="00E651EE" w:rsidRPr="0094516A" w:rsidRDefault="00E651EE" w:rsidP="00E651EE">
            <w:pPr>
              <w:pStyle w:val="T2"/>
              <w:jc w:val="left"/>
            </w:pPr>
            <w:r w:rsidRPr="0094516A">
              <w:t>Purchase of intangible assets</w:t>
            </w:r>
          </w:p>
        </w:tc>
        <w:tc>
          <w:tcPr>
            <w:tcW w:w="648" w:type="dxa"/>
          </w:tcPr>
          <w:p w14:paraId="6971C12E" w14:textId="77777777" w:rsidR="00E651EE" w:rsidRPr="00E02FFC" w:rsidRDefault="00E651EE" w:rsidP="00E651EE">
            <w:pPr>
              <w:pStyle w:val="T2"/>
              <w:jc w:val="right"/>
            </w:pPr>
          </w:p>
        </w:tc>
        <w:tc>
          <w:tcPr>
            <w:tcW w:w="1701" w:type="dxa"/>
          </w:tcPr>
          <w:p w14:paraId="4C0D0236" w14:textId="77777777" w:rsidR="00E651EE" w:rsidRPr="001917D0" w:rsidRDefault="003322D5" w:rsidP="00E651EE">
            <w:pPr>
              <w:pStyle w:val="T2"/>
              <w:jc w:val="right"/>
              <w:rPr>
                <w:b/>
                <w:bCs/>
              </w:rPr>
            </w:pPr>
            <w:r>
              <w:rPr>
                <w:b/>
                <w:bCs/>
              </w:rPr>
              <w:t>(1.5)</w:t>
            </w:r>
          </w:p>
        </w:tc>
        <w:tc>
          <w:tcPr>
            <w:tcW w:w="1701" w:type="dxa"/>
          </w:tcPr>
          <w:p w14:paraId="2A1ABF2A" w14:textId="77777777" w:rsidR="00E651EE" w:rsidRPr="003C1ACC" w:rsidRDefault="00E651EE" w:rsidP="00E651EE">
            <w:pPr>
              <w:pStyle w:val="T2"/>
              <w:jc w:val="right"/>
            </w:pPr>
            <w:r w:rsidRPr="0096767F">
              <w:rPr>
                <w:bCs/>
              </w:rPr>
              <w:t>(</w:t>
            </w:r>
            <w:r>
              <w:rPr>
                <w:bCs/>
              </w:rPr>
              <w:t>1.8</w:t>
            </w:r>
            <w:r w:rsidRPr="0096767F">
              <w:rPr>
                <w:bCs/>
              </w:rPr>
              <w:t>)</w:t>
            </w:r>
          </w:p>
        </w:tc>
      </w:tr>
      <w:tr w:rsidR="00E651EE" w14:paraId="35D73F4B" w14:textId="77777777" w:rsidTr="005B3BEE">
        <w:trPr>
          <w:jc w:val="center"/>
        </w:trPr>
        <w:tc>
          <w:tcPr>
            <w:tcW w:w="6440" w:type="dxa"/>
            <w:tcBorders>
              <w:bottom w:val="single" w:sz="2" w:space="0" w:color="auto"/>
            </w:tcBorders>
          </w:tcPr>
          <w:p w14:paraId="14FC55FC" w14:textId="77777777" w:rsidR="00E651EE" w:rsidRPr="0094516A" w:rsidRDefault="00E651EE" w:rsidP="00E651EE">
            <w:pPr>
              <w:pStyle w:val="T2"/>
              <w:jc w:val="left"/>
            </w:pPr>
            <w:r w:rsidRPr="0094516A">
              <w:t xml:space="preserve">Disposal of undertakings </w:t>
            </w:r>
          </w:p>
        </w:tc>
        <w:tc>
          <w:tcPr>
            <w:tcW w:w="648" w:type="dxa"/>
            <w:tcBorders>
              <w:bottom w:val="single" w:sz="2" w:space="0" w:color="auto"/>
            </w:tcBorders>
          </w:tcPr>
          <w:p w14:paraId="2F7B6237" w14:textId="77777777" w:rsidR="00E651EE" w:rsidRPr="00E02FFC" w:rsidRDefault="00E651EE" w:rsidP="00E126B5">
            <w:pPr>
              <w:pStyle w:val="T2"/>
              <w:jc w:val="right"/>
            </w:pPr>
            <w:r>
              <w:t>1</w:t>
            </w:r>
            <w:r w:rsidR="00E126B5">
              <w:t>4</w:t>
            </w:r>
          </w:p>
        </w:tc>
        <w:tc>
          <w:tcPr>
            <w:tcW w:w="1701" w:type="dxa"/>
            <w:tcBorders>
              <w:bottom w:val="single" w:sz="2" w:space="0" w:color="auto"/>
            </w:tcBorders>
          </w:tcPr>
          <w:p w14:paraId="2B739E44" w14:textId="77777777" w:rsidR="00E651EE" w:rsidRPr="001917D0" w:rsidRDefault="003322D5" w:rsidP="00E651EE">
            <w:pPr>
              <w:pStyle w:val="T2"/>
              <w:jc w:val="right"/>
              <w:rPr>
                <w:b/>
                <w:bCs/>
              </w:rPr>
            </w:pPr>
            <w:r>
              <w:rPr>
                <w:b/>
                <w:bCs/>
              </w:rPr>
              <w:t>16.3</w:t>
            </w:r>
          </w:p>
        </w:tc>
        <w:tc>
          <w:tcPr>
            <w:tcW w:w="1701" w:type="dxa"/>
            <w:tcBorders>
              <w:bottom w:val="single" w:sz="2" w:space="0" w:color="auto"/>
            </w:tcBorders>
          </w:tcPr>
          <w:p w14:paraId="0D8B58B8" w14:textId="77777777" w:rsidR="00E651EE" w:rsidRPr="003C1ACC" w:rsidRDefault="00E651EE" w:rsidP="00E651EE">
            <w:pPr>
              <w:pStyle w:val="T2"/>
              <w:jc w:val="right"/>
            </w:pPr>
            <w:r w:rsidRPr="0096767F">
              <w:rPr>
                <w:bCs/>
              </w:rPr>
              <w:t>–</w:t>
            </w:r>
          </w:p>
        </w:tc>
      </w:tr>
      <w:tr w:rsidR="00E651EE" w14:paraId="225244B4" w14:textId="77777777" w:rsidTr="005B3BEE">
        <w:trPr>
          <w:jc w:val="center"/>
        </w:trPr>
        <w:tc>
          <w:tcPr>
            <w:tcW w:w="6440" w:type="dxa"/>
            <w:tcBorders>
              <w:top w:val="single" w:sz="2" w:space="0" w:color="auto"/>
              <w:bottom w:val="single" w:sz="2" w:space="0" w:color="auto"/>
            </w:tcBorders>
          </w:tcPr>
          <w:p w14:paraId="1DA3FFC8" w14:textId="77777777" w:rsidR="00E651EE" w:rsidRPr="00B13DAE" w:rsidRDefault="00E651EE" w:rsidP="00F250D9">
            <w:pPr>
              <w:pStyle w:val="T2"/>
              <w:jc w:val="left"/>
              <w:rPr>
                <w:b/>
              </w:rPr>
            </w:pPr>
            <w:r w:rsidRPr="00B13DAE">
              <w:rPr>
                <w:b/>
              </w:rPr>
              <w:t>Net cash outflow from investing activities</w:t>
            </w:r>
          </w:p>
        </w:tc>
        <w:tc>
          <w:tcPr>
            <w:tcW w:w="648" w:type="dxa"/>
            <w:tcBorders>
              <w:top w:val="single" w:sz="2" w:space="0" w:color="auto"/>
              <w:bottom w:val="single" w:sz="2" w:space="0" w:color="auto"/>
            </w:tcBorders>
          </w:tcPr>
          <w:p w14:paraId="379865D6" w14:textId="77777777" w:rsidR="00E651EE" w:rsidRPr="00E02FFC" w:rsidRDefault="00E651EE" w:rsidP="00E651EE">
            <w:pPr>
              <w:pStyle w:val="T2"/>
              <w:jc w:val="right"/>
            </w:pPr>
          </w:p>
        </w:tc>
        <w:tc>
          <w:tcPr>
            <w:tcW w:w="1701" w:type="dxa"/>
            <w:tcBorders>
              <w:top w:val="single" w:sz="2" w:space="0" w:color="auto"/>
              <w:bottom w:val="single" w:sz="2" w:space="0" w:color="auto"/>
            </w:tcBorders>
          </w:tcPr>
          <w:p w14:paraId="6C8795D6" w14:textId="77777777" w:rsidR="00E651EE" w:rsidRPr="001917D0" w:rsidRDefault="003322D5" w:rsidP="00E651EE">
            <w:pPr>
              <w:pStyle w:val="T2"/>
              <w:jc w:val="right"/>
              <w:rPr>
                <w:b/>
                <w:bCs/>
              </w:rPr>
            </w:pPr>
            <w:r>
              <w:rPr>
                <w:b/>
                <w:bCs/>
              </w:rPr>
              <w:t>(0.2)</w:t>
            </w:r>
          </w:p>
        </w:tc>
        <w:tc>
          <w:tcPr>
            <w:tcW w:w="1701" w:type="dxa"/>
            <w:tcBorders>
              <w:top w:val="single" w:sz="2" w:space="0" w:color="auto"/>
              <w:bottom w:val="single" w:sz="2" w:space="0" w:color="auto"/>
            </w:tcBorders>
          </w:tcPr>
          <w:p w14:paraId="288C1D71" w14:textId="77777777" w:rsidR="00E651EE" w:rsidRPr="003C1ACC" w:rsidRDefault="00E651EE" w:rsidP="00E651EE">
            <w:pPr>
              <w:pStyle w:val="T2"/>
              <w:jc w:val="right"/>
            </w:pPr>
            <w:r>
              <w:rPr>
                <w:bCs/>
              </w:rPr>
              <w:t>(20.8)</w:t>
            </w:r>
          </w:p>
        </w:tc>
      </w:tr>
      <w:tr w:rsidR="00773F7B" w14:paraId="5E5F358C" w14:textId="77777777" w:rsidTr="005B3BEE">
        <w:trPr>
          <w:jc w:val="center"/>
        </w:trPr>
        <w:tc>
          <w:tcPr>
            <w:tcW w:w="6440" w:type="dxa"/>
            <w:tcBorders>
              <w:top w:val="single" w:sz="2" w:space="0" w:color="auto"/>
            </w:tcBorders>
          </w:tcPr>
          <w:p w14:paraId="49228043" w14:textId="77777777" w:rsidR="00773F7B" w:rsidRPr="0094516A" w:rsidRDefault="00773F7B" w:rsidP="00773F7B">
            <w:pPr>
              <w:pStyle w:val="T2"/>
              <w:jc w:val="left"/>
            </w:pPr>
          </w:p>
        </w:tc>
        <w:tc>
          <w:tcPr>
            <w:tcW w:w="648" w:type="dxa"/>
            <w:tcBorders>
              <w:top w:val="single" w:sz="2" w:space="0" w:color="auto"/>
            </w:tcBorders>
          </w:tcPr>
          <w:p w14:paraId="4B9F6022" w14:textId="77777777" w:rsidR="00773F7B" w:rsidRPr="00E02FFC" w:rsidRDefault="00773F7B" w:rsidP="00773F7B">
            <w:pPr>
              <w:pStyle w:val="T2"/>
              <w:jc w:val="right"/>
            </w:pPr>
          </w:p>
        </w:tc>
        <w:tc>
          <w:tcPr>
            <w:tcW w:w="1701" w:type="dxa"/>
            <w:tcBorders>
              <w:top w:val="single" w:sz="2" w:space="0" w:color="auto"/>
            </w:tcBorders>
          </w:tcPr>
          <w:p w14:paraId="3C37D15E" w14:textId="77777777" w:rsidR="00773F7B" w:rsidRPr="001917D0" w:rsidRDefault="00773F7B" w:rsidP="00773F7B">
            <w:pPr>
              <w:pStyle w:val="T2"/>
              <w:jc w:val="right"/>
              <w:rPr>
                <w:b/>
                <w:bCs/>
              </w:rPr>
            </w:pPr>
          </w:p>
        </w:tc>
        <w:tc>
          <w:tcPr>
            <w:tcW w:w="1701" w:type="dxa"/>
            <w:tcBorders>
              <w:top w:val="single" w:sz="2" w:space="0" w:color="auto"/>
            </w:tcBorders>
          </w:tcPr>
          <w:p w14:paraId="4467D4E5" w14:textId="77777777" w:rsidR="00773F7B" w:rsidRPr="003C1ACC" w:rsidRDefault="00773F7B" w:rsidP="00773F7B">
            <w:pPr>
              <w:pStyle w:val="T2"/>
              <w:jc w:val="right"/>
            </w:pPr>
          </w:p>
        </w:tc>
      </w:tr>
      <w:tr w:rsidR="00773F7B" w14:paraId="3C37FC24" w14:textId="77777777" w:rsidTr="005B3BEE">
        <w:trPr>
          <w:jc w:val="center"/>
        </w:trPr>
        <w:tc>
          <w:tcPr>
            <w:tcW w:w="6440" w:type="dxa"/>
          </w:tcPr>
          <w:p w14:paraId="05962C55" w14:textId="77777777" w:rsidR="00773F7B" w:rsidRPr="00B13DAE" w:rsidRDefault="00773F7B" w:rsidP="00773F7B">
            <w:pPr>
              <w:pStyle w:val="T2"/>
              <w:jc w:val="left"/>
              <w:rPr>
                <w:b/>
              </w:rPr>
            </w:pPr>
            <w:r w:rsidRPr="00B13DAE">
              <w:rPr>
                <w:b/>
              </w:rPr>
              <w:t>Cash flow from financing activities</w:t>
            </w:r>
          </w:p>
        </w:tc>
        <w:tc>
          <w:tcPr>
            <w:tcW w:w="648" w:type="dxa"/>
          </w:tcPr>
          <w:p w14:paraId="6D2F5EA4" w14:textId="77777777" w:rsidR="00773F7B" w:rsidRPr="00E02FFC" w:rsidRDefault="00773F7B" w:rsidP="00773F7B">
            <w:pPr>
              <w:pStyle w:val="T2"/>
              <w:jc w:val="right"/>
            </w:pPr>
          </w:p>
        </w:tc>
        <w:tc>
          <w:tcPr>
            <w:tcW w:w="1701" w:type="dxa"/>
          </w:tcPr>
          <w:p w14:paraId="4D4EA866" w14:textId="77777777" w:rsidR="00773F7B" w:rsidRPr="001917D0" w:rsidRDefault="00773F7B" w:rsidP="00773F7B">
            <w:pPr>
              <w:pStyle w:val="T2"/>
              <w:jc w:val="right"/>
              <w:rPr>
                <w:b/>
                <w:bCs/>
              </w:rPr>
            </w:pPr>
          </w:p>
        </w:tc>
        <w:tc>
          <w:tcPr>
            <w:tcW w:w="1701" w:type="dxa"/>
          </w:tcPr>
          <w:p w14:paraId="5D9F1D68" w14:textId="77777777" w:rsidR="00773F7B" w:rsidRPr="003C1ACC" w:rsidRDefault="00773F7B" w:rsidP="00773F7B">
            <w:pPr>
              <w:pStyle w:val="T2"/>
              <w:jc w:val="right"/>
            </w:pPr>
          </w:p>
        </w:tc>
      </w:tr>
      <w:tr w:rsidR="00E651EE" w14:paraId="5D9A2CCE" w14:textId="77777777" w:rsidTr="005B3BEE">
        <w:trPr>
          <w:jc w:val="center"/>
        </w:trPr>
        <w:tc>
          <w:tcPr>
            <w:tcW w:w="6440" w:type="dxa"/>
          </w:tcPr>
          <w:p w14:paraId="4AD0D75B" w14:textId="77777777" w:rsidR="00E651EE" w:rsidRPr="0094516A" w:rsidRDefault="00E651EE" w:rsidP="00E651EE">
            <w:pPr>
              <w:pStyle w:val="T2"/>
              <w:jc w:val="left"/>
            </w:pPr>
            <w:r w:rsidRPr="0094516A">
              <w:t>Proceeds from issue of shares</w:t>
            </w:r>
          </w:p>
        </w:tc>
        <w:tc>
          <w:tcPr>
            <w:tcW w:w="648" w:type="dxa"/>
          </w:tcPr>
          <w:p w14:paraId="48E29593" w14:textId="77777777" w:rsidR="00E651EE" w:rsidRPr="00E02FFC" w:rsidRDefault="00E651EE" w:rsidP="00E651EE">
            <w:pPr>
              <w:pStyle w:val="T2"/>
              <w:jc w:val="right"/>
            </w:pPr>
          </w:p>
        </w:tc>
        <w:tc>
          <w:tcPr>
            <w:tcW w:w="1701" w:type="dxa"/>
          </w:tcPr>
          <w:p w14:paraId="3791083D" w14:textId="77777777" w:rsidR="00E651EE" w:rsidRPr="001917D0" w:rsidRDefault="00D648A1" w:rsidP="00E651EE">
            <w:pPr>
              <w:pStyle w:val="T2"/>
              <w:jc w:val="right"/>
              <w:rPr>
                <w:b/>
                <w:bCs/>
              </w:rPr>
            </w:pPr>
            <w:r>
              <w:rPr>
                <w:b/>
                <w:bCs/>
              </w:rPr>
              <w:t>87.1</w:t>
            </w:r>
          </w:p>
        </w:tc>
        <w:tc>
          <w:tcPr>
            <w:tcW w:w="1701" w:type="dxa"/>
          </w:tcPr>
          <w:p w14:paraId="51F5CBD9" w14:textId="77777777" w:rsidR="00E651EE" w:rsidRPr="003C1ACC" w:rsidRDefault="00E651EE" w:rsidP="00E651EE">
            <w:pPr>
              <w:pStyle w:val="T2"/>
              <w:jc w:val="right"/>
            </w:pPr>
            <w:r>
              <w:rPr>
                <w:bCs/>
              </w:rPr>
              <w:t>0.3</w:t>
            </w:r>
          </w:p>
        </w:tc>
      </w:tr>
      <w:tr w:rsidR="00E651EE" w14:paraId="18B2F23C" w14:textId="77777777" w:rsidTr="005B3BEE">
        <w:trPr>
          <w:jc w:val="center"/>
        </w:trPr>
        <w:tc>
          <w:tcPr>
            <w:tcW w:w="6440" w:type="dxa"/>
          </w:tcPr>
          <w:p w14:paraId="7EB5C707" w14:textId="77777777" w:rsidR="00E651EE" w:rsidRPr="0094516A" w:rsidRDefault="000A3FCF" w:rsidP="000A3FCF">
            <w:pPr>
              <w:pStyle w:val="T2"/>
              <w:jc w:val="left"/>
            </w:pPr>
            <w:r>
              <w:t>(Repayment)/d</w:t>
            </w:r>
            <w:r w:rsidR="00E651EE" w:rsidRPr="0094516A">
              <w:t>rawdown of bank borrowings</w:t>
            </w:r>
          </w:p>
        </w:tc>
        <w:tc>
          <w:tcPr>
            <w:tcW w:w="648" w:type="dxa"/>
          </w:tcPr>
          <w:p w14:paraId="1EA162D6" w14:textId="77777777" w:rsidR="00E651EE" w:rsidRPr="00E02FFC" w:rsidRDefault="00E651EE" w:rsidP="00E126B5">
            <w:pPr>
              <w:pStyle w:val="T2"/>
              <w:jc w:val="right"/>
            </w:pPr>
          </w:p>
        </w:tc>
        <w:tc>
          <w:tcPr>
            <w:tcW w:w="1701" w:type="dxa"/>
          </w:tcPr>
          <w:p w14:paraId="305978FF" w14:textId="77777777" w:rsidR="00E651EE" w:rsidRPr="001917D0" w:rsidRDefault="000A3FCF" w:rsidP="00E651EE">
            <w:pPr>
              <w:pStyle w:val="T2"/>
              <w:jc w:val="right"/>
              <w:rPr>
                <w:b/>
                <w:bCs/>
              </w:rPr>
            </w:pPr>
            <w:r>
              <w:rPr>
                <w:b/>
                <w:bCs/>
              </w:rPr>
              <w:t>(100.9)</w:t>
            </w:r>
          </w:p>
        </w:tc>
        <w:tc>
          <w:tcPr>
            <w:tcW w:w="1701" w:type="dxa"/>
          </w:tcPr>
          <w:p w14:paraId="73838C86" w14:textId="77777777" w:rsidR="00E651EE" w:rsidRPr="003C1ACC" w:rsidRDefault="00E651EE" w:rsidP="00E651EE">
            <w:pPr>
              <w:pStyle w:val="T2"/>
              <w:jc w:val="right"/>
            </w:pPr>
            <w:r>
              <w:rPr>
                <w:bCs/>
              </w:rPr>
              <w:t>16.8</w:t>
            </w:r>
          </w:p>
        </w:tc>
      </w:tr>
      <w:tr w:rsidR="00E651EE" w14:paraId="5D5879EA" w14:textId="77777777" w:rsidTr="005B3BEE">
        <w:trPr>
          <w:jc w:val="center"/>
        </w:trPr>
        <w:tc>
          <w:tcPr>
            <w:tcW w:w="6440" w:type="dxa"/>
          </w:tcPr>
          <w:p w14:paraId="24039D86" w14:textId="77777777" w:rsidR="00E651EE" w:rsidRPr="0094516A" w:rsidRDefault="00E651EE" w:rsidP="00E651EE">
            <w:pPr>
              <w:pStyle w:val="T2"/>
              <w:jc w:val="left"/>
            </w:pPr>
            <w:r w:rsidRPr="0062389F">
              <w:t>Repayment of lease liabilities</w:t>
            </w:r>
            <w:r>
              <w:t xml:space="preserve"> </w:t>
            </w:r>
          </w:p>
        </w:tc>
        <w:tc>
          <w:tcPr>
            <w:tcW w:w="648" w:type="dxa"/>
          </w:tcPr>
          <w:p w14:paraId="39BEDA39" w14:textId="77777777" w:rsidR="00E651EE" w:rsidRPr="00E02FFC" w:rsidRDefault="00E651EE" w:rsidP="00E651EE">
            <w:pPr>
              <w:pStyle w:val="T2"/>
              <w:jc w:val="right"/>
            </w:pPr>
          </w:p>
        </w:tc>
        <w:tc>
          <w:tcPr>
            <w:tcW w:w="1701" w:type="dxa"/>
          </w:tcPr>
          <w:p w14:paraId="69C68D8D" w14:textId="77777777" w:rsidR="00E651EE" w:rsidRPr="001917D0" w:rsidRDefault="00AD50AA">
            <w:pPr>
              <w:pStyle w:val="T2"/>
              <w:jc w:val="right"/>
              <w:rPr>
                <w:b/>
                <w:bCs/>
              </w:rPr>
            </w:pPr>
            <w:r>
              <w:rPr>
                <w:b/>
                <w:bCs/>
              </w:rPr>
              <w:t>(</w:t>
            </w:r>
            <w:r w:rsidR="000123F9">
              <w:rPr>
                <w:b/>
                <w:bCs/>
              </w:rPr>
              <w:t>7.9</w:t>
            </w:r>
            <w:r w:rsidR="00D648A1">
              <w:rPr>
                <w:b/>
                <w:bCs/>
              </w:rPr>
              <w:t>)</w:t>
            </w:r>
          </w:p>
        </w:tc>
        <w:tc>
          <w:tcPr>
            <w:tcW w:w="1701" w:type="dxa"/>
          </w:tcPr>
          <w:p w14:paraId="01315A0E" w14:textId="77777777" w:rsidR="00E651EE" w:rsidRPr="003C1ACC" w:rsidRDefault="00E651EE" w:rsidP="00E651EE">
            <w:pPr>
              <w:pStyle w:val="T2"/>
              <w:jc w:val="right"/>
            </w:pPr>
            <w:r w:rsidRPr="0096767F">
              <w:rPr>
                <w:bCs/>
              </w:rPr>
              <w:t>(</w:t>
            </w:r>
            <w:r>
              <w:rPr>
                <w:bCs/>
              </w:rPr>
              <w:t>4.9</w:t>
            </w:r>
            <w:r w:rsidRPr="0096767F">
              <w:rPr>
                <w:bCs/>
              </w:rPr>
              <w:t>)</w:t>
            </w:r>
          </w:p>
        </w:tc>
      </w:tr>
      <w:tr w:rsidR="00E651EE" w14:paraId="4AF57B03" w14:textId="77777777" w:rsidTr="005B3BEE">
        <w:trPr>
          <w:jc w:val="center"/>
        </w:trPr>
        <w:tc>
          <w:tcPr>
            <w:tcW w:w="6440" w:type="dxa"/>
          </w:tcPr>
          <w:p w14:paraId="2649F401" w14:textId="77777777" w:rsidR="00E651EE" w:rsidRPr="0094516A" w:rsidRDefault="00E651EE" w:rsidP="00E651EE">
            <w:pPr>
              <w:pStyle w:val="T2"/>
              <w:jc w:val="left"/>
            </w:pPr>
            <w:r w:rsidRPr="0094516A">
              <w:t>Dividends paid to equity holders of the Company</w:t>
            </w:r>
          </w:p>
        </w:tc>
        <w:tc>
          <w:tcPr>
            <w:tcW w:w="648" w:type="dxa"/>
          </w:tcPr>
          <w:p w14:paraId="7E22A22D" w14:textId="77777777" w:rsidR="00E651EE" w:rsidRPr="00E02FFC" w:rsidRDefault="00E651EE" w:rsidP="00E651EE">
            <w:pPr>
              <w:pStyle w:val="T2"/>
              <w:jc w:val="right"/>
            </w:pPr>
          </w:p>
        </w:tc>
        <w:tc>
          <w:tcPr>
            <w:tcW w:w="1701" w:type="dxa"/>
          </w:tcPr>
          <w:p w14:paraId="11B4940F" w14:textId="77777777" w:rsidR="00E651EE" w:rsidRPr="001917D0" w:rsidRDefault="00E651EE" w:rsidP="00E651EE">
            <w:pPr>
              <w:pStyle w:val="T2"/>
              <w:jc w:val="right"/>
              <w:rPr>
                <w:b/>
                <w:bCs/>
              </w:rPr>
            </w:pPr>
            <w:r w:rsidRPr="00213872">
              <w:rPr>
                <w:b/>
                <w:bCs/>
              </w:rPr>
              <w:t>–</w:t>
            </w:r>
          </w:p>
        </w:tc>
        <w:tc>
          <w:tcPr>
            <w:tcW w:w="1701" w:type="dxa"/>
          </w:tcPr>
          <w:p w14:paraId="57A0B2BA" w14:textId="77777777" w:rsidR="00E651EE" w:rsidRPr="003C1ACC" w:rsidRDefault="00E651EE" w:rsidP="00E651EE">
            <w:pPr>
              <w:pStyle w:val="T2"/>
              <w:jc w:val="right"/>
            </w:pPr>
            <w:r w:rsidRPr="0096767F">
              <w:rPr>
                <w:bCs/>
              </w:rPr>
              <w:t>(</w:t>
            </w:r>
            <w:r>
              <w:rPr>
                <w:bCs/>
              </w:rPr>
              <w:t>16.7</w:t>
            </w:r>
            <w:r w:rsidRPr="0096767F">
              <w:rPr>
                <w:bCs/>
              </w:rPr>
              <w:t>)</w:t>
            </w:r>
          </w:p>
        </w:tc>
      </w:tr>
      <w:tr w:rsidR="00E651EE" w14:paraId="47BC6CE4" w14:textId="77777777" w:rsidTr="005B3BEE">
        <w:trPr>
          <w:jc w:val="center"/>
        </w:trPr>
        <w:tc>
          <w:tcPr>
            <w:tcW w:w="6440" w:type="dxa"/>
          </w:tcPr>
          <w:p w14:paraId="467CFC14" w14:textId="77777777" w:rsidR="00E651EE" w:rsidRPr="0094516A" w:rsidRDefault="00E651EE" w:rsidP="00E651EE">
            <w:pPr>
              <w:pStyle w:val="T2"/>
              <w:jc w:val="left"/>
            </w:pPr>
            <w:r w:rsidRPr="0094516A">
              <w:t>Dividends paid to non</w:t>
            </w:r>
            <w:r>
              <w:t>–</w:t>
            </w:r>
            <w:r w:rsidRPr="0094516A">
              <w:t>controlling interests</w:t>
            </w:r>
          </w:p>
        </w:tc>
        <w:tc>
          <w:tcPr>
            <w:tcW w:w="648" w:type="dxa"/>
          </w:tcPr>
          <w:p w14:paraId="43DF6AE0" w14:textId="77777777" w:rsidR="00E651EE" w:rsidRDefault="00E651EE" w:rsidP="00E651EE">
            <w:pPr>
              <w:pStyle w:val="T2"/>
              <w:jc w:val="right"/>
              <w:rPr>
                <w:b/>
              </w:rPr>
            </w:pPr>
          </w:p>
        </w:tc>
        <w:tc>
          <w:tcPr>
            <w:tcW w:w="1701" w:type="dxa"/>
          </w:tcPr>
          <w:p w14:paraId="6D13E485" w14:textId="77777777" w:rsidR="00E651EE" w:rsidRPr="001917D0" w:rsidRDefault="00E651EE" w:rsidP="00E651EE">
            <w:pPr>
              <w:pStyle w:val="T2"/>
              <w:jc w:val="right"/>
              <w:rPr>
                <w:b/>
                <w:bCs/>
              </w:rPr>
            </w:pPr>
            <w:r w:rsidRPr="00213872">
              <w:rPr>
                <w:b/>
                <w:bCs/>
              </w:rPr>
              <w:t>–</w:t>
            </w:r>
          </w:p>
        </w:tc>
        <w:tc>
          <w:tcPr>
            <w:tcW w:w="1701" w:type="dxa"/>
          </w:tcPr>
          <w:p w14:paraId="2F32B7A8" w14:textId="77777777" w:rsidR="00E651EE" w:rsidRPr="003C1ACC" w:rsidRDefault="00E651EE" w:rsidP="00E651EE">
            <w:pPr>
              <w:pStyle w:val="T2"/>
              <w:jc w:val="right"/>
            </w:pPr>
            <w:r w:rsidRPr="0096767F">
              <w:rPr>
                <w:bCs/>
              </w:rPr>
              <w:t>(2.</w:t>
            </w:r>
            <w:r>
              <w:rPr>
                <w:bCs/>
              </w:rPr>
              <w:t>4</w:t>
            </w:r>
            <w:r w:rsidRPr="0096767F">
              <w:rPr>
                <w:bCs/>
              </w:rPr>
              <w:t>)</w:t>
            </w:r>
          </w:p>
        </w:tc>
      </w:tr>
      <w:tr w:rsidR="00E651EE" w14:paraId="6AF8C6A6" w14:textId="77777777" w:rsidTr="001F1616">
        <w:trPr>
          <w:jc w:val="center"/>
        </w:trPr>
        <w:tc>
          <w:tcPr>
            <w:tcW w:w="6440" w:type="dxa"/>
            <w:tcBorders>
              <w:top w:val="single" w:sz="2" w:space="0" w:color="auto"/>
              <w:bottom w:val="single" w:sz="2" w:space="0" w:color="auto"/>
            </w:tcBorders>
          </w:tcPr>
          <w:p w14:paraId="22AA3DE6" w14:textId="77777777" w:rsidR="00E651EE" w:rsidRPr="00B13DAE" w:rsidRDefault="00E651EE" w:rsidP="00E651EE">
            <w:pPr>
              <w:pStyle w:val="T2"/>
              <w:jc w:val="left"/>
              <w:rPr>
                <w:b/>
              </w:rPr>
            </w:pPr>
            <w:r w:rsidRPr="00B13DAE">
              <w:rPr>
                <w:b/>
              </w:rPr>
              <w:t xml:space="preserve">Net cash </w:t>
            </w:r>
            <w:r>
              <w:rPr>
                <w:b/>
              </w:rPr>
              <w:t>outflow</w:t>
            </w:r>
            <w:r w:rsidRPr="00B13DAE">
              <w:rPr>
                <w:b/>
              </w:rPr>
              <w:t xml:space="preserve"> from financing activities</w:t>
            </w:r>
          </w:p>
        </w:tc>
        <w:tc>
          <w:tcPr>
            <w:tcW w:w="648" w:type="dxa"/>
            <w:tcBorders>
              <w:top w:val="single" w:sz="2" w:space="0" w:color="auto"/>
              <w:bottom w:val="single" w:sz="2" w:space="0" w:color="auto"/>
            </w:tcBorders>
          </w:tcPr>
          <w:p w14:paraId="78155693" w14:textId="77777777" w:rsidR="00E651EE" w:rsidRPr="00CD4C0F" w:rsidRDefault="00E651EE" w:rsidP="00E651EE">
            <w:pPr>
              <w:pStyle w:val="T2"/>
              <w:jc w:val="right"/>
              <w:rPr>
                <w:b/>
              </w:rPr>
            </w:pPr>
          </w:p>
        </w:tc>
        <w:tc>
          <w:tcPr>
            <w:tcW w:w="1701" w:type="dxa"/>
            <w:tcBorders>
              <w:top w:val="single" w:sz="2" w:space="0" w:color="auto"/>
              <w:bottom w:val="single" w:sz="2" w:space="0" w:color="auto"/>
            </w:tcBorders>
          </w:tcPr>
          <w:p w14:paraId="65A7442E" w14:textId="77777777" w:rsidR="00E651EE" w:rsidRPr="001917D0" w:rsidRDefault="00AD50AA">
            <w:pPr>
              <w:pStyle w:val="T2"/>
              <w:jc w:val="right"/>
              <w:rPr>
                <w:b/>
                <w:bCs/>
              </w:rPr>
            </w:pPr>
            <w:r>
              <w:rPr>
                <w:b/>
                <w:bCs/>
              </w:rPr>
              <w:t>(</w:t>
            </w:r>
            <w:r w:rsidR="00E9079C">
              <w:rPr>
                <w:b/>
                <w:bCs/>
              </w:rPr>
              <w:t>2</w:t>
            </w:r>
            <w:r w:rsidR="000123F9">
              <w:rPr>
                <w:b/>
                <w:bCs/>
              </w:rPr>
              <w:t>1.7</w:t>
            </w:r>
            <w:r w:rsidR="00D648A1">
              <w:rPr>
                <w:b/>
                <w:bCs/>
              </w:rPr>
              <w:t>)</w:t>
            </w:r>
          </w:p>
        </w:tc>
        <w:tc>
          <w:tcPr>
            <w:tcW w:w="1701" w:type="dxa"/>
            <w:tcBorders>
              <w:top w:val="single" w:sz="2" w:space="0" w:color="auto"/>
              <w:bottom w:val="single" w:sz="2" w:space="0" w:color="auto"/>
            </w:tcBorders>
          </w:tcPr>
          <w:p w14:paraId="5CEF7F70" w14:textId="77777777" w:rsidR="00E651EE" w:rsidRPr="003C1ACC" w:rsidRDefault="00E651EE" w:rsidP="00E651EE">
            <w:pPr>
              <w:pStyle w:val="T2"/>
              <w:jc w:val="right"/>
            </w:pPr>
            <w:r w:rsidRPr="0096767F">
              <w:rPr>
                <w:bCs/>
              </w:rPr>
              <w:t>(</w:t>
            </w:r>
            <w:r>
              <w:rPr>
                <w:bCs/>
              </w:rPr>
              <w:t>6.9</w:t>
            </w:r>
            <w:r w:rsidRPr="0096767F">
              <w:rPr>
                <w:bCs/>
              </w:rPr>
              <w:t>)</w:t>
            </w:r>
          </w:p>
        </w:tc>
      </w:tr>
      <w:tr w:rsidR="00E651EE" w14:paraId="60C632C8" w14:textId="77777777" w:rsidTr="001F1616">
        <w:trPr>
          <w:jc w:val="center"/>
        </w:trPr>
        <w:tc>
          <w:tcPr>
            <w:tcW w:w="6440" w:type="dxa"/>
            <w:tcBorders>
              <w:top w:val="single" w:sz="2" w:space="0" w:color="auto"/>
              <w:bottom w:val="single" w:sz="2" w:space="0" w:color="auto"/>
            </w:tcBorders>
          </w:tcPr>
          <w:p w14:paraId="64E9BBC6" w14:textId="77777777" w:rsidR="00E651EE" w:rsidRPr="00B13DAE" w:rsidRDefault="00E651EE" w:rsidP="00E651EE">
            <w:pPr>
              <w:pStyle w:val="T2"/>
              <w:jc w:val="left"/>
              <w:rPr>
                <w:b/>
              </w:rPr>
            </w:pPr>
            <w:r w:rsidRPr="00B13DAE">
              <w:rPr>
                <w:b/>
              </w:rPr>
              <w:t xml:space="preserve">Net </w:t>
            </w:r>
            <w:r>
              <w:rPr>
                <w:b/>
              </w:rPr>
              <w:t>decrease</w:t>
            </w:r>
            <w:r w:rsidRPr="00B13DAE">
              <w:rPr>
                <w:b/>
              </w:rPr>
              <w:t xml:space="preserve"> in cash and cash equivalents</w:t>
            </w:r>
            <w:r w:rsidR="000A3FCF">
              <w:rPr>
                <w:b/>
              </w:rPr>
              <w:t xml:space="preserve"> and bank overdrafts</w:t>
            </w:r>
          </w:p>
        </w:tc>
        <w:tc>
          <w:tcPr>
            <w:tcW w:w="648" w:type="dxa"/>
            <w:tcBorders>
              <w:top w:val="single" w:sz="2" w:space="0" w:color="auto"/>
              <w:bottom w:val="single" w:sz="2" w:space="0" w:color="auto"/>
            </w:tcBorders>
          </w:tcPr>
          <w:p w14:paraId="75D5834D" w14:textId="77777777" w:rsidR="00E651EE" w:rsidRDefault="00E651EE" w:rsidP="00E651EE">
            <w:pPr>
              <w:pStyle w:val="T2"/>
              <w:jc w:val="right"/>
              <w:rPr>
                <w:b/>
              </w:rPr>
            </w:pPr>
          </w:p>
        </w:tc>
        <w:tc>
          <w:tcPr>
            <w:tcW w:w="1701" w:type="dxa"/>
            <w:tcBorders>
              <w:top w:val="single" w:sz="2" w:space="0" w:color="auto"/>
              <w:bottom w:val="single" w:sz="2" w:space="0" w:color="auto"/>
            </w:tcBorders>
          </w:tcPr>
          <w:p w14:paraId="1B1B2227" w14:textId="77777777" w:rsidR="00E651EE" w:rsidRPr="001917D0" w:rsidRDefault="00D648A1" w:rsidP="00E651EE">
            <w:pPr>
              <w:pStyle w:val="T2"/>
              <w:jc w:val="right"/>
              <w:rPr>
                <w:b/>
                <w:bCs/>
              </w:rPr>
            </w:pPr>
            <w:r>
              <w:rPr>
                <w:b/>
                <w:bCs/>
              </w:rPr>
              <w:t>(29.7)</w:t>
            </w:r>
          </w:p>
        </w:tc>
        <w:tc>
          <w:tcPr>
            <w:tcW w:w="1701" w:type="dxa"/>
            <w:tcBorders>
              <w:top w:val="single" w:sz="2" w:space="0" w:color="auto"/>
              <w:bottom w:val="single" w:sz="2" w:space="0" w:color="auto"/>
            </w:tcBorders>
          </w:tcPr>
          <w:p w14:paraId="7AF9EB56" w14:textId="77777777" w:rsidR="00E651EE" w:rsidRPr="003C1ACC" w:rsidRDefault="00E651EE" w:rsidP="00E651EE">
            <w:pPr>
              <w:pStyle w:val="T2"/>
              <w:jc w:val="right"/>
            </w:pPr>
            <w:r w:rsidRPr="0096767F">
              <w:rPr>
                <w:bCs/>
              </w:rPr>
              <w:t>(</w:t>
            </w:r>
            <w:r>
              <w:rPr>
                <w:bCs/>
              </w:rPr>
              <w:t>6.9</w:t>
            </w:r>
            <w:r w:rsidRPr="0096767F">
              <w:rPr>
                <w:bCs/>
              </w:rPr>
              <w:t>)</w:t>
            </w:r>
          </w:p>
        </w:tc>
      </w:tr>
      <w:tr w:rsidR="00773F7B" w14:paraId="1AF71FB5" w14:textId="77777777" w:rsidTr="001F1616">
        <w:trPr>
          <w:jc w:val="center"/>
        </w:trPr>
        <w:tc>
          <w:tcPr>
            <w:tcW w:w="6440" w:type="dxa"/>
            <w:tcBorders>
              <w:top w:val="single" w:sz="2" w:space="0" w:color="auto"/>
            </w:tcBorders>
          </w:tcPr>
          <w:p w14:paraId="2E971C44" w14:textId="77777777" w:rsidR="00773F7B" w:rsidRPr="0094516A" w:rsidRDefault="00773F7B" w:rsidP="00773F7B">
            <w:pPr>
              <w:pStyle w:val="T2"/>
              <w:jc w:val="left"/>
            </w:pPr>
          </w:p>
        </w:tc>
        <w:tc>
          <w:tcPr>
            <w:tcW w:w="648" w:type="dxa"/>
            <w:tcBorders>
              <w:top w:val="single" w:sz="2" w:space="0" w:color="auto"/>
            </w:tcBorders>
          </w:tcPr>
          <w:p w14:paraId="76242EF9" w14:textId="77777777" w:rsidR="00773F7B" w:rsidRPr="00CD4C0F" w:rsidRDefault="00773F7B" w:rsidP="00773F7B">
            <w:pPr>
              <w:pStyle w:val="T2"/>
              <w:jc w:val="right"/>
              <w:rPr>
                <w:b/>
              </w:rPr>
            </w:pPr>
          </w:p>
        </w:tc>
        <w:tc>
          <w:tcPr>
            <w:tcW w:w="1701" w:type="dxa"/>
            <w:tcBorders>
              <w:top w:val="single" w:sz="2" w:space="0" w:color="auto"/>
            </w:tcBorders>
          </w:tcPr>
          <w:p w14:paraId="652AF13A" w14:textId="77777777" w:rsidR="00773F7B" w:rsidRPr="001917D0" w:rsidRDefault="00773F7B" w:rsidP="00773F7B">
            <w:pPr>
              <w:pStyle w:val="T2"/>
              <w:jc w:val="right"/>
              <w:rPr>
                <w:b/>
                <w:bCs/>
              </w:rPr>
            </w:pPr>
          </w:p>
        </w:tc>
        <w:tc>
          <w:tcPr>
            <w:tcW w:w="1701" w:type="dxa"/>
            <w:tcBorders>
              <w:top w:val="single" w:sz="2" w:space="0" w:color="auto"/>
            </w:tcBorders>
          </w:tcPr>
          <w:p w14:paraId="3B753821" w14:textId="77777777" w:rsidR="00773F7B" w:rsidRPr="003C1ACC" w:rsidRDefault="00773F7B" w:rsidP="00773F7B">
            <w:pPr>
              <w:pStyle w:val="T2"/>
              <w:jc w:val="right"/>
            </w:pPr>
          </w:p>
        </w:tc>
      </w:tr>
      <w:tr w:rsidR="00773F7B" w14:paraId="7297706A" w14:textId="77777777" w:rsidTr="005B3BEE">
        <w:trPr>
          <w:jc w:val="center"/>
        </w:trPr>
        <w:tc>
          <w:tcPr>
            <w:tcW w:w="6440" w:type="dxa"/>
          </w:tcPr>
          <w:p w14:paraId="158834CE" w14:textId="77777777" w:rsidR="00773F7B" w:rsidRPr="00B13DAE" w:rsidRDefault="00773F7B" w:rsidP="00773F7B">
            <w:pPr>
              <w:pStyle w:val="T2"/>
              <w:jc w:val="left"/>
              <w:rPr>
                <w:b/>
              </w:rPr>
            </w:pPr>
            <w:r w:rsidRPr="00B13DAE">
              <w:rPr>
                <w:b/>
              </w:rPr>
              <w:t>Reconciliation of opening to closing cash and cash equivalents</w:t>
            </w:r>
            <w:r w:rsidR="00B251E8">
              <w:rPr>
                <w:b/>
              </w:rPr>
              <w:t xml:space="preserve"> </w:t>
            </w:r>
            <w:r w:rsidR="00B251E8" w:rsidRPr="00F15D5E">
              <w:rPr>
                <w:b/>
              </w:rPr>
              <w:t>and bank overdrafts</w:t>
            </w:r>
          </w:p>
        </w:tc>
        <w:tc>
          <w:tcPr>
            <w:tcW w:w="648" w:type="dxa"/>
          </w:tcPr>
          <w:p w14:paraId="255E7258" w14:textId="77777777" w:rsidR="00773F7B" w:rsidRPr="00CD4C0F" w:rsidRDefault="00773F7B" w:rsidP="00773F7B">
            <w:pPr>
              <w:pStyle w:val="T2"/>
              <w:jc w:val="right"/>
              <w:rPr>
                <w:b/>
              </w:rPr>
            </w:pPr>
          </w:p>
        </w:tc>
        <w:tc>
          <w:tcPr>
            <w:tcW w:w="1701" w:type="dxa"/>
          </w:tcPr>
          <w:p w14:paraId="33555397" w14:textId="77777777" w:rsidR="00773F7B" w:rsidRPr="001917D0" w:rsidRDefault="00773F7B" w:rsidP="00773F7B">
            <w:pPr>
              <w:pStyle w:val="T2"/>
              <w:jc w:val="right"/>
              <w:rPr>
                <w:b/>
                <w:bCs/>
              </w:rPr>
            </w:pPr>
          </w:p>
        </w:tc>
        <w:tc>
          <w:tcPr>
            <w:tcW w:w="1701" w:type="dxa"/>
          </w:tcPr>
          <w:p w14:paraId="6B74957B" w14:textId="77777777" w:rsidR="00773F7B" w:rsidRPr="003C1ACC" w:rsidRDefault="00773F7B" w:rsidP="00773F7B">
            <w:pPr>
              <w:pStyle w:val="T2"/>
              <w:jc w:val="right"/>
            </w:pPr>
          </w:p>
        </w:tc>
      </w:tr>
      <w:tr w:rsidR="00E651EE" w14:paraId="72C84105" w14:textId="77777777" w:rsidTr="005B3BEE">
        <w:trPr>
          <w:jc w:val="center"/>
        </w:trPr>
        <w:tc>
          <w:tcPr>
            <w:tcW w:w="6440" w:type="dxa"/>
          </w:tcPr>
          <w:p w14:paraId="36C07F88" w14:textId="77777777" w:rsidR="00E651EE" w:rsidRPr="0094516A" w:rsidRDefault="00E651EE" w:rsidP="00E651EE">
            <w:pPr>
              <w:pStyle w:val="T2"/>
              <w:jc w:val="left"/>
            </w:pPr>
            <w:r w:rsidRPr="0094516A">
              <w:t>Cash and cash equivalents</w:t>
            </w:r>
            <w:r w:rsidR="00F15D5E">
              <w:t xml:space="preserve"> and bank overdrafts</w:t>
            </w:r>
            <w:r w:rsidRPr="0094516A">
              <w:t xml:space="preserve"> at beginning of period</w:t>
            </w:r>
          </w:p>
        </w:tc>
        <w:tc>
          <w:tcPr>
            <w:tcW w:w="648" w:type="dxa"/>
          </w:tcPr>
          <w:p w14:paraId="11E942F9" w14:textId="77777777" w:rsidR="00E651EE" w:rsidRPr="00CD4C0F" w:rsidRDefault="00F250D9" w:rsidP="00E126B5">
            <w:pPr>
              <w:pStyle w:val="T2"/>
              <w:jc w:val="right"/>
              <w:rPr>
                <w:b/>
              </w:rPr>
            </w:pPr>
            <w:r w:rsidRPr="00F250D9">
              <w:t>1</w:t>
            </w:r>
            <w:r w:rsidR="00E126B5">
              <w:t>0</w:t>
            </w:r>
          </w:p>
        </w:tc>
        <w:tc>
          <w:tcPr>
            <w:tcW w:w="1701" w:type="dxa"/>
          </w:tcPr>
          <w:p w14:paraId="3CBB17A2" w14:textId="77777777" w:rsidR="00E651EE" w:rsidRPr="001917D0" w:rsidRDefault="00614D12" w:rsidP="00E651EE">
            <w:pPr>
              <w:pStyle w:val="T2"/>
              <w:jc w:val="right"/>
              <w:rPr>
                <w:b/>
                <w:bCs/>
              </w:rPr>
            </w:pPr>
            <w:r>
              <w:rPr>
                <w:b/>
                <w:bCs/>
              </w:rPr>
              <w:t>47.0</w:t>
            </w:r>
          </w:p>
        </w:tc>
        <w:tc>
          <w:tcPr>
            <w:tcW w:w="1701" w:type="dxa"/>
          </w:tcPr>
          <w:p w14:paraId="70867F22" w14:textId="77777777" w:rsidR="00E651EE" w:rsidRPr="003C1ACC" w:rsidRDefault="00E651EE" w:rsidP="00E651EE">
            <w:pPr>
              <w:pStyle w:val="T2"/>
              <w:jc w:val="right"/>
            </w:pPr>
            <w:r>
              <w:rPr>
                <w:bCs/>
              </w:rPr>
              <w:t>41.6</w:t>
            </w:r>
          </w:p>
        </w:tc>
      </w:tr>
      <w:tr w:rsidR="00E651EE" w14:paraId="5D768394" w14:textId="77777777" w:rsidTr="005B3BEE">
        <w:trPr>
          <w:jc w:val="center"/>
        </w:trPr>
        <w:tc>
          <w:tcPr>
            <w:tcW w:w="6440" w:type="dxa"/>
          </w:tcPr>
          <w:p w14:paraId="07735ED2" w14:textId="77777777" w:rsidR="00E651EE" w:rsidRPr="0094516A" w:rsidRDefault="00E651EE" w:rsidP="00E651EE">
            <w:pPr>
              <w:pStyle w:val="T2"/>
              <w:jc w:val="left"/>
            </w:pPr>
            <w:r w:rsidRPr="0094516A">
              <w:t>Translation adjustment</w:t>
            </w:r>
          </w:p>
        </w:tc>
        <w:tc>
          <w:tcPr>
            <w:tcW w:w="648" w:type="dxa"/>
          </w:tcPr>
          <w:p w14:paraId="70095775" w14:textId="77777777" w:rsidR="00E651EE" w:rsidRDefault="00E651EE" w:rsidP="00E651EE">
            <w:pPr>
              <w:pStyle w:val="T2"/>
              <w:jc w:val="right"/>
              <w:rPr>
                <w:b/>
              </w:rPr>
            </w:pPr>
          </w:p>
        </w:tc>
        <w:tc>
          <w:tcPr>
            <w:tcW w:w="1701" w:type="dxa"/>
          </w:tcPr>
          <w:p w14:paraId="316D140C" w14:textId="77777777" w:rsidR="00E651EE" w:rsidRPr="001917D0" w:rsidRDefault="00D648A1" w:rsidP="00E651EE">
            <w:pPr>
              <w:pStyle w:val="T2"/>
              <w:jc w:val="right"/>
              <w:rPr>
                <w:b/>
                <w:bCs/>
              </w:rPr>
            </w:pPr>
            <w:r>
              <w:rPr>
                <w:b/>
                <w:bCs/>
              </w:rPr>
              <w:t>(0.3)</w:t>
            </w:r>
          </w:p>
        </w:tc>
        <w:tc>
          <w:tcPr>
            <w:tcW w:w="1701" w:type="dxa"/>
          </w:tcPr>
          <w:p w14:paraId="40A6E39B" w14:textId="77777777" w:rsidR="00E651EE" w:rsidRPr="003C1ACC" w:rsidRDefault="00E651EE" w:rsidP="00E651EE">
            <w:pPr>
              <w:pStyle w:val="T2"/>
              <w:jc w:val="right"/>
            </w:pPr>
            <w:r>
              <w:rPr>
                <w:bCs/>
              </w:rPr>
              <w:t>(0.2)</w:t>
            </w:r>
          </w:p>
        </w:tc>
      </w:tr>
      <w:tr w:rsidR="00E651EE" w14:paraId="1BC649C9" w14:textId="77777777" w:rsidTr="001F1616">
        <w:trPr>
          <w:jc w:val="center"/>
        </w:trPr>
        <w:tc>
          <w:tcPr>
            <w:tcW w:w="6440" w:type="dxa"/>
            <w:tcBorders>
              <w:bottom w:val="single" w:sz="2" w:space="0" w:color="auto"/>
            </w:tcBorders>
          </w:tcPr>
          <w:p w14:paraId="26A2AF8A" w14:textId="77777777" w:rsidR="00E651EE" w:rsidRPr="0094516A" w:rsidRDefault="00E651EE" w:rsidP="00E651EE">
            <w:pPr>
              <w:pStyle w:val="T2"/>
              <w:jc w:val="left"/>
            </w:pPr>
            <w:r>
              <w:t>Decrease</w:t>
            </w:r>
            <w:r w:rsidRPr="0094516A">
              <w:t xml:space="preserve"> in cash and cash equivalents</w:t>
            </w:r>
            <w:r w:rsidR="00F15D5E">
              <w:t xml:space="preserve"> and bank overdrafts</w:t>
            </w:r>
          </w:p>
        </w:tc>
        <w:tc>
          <w:tcPr>
            <w:tcW w:w="648" w:type="dxa"/>
            <w:tcBorders>
              <w:bottom w:val="single" w:sz="2" w:space="0" w:color="auto"/>
            </w:tcBorders>
          </w:tcPr>
          <w:p w14:paraId="4A3514C1" w14:textId="77777777" w:rsidR="00E651EE" w:rsidRDefault="00E651EE" w:rsidP="00E651EE">
            <w:pPr>
              <w:pStyle w:val="T2"/>
              <w:jc w:val="right"/>
              <w:rPr>
                <w:b/>
              </w:rPr>
            </w:pPr>
          </w:p>
        </w:tc>
        <w:tc>
          <w:tcPr>
            <w:tcW w:w="1701" w:type="dxa"/>
            <w:tcBorders>
              <w:bottom w:val="single" w:sz="2" w:space="0" w:color="auto"/>
            </w:tcBorders>
          </w:tcPr>
          <w:p w14:paraId="7169FEDC" w14:textId="77777777" w:rsidR="00E651EE" w:rsidRPr="001917D0" w:rsidRDefault="00D648A1" w:rsidP="00E651EE">
            <w:pPr>
              <w:pStyle w:val="T2"/>
              <w:jc w:val="right"/>
              <w:rPr>
                <w:b/>
                <w:bCs/>
              </w:rPr>
            </w:pPr>
            <w:r>
              <w:rPr>
                <w:b/>
                <w:bCs/>
              </w:rPr>
              <w:t>(29.7)</w:t>
            </w:r>
          </w:p>
        </w:tc>
        <w:tc>
          <w:tcPr>
            <w:tcW w:w="1701" w:type="dxa"/>
            <w:tcBorders>
              <w:bottom w:val="single" w:sz="2" w:space="0" w:color="auto"/>
            </w:tcBorders>
          </w:tcPr>
          <w:p w14:paraId="0A633A75" w14:textId="77777777" w:rsidR="00E651EE" w:rsidRPr="003C1ACC" w:rsidRDefault="00E651EE" w:rsidP="00E651EE">
            <w:pPr>
              <w:pStyle w:val="T2"/>
              <w:jc w:val="right"/>
            </w:pPr>
            <w:r w:rsidRPr="0096767F">
              <w:rPr>
                <w:bCs/>
              </w:rPr>
              <w:t>(</w:t>
            </w:r>
            <w:r>
              <w:rPr>
                <w:bCs/>
              </w:rPr>
              <w:t>6.9</w:t>
            </w:r>
            <w:r w:rsidRPr="0096767F">
              <w:rPr>
                <w:bCs/>
              </w:rPr>
              <w:t>)</w:t>
            </w:r>
          </w:p>
        </w:tc>
      </w:tr>
      <w:tr w:rsidR="00E651EE" w14:paraId="1A71EE9F" w14:textId="77777777" w:rsidTr="001F1616">
        <w:trPr>
          <w:jc w:val="center"/>
        </w:trPr>
        <w:tc>
          <w:tcPr>
            <w:tcW w:w="6440" w:type="dxa"/>
            <w:tcBorders>
              <w:top w:val="single" w:sz="2" w:space="0" w:color="auto"/>
              <w:bottom w:val="single" w:sz="2" w:space="0" w:color="auto"/>
            </w:tcBorders>
          </w:tcPr>
          <w:p w14:paraId="21096F1A" w14:textId="77777777" w:rsidR="00E651EE" w:rsidRPr="00B13DAE" w:rsidRDefault="00E651EE" w:rsidP="00E651EE">
            <w:pPr>
              <w:rPr>
                <w:b/>
              </w:rPr>
            </w:pPr>
            <w:r w:rsidRPr="00B13DAE">
              <w:rPr>
                <w:b/>
                <w:sz w:val="18"/>
                <w:szCs w:val="18"/>
              </w:rPr>
              <w:t xml:space="preserve">Cash and cash equivalents </w:t>
            </w:r>
            <w:r w:rsidR="00F15D5E">
              <w:rPr>
                <w:b/>
                <w:sz w:val="18"/>
                <w:szCs w:val="18"/>
              </w:rPr>
              <w:t xml:space="preserve">and bank overdrafts </w:t>
            </w:r>
            <w:r w:rsidRPr="00B13DAE">
              <w:rPr>
                <w:b/>
                <w:sz w:val="18"/>
                <w:szCs w:val="18"/>
              </w:rPr>
              <w:t>at end of period</w:t>
            </w:r>
          </w:p>
        </w:tc>
        <w:tc>
          <w:tcPr>
            <w:tcW w:w="648" w:type="dxa"/>
            <w:tcBorders>
              <w:top w:val="single" w:sz="2" w:space="0" w:color="auto"/>
              <w:bottom w:val="single" w:sz="2" w:space="0" w:color="auto"/>
            </w:tcBorders>
          </w:tcPr>
          <w:p w14:paraId="01F7EC13" w14:textId="77777777" w:rsidR="00E651EE" w:rsidRPr="00F250D9" w:rsidRDefault="00F250D9" w:rsidP="00E126B5">
            <w:pPr>
              <w:pStyle w:val="T2"/>
              <w:jc w:val="right"/>
            </w:pPr>
            <w:r w:rsidRPr="00F250D9">
              <w:t>1</w:t>
            </w:r>
            <w:r w:rsidR="00E126B5">
              <w:t>0</w:t>
            </w:r>
          </w:p>
        </w:tc>
        <w:tc>
          <w:tcPr>
            <w:tcW w:w="1701" w:type="dxa"/>
            <w:tcBorders>
              <w:top w:val="single" w:sz="2" w:space="0" w:color="auto"/>
              <w:bottom w:val="single" w:sz="2" w:space="0" w:color="auto"/>
            </w:tcBorders>
          </w:tcPr>
          <w:p w14:paraId="1F284E26" w14:textId="77777777" w:rsidR="00E651EE" w:rsidRPr="001917D0" w:rsidRDefault="00D648A1" w:rsidP="00E651EE">
            <w:pPr>
              <w:pStyle w:val="T2"/>
              <w:jc w:val="right"/>
              <w:rPr>
                <w:b/>
                <w:bCs/>
              </w:rPr>
            </w:pPr>
            <w:r>
              <w:rPr>
                <w:b/>
                <w:bCs/>
              </w:rPr>
              <w:t>17.0</w:t>
            </w:r>
          </w:p>
        </w:tc>
        <w:tc>
          <w:tcPr>
            <w:tcW w:w="1701" w:type="dxa"/>
            <w:tcBorders>
              <w:top w:val="single" w:sz="2" w:space="0" w:color="auto"/>
              <w:bottom w:val="single" w:sz="2" w:space="0" w:color="auto"/>
            </w:tcBorders>
          </w:tcPr>
          <w:p w14:paraId="684AD8F4" w14:textId="77777777" w:rsidR="00E651EE" w:rsidRDefault="00E651EE" w:rsidP="00E651EE">
            <w:pPr>
              <w:pStyle w:val="T2"/>
              <w:jc w:val="right"/>
            </w:pPr>
            <w:r>
              <w:rPr>
                <w:bCs/>
              </w:rPr>
              <w:t>34.5</w:t>
            </w:r>
          </w:p>
        </w:tc>
      </w:tr>
      <w:tr w:rsidR="00773F7B" w14:paraId="766D4BB7" w14:textId="77777777" w:rsidTr="001F1616">
        <w:trPr>
          <w:jc w:val="center"/>
        </w:trPr>
        <w:tc>
          <w:tcPr>
            <w:tcW w:w="6440" w:type="dxa"/>
            <w:tcBorders>
              <w:top w:val="single" w:sz="2" w:space="0" w:color="auto"/>
            </w:tcBorders>
          </w:tcPr>
          <w:p w14:paraId="1FDC0568" w14:textId="77777777" w:rsidR="00773F7B" w:rsidRDefault="00773F7B" w:rsidP="00773F7B">
            <w:pPr>
              <w:pStyle w:val="T2"/>
            </w:pPr>
          </w:p>
        </w:tc>
        <w:tc>
          <w:tcPr>
            <w:tcW w:w="648" w:type="dxa"/>
            <w:tcBorders>
              <w:top w:val="single" w:sz="2" w:space="0" w:color="auto"/>
            </w:tcBorders>
          </w:tcPr>
          <w:p w14:paraId="56C830BC" w14:textId="77777777" w:rsidR="00773F7B" w:rsidRPr="00A70E4B" w:rsidRDefault="00773F7B" w:rsidP="00773F7B">
            <w:pPr>
              <w:pStyle w:val="T2"/>
              <w:jc w:val="right"/>
              <w:rPr>
                <w:b/>
              </w:rPr>
            </w:pPr>
          </w:p>
        </w:tc>
        <w:tc>
          <w:tcPr>
            <w:tcW w:w="1701" w:type="dxa"/>
            <w:tcBorders>
              <w:top w:val="single" w:sz="2" w:space="0" w:color="auto"/>
            </w:tcBorders>
          </w:tcPr>
          <w:p w14:paraId="590280D9" w14:textId="77777777" w:rsidR="00773F7B" w:rsidRPr="00A70E4B" w:rsidRDefault="00773F7B" w:rsidP="00773F7B">
            <w:pPr>
              <w:pStyle w:val="T2"/>
              <w:jc w:val="right"/>
              <w:rPr>
                <w:b/>
              </w:rPr>
            </w:pPr>
          </w:p>
        </w:tc>
        <w:tc>
          <w:tcPr>
            <w:tcW w:w="1701" w:type="dxa"/>
            <w:tcBorders>
              <w:top w:val="single" w:sz="2" w:space="0" w:color="auto"/>
            </w:tcBorders>
          </w:tcPr>
          <w:p w14:paraId="5015FBE4" w14:textId="77777777" w:rsidR="00773F7B" w:rsidRPr="003C1ACC" w:rsidRDefault="00773F7B" w:rsidP="00773F7B"/>
        </w:tc>
      </w:tr>
      <w:tr w:rsidR="00773F7B" w14:paraId="0726937D" w14:textId="77777777" w:rsidTr="005B3BEE">
        <w:trPr>
          <w:jc w:val="center"/>
        </w:trPr>
        <w:tc>
          <w:tcPr>
            <w:tcW w:w="6440" w:type="dxa"/>
          </w:tcPr>
          <w:p w14:paraId="59FEAF47" w14:textId="77777777" w:rsidR="00773F7B" w:rsidRDefault="00773F7B" w:rsidP="00773F7B">
            <w:pPr>
              <w:pStyle w:val="T2"/>
            </w:pPr>
          </w:p>
        </w:tc>
        <w:tc>
          <w:tcPr>
            <w:tcW w:w="648" w:type="dxa"/>
          </w:tcPr>
          <w:p w14:paraId="1A97241E" w14:textId="77777777" w:rsidR="00773F7B" w:rsidRPr="00A70E4B" w:rsidRDefault="00773F7B" w:rsidP="00773F7B">
            <w:pPr>
              <w:pStyle w:val="T2"/>
              <w:jc w:val="right"/>
              <w:rPr>
                <w:b/>
              </w:rPr>
            </w:pPr>
          </w:p>
        </w:tc>
        <w:tc>
          <w:tcPr>
            <w:tcW w:w="1701" w:type="dxa"/>
          </w:tcPr>
          <w:p w14:paraId="335146E6" w14:textId="77777777" w:rsidR="00773F7B" w:rsidRPr="00A70E4B" w:rsidRDefault="00773F7B" w:rsidP="00773F7B">
            <w:pPr>
              <w:pStyle w:val="T2"/>
              <w:jc w:val="right"/>
              <w:rPr>
                <w:b/>
              </w:rPr>
            </w:pPr>
          </w:p>
        </w:tc>
        <w:tc>
          <w:tcPr>
            <w:tcW w:w="1701" w:type="dxa"/>
          </w:tcPr>
          <w:p w14:paraId="5019C1A4" w14:textId="77777777" w:rsidR="00773F7B" w:rsidRPr="003C1ACC" w:rsidRDefault="00773F7B" w:rsidP="00773F7B"/>
        </w:tc>
      </w:tr>
    </w:tbl>
    <w:p w14:paraId="6DF4CCE4" w14:textId="77777777" w:rsidR="00EB44C4" w:rsidRDefault="00EB44C4" w:rsidP="00773F7B">
      <w:pPr>
        <w:pStyle w:val="T2"/>
        <w:jc w:val="left"/>
      </w:pPr>
    </w:p>
    <w:p w14:paraId="636546A7" w14:textId="77777777" w:rsidR="00EB44C4" w:rsidRDefault="00EB44C4" w:rsidP="00EB44C4">
      <w:pPr>
        <w:pStyle w:val="Heading2"/>
        <w:ind w:left="-142"/>
      </w:pPr>
      <w:r w:rsidRPr="006F55A8">
        <w:t xml:space="preserve">CONDENSED </w:t>
      </w:r>
      <w:r>
        <w:t xml:space="preserve">GROUP </w:t>
      </w:r>
      <w:r w:rsidRPr="006F55A8">
        <w:t xml:space="preserve">STATEMENT </w:t>
      </w:r>
      <w:r>
        <w:t>OF CHANGES IN EQUITY</w:t>
      </w:r>
    </w:p>
    <w:p w14:paraId="3F547060" w14:textId="77777777" w:rsidR="00EB44C4" w:rsidRDefault="00EB44C4" w:rsidP="00EB44C4">
      <w:pPr>
        <w:pStyle w:val="Heading2"/>
        <w:tabs>
          <w:tab w:val="left" w:pos="3393"/>
        </w:tabs>
        <w:ind w:left="-142"/>
      </w:pPr>
      <w:r w:rsidRPr="00A70E4B">
        <w:t>for the half year ended</w:t>
      </w:r>
      <w:r w:rsidRPr="00E34FD1">
        <w:t xml:space="preserve"> </w:t>
      </w:r>
      <w:r>
        <w:t>26 March 2021</w:t>
      </w:r>
      <w:r>
        <w:tab/>
      </w:r>
    </w:p>
    <w:p w14:paraId="2567E872" w14:textId="77777777" w:rsidR="00773F7B" w:rsidRDefault="00773F7B" w:rsidP="00EB44C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709"/>
        <w:gridCol w:w="992"/>
        <w:gridCol w:w="850"/>
        <w:gridCol w:w="851"/>
        <w:gridCol w:w="826"/>
        <w:gridCol w:w="1020"/>
        <w:gridCol w:w="847"/>
      </w:tblGrid>
      <w:tr w:rsidR="00773F7B" w14:paraId="7D340548" w14:textId="77777777" w:rsidTr="005B3BEE">
        <w:trPr>
          <w:jc w:val="center"/>
        </w:trPr>
        <w:tc>
          <w:tcPr>
            <w:tcW w:w="4395" w:type="dxa"/>
            <w:vAlign w:val="bottom"/>
          </w:tcPr>
          <w:p w14:paraId="1E4D2187" w14:textId="77777777" w:rsidR="00773F7B" w:rsidRPr="00E57F3E" w:rsidRDefault="00773F7B" w:rsidP="00773F7B">
            <w:pPr>
              <w:pStyle w:val="T2"/>
              <w:jc w:val="left"/>
            </w:pPr>
          </w:p>
        </w:tc>
        <w:tc>
          <w:tcPr>
            <w:tcW w:w="709" w:type="dxa"/>
            <w:vAlign w:val="bottom"/>
          </w:tcPr>
          <w:p w14:paraId="100BEFCB" w14:textId="77777777" w:rsidR="00773F7B" w:rsidRPr="00377178" w:rsidRDefault="00773F7B" w:rsidP="00773F7B">
            <w:pPr>
              <w:pStyle w:val="T2"/>
              <w:ind w:left="-108"/>
              <w:jc w:val="right"/>
              <w:rPr>
                <w:b/>
              </w:rPr>
            </w:pPr>
            <w:r w:rsidRPr="00377178">
              <w:rPr>
                <w:b/>
              </w:rPr>
              <w:t>Share capital</w:t>
            </w:r>
          </w:p>
        </w:tc>
        <w:tc>
          <w:tcPr>
            <w:tcW w:w="992" w:type="dxa"/>
            <w:vAlign w:val="bottom"/>
          </w:tcPr>
          <w:p w14:paraId="34FAF79E" w14:textId="77777777" w:rsidR="00773F7B" w:rsidRPr="00377178" w:rsidRDefault="00773F7B" w:rsidP="00773F7B">
            <w:pPr>
              <w:pStyle w:val="T2"/>
              <w:jc w:val="right"/>
              <w:rPr>
                <w:b/>
              </w:rPr>
            </w:pPr>
            <w:r w:rsidRPr="00377178">
              <w:rPr>
                <w:b/>
              </w:rPr>
              <w:t>Share premium</w:t>
            </w:r>
          </w:p>
        </w:tc>
        <w:tc>
          <w:tcPr>
            <w:tcW w:w="850" w:type="dxa"/>
            <w:vAlign w:val="bottom"/>
          </w:tcPr>
          <w:p w14:paraId="1AFA3D12" w14:textId="77777777" w:rsidR="00773F7B" w:rsidRPr="00377178" w:rsidRDefault="00773F7B" w:rsidP="00773F7B">
            <w:pPr>
              <w:pStyle w:val="T2"/>
              <w:jc w:val="right"/>
              <w:rPr>
                <w:b/>
              </w:rPr>
            </w:pPr>
            <w:r w:rsidRPr="00377178">
              <w:rPr>
                <w:b/>
              </w:rPr>
              <w:t>Other reserves</w:t>
            </w:r>
          </w:p>
        </w:tc>
        <w:tc>
          <w:tcPr>
            <w:tcW w:w="851" w:type="dxa"/>
            <w:vAlign w:val="bottom"/>
          </w:tcPr>
          <w:p w14:paraId="0D0598C2" w14:textId="77777777" w:rsidR="00773F7B" w:rsidRPr="00377178" w:rsidRDefault="00773F7B" w:rsidP="00773F7B">
            <w:pPr>
              <w:pStyle w:val="T2"/>
              <w:ind w:left="-108"/>
              <w:jc w:val="right"/>
              <w:rPr>
                <w:b/>
              </w:rPr>
            </w:pPr>
            <w:r w:rsidRPr="00377178">
              <w:rPr>
                <w:b/>
              </w:rPr>
              <w:t>Retained earnings</w:t>
            </w:r>
          </w:p>
        </w:tc>
        <w:tc>
          <w:tcPr>
            <w:tcW w:w="826" w:type="dxa"/>
            <w:vAlign w:val="bottom"/>
          </w:tcPr>
          <w:p w14:paraId="2AC20D50" w14:textId="77777777" w:rsidR="00773F7B" w:rsidRPr="00377178" w:rsidRDefault="00773F7B" w:rsidP="00773F7B">
            <w:pPr>
              <w:pStyle w:val="T2"/>
              <w:jc w:val="right"/>
              <w:rPr>
                <w:b/>
              </w:rPr>
            </w:pPr>
            <w:r w:rsidRPr="00377178">
              <w:rPr>
                <w:b/>
              </w:rPr>
              <w:t>Total</w:t>
            </w:r>
          </w:p>
        </w:tc>
        <w:tc>
          <w:tcPr>
            <w:tcW w:w="1020" w:type="dxa"/>
            <w:vAlign w:val="bottom"/>
          </w:tcPr>
          <w:p w14:paraId="718590CC" w14:textId="77777777" w:rsidR="00773F7B" w:rsidRPr="00377178" w:rsidRDefault="00773F7B" w:rsidP="00773F7B">
            <w:pPr>
              <w:pStyle w:val="T2"/>
              <w:ind w:left="-108"/>
              <w:jc w:val="right"/>
              <w:rPr>
                <w:b/>
              </w:rPr>
            </w:pPr>
            <w:r w:rsidRPr="00377178">
              <w:rPr>
                <w:b/>
              </w:rPr>
              <w:t>Non</w:t>
            </w:r>
            <w:r>
              <w:rPr>
                <w:b/>
              </w:rPr>
              <w:t>–</w:t>
            </w:r>
            <w:r w:rsidRPr="00377178">
              <w:rPr>
                <w:b/>
              </w:rPr>
              <w:t>controlling interest</w:t>
            </w:r>
          </w:p>
        </w:tc>
        <w:tc>
          <w:tcPr>
            <w:tcW w:w="847" w:type="dxa"/>
            <w:vAlign w:val="bottom"/>
          </w:tcPr>
          <w:p w14:paraId="2C10E10A" w14:textId="77777777" w:rsidR="00773F7B" w:rsidRPr="00377178" w:rsidRDefault="00773F7B" w:rsidP="00773F7B">
            <w:pPr>
              <w:pStyle w:val="T2"/>
              <w:jc w:val="right"/>
              <w:rPr>
                <w:b/>
              </w:rPr>
            </w:pPr>
            <w:r w:rsidRPr="00377178">
              <w:rPr>
                <w:b/>
              </w:rPr>
              <w:t xml:space="preserve">Total </w:t>
            </w:r>
          </w:p>
          <w:p w14:paraId="1E960B16" w14:textId="77777777" w:rsidR="00773F7B" w:rsidRPr="00377178" w:rsidRDefault="00773F7B" w:rsidP="00773F7B">
            <w:pPr>
              <w:pStyle w:val="T2"/>
              <w:jc w:val="right"/>
              <w:rPr>
                <w:b/>
              </w:rPr>
            </w:pPr>
            <w:r w:rsidRPr="00377178">
              <w:rPr>
                <w:b/>
              </w:rPr>
              <w:t>equity</w:t>
            </w:r>
          </w:p>
        </w:tc>
      </w:tr>
      <w:tr w:rsidR="00773F7B" w14:paraId="419308D3" w14:textId="77777777" w:rsidTr="005B3BEE">
        <w:trPr>
          <w:jc w:val="center"/>
        </w:trPr>
        <w:tc>
          <w:tcPr>
            <w:tcW w:w="4395" w:type="dxa"/>
            <w:tcBorders>
              <w:bottom w:val="single" w:sz="2" w:space="0" w:color="auto"/>
            </w:tcBorders>
            <w:vAlign w:val="bottom"/>
          </w:tcPr>
          <w:p w14:paraId="4FBBA77F" w14:textId="77777777" w:rsidR="00773F7B" w:rsidRPr="00E57F3E" w:rsidRDefault="00773F7B" w:rsidP="00773F7B">
            <w:pPr>
              <w:pStyle w:val="T2"/>
              <w:jc w:val="left"/>
            </w:pPr>
          </w:p>
        </w:tc>
        <w:tc>
          <w:tcPr>
            <w:tcW w:w="709" w:type="dxa"/>
            <w:tcBorders>
              <w:bottom w:val="single" w:sz="2" w:space="0" w:color="auto"/>
            </w:tcBorders>
            <w:vAlign w:val="bottom"/>
          </w:tcPr>
          <w:p w14:paraId="6D159537" w14:textId="77777777" w:rsidR="00773F7B" w:rsidRPr="00377178" w:rsidRDefault="00773F7B" w:rsidP="00773F7B">
            <w:pPr>
              <w:pStyle w:val="T2"/>
              <w:jc w:val="right"/>
              <w:rPr>
                <w:b/>
              </w:rPr>
            </w:pPr>
            <w:r w:rsidRPr="00377178">
              <w:rPr>
                <w:b/>
              </w:rPr>
              <w:t>£m</w:t>
            </w:r>
          </w:p>
        </w:tc>
        <w:tc>
          <w:tcPr>
            <w:tcW w:w="992" w:type="dxa"/>
            <w:tcBorders>
              <w:bottom w:val="single" w:sz="2" w:space="0" w:color="auto"/>
            </w:tcBorders>
            <w:vAlign w:val="bottom"/>
          </w:tcPr>
          <w:p w14:paraId="700A5644" w14:textId="77777777" w:rsidR="00773F7B" w:rsidRPr="00377178" w:rsidRDefault="00773F7B" w:rsidP="00773F7B">
            <w:pPr>
              <w:pStyle w:val="T2"/>
              <w:jc w:val="right"/>
              <w:rPr>
                <w:b/>
              </w:rPr>
            </w:pPr>
            <w:r w:rsidRPr="00377178">
              <w:rPr>
                <w:b/>
              </w:rPr>
              <w:t>£m</w:t>
            </w:r>
          </w:p>
        </w:tc>
        <w:tc>
          <w:tcPr>
            <w:tcW w:w="850" w:type="dxa"/>
            <w:tcBorders>
              <w:bottom w:val="single" w:sz="2" w:space="0" w:color="auto"/>
            </w:tcBorders>
            <w:vAlign w:val="bottom"/>
          </w:tcPr>
          <w:p w14:paraId="579C4F22" w14:textId="77777777" w:rsidR="00773F7B" w:rsidRPr="00377178" w:rsidRDefault="00773F7B" w:rsidP="00773F7B">
            <w:pPr>
              <w:pStyle w:val="T2"/>
              <w:jc w:val="right"/>
              <w:rPr>
                <w:b/>
              </w:rPr>
            </w:pPr>
            <w:r w:rsidRPr="00377178">
              <w:rPr>
                <w:b/>
              </w:rPr>
              <w:t>£m</w:t>
            </w:r>
          </w:p>
        </w:tc>
        <w:tc>
          <w:tcPr>
            <w:tcW w:w="851" w:type="dxa"/>
            <w:tcBorders>
              <w:bottom w:val="single" w:sz="2" w:space="0" w:color="auto"/>
            </w:tcBorders>
            <w:vAlign w:val="bottom"/>
          </w:tcPr>
          <w:p w14:paraId="2294C2DD" w14:textId="77777777" w:rsidR="00773F7B" w:rsidRPr="00377178" w:rsidRDefault="00773F7B" w:rsidP="00773F7B">
            <w:pPr>
              <w:pStyle w:val="T2"/>
              <w:jc w:val="right"/>
              <w:rPr>
                <w:b/>
              </w:rPr>
            </w:pPr>
            <w:r w:rsidRPr="00377178">
              <w:rPr>
                <w:b/>
              </w:rPr>
              <w:t>£m</w:t>
            </w:r>
          </w:p>
        </w:tc>
        <w:tc>
          <w:tcPr>
            <w:tcW w:w="826" w:type="dxa"/>
            <w:tcBorders>
              <w:bottom w:val="single" w:sz="2" w:space="0" w:color="auto"/>
            </w:tcBorders>
            <w:vAlign w:val="bottom"/>
          </w:tcPr>
          <w:p w14:paraId="40046743" w14:textId="77777777" w:rsidR="00773F7B" w:rsidRPr="00377178" w:rsidRDefault="00773F7B" w:rsidP="00773F7B">
            <w:pPr>
              <w:pStyle w:val="T2"/>
              <w:jc w:val="right"/>
              <w:rPr>
                <w:b/>
              </w:rPr>
            </w:pPr>
            <w:r w:rsidRPr="00377178">
              <w:rPr>
                <w:b/>
              </w:rPr>
              <w:t>£m</w:t>
            </w:r>
          </w:p>
        </w:tc>
        <w:tc>
          <w:tcPr>
            <w:tcW w:w="1020" w:type="dxa"/>
            <w:tcBorders>
              <w:bottom w:val="single" w:sz="2" w:space="0" w:color="auto"/>
            </w:tcBorders>
            <w:vAlign w:val="bottom"/>
          </w:tcPr>
          <w:p w14:paraId="03FA3A0E" w14:textId="77777777" w:rsidR="00773F7B" w:rsidRPr="00377178" w:rsidRDefault="00773F7B" w:rsidP="00773F7B">
            <w:pPr>
              <w:pStyle w:val="T2"/>
              <w:jc w:val="right"/>
              <w:rPr>
                <w:b/>
              </w:rPr>
            </w:pPr>
            <w:r w:rsidRPr="00377178">
              <w:rPr>
                <w:b/>
              </w:rPr>
              <w:t>£m</w:t>
            </w:r>
          </w:p>
        </w:tc>
        <w:tc>
          <w:tcPr>
            <w:tcW w:w="847" w:type="dxa"/>
            <w:tcBorders>
              <w:bottom w:val="single" w:sz="2" w:space="0" w:color="auto"/>
            </w:tcBorders>
            <w:vAlign w:val="bottom"/>
          </w:tcPr>
          <w:p w14:paraId="3191CDDB" w14:textId="77777777" w:rsidR="00773F7B" w:rsidRPr="00377178" w:rsidRDefault="00773F7B" w:rsidP="00773F7B">
            <w:pPr>
              <w:pStyle w:val="T2"/>
              <w:jc w:val="right"/>
              <w:rPr>
                <w:b/>
              </w:rPr>
            </w:pPr>
            <w:r w:rsidRPr="00377178">
              <w:rPr>
                <w:b/>
              </w:rPr>
              <w:t>£m</w:t>
            </w:r>
          </w:p>
        </w:tc>
      </w:tr>
      <w:tr w:rsidR="00773F7B" w:rsidRPr="00BD5017" w14:paraId="177FBB88" w14:textId="77777777" w:rsidTr="005B3BEE">
        <w:trPr>
          <w:jc w:val="center"/>
        </w:trPr>
        <w:tc>
          <w:tcPr>
            <w:tcW w:w="4395" w:type="dxa"/>
            <w:tcBorders>
              <w:top w:val="single" w:sz="2" w:space="0" w:color="auto"/>
              <w:bottom w:val="single" w:sz="2" w:space="0" w:color="auto"/>
            </w:tcBorders>
            <w:vAlign w:val="bottom"/>
          </w:tcPr>
          <w:p w14:paraId="40C65E52" w14:textId="77777777" w:rsidR="00773F7B" w:rsidRPr="00B52070" w:rsidRDefault="00773F7B" w:rsidP="002F718C">
            <w:pPr>
              <w:pStyle w:val="T2"/>
              <w:jc w:val="left"/>
              <w:rPr>
                <w:b/>
                <w:bCs/>
              </w:rPr>
            </w:pPr>
            <w:r w:rsidRPr="00B52070">
              <w:rPr>
                <w:b/>
                <w:bCs/>
              </w:rPr>
              <w:t>At 2</w:t>
            </w:r>
            <w:r w:rsidR="002F718C">
              <w:rPr>
                <w:b/>
                <w:bCs/>
              </w:rPr>
              <w:t>5</w:t>
            </w:r>
            <w:r w:rsidRPr="00B52070">
              <w:rPr>
                <w:b/>
                <w:bCs/>
              </w:rPr>
              <w:t xml:space="preserve"> September 20</w:t>
            </w:r>
            <w:r w:rsidR="002F718C">
              <w:rPr>
                <w:b/>
                <w:bCs/>
              </w:rPr>
              <w:t>20</w:t>
            </w:r>
          </w:p>
        </w:tc>
        <w:tc>
          <w:tcPr>
            <w:tcW w:w="709" w:type="dxa"/>
            <w:tcBorders>
              <w:top w:val="single" w:sz="2" w:space="0" w:color="auto"/>
              <w:bottom w:val="single" w:sz="2" w:space="0" w:color="auto"/>
            </w:tcBorders>
            <w:vAlign w:val="bottom"/>
          </w:tcPr>
          <w:p w14:paraId="151D3733" w14:textId="77777777" w:rsidR="00773F7B" w:rsidRPr="00BE7FD5" w:rsidRDefault="00773F7B" w:rsidP="00773F7B">
            <w:pPr>
              <w:pStyle w:val="T2"/>
              <w:jc w:val="right"/>
              <w:rPr>
                <w:b/>
                <w:bCs/>
              </w:rPr>
            </w:pPr>
            <w:r w:rsidRPr="00BE7FD5">
              <w:rPr>
                <w:b/>
                <w:bCs/>
              </w:rPr>
              <w:t>4.5</w:t>
            </w:r>
          </w:p>
        </w:tc>
        <w:tc>
          <w:tcPr>
            <w:tcW w:w="992" w:type="dxa"/>
            <w:tcBorders>
              <w:top w:val="single" w:sz="2" w:space="0" w:color="auto"/>
              <w:bottom w:val="single" w:sz="2" w:space="0" w:color="auto"/>
            </w:tcBorders>
            <w:vAlign w:val="bottom"/>
          </w:tcPr>
          <w:p w14:paraId="1CDB56FA" w14:textId="77777777" w:rsidR="00773F7B" w:rsidRPr="00BE7FD5" w:rsidRDefault="002F718C" w:rsidP="00773F7B">
            <w:pPr>
              <w:pStyle w:val="T2"/>
              <w:jc w:val="right"/>
              <w:rPr>
                <w:b/>
                <w:bCs/>
              </w:rPr>
            </w:pPr>
            <w:r>
              <w:rPr>
                <w:b/>
                <w:bCs/>
              </w:rPr>
              <w:t>0.4</w:t>
            </w:r>
          </w:p>
        </w:tc>
        <w:tc>
          <w:tcPr>
            <w:tcW w:w="850" w:type="dxa"/>
            <w:tcBorders>
              <w:top w:val="single" w:sz="2" w:space="0" w:color="auto"/>
              <w:bottom w:val="single" w:sz="2" w:space="0" w:color="auto"/>
            </w:tcBorders>
            <w:vAlign w:val="bottom"/>
          </w:tcPr>
          <w:p w14:paraId="25A4782F" w14:textId="77777777" w:rsidR="00773F7B" w:rsidRPr="00BD5B9E" w:rsidRDefault="002F718C" w:rsidP="00773F7B">
            <w:pPr>
              <w:pStyle w:val="T2"/>
              <w:jc w:val="right"/>
              <w:rPr>
                <w:b/>
                <w:bCs/>
              </w:rPr>
            </w:pPr>
            <w:r>
              <w:rPr>
                <w:b/>
                <w:bCs/>
              </w:rPr>
              <w:t>123.9</w:t>
            </w:r>
          </w:p>
        </w:tc>
        <w:tc>
          <w:tcPr>
            <w:tcW w:w="851" w:type="dxa"/>
            <w:tcBorders>
              <w:top w:val="single" w:sz="2" w:space="0" w:color="auto"/>
              <w:bottom w:val="single" w:sz="2" w:space="0" w:color="auto"/>
            </w:tcBorders>
            <w:vAlign w:val="bottom"/>
          </w:tcPr>
          <w:p w14:paraId="31A361DE" w14:textId="77777777" w:rsidR="00773F7B" w:rsidRPr="00EA1A7A" w:rsidRDefault="002F718C" w:rsidP="00773F7B">
            <w:pPr>
              <w:pStyle w:val="T2"/>
              <w:jc w:val="right"/>
              <w:rPr>
                <w:b/>
                <w:bCs/>
              </w:rPr>
            </w:pPr>
            <w:r>
              <w:rPr>
                <w:b/>
                <w:bCs/>
              </w:rPr>
              <w:t>147.7</w:t>
            </w:r>
          </w:p>
        </w:tc>
        <w:tc>
          <w:tcPr>
            <w:tcW w:w="826" w:type="dxa"/>
            <w:tcBorders>
              <w:top w:val="single" w:sz="2" w:space="0" w:color="auto"/>
              <w:bottom w:val="single" w:sz="2" w:space="0" w:color="auto"/>
            </w:tcBorders>
            <w:vAlign w:val="bottom"/>
          </w:tcPr>
          <w:p w14:paraId="63EE3D5D" w14:textId="77777777" w:rsidR="00773F7B" w:rsidRPr="00850427" w:rsidRDefault="002F718C" w:rsidP="00773F7B">
            <w:pPr>
              <w:pStyle w:val="T2"/>
              <w:jc w:val="right"/>
              <w:rPr>
                <w:b/>
                <w:bCs/>
              </w:rPr>
            </w:pPr>
            <w:r>
              <w:rPr>
                <w:b/>
                <w:bCs/>
              </w:rPr>
              <w:t>276.5</w:t>
            </w:r>
          </w:p>
        </w:tc>
        <w:tc>
          <w:tcPr>
            <w:tcW w:w="1020" w:type="dxa"/>
            <w:tcBorders>
              <w:top w:val="single" w:sz="2" w:space="0" w:color="auto"/>
              <w:bottom w:val="single" w:sz="2" w:space="0" w:color="auto"/>
            </w:tcBorders>
            <w:vAlign w:val="bottom"/>
          </w:tcPr>
          <w:p w14:paraId="45B51012" w14:textId="77777777" w:rsidR="00773F7B" w:rsidRPr="00313FBC" w:rsidRDefault="002F718C" w:rsidP="00773F7B">
            <w:pPr>
              <w:pStyle w:val="T2"/>
              <w:jc w:val="right"/>
              <w:rPr>
                <w:b/>
                <w:bCs/>
              </w:rPr>
            </w:pPr>
            <w:r>
              <w:rPr>
                <w:b/>
                <w:bCs/>
              </w:rPr>
              <w:t>5.7</w:t>
            </w:r>
          </w:p>
        </w:tc>
        <w:tc>
          <w:tcPr>
            <w:tcW w:w="847" w:type="dxa"/>
            <w:tcBorders>
              <w:top w:val="single" w:sz="2" w:space="0" w:color="auto"/>
              <w:bottom w:val="single" w:sz="2" w:space="0" w:color="auto"/>
            </w:tcBorders>
            <w:vAlign w:val="bottom"/>
          </w:tcPr>
          <w:p w14:paraId="4E3662F9" w14:textId="77777777" w:rsidR="00773F7B" w:rsidRPr="00313FBC" w:rsidRDefault="002F718C" w:rsidP="00773F7B">
            <w:pPr>
              <w:pStyle w:val="T2"/>
              <w:jc w:val="right"/>
              <w:rPr>
                <w:b/>
                <w:bCs/>
              </w:rPr>
            </w:pPr>
            <w:r>
              <w:rPr>
                <w:b/>
                <w:bCs/>
              </w:rPr>
              <w:t>282.2</w:t>
            </w:r>
          </w:p>
        </w:tc>
      </w:tr>
      <w:tr w:rsidR="00773F7B" w:rsidRPr="00C50E20" w14:paraId="456BD91A" w14:textId="77777777" w:rsidTr="006D6AC9">
        <w:trPr>
          <w:jc w:val="center"/>
        </w:trPr>
        <w:tc>
          <w:tcPr>
            <w:tcW w:w="4395" w:type="dxa"/>
            <w:tcBorders>
              <w:top w:val="single" w:sz="2" w:space="0" w:color="auto"/>
            </w:tcBorders>
            <w:vAlign w:val="bottom"/>
          </w:tcPr>
          <w:p w14:paraId="1A4A186A" w14:textId="77777777" w:rsidR="00773F7B" w:rsidRPr="006D6AC9" w:rsidRDefault="00773F7B" w:rsidP="00773F7B">
            <w:pPr>
              <w:pStyle w:val="T2"/>
              <w:jc w:val="left"/>
              <w:rPr>
                <w:b/>
                <w:bCs/>
              </w:rPr>
            </w:pPr>
            <w:r w:rsidRPr="006D6AC9">
              <w:rPr>
                <w:b/>
                <w:bCs/>
              </w:rPr>
              <w:t>Items of income and expense taken directly to equity</w:t>
            </w:r>
          </w:p>
        </w:tc>
        <w:tc>
          <w:tcPr>
            <w:tcW w:w="709" w:type="dxa"/>
            <w:tcBorders>
              <w:top w:val="single" w:sz="2" w:space="0" w:color="auto"/>
            </w:tcBorders>
            <w:vAlign w:val="bottom"/>
          </w:tcPr>
          <w:p w14:paraId="27976357" w14:textId="77777777" w:rsidR="00773F7B" w:rsidRPr="005D0EFF" w:rsidRDefault="00773F7B" w:rsidP="006D6AC9">
            <w:pPr>
              <w:pStyle w:val="T2"/>
              <w:jc w:val="right"/>
              <w:rPr>
                <w:bCs/>
              </w:rPr>
            </w:pPr>
          </w:p>
        </w:tc>
        <w:tc>
          <w:tcPr>
            <w:tcW w:w="992" w:type="dxa"/>
            <w:tcBorders>
              <w:top w:val="single" w:sz="2" w:space="0" w:color="auto"/>
            </w:tcBorders>
            <w:vAlign w:val="bottom"/>
          </w:tcPr>
          <w:p w14:paraId="75CAC95C" w14:textId="77777777" w:rsidR="00773F7B" w:rsidRPr="005D0EFF" w:rsidRDefault="00773F7B" w:rsidP="006D6AC9">
            <w:pPr>
              <w:pStyle w:val="T2"/>
              <w:jc w:val="right"/>
              <w:rPr>
                <w:bCs/>
              </w:rPr>
            </w:pPr>
          </w:p>
        </w:tc>
        <w:tc>
          <w:tcPr>
            <w:tcW w:w="850" w:type="dxa"/>
            <w:tcBorders>
              <w:top w:val="single" w:sz="2" w:space="0" w:color="auto"/>
            </w:tcBorders>
            <w:vAlign w:val="bottom"/>
          </w:tcPr>
          <w:p w14:paraId="7F9BB692" w14:textId="77777777" w:rsidR="00773F7B" w:rsidRPr="005D0EFF" w:rsidRDefault="00773F7B" w:rsidP="006D6AC9">
            <w:pPr>
              <w:pStyle w:val="T2"/>
              <w:jc w:val="right"/>
              <w:rPr>
                <w:bCs/>
              </w:rPr>
            </w:pPr>
          </w:p>
        </w:tc>
        <w:tc>
          <w:tcPr>
            <w:tcW w:w="851" w:type="dxa"/>
            <w:tcBorders>
              <w:top w:val="single" w:sz="2" w:space="0" w:color="auto"/>
            </w:tcBorders>
            <w:vAlign w:val="bottom"/>
          </w:tcPr>
          <w:p w14:paraId="13B7EB77" w14:textId="77777777" w:rsidR="00773F7B" w:rsidRPr="005D0EFF" w:rsidRDefault="00773F7B" w:rsidP="006D6AC9">
            <w:pPr>
              <w:pStyle w:val="T2"/>
              <w:jc w:val="right"/>
              <w:rPr>
                <w:bCs/>
              </w:rPr>
            </w:pPr>
          </w:p>
        </w:tc>
        <w:tc>
          <w:tcPr>
            <w:tcW w:w="826" w:type="dxa"/>
            <w:tcBorders>
              <w:top w:val="single" w:sz="2" w:space="0" w:color="auto"/>
            </w:tcBorders>
            <w:vAlign w:val="bottom"/>
          </w:tcPr>
          <w:p w14:paraId="11D0E16A" w14:textId="77777777" w:rsidR="00773F7B" w:rsidRPr="005D0EFF" w:rsidRDefault="00773F7B" w:rsidP="006D6AC9">
            <w:pPr>
              <w:pStyle w:val="T2"/>
              <w:jc w:val="right"/>
              <w:rPr>
                <w:bCs/>
              </w:rPr>
            </w:pPr>
          </w:p>
        </w:tc>
        <w:tc>
          <w:tcPr>
            <w:tcW w:w="1020" w:type="dxa"/>
            <w:tcBorders>
              <w:top w:val="single" w:sz="2" w:space="0" w:color="auto"/>
            </w:tcBorders>
            <w:vAlign w:val="bottom"/>
          </w:tcPr>
          <w:p w14:paraId="1564674B" w14:textId="77777777" w:rsidR="00773F7B" w:rsidRPr="005D0EFF" w:rsidRDefault="00773F7B" w:rsidP="006D6AC9">
            <w:pPr>
              <w:pStyle w:val="T2"/>
              <w:jc w:val="right"/>
              <w:rPr>
                <w:bCs/>
              </w:rPr>
            </w:pPr>
          </w:p>
        </w:tc>
        <w:tc>
          <w:tcPr>
            <w:tcW w:w="847" w:type="dxa"/>
            <w:tcBorders>
              <w:top w:val="single" w:sz="2" w:space="0" w:color="auto"/>
            </w:tcBorders>
            <w:vAlign w:val="bottom"/>
          </w:tcPr>
          <w:p w14:paraId="47DB5C2C" w14:textId="77777777" w:rsidR="00773F7B" w:rsidRPr="005D0EFF" w:rsidRDefault="00773F7B" w:rsidP="006D6AC9">
            <w:pPr>
              <w:pStyle w:val="T2"/>
              <w:jc w:val="right"/>
              <w:rPr>
                <w:bCs/>
              </w:rPr>
            </w:pPr>
          </w:p>
        </w:tc>
      </w:tr>
      <w:tr w:rsidR="002F718C" w:rsidRPr="00C50E20" w14:paraId="761EDDA8" w14:textId="77777777" w:rsidTr="006D6AC9">
        <w:trPr>
          <w:jc w:val="center"/>
        </w:trPr>
        <w:tc>
          <w:tcPr>
            <w:tcW w:w="4395" w:type="dxa"/>
            <w:vAlign w:val="bottom"/>
          </w:tcPr>
          <w:p w14:paraId="5574A179" w14:textId="77777777" w:rsidR="002F718C" w:rsidRPr="00006931" w:rsidRDefault="002F718C" w:rsidP="002F718C">
            <w:pPr>
              <w:pStyle w:val="T2"/>
              <w:jc w:val="left"/>
              <w:rPr>
                <w:bCs/>
              </w:rPr>
            </w:pPr>
            <w:r w:rsidRPr="00006931">
              <w:rPr>
                <w:bCs/>
              </w:rPr>
              <w:t>Currency translation adjustment</w:t>
            </w:r>
          </w:p>
        </w:tc>
        <w:tc>
          <w:tcPr>
            <w:tcW w:w="709" w:type="dxa"/>
            <w:vAlign w:val="bottom"/>
          </w:tcPr>
          <w:p w14:paraId="76636F6D" w14:textId="77777777" w:rsidR="002F718C" w:rsidRPr="00BB318F" w:rsidRDefault="002F718C" w:rsidP="006D6AC9">
            <w:pPr>
              <w:pStyle w:val="T2"/>
              <w:jc w:val="right"/>
              <w:rPr>
                <w:b/>
                <w:bCs/>
              </w:rPr>
            </w:pPr>
            <w:r w:rsidRPr="008719BA">
              <w:rPr>
                <w:b/>
              </w:rPr>
              <w:t>–</w:t>
            </w:r>
          </w:p>
        </w:tc>
        <w:tc>
          <w:tcPr>
            <w:tcW w:w="992" w:type="dxa"/>
            <w:vAlign w:val="bottom"/>
          </w:tcPr>
          <w:p w14:paraId="5FB6ABF2" w14:textId="77777777" w:rsidR="002F718C" w:rsidRPr="00BB318F" w:rsidRDefault="002F718C" w:rsidP="006D6AC9">
            <w:pPr>
              <w:pStyle w:val="T2"/>
              <w:jc w:val="right"/>
              <w:rPr>
                <w:b/>
                <w:bCs/>
              </w:rPr>
            </w:pPr>
            <w:r w:rsidRPr="008719BA">
              <w:rPr>
                <w:b/>
              </w:rPr>
              <w:t>–</w:t>
            </w:r>
          </w:p>
        </w:tc>
        <w:tc>
          <w:tcPr>
            <w:tcW w:w="850" w:type="dxa"/>
            <w:vAlign w:val="bottom"/>
          </w:tcPr>
          <w:p w14:paraId="7DEF4CC9" w14:textId="77777777" w:rsidR="002F718C" w:rsidRPr="00BB318F" w:rsidRDefault="00AD50AA">
            <w:pPr>
              <w:pStyle w:val="T2"/>
              <w:jc w:val="right"/>
              <w:rPr>
                <w:b/>
                <w:bCs/>
              </w:rPr>
            </w:pPr>
            <w:r>
              <w:rPr>
                <w:b/>
                <w:bCs/>
              </w:rPr>
              <w:t>(3.</w:t>
            </w:r>
            <w:r w:rsidR="00863360">
              <w:rPr>
                <w:b/>
                <w:bCs/>
              </w:rPr>
              <w:t>2</w:t>
            </w:r>
            <w:r>
              <w:rPr>
                <w:b/>
                <w:bCs/>
              </w:rPr>
              <w:t>)</w:t>
            </w:r>
          </w:p>
        </w:tc>
        <w:tc>
          <w:tcPr>
            <w:tcW w:w="851" w:type="dxa"/>
            <w:vAlign w:val="bottom"/>
          </w:tcPr>
          <w:p w14:paraId="6061AE1C" w14:textId="77777777" w:rsidR="002F718C" w:rsidRPr="00BB318F" w:rsidRDefault="00AD50AA" w:rsidP="006D6AC9">
            <w:pPr>
              <w:pStyle w:val="T2"/>
              <w:jc w:val="right"/>
              <w:rPr>
                <w:b/>
                <w:bCs/>
              </w:rPr>
            </w:pPr>
            <w:r w:rsidRPr="008719BA">
              <w:rPr>
                <w:b/>
              </w:rPr>
              <w:t>–</w:t>
            </w:r>
          </w:p>
        </w:tc>
        <w:tc>
          <w:tcPr>
            <w:tcW w:w="826" w:type="dxa"/>
            <w:vAlign w:val="bottom"/>
          </w:tcPr>
          <w:p w14:paraId="1E614203" w14:textId="77777777" w:rsidR="002F718C" w:rsidRPr="00BB318F" w:rsidRDefault="00AD50AA">
            <w:pPr>
              <w:pStyle w:val="T2"/>
              <w:jc w:val="right"/>
              <w:rPr>
                <w:b/>
                <w:bCs/>
              </w:rPr>
            </w:pPr>
            <w:r>
              <w:rPr>
                <w:b/>
                <w:bCs/>
              </w:rPr>
              <w:t>(3.</w:t>
            </w:r>
            <w:r w:rsidR="00863360">
              <w:rPr>
                <w:b/>
                <w:bCs/>
              </w:rPr>
              <w:t>2</w:t>
            </w:r>
            <w:r>
              <w:rPr>
                <w:b/>
                <w:bCs/>
              </w:rPr>
              <w:t>)</w:t>
            </w:r>
          </w:p>
        </w:tc>
        <w:tc>
          <w:tcPr>
            <w:tcW w:w="1020" w:type="dxa"/>
            <w:vAlign w:val="bottom"/>
          </w:tcPr>
          <w:p w14:paraId="142E3EC4" w14:textId="77777777" w:rsidR="002F718C" w:rsidRPr="00BB318F" w:rsidRDefault="00AD50AA" w:rsidP="006D6AC9">
            <w:pPr>
              <w:pStyle w:val="T2"/>
              <w:jc w:val="right"/>
              <w:rPr>
                <w:b/>
                <w:bCs/>
              </w:rPr>
            </w:pPr>
            <w:r>
              <w:rPr>
                <w:b/>
                <w:bCs/>
              </w:rPr>
              <w:t>(0.2)</w:t>
            </w:r>
          </w:p>
        </w:tc>
        <w:tc>
          <w:tcPr>
            <w:tcW w:w="847" w:type="dxa"/>
            <w:vAlign w:val="bottom"/>
          </w:tcPr>
          <w:p w14:paraId="4D2A983B" w14:textId="77777777" w:rsidR="002F718C" w:rsidRPr="00BB318F" w:rsidRDefault="00D439D4">
            <w:pPr>
              <w:pStyle w:val="T2"/>
              <w:jc w:val="right"/>
              <w:rPr>
                <w:b/>
                <w:bCs/>
              </w:rPr>
            </w:pPr>
            <w:r>
              <w:rPr>
                <w:b/>
                <w:bCs/>
              </w:rPr>
              <w:t>(3.</w:t>
            </w:r>
            <w:r w:rsidR="00863360">
              <w:rPr>
                <w:b/>
                <w:bCs/>
              </w:rPr>
              <w:t>4</w:t>
            </w:r>
            <w:r w:rsidR="00AD50AA">
              <w:rPr>
                <w:b/>
                <w:bCs/>
              </w:rPr>
              <w:t>)</w:t>
            </w:r>
          </w:p>
        </w:tc>
      </w:tr>
      <w:tr w:rsidR="006D6AC9" w:rsidRPr="00C50E20" w14:paraId="497B14FB" w14:textId="77777777" w:rsidTr="006D6AC9">
        <w:trPr>
          <w:jc w:val="center"/>
        </w:trPr>
        <w:tc>
          <w:tcPr>
            <w:tcW w:w="4395" w:type="dxa"/>
            <w:vAlign w:val="bottom"/>
          </w:tcPr>
          <w:p w14:paraId="192A6826" w14:textId="77777777" w:rsidR="006D6AC9" w:rsidRPr="00006931" w:rsidRDefault="006D6AC9" w:rsidP="006D6AC9">
            <w:pPr>
              <w:pStyle w:val="T2"/>
              <w:jc w:val="left"/>
              <w:rPr>
                <w:rFonts w:ascii="Calibri" w:hAnsi="Calibri" w:cs="Calibri"/>
                <w:bCs/>
              </w:rPr>
            </w:pPr>
            <w:r w:rsidRPr="00765393">
              <w:t xml:space="preserve">Translation reserve transferred to </w:t>
            </w:r>
            <w:r>
              <w:t>I</w:t>
            </w:r>
            <w:r w:rsidRPr="00765393">
              <w:t xml:space="preserve">ncome </w:t>
            </w:r>
            <w:r>
              <w:t>S</w:t>
            </w:r>
            <w:r w:rsidRPr="00765393">
              <w:t xml:space="preserve">tatement </w:t>
            </w:r>
            <w:r>
              <w:t>on disposal of subsidiary</w:t>
            </w:r>
          </w:p>
        </w:tc>
        <w:tc>
          <w:tcPr>
            <w:tcW w:w="709" w:type="dxa"/>
            <w:vAlign w:val="bottom"/>
          </w:tcPr>
          <w:p w14:paraId="0AEA45DC" w14:textId="77777777" w:rsidR="006D6AC9" w:rsidRPr="008719BA" w:rsidRDefault="006D6AC9" w:rsidP="006D6AC9">
            <w:pPr>
              <w:pStyle w:val="T2"/>
              <w:jc w:val="right"/>
              <w:rPr>
                <w:b/>
              </w:rPr>
            </w:pPr>
            <w:r w:rsidRPr="008719BA">
              <w:rPr>
                <w:b/>
              </w:rPr>
              <w:t>–</w:t>
            </w:r>
          </w:p>
        </w:tc>
        <w:tc>
          <w:tcPr>
            <w:tcW w:w="992" w:type="dxa"/>
            <w:vAlign w:val="bottom"/>
          </w:tcPr>
          <w:p w14:paraId="5886CA68" w14:textId="77777777" w:rsidR="006D6AC9" w:rsidRPr="008719BA" w:rsidRDefault="006D6AC9" w:rsidP="006D6AC9">
            <w:pPr>
              <w:pStyle w:val="T2"/>
              <w:jc w:val="right"/>
              <w:rPr>
                <w:b/>
              </w:rPr>
            </w:pPr>
            <w:r w:rsidRPr="008719BA">
              <w:rPr>
                <w:b/>
              </w:rPr>
              <w:t>–</w:t>
            </w:r>
          </w:p>
        </w:tc>
        <w:tc>
          <w:tcPr>
            <w:tcW w:w="850" w:type="dxa"/>
            <w:vAlign w:val="bottom"/>
          </w:tcPr>
          <w:p w14:paraId="460FEE8B" w14:textId="77777777" w:rsidR="006D6AC9" w:rsidRPr="008719BA" w:rsidRDefault="00AD50AA" w:rsidP="006D6AC9">
            <w:pPr>
              <w:pStyle w:val="T2"/>
              <w:jc w:val="right"/>
              <w:rPr>
                <w:b/>
              </w:rPr>
            </w:pPr>
            <w:r>
              <w:rPr>
                <w:b/>
              </w:rPr>
              <w:t>(1.0)</w:t>
            </w:r>
          </w:p>
        </w:tc>
        <w:tc>
          <w:tcPr>
            <w:tcW w:w="851" w:type="dxa"/>
            <w:vAlign w:val="bottom"/>
          </w:tcPr>
          <w:p w14:paraId="6C3F2083" w14:textId="77777777" w:rsidR="006D6AC9" w:rsidRPr="008719BA" w:rsidRDefault="006D6AC9" w:rsidP="006D6AC9">
            <w:pPr>
              <w:pStyle w:val="T2"/>
              <w:jc w:val="right"/>
              <w:rPr>
                <w:b/>
              </w:rPr>
            </w:pPr>
            <w:r w:rsidRPr="008719BA">
              <w:rPr>
                <w:b/>
              </w:rPr>
              <w:t>–</w:t>
            </w:r>
          </w:p>
        </w:tc>
        <w:tc>
          <w:tcPr>
            <w:tcW w:w="826" w:type="dxa"/>
            <w:vAlign w:val="bottom"/>
          </w:tcPr>
          <w:p w14:paraId="4CCF2F82" w14:textId="77777777" w:rsidR="006D6AC9" w:rsidRPr="008719BA" w:rsidRDefault="00AD50AA" w:rsidP="006D6AC9">
            <w:pPr>
              <w:pStyle w:val="T2"/>
              <w:jc w:val="right"/>
              <w:rPr>
                <w:b/>
              </w:rPr>
            </w:pPr>
            <w:r>
              <w:rPr>
                <w:b/>
              </w:rPr>
              <w:t>(1.0)</w:t>
            </w:r>
          </w:p>
        </w:tc>
        <w:tc>
          <w:tcPr>
            <w:tcW w:w="1020" w:type="dxa"/>
            <w:vAlign w:val="bottom"/>
          </w:tcPr>
          <w:p w14:paraId="435E7A0C" w14:textId="77777777" w:rsidR="006D6AC9" w:rsidRPr="008719BA" w:rsidRDefault="006D6AC9" w:rsidP="006D6AC9">
            <w:pPr>
              <w:pStyle w:val="T2"/>
              <w:jc w:val="right"/>
              <w:rPr>
                <w:b/>
              </w:rPr>
            </w:pPr>
            <w:r w:rsidRPr="008719BA">
              <w:rPr>
                <w:b/>
              </w:rPr>
              <w:t>–</w:t>
            </w:r>
          </w:p>
        </w:tc>
        <w:tc>
          <w:tcPr>
            <w:tcW w:w="847" w:type="dxa"/>
            <w:vAlign w:val="bottom"/>
          </w:tcPr>
          <w:p w14:paraId="1A7D06D0" w14:textId="77777777" w:rsidR="006D6AC9" w:rsidRPr="008719BA" w:rsidRDefault="00AD50AA" w:rsidP="006D6AC9">
            <w:pPr>
              <w:pStyle w:val="T2"/>
              <w:jc w:val="right"/>
              <w:rPr>
                <w:b/>
              </w:rPr>
            </w:pPr>
            <w:r>
              <w:rPr>
                <w:b/>
              </w:rPr>
              <w:t>(1.0)</w:t>
            </w:r>
          </w:p>
        </w:tc>
      </w:tr>
      <w:tr w:rsidR="00AD50AA" w:rsidRPr="00C50E20" w14:paraId="239BFA57" w14:textId="77777777" w:rsidTr="006D6AC9">
        <w:trPr>
          <w:jc w:val="center"/>
        </w:trPr>
        <w:tc>
          <w:tcPr>
            <w:tcW w:w="4395" w:type="dxa"/>
            <w:vAlign w:val="bottom"/>
          </w:tcPr>
          <w:p w14:paraId="11E0BC99" w14:textId="77777777" w:rsidR="00AD50AA" w:rsidRPr="00006931" w:rsidRDefault="00AD50AA" w:rsidP="00AD50AA">
            <w:pPr>
              <w:pStyle w:val="T2"/>
              <w:jc w:val="left"/>
              <w:rPr>
                <w:rFonts w:ascii="Calibri" w:hAnsi="Calibri" w:cs="Calibri"/>
                <w:bCs/>
              </w:rPr>
            </w:pPr>
            <w:r>
              <w:rPr>
                <w:rFonts w:ascii="Calibri" w:hAnsi="Calibri" w:cs="Calibri"/>
                <w:bCs/>
              </w:rPr>
              <w:t xml:space="preserve">Non-controlling interest transferred to Income Statement on disposal of subsidiary </w:t>
            </w:r>
          </w:p>
        </w:tc>
        <w:tc>
          <w:tcPr>
            <w:tcW w:w="709" w:type="dxa"/>
            <w:vAlign w:val="bottom"/>
          </w:tcPr>
          <w:p w14:paraId="75B00422" w14:textId="77777777" w:rsidR="00AD50AA" w:rsidRPr="008719BA" w:rsidRDefault="00AD50AA" w:rsidP="00AD50AA">
            <w:pPr>
              <w:pStyle w:val="T2"/>
              <w:jc w:val="right"/>
              <w:rPr>
                <w:b/>
              </w:rPr>
            </w:pPr>
            <w:r w:rsidRPr="008719BA">
              <w:rPr>
                <w:b/>
              </w:rPr>
              <w:t>–</w:t>
            </w:r>
          </w:p>
        </w:tc>
        <w:tc>
          <w:tcPr>
            <w:tcW w:w="992" w:type="dxa"/>
            <w:vAlign w:val="bottom"/>
          </w:tcPr>
          <w:p w14:paraId="7C9B8249" w14:textId="77777777" w:rsidR="00AD50AA" w:rsidRPr="008719BA" w:rsidRDefault="00AD50AA" w:rsidP="00AD50AA">
            <w:pPr>
              <w:pStyle w:val="T2"/>
              <w:jc w:val="right"/>
              <w:rPr>
                <w:b/>
              </w:rPr>
            </w:pPr>
            <w:r w:rsidRPr="008719BA">
              <w:rPr>
                <w:b/>
              </w:rPr>
              <w:t>–</w:t>
            </w:r>
          </w:p>
        </w:tc>
        <w:tc>
          <w:tcPr>
            <w:tcW w:w="850" w:type="dxa"/>
            <w:vAlign w:val="bottom"/>
          </w:tcPr>
          <w:p w14:paraId="74E2271F" w14:textId="77777777" w:rsidR="00AD50AA" w:rsidRPr="008719BA" w:rsidRDefault="00AD50AA" w:rsidP="00AD50AA">
            <w:pPr>
              <w:pStyle w:val="T2"/>
              <w:jc w:val="right"/>
              <w:rPr>
                <w:b/>
              </w:rPr>
            </w:pPr>
            <w:r w:rsidRPr="008719BA">
              <w:rPr>
                <w:b/>
              </w:rPr>
              <w:t>–</w:t>
            </w:r>
          </w:p>
        </w:tc>
        <w:tc>
          <w:tcPr>
            <w:tcW w:w="851" w:type="dxa"/>
            <w:vAlign w:val="bottom"/>
          </w:tcPr>
          <w:p w14:paraId="2303D32A" w14:textId="77777777" w:rsidR="00AD50AA" w:rsidRPr="008719BA" w:rsidRDefault="00AD50AA" w:rsidP="00AD50AA">
            <w:pPr>
              <w:pStyle w:val="T2"/>
              <w:jc w:val="right"/>
              <w:rPr>
                <w:b/>
              </w:rPr>
            </w:pPr>
            <w:r w:rsidRPr="008719BA">
              <w:rPr>
                <w:b/>
              </w:rPr>
              <w:t>–</w:t>
            </w:r>
          </w:p>
        </w:tc>
        <w:tc>
          <w:tcPr>
            <w:tcW w:w="826" w:type="dxa"/>
            <w:vAlign w:val="bottom"/>
          </w:tcPr>
          <w:p w14:paraId="64C8B252" w14:textId="77777777" w:rsidR="00AD50AA" w:rsidRPr="008719BA" w:rsidRDefault="00AD50AA" w:rsidP="00AD50AA">
            <w:pPr>
              <w:pStyle w:val="T2"/>
              <w:jc w:val="right"/>
              <w:rPr>
                <w:b/>
              </w:rPr>
            </w:pPr>
            <w:r w:rsidRPr="008719BA">
              <w:rPr>
                <w:b/>
              </w:rPr>
              <w:t>–</w:t>
            </w:r>
          </w:p>
        </w:tc>
        <w:tc>
          <w:tcPr>
            <w:tcW w:w="1020" w:type="dxa"/>
            <w:vAlign w:val="bottom"/>
          </w:tcPr>
          <w:p w14:paraId="026DD93F" w14:textId="77777777" w:rsidR="00AD50AA" w:rsidRPr="008719BA" w:rsidRDefault="00AD50AA" w:rsidP="00AD50AA">
            <w:pPr>
              <w:pStyle w:val="T2"/>
              <w:jc w:val="right"/>
              <w:rPr>
                <w:b/>
              </w:rPr>
            </w:pPr>
            <w:r>
              <w:rPr>
                <w:b/>
              </w:rPr>
              <w:t>(5.8)</w:t>
            </w:r>
          </w:p>
        </w:tc>
        <w:tc>
          <w:tcPr>
            <w:tcW w:w="847" w:type="dxa"/>
            <w:vAlign w:val="bottom"/>
          </w:tcPr>
          <w:p w14:paraId="4B33F71D" w14:textId="77777777" w:rsidR="00AD50AA" w:rsidRPr="008719BA" w:rsidRDefault="00AD50AA" w:rsidP="00AD50AA">
            <w:pPr>
              <w:pStyle w:val="T2"/>
              <w:jc w:val="right"/>
              <w:rPr>
                <w:b/>
              </w:rPr>
            </w:pPr>
            <w:r>
              <w:rPr>
                <w:b/>
              </w:rPr>
              <w:t>(5.8)</w:t>
            </w:r>
          </w:p>
        </w:tc>
      </w:tr>
      <w:tr w:rsidR="00AD50AA" w:rsidRPr="00C50E20" w14:paraId="1770A9E2" w14:textId="77777777" w:rsidTr="006D6AC9">
        <w:trPr>
          <w:jc w:val="center"/>
        </w:trPr>
        <w:tc>
          <w:tcPr>
            <w:tcW w:w="4395" w:type="dxa"/>
            <w:vAlign w:val="bottom"/>
          </w:tcPr>
          <w:p w14:paraId="31DFAE2D" w14:textId="77777777" w:rsidR="00AD50AA" w:rsidRPr="00006931" w:rsidRDefault="00AD50AA" w:rsidP="00AD50AA">
            <w:pPr>
              <w:pStyle w:val="T2"/>
              <w:jc w:val="left"/>
              <w:rPr>
                <w:rFonts w:ascii="Calibri" w:hAnsi="Calibri" w:cs="Calibri"/>
                <w:bCs/>
              </w:rPr>
            </w:pPr>
            <w:r w:rsidRPr="00006931">
              <w:rPr>
                <w:rFonts w:ascii="Calibri" w:hAnsi="Calibri" w:cs="Calibri"/>
                <w:bCs/>
              </w:rPr>
              <w:t>Cashflow hedge fair value movement taken to equity</w:t>
            </w:r>
          </w:p>
        </w:tc>
        <w:tc>
          <w:tcPr>
            <w:tcW w:w="709" w:type="dxa"/>
            <w:vAlign w:val="bottom"/>
          </w:tcPr>
          <w:p w14:paraId="6D29D4A1" w14:textId="77777777" w:rsidR="00AD50AA" w:rsidRPr="00BB318F" w:rsidRDefault="00AD50AA" w:rsidP="00AD50AA">
            <w:pPr>
              <w:pStyle w:val="T2"/>
              <w:jc w:val="right"/>
              <w:rPr>
                <w:rFonts w:ascii="Calibri" w:hAnsi="Calibri" w:cs="Calibri"/>
                <w:b/>
                <w:bCs/>
              </w:rPr>
            </w:pPr>
            <w:r w:rsidRPr="008719BA">
              <w:rPr>
                <w:b/>
              </w:rPr>
              <w:t>–</w:t>
            </w:r>
          </w:p>
        </w:tc>
        <w:tc>
          <w:tcPr>
            <w:tcW w:w="992" w:type="dxa"/>
            <w:vAlign w:val="bottom"/>
          </w:tcPr>
          <w:p w14:paraId="78CF0DFC" w14:textId="77777777" w:rsidR="00AD50AA" w:rsidRPr="00BB318F" w:rsidRDefault="00AD50AA" w:rsidP="00AD50AA">
            <w:pPr>
              <w:pStyle w:val="T2"/>
              <w:jc w:val="right"/>
              <w:rPr>
                <w:rFonts w:ascii="Calibri" w:hAnsi="Calibri" w:cs="Calibri"/>
                <w:b/>
                <w:bCs/>
              </w:rPr>
            </w:pPr>
            <w:r w:rsidRPr="008719BA">
              <w:rPr>
                <w:b/>
              </w:rPr>
              <w:t>–</w:t>
            </w:r>
          </w:p>
        </w:tc>
        <w:tc>
          <w:tcPr>
            <w:tcW w:w="850" w:type="dxa"/>
            <w:vAlign w:val="bottom"/>
          </w:tcPr>
          <w:p w14:paraId="3A587329" w14:textId="77777777" w:rsidR="00AD50AA" w:rsidRPr="00BB318F" w:rsidRDefault="00AD50AA" w:rsidP="00D439D4">
            <w:pPr>
              <w:pStyle w:val="T2"/>
              <w:jc w:val="right"/>
              <w:rPr>
                <w:rFonts w:ascii="Calibri" w:hAnsi="Calibri" w:cs="Calibri"/>
                <w:b/>
                <w:bCs/>
              </w:rPr>
            </w:pPr>
            <w:r>
              <w:rPr>
                <w:rFonts w:ascii="Calibri" w:hAnsi="Calibri" w:cs="Calibri"/>
                <w:b/>
                <w:bCs/>
              </w:rPr>
              <w:t>(0.</w:t>
            </w:r>
            <w:r w:rsidR="000F1ADC">
              <w:rPr>
                <w:rFonts w:ascii="Calibri" w:hAnsi="Calibri" w:cs="Calibri"/>
                <w:b/>
                <w:bCs/>
              </w:rPr>
              <w:t>8</w:t>
            </w:r>
            <w:r>
              <w:rPr>
                <w:rFonts w:ascii="Calibri" w:hAnsi="Calibri" w:cs="Calibri"/>
                <w:b/>
                <w:bCs/>
              </w:rPr>
              <w:t>)</w:t>
            </w:r>
          </w:p>
        </w:tc>
        <w:tc>
          <w:tcPr>
            <w:tcW w:w="851" w:type="dxa"/>
            <w:vAlign w:val="bottom"/>
          </w:tcPr>
          <w:p w14:paraId="6E46B40C" w14:textId="77777777" w:rsidR="00AD50AA" w:rsidRPr="00BB318F" w:rsidRDefault="00AD50AA" w:rsidP="00AD50AA">
            <w:pPr>
              <w:pStyle w:val="T2"/>
              <w:jc w:val="right"/>
              <w:rPr>
                <w:rFonts w:ascii="Calibri" w:hAnsi="Calibri" w:cs="Calibri"/>
                <w:b/>
                <w:bCs/>
              </w:rPr>
            </w:pPr>
            <w:r w:rsidRPr="008719BA">
              <w:rPr>
                <w:b/>
              </w:rPr>
              <w:t>–</w:t>
            </w:r>
          </w:p>
        </w:tc>
        <w:tc>
          <w:tcPr>
            <w:tcW w:w="826" w:type="dxa"/>
            <w:vAlign w:val="bottom"/>
          </w:tcPr>
          <w:p w14:paraId="29762D7E" w14:textId="77777777" w:rsidR="00AD50AA" w:rsidRPr="00BB318F" w:rsidRDefault="00AD50AA">
            <w:pPr>
              <w:pStyle w:val="T2"/>
              <w:jc w:val="right"/>
              <w:rPr>
                <w:rFonts w:ascii="Calibri" w:hAnsi="Calibri" w:cs="Calibri"/>
                <w:b/>
                <w:bCs/>
              </w:rPr>
            </w:pPr>
            <w:r>
              <w:rPr>
                <w:rFonts w:ascii="Calibri" w:hAnsi="Calibri" w:cs="Calibri"/>
                <w:b/>
                <w:bCs/>
              </w:rPr>
              <w:t>(0.</w:t>
            </w:r>
            <w:r w:rsidR="000F1ADC">
              <w:rPr>
                <w:rFonts w:ascii="Calibri" w:hAnsi="Calibri" w:cs="Calibri"/>
                <w:b/>
                <w:bCs/>
              </w:rPr>
              <w:t>8</w:t>
            </w:r>
            <w:r>
              <w:rPr>
                <w:rFonts w:ascii="Calibri" w:hAnsi="Calibri" w:cs="Calibri"/>
                <w:b/>
                <w:bCs/>
              </w:rPr>
              <w:t>)</w:t>
            </w:r>
          </w:p>
        </w:tc>
        <w:tc>
          <w:tcPr>
            <w:tcW w:w="1020" w:type="dxa"/>
            <w:vAlign w:val="bottom"/>
          </w:tcPr>
          <w:p w14:paraId="35BBFB70" w14:textId="77777777" w:rsidR="00AD50AA" w:rsidRPr="00BB318F" w:rsidRDefault="00AD50AA" w:rsidP="00AD50AA">
            <w:pPr>
              <w:pStyle w:val="T2"/>
              <w:jc w:val="right"/>
              <w:rPr>
                <w:rFonts w:ascii="Calibri" w:hAnsi="Calibri" w:cs="Calibri"/>
                <w:b/>
                <w:bCs/>
              </w:rPr>
            </w:pPr>
            <w:r w:rsidRPr="008719BA">
              <w:rPr>
                <w:b/>
              </w:rPr>
              <w:t>–</w:t>
            </w:r>
          </w:p>
        </w:tc>
        <w:tc>
          <w:tcPr>
            <w:tcW w:w="847" w:type="dxa"/>
            <w:vAlign w:val="bottom"/>
          </w:tcPr>
          <w:p w14:paraId="07A9C82A" w14:textId="77777777" w:rsidR="00AD50AA" w:rsidRPr="00BB318F" w:rsidRDefault="00AD50AA" w:rsidP="00D439D4">
            <w:pPr>
              <w:pStyle w:val="T2"/>
              <w:jc w:val="right"/>
              <w:rPr>
                <w:rFonts w:ascii="Calibri" w:hAnsi="Calibri" w:cs="Calibri"/>
                <w:b/>
                <w:bCs/>
              </w:rPr>
            </w:pPr>
            <w:r>
              <w:rPr>
                <w:rFonts w:ascii="Calibri" w:hAnsi="Calibri" w:cs="Calibri"/>
                <w:b/>
                <w:bCs/>
              </w:rPr>
              <w:t>(0.</w:t>
            </w:r>
            <w:r w:rsidR="000F1ADC">
              <w:rPr>
                <w:rFonts w:ascii="Calibri" w:hAnsi="Calibri" w:cs="Calibri"/>
                <w:b/>
                <w:bCs/>
              </w:rPr>
              <w:t>8</w:t>
            </w:r>
            <w:r>
              <w:rPr>
                <w:rFonts w:ascii="Calibri" w:hAnsi="Calibri" w:cs="Calibri"/>
                <w:b/>
                <w:bCs/>
              </w:rPr>
              <w:t>)</w:t>
            </w:r>
          </w:p>
        </w:tc>
      </w:tr>
      <w:tr w:rsidR="00AD50AA" w:rsidRPr="00C50E20" w14:paraId="36B3E6E0" w14:textId="77777777" w:rsidTr="006D6AC9">
        <w:trPr>
          <w:jc w:val="center"/>
        </w:trPr>
        <w:tc>
          <w:tcPr>
            <w:tcW w:w="4395" w:type="dxa"/>
            <w:vAlign w:val="bottom"/>
          </w:tcPr>
          <w:p w14:paraId="58320689" w14:textId="77777777" w:rsidR="00AD50AA" w:rsidRPr="00006931" w:rsidRDefault="00AD50AA" w:rsidP="00AD50AA">
            <w:pPr>
              <w:pStyle w:val="T2"/>
              <w:jc w:val="left"/>
              <w:rPr>
                <w:rFonts w:ascii="Calibri" w:hAnsi="Calibri" w:cs="Calibri"/>
                <w:bCs/>
              </w:rPr>
            </w:pPr>
            <w:r w:rsidRPr="00006931">
              <w:rPr>
                <w:rFonts w:ascii="Calibri" w:hAnsi="Calibri" w:cs="Calibri"/>
                <w:bCs/>
              </w:rPr>
              <w:t>Cashflow hedge transferred to Income Statement</w:t>
            </w:r>
          </w:p>
        </w:tc>
        <w:tc>
          <w:tcPr>
            <w:tcW w:w="709" w:type="dxa"/>
            <w:vAlign w:val="bottom"/>
          </w:tcPr>
          <w:p w14:paraId="1231A1E5" w14:textId="77777777" w:rsidR="00AD50AA" w:rsidRPr="00BB318F" w:rsidRDefault="00AD50AA" w:rsidP="00AD50AA">
            <w:pPr>
              <w:pStyle w:val="T2"/>
              <w:jc w:val="right"/>
              <w:rPr>
                <w:rFonts w:ascii="Calibri" w:hAnsi="Calibri" w:cs="Calibri"/>
                <w:b/>
                <w:bCs/>
              </w:rPr>
            </w:pPr>
            <w:r w:rsidRPr="008719BA">
              <w:rPr>
                <w:b/>
              </w:rPr>
              <w:t>–</w:t>
            </w:r>
          </w:p>
        </w:tc>
        <w:tc>
          <w:tcPr>
            <w:tcW w:w="992" w:type="dxa"/>
            <w:vAlign w:val="bottom"/>
          </w:tcPr>
          <w:p w14:paraId="151C85CB" w14:textId="77777777" w:rsidR="00AD50AA" w:rsidRPr="00BB318F" w:rsidRDefault="00AD50AA" w:rsidP="00AD50AA">
            <w:pPr>
              <w:pStyle w:val="T2"/>
              <w:jc w:val="right"/>
              <w:rPr>
                <w:rFonts w:ascii="Calibri" w:hAnsi="Calibri" w:cs="Calibri"/>
                <w:b/>
                <w:bCs/>
              </w:rPr>
            </w:pPr>
            <w:r w:rsidRPr="008719BA">
              <w:rPr>
                <w:b/>
              </w:rPr>
              <w:t>–</w:t>
            </w:r>
          </w:p>
        </w:tc>
        <w:tc>
          <w:tcPr>
            <w:tcW w:w="850" w:type="dxa"/>
            <w:vAlign w:val="bottom"/>
          </w:tcPr>
          <w:p w14:paraId="024567AF" w14:textId="77777777" w:rsidR="00AD50AA" w:rsidRPr="00BB318F" w:rsidRDefault="00D439D4">
            <w:pPr>
              <w:pStyle w:val="T2"/>
              <w:jc w:val="right"/>
              <w:rPr>
                <w:rFonts w:ascii="Calibri" w:hAnsi="Calibri" w:cs="Calibri"/>
                <w:b/>
                <w:bCs/>
              </w:rPr>
            </w:pPr>
            <w:r>
              <w:rPr>
                <w:b/>
              </w:rPr>
              <w:t>0.</w:t>
            </w:r>
            <w:r w:rsidR="000F1ADC">
              <w:rPr>
                <w:b/>
              </w:rPr>
              <w:t>6</w:t>
            </w:r>
          </w:p>
        </w:tc>
        <w:tc>
          <w:tcPr>
            <w:tcW w:w="851" w:type="dxa"/>
            <w:vAlign w:val="bottom"/>
          </w:tcPr>
          <w:p w14:paraId="3BA75B1F" w14:textId="77777777" w:rsidR="00AD50AA" w:rsidRPr="00BB318F" w:rsidRDefault="00AD50AA" w:rsidP="00AD50AA">
            <w:pPr>
              <w:pStyle w:val="T2"/>
              <w:jc w:val="right"/>
              <w:rPr>
                <w:rFonts w:ascii="Calibri" w:hAnsi="Calibri" w:cs="Calibri"/>
                <w:b/>
                <w:bCs/>
              </w:rPr>
            </w:pPr>
            <w:r w:rsidRPr="008719BA">
              <w:rPr>
                <w:b/>
              </w:rPr>
              <w:t>–</w:t>
            </w:r>
          </w:p>
        </w:tc>
        <w:tc>
          <w:tcPr>
            <w:tcW w:w="826" w:type="dxa"/>
            <w:vAlign w:val="bottom"/>
          </w:tcPr>
          <w:p w14:paraId="1E5F9719" w14:textId="77777777" w:rsidR="00AD50AA" w:rsidRPr="00BB318F" w:rsidRDefault="00D439D4" w:rsidP="0041734A">
            <w:pPr>
              <w:pStyle w:val="T2"/>
              <w:jc w:val="right"/>
              <w:rPr>
                <w:rFonts w:ascii="Calibri" w:hAnsi="Calibri" w:cs="Calibri"/>
                <w:b/>
                <w:bCs/>
              </w:rPr>
            </w:pPr>
            <w:r>
              <w:rPr>
                <w:b/>
              </w:rPr>
              <w:t>0.</w:t>
            </w:r>
            <w:r w:rsidR="000F1ADC">
              <w:rPr>
                <w:b/>
              </w:rPr>
              <w:t>6</w:t>
            </w:r>
          </w:p>
        </w:tc>
        <w:tc>
          <w:tcPr>
            <w:tcW w:w="1020" w:type="dxa"/>
            <w:vAlign w:val="bottom"/>
          </w:tcPr>
          <w:p w14:paraId="5434549A" w14:textId="77777777" w:rsidR="00AD50AA" w:rsidRPr="00BB318F" w:rsidRDefault="00AD50AA" w:rsidP="00AD50AA">
            <w:pPr>
              <w:pStyle w:val="T2"/>
              <w:jc w:val="right"/>
              <w:rPr>
                <w:rFonts w:ascii="Calibri" w:hAnsi="Calibri" w:cs="Calibri"/>
                <w:b/>
                <w:bCs/>
              </w:rPr>
            </w:pPr>
            <w:r w:rsidRPr="008719BA">
              <w:rPr>
                <w:b/>
              </w:rPr>
              <w:t>–</w:t>
            </w:r>
          </w:p>
        </w:tc>
        <w:tc>
          <w:tcPr>
            <w:tcW w:w="847" w:type="dxa"/>
            <w:vAlign w:val="bottom"/>
          </w:tcPr>
          <w:p w14:paraId="769E6C76" w14:textId="77777777" w:rsidR="00AD50AA" w:rsidRPr="00BB318F" w:rsidRDefault="00D439D4">
            <w:pPr>
              <w:pStyle w:val="T2"/>
              <w:jc w:val="right"/>
              <w:rPr>
                <w:rFonts w:ascii="Calibri" w:hAnsi="Calibri" w:cs="Calibri"/>
                <w:b/>
                <w:bCs/>
              </w:rPr>
            </w:pPr>
            <w:r>
              <w:rPr>
                <w:b/>
              </w:rPr>
              <w:t>0.</w:t>
            </w:r>
            <w:r w:rsidR="000F1ADC">
              <w:rPr>
                <w:b/>
              </w:rPr>
              <w:t>6</w:t>
            </w:r>
          </w:p>
        </w:tc>
      </w:tr>
      <w:tr w:rsidR="00AD50AA" w:rsidRPr="00C50E20" w14:paraId="6118F7A3" w14:textId="77777777" w:rsidTr="006D6AC9">
        <w:trPr>
          <w:jc w:val="center"/>
        </w:trPr>
        <w:tc>
          <w:tcPr>
            <w:tcW w:w="4395" w:type="dxa"/>
            <w:vAlign w:val="bottom"/>
          </w:tcPr>
          <w:p w14:paraId="2EACEA88" w14:textId="77777777" w:rsidR="00AD50AA" w:rsidRPr="005D0EFF" w:rsidRDefault="00AD50AA" w:rsidP="00AD50AA">
            <w:pPr>
              <w:pStyle w:val="T2"/>
              <w:jc w:val="left"/>
              <w:rPr>
                <w:rFonts w:ascii="Calibri" w:hAnsi="Calibri" w:cs="Calibri"/>
                <w:bCs/>
              </w:rPr>
            </w:pPr>
            <w:r w:rsidRPr="00006931">
              <w:rPr>
                <w:rFonts w:ascii="Calibri" w:hAnsi="Calibri" w:cs="Calibri"/>
                <w:bCs/>
              </w:rPr>
              <w:t xml:space="preserve">Actuarial </w:t>
            </w:r>
            <w:r>
              <w:rPr>
                <w:rFonts w:ascii="Calibri" w:hAnsi="Calibri" w:cs="Calibri"/>
                <w:bCs/>
              </w:rPr>
              <w:t>gain</w:t>
            </w:r>
            <w:r w:rsidRPr="00006931">
              <w:rPr>
                <w:rFonts w:ascii="Calibri" w:hAnsi="Calibri" w:cs="Calibri"/>
                <w:bCs/>
              </w:rPr>
              <w:t xml:space="preserve"> on Group legacy defined benefit pension schemes</w:t>
            </w:r>
          </w:p>
        </w:tc>
        <w:tc>
          <w:tcPr>
            <w:tcW w:w="709" w:type="dxa"/>
            <w:vAlign w:val="bottom"/>
          </w:tcPr>
          <w:p w14:paraId="3AAE1E00" w14:textId="77777777" w:rsidR="00AD50AA" w:rsidRPr="00BB318F" w:rsidRDefault="00AD50AA" w:rsidP="00AD50AA">
            <w:pPr>
              <w:pStyle w:val="T2"/>
              <w:jc w:val="right"/>
              <w:rPr>
                <w:b/>
                <w:bCs/>
              </w:rPr>
            </w:pPr>
            <w:r w:rsidRPr="008719BA">
              <w:rPr>
                <w:b/>
              </w:rPr>
              <w:t>–</w:t>
            </w:r>
          </w:p>
        </w:tc>
        <w:tc>
          <w:tcPr>
            <w:tcW w:w="992" w:type="dxa"/>
            <w:vAlign w:val="bottom"/>
          </w:tcPr>
          <w:p w14:paraId="44C1C17D" w14:textId="77777777" w:rsidR="00AD50AA" w:rsidRPr="00BB318F" w:rsidRDefault="00AD50AA" w:rsidP="00AD50AA">
            <w:pPr>
              <w:pStyle w:val="T2"/>
              <w:jc w:val="right"/>
              <w:rPr>
                <w:b/>
                <w:bCs/>
              </w:rPr>
            </w:pPr>
            <w:r w:rsidRPr="008719BA">
              <w:rPr>
                <w:b/>
              </w:rPr>
              <w:t>–</w:t>
            </w:r>
          </w:p>
        </w:tc>
        <w:tc>
          <w:tcPr>
            <w:tcW w:w="850" w:type="dxa"/>
            <w:vAlign w:val="bottom"/>
          </w:tcPr>
          <w:p w14:paraId="5828A9EE" w14:textId="77777777" w:rsidR="00AD50AA" w:rsidRPr="00BB318F" w:rsidRDefault="00AD50AA" w:rsidP="00AD50AA">
            <w:pPr>
              <w:pStyle w:val="T2"/>
              <w:jc w:val="right"/>
              <w:rPr>
                <w:b/>
                <w:bCs/>
              </w:rPr>
            </w:pPr>
            <w:r w:rsidRPr="008719BA">
              <w:rPr>
                <w:b/>
              </w:rPr>
              <w:t>–</w:t>
            </w:r>
          </w:p>
        </w:tc>
        <w:tc>
          <w:tcPr>
            <w:tcW w:w="851" w:type="dxa"/>
            <w:vAlign w:val="bottom"/>
          </w:tcPr>
          <w:p w14:paraId="2B0C0147" w14:textId="77777777" w:rsidR="00AD50AA" w:rsidRPr="00BB318F" w:rsidRDefault="00AD50AA" w:rsidP="00AD50AA">
            <w:pPr>
              <w:pStyle w:val="T2"/>
              <w:jc w:val="right"/>
              <w:rPr>
                <w:b/>
                <w:bCs/>
              </w:rPr>
            </w:pPr>
            <w:r>
              <w:rPr>
                <w:b/>
              </w:rPr>
              <w:t>12.6</w:t>
            </w:r>
          </w:p>
        </w:tc>
        <w:tc>
          <w:tcPr>
            <w:tcW w:w="826" w:type="dxa"/>
            <w:vAlign w:val="bottom"/>
          </w:tcPr>
          <w:p w14:paraId="0699D744" w14:textId="77777777" w:rsidR="00AD50AA" w:rsidRPr="00BB318F" w:rsidRDefault="00AD50AA" w:rsidP="00AD50AA">
            <w:pPr>
              <w:pStyle w:val="T2"/>
              <w:jc w:val="right"/>
              <w:rPr>
                <w:b/>
                <w:bCs/>
              </w:rPr>
            </w:pPr>
            <w:r>
              <w:rPr>
                <w:b/>
                <w:bCs/>
              </w:rPr>
              <w:t>12.6</w:t>
            </w:r>
          </w:p>
        </w:tc>
        <w:tc>
          <w:tcPr>
            <w:tcW w:w="1020" w:type="dxa"/>
            <w:vAlign w:val="bottom"/>
          </w:tcPr>
          <w:p w14:paraId="56E3F058" w14:textId="77777777" w:rsidR="00AD50AA" w:rsidRPr="00BB318F" w:rsidRDefault="00AD50AA" w:rsidP="00AD50AA">
            <w:pPr>
              <w:pStyle w:val="T2"/>
              <w:jc w:val="right"/>
              <w:rPr>
                <w:b/>
                <w:bCs/>
              </w:rPr>
            </w:pPr>
            <w:r w:rsidRPr="008719BA">
              <w:rPr>
                <w:b/>
              </w:rPr>
              <w:t>–</w:t>
            </w:r>
          </w:p>
        </w:tc>
        <w:tc>
          <w:tcPr>
            <w:tcW w:w="847" w:type="dxa"/>
            <w:vAlign w:val="bottom"/>
          </w:tcPr>
          <w:p w14:paraId="018832FE" w14:textId="77777777" w:rsidR="00AD50AA" w:rsidRPr="00BB318F" w:rsidRDefault="00AD50AA" w:rsidP="00AD50AA">
            <w:pPr>
              <w:pStyle w:val="T2"/>
              <w:jc w:val="right"/>
              <w:rPr>
                <w:b/>
                <w:bCs/>
              </w:rPr>
            </w:pPr>
            <w:r>
              <w:rPr>
                <w:b/>
                <w:bCs/>
              </w:rPr>
              <w:t>12.6</w:t>
            </w:r>
          </w:p>
        </w:tc>
      </w:tr>
      <w:tr w:rsidR="00AD50AA" w:rsidRPr="00C50E20" w14:paraId="4DCE7652" w14:textId="77777777" w:rsidTr="006D6AC9">
        <w:trPr>
          <w:jc w:val="center"/>
        </w:trPr>
        <w:tc>
          <w:tcPr>
            <w:tcW w:w="4395" w:type="dxa"/>
            <w:vAlign w:val="bottom"/>
          </w:tcPr>
          <w:p w14:paraId="15E11F5B" w14:textId="77777777" w:rsidR="00AD50AA" w:rsidRPr="005D0EFF" w:rsidRDefault="00AD50AA" w:rsidP="00AD50AA">
            <w:pPr>
              <w:pStyle w:val="T2"/>
              <w:jc w:val="left"/>
              <w:rPr>
                <w:rFonts w:ascii="Calibri" w:hAnsi="Calibri" w:cs="Calibri"/>
                <w:bCs/>
              </w:rPr>
            </w:pPr>
            <w:r w:rsidRPr="00006931">
              <w:rPr>
                <w:rFonts w:ascii="Calibri" w:hAnsi="Calibri" w:cs="Calibri"/>
                <w:bCs/>
              </w:rPr>
              <w:lastRenderedPageBreak/>
              <w:t>Deferred tax on Group legacy defined benefit pension schemes</w:t>
            </w:r>
          </w:p>
        </w:tc>
        <w:tc>
          <w:tcPr>
            <w:tcW w:w="709" w:type="dxa"/>
            <w:vAlign w:val="bottom"/>
          </w:tcPr>
          <w:p w14:paraId="787C9DA7" w14:textId="77777777" w:rsidR="00AD50AA" w:rsidRPr="00BB318F" w:rsidRDefault="00AD50AA" w:rsidP="00AD50AA">
            <w:pPr>
              <w:pStyle w:val="T2"/>
              <w:jc w:val="right"/>
              <w:rPr>
                <w:b/>
                <w:bCs/>
              </w:rPr>
            </w:pPr>
            <w:r w:rsidRPr="008719BA">
              <w:rPr>
                <w:b/>
              </w:rPr>
              <w:t>–</w:t>
            </w:r>
          </w:p>
        </w:tc>
        <w:tc>
          <w:tcPr>
            <w:tcW w:w="992" w:type="dxa"/>
            <w:vAlign w:val="bottom"/>
          </w:tcPr>
          <w:p w14:paraId="5FB90754" w14:textId="77777777" w:rsidR="00AD50AA" w:rsidRPr="00BB318F" w:rsidRDefault="00AD50AA" w:rsidP="00AD50AA">
            <w:pPr>
              <w:pStyle w:val="T2"/>
              <w:jc w:val="right"/>
              <w:rPr>
                <w:b/>
                <w:bCs/>
              </w:rPr>
            </w:pPr>
            <w:r w:rsidRPr="008719BA">
              <w:rPr>
                <w:b/>
              </w:rPr>
              <w:t>–</w:t>
            </w:r>
          </w:p>
        </w:tc>
        <w:tc>
          <w:tcPr>
            <w:tcW w:w="850" w:type="dxa"/>
            <w:vAlign w:val="bottom"/>
          </w:tcPr>
          <w:p w14:paraId="585AFE80" w14:textId="77777777" w:rsidR="00AD50AA" w:rsidRPr="00BB318F" w:rsidRDefault="00AD50AA" w:rsidP="00AD50AA">
            <w:pPr>
              <w:pStyle w:val="T2"/>
              <w:jc w:val="right"/>
              <w:rPr>
                <w:b/>
                <w:bCs/>
              </w:rPr>
            </w:pPr>
            <w:r w:rsidRPr="008719BA">
              <w:rPr>
                <w:b/>
              </w:rPr>
              <w:t>–</w:t>
            </w:r>
          </w:p>
        </w:tc>
        <w:tc>
          <w:tcPr>
            <w:tcW w:w="851" w:type="dxa"/>
            <w:vAlign w:val="bottom"/>
          </w:tcPr>
          <w:p w14:paraId="35E25E4D" w14:textId="77777777" w:rsidR="00AD50AA" w:rsidRPr="001E1407" w:rsidRDefault="00D439D4" w:rsidP="00AD50AA">
            <w:pPr>
              <w:pStyle w:val="T2"/>
              <w:jc w:val="right"/>
              <w:rPr>
                <w:b/>
                <w:bCs/>
              </w:rPr>
            </w:pPr>
            <w:r>
              <w:rPr>
                <w:b/>
              </w:rPr>
              <w:t>(2.3)</w:t>
            </w:r>
          </w:p>
        </w:tc>
        <w:tc>
          <w:tcPr>
            <w:tcW w:w="826" w:type="dxa"/>
            <w:vAlign w:val="bottom"/>
          </w:tcPr>
          <w:p w14:paraId="484875BB" w14:textId="77777777" w:rsidR="00AD50AA" w:rsidRPr="001E1407" w:rsidRDefault="00D439D4" w:rsidP="00AD50AA">
            <w:pPr>
              <w:pStyle w:val="T2"/>
              <w:jc w:val="right"/>
              <w:rPr>
                <w:b/>
                <w:bCs/>
              </w:rPr>
            </w:pPr>
            <w:r>
              <w:rPr>
                <w:b/>
              </w:rPr>
              <w:t>(2.3)</w:t>
            </w:r>
          </w:p>
        </w:tc>
        <w:tc>
          <w:tcPr>
            <w:tcW w:w="1020" w:type="dxa"/>
            <w:vAlign w:val="bottom"/>
          </w:tcPr>
          <w:p w14:paraId="1ED964E5" w14:textId="77777777" w:rsidR="00AD50AA" w:rsidRPr="00353430" w:rsidRDefault="00AD50AA" w:rsidP="00AD50AA">
            <w:pPr>
              <w:pStyle w:val="T2"/>
              <w:jc w:val="right"/>
              <w:rPr>
                <w:b/>
                <w:bCs/>
              </w:rPr>
            </w:pPr>
            <w:r w:rsidRPr="008719BA">
              <w:rPr>
                <w:b/>
              </w:rPr>
              <w:t>–</w:t>
            </w:r>
          </w:p>
        </w:tc>
        <w:tc>
          <w:tcPr>
            <w:tcW w:w="847" w:type="dxa"/>
            <w:vAlign w:val="bottom"/>
          </w:tcPr>
          <w:p w14:paraId="1500767E" w14:textId="77777777" w:rsidR="00AD50AA" w:rsidRPr="00353430" w:rsidRDefault="00D439D4" w:rsidP="00AD50AA">
            <w:pPr>
              <w:pStyle w:val="T2"/>
              <w:jc w:val="right"/>
              <w:rPr>
                <w:b/>
                <w:bCs/>
              </w:rPr>
            </w:pPr>
            <w:r>
              <w:rPr>
                <w:b/>
              </w:rPr>
              <w:t>(2.3)</w:t>
            </w:r>
          </w:p>
        </w:tc>
      </w:tr>
      <w:tr w:rsidR="00AD50AA" w:rsidRPr="00C50E20" w14:paraId="224E5A6B" w14:textId="77777777" w:rsidTr="006D6AC9">
        <w:trPr>
          <w:jc w:val="center"/>
        </w:trPr>
        <w:tc>
          <w:tcPr>
            <w:tcW w:w="4395" w:type="dxa"/>
            <w:tcBorders>
              <w:bottom w:val="single" w:sz="2" w:space="0" w:color="auto"/>
            </w:tcBorders>
            <w:vAlign w:val="bottom"/>
          </w:tcPr>
          <w:p w14:paraId="049E0AA0" w14:textId="77777777" w:rsidR="00AD50AA" w:rsidRPr="00006931" w:rsidRDefault="00AD50AA" w:rsidP="00AD50AA">
            <w:pPr>
              <w:pStyle w:val="T2"/>
              <w:jc w:val="left"/>
              <w:rPr>
                <w:rFonts w:ascii="Calibri" w:hAnsi="Calibri" w:cs="Calibri"/>
                <w:bCs/>
              </w:rPr>
            </w:pPr>
            <w:r w:rsidRPr="00006931">
              <w:rPr>
                <w:rFonts w:ascii="Calibri" w:hAnsi="Calibri" w:cs="Calibri"/>
                <w:bCs/>
              </w:rPr>
              <w:t>Profit for the financial period</w:t>
            </w:r>
          </w:p>
        </w:tc>
        <w:tc>
          <w:tcPr>
            <w:tcW w:w="709" w:type="dxa"/>
            <w:tcBorders>
              <w:bottom w:val="single" w:sz="2" w:space="0" w:color="auto"/>
            </w:tcBorders>
            <w:vAlign w:val="bottom"/>
          </w:tcPr>
          <w:p w14:paraId="3E0A3FA4" w14:textId="77777777" w:rsidR="00AD50AA" w:rsidRPr="00BB318F" w:rsidRDefault="00AD50AA" w:rsidP="00AD50AA">
            <w:pPr>
              <w:pStyle w:val="T2"/>
              <w:jc w:val="right"/>
              <w:rPr>
                <w:b/>
                <w:bCs/>
              </w:rPr>
            </w:pPr>
            <w:r w:rsidRPr="008719BA">
              <w:rPr>
                <w:b/>
              </w:rPr>
              <w:t>–</w:t>
            </w:r>
          </w:p>
        </w:tc>
        <w:tc>
          <w:tcPr>
            <w:tcW w:w="992" w:type="dxa"/>
            <w:tcBorders>
              <w:bottom w:val="single" w:sz="2" w:space="0" w:color="auto"/>
            </w:tcBorders>
            <w:vAlign w:val="bottom"/>
          </w:tcPr>
          <w:p w14:paraId="2A38542A" w14:textId="77777777" w:rsidR="00AD50AA" w:rsidRPr="00BB318F" w:rsidRDefault="00AD50AA" w:rsidP="00AD50AA">
            <w:pPr>
              <w:pStyle w:val="T2"/>
              <w:jc w:val="right"/>
              <w:rPr>
                <w:b/>
                <w:bCs/>
              </w:rPr>
            </w:pPr>
            <w:r w:rsidRPr="008719BA">
              <w:rPr>
                <w:b/>
              </w:rPr>
              <w:t>–</w:t>
            </w:r>
          </w:p>
        </w:tc>
        <w:tc>
          <w:tcPr>
            <w:tcW w:w="850" w:type="dxa"/>
            <w:tcBorders>
              <w:bottom w:val="single" w:sz="2" w:space="0" w:color="auto"/>
            </w:tcBorders>
            <w:vAlign w:val="bottom"/>
          </w:tcPr>
          <w:p w14:paraId="4E01A413" w14:textId="77777777" w:rsidR="00AD50AA" w:rsidRPr="00BB318F" w:rsidRDefault="00AD50AA" w:rsidP="00AD50AA">
            <w:pPr>
              <w:pStyle w:val="T2"/>
              <w:jc w:val="right"/>
              <w:rPr>
                <w:b/>
                <w:bCs/>
              </w:rPr>
            </w:pPr>
            <w:r w:rsidRPr="008719BA">
              <w:rPr>
                <w:b/>
              </w:rPr>
              <w:t>–</w:t>
            </w:r>
          </w:p>
        </w:tc>
        <w:tc>
          <w:tcPr>
            <w:tcW w:w="851" w:type="dxa"/>
            <w:tcBorders>
              <w:bottom w:val="single" w:sz="2" w:space="0" w:color="auto"/>
            </w:tcBorders>
            <w:vAlign w:val="bottom"/>
          </w:tcPr>
          <w:p w14:paraId="30005E6C" w14:textId="77777777" w:rsidR="00AD50AA" w:rsidRPr="00BB318F" w:rsidRDefault="00AD50AA" w:rsidP="0041734A">
            <w:pPr>
              <w:pStyle w:val="T2"/>
              <w:jc w:val="right"/>
              <w:rPr>
                <w:b/>
                <w:bCs/>
              </w:rPr>
            </w:pPr>
            <w:r>
              <w:rPr>
                <w:b/>
              </w:rPr>
              <w:t>0.1</w:t>
            </w:r>
          </w:p>
        </w:tc>
        <w:tc>
          <w:tcPr>
            <w:tcW w:w="826" w:type="dxa"/>
            <w:tcBorders>
              <w:bottom w:val="single" w:sz="2" w:space="0" w:color="auto"/>
            </w:tcBorders>
            <w:vAlign w:val="bottom"/>
          </w:tcPr>
          <w:p w14:paraId="19330FD5" w14:textId="77777777" w:rsidR="00AD50AA" w:rsidRPr="00BB318F" w:rsidRDefault="00AD50AA">
            <w:pPr>
              <w:pStyle w:val="T2"/>
              <w:jc w:val="right"/>
              <w:rPr>
                <w:b/>
                <w:bCs/>
              </w:rPr>
            </w:pPr>
            <w:r>
              <w:rPr>
                <w:b/>
                <w:bCs/>
              </w:rPr>
              <w:t>0.1</w:t>
            </w:r>
          </w:p>
        </w:tc>
        <w:tc>
          <w:tcPr>
            <w:tcW w:w="1020" w:type="dxa"/>
            <w:tcBorders>
              <w:bottom w:val="single" w:sz="2" w:space="0" w:color="auto"/>
            </w:tcBorders>
            <w:vAlign w:val="bottom"/>
          </w:tcPr>
          <w:p w14:paraId="56F31381" w14:textId="77777777" w:rsidR="00AD50AA" w:rsidRPr="00BB318F" w:rsidRDefault="00AD50AA" w:rsidP="00AD50AA">
            <w:pPr>
              <w:pStyle w:val="T2"/>
              <w:jc w:val="right"/>
              <w:rPr>
                <w:b/>
                <w:bCs/>
              </w:rPr>
            </w:pPr>
            <w:r>
              <w:rPr>
                <w:b/>
              </w:rPr>
              <w:t>0.3</w:t>
            </w:r>
          </w:p>
        </w:tc>
        <w:tc>
          <w:tcPr>
            <w:tcW w:w="847" w:type="dxa"/>
            <w:tcBorders>
              <w:bottom w:val="single" w:sz="2" w:space="0" w:color="auto"/>
            </w:tcBorders>
            <w:vAlign w:val="bottom"/>
          </w:tcPr>
          <w:p w14:paraId="46400D63" w14:textId="77777777" w:rsidR="00AD50AA" w:rsidRPr="00BB318F" w:rsidRDefault="00AD50AA" w:rsidP="0041734A">
            <w:pPr>
              <w:pStyle w:val="T2"/>
              <w:jc w:val="right"/>
              <w:rPr>
                <w:b/>
                <w:bCs/>
              </w:rPr>
            </w:pPr>
            <w:r>
              <w:rPr>
                <w:b/>
                <w:bCs/>
              </w:rPr>
              <w:t>0.</w:t>
            </w:r>
            <w:r w:rsidR="00D206EE">
              <w:rPr>
                <w:b/>
                <w:bCs/>
              </w:rPr>
              <w:t>4</w:t>
            </w:r>
          </w:p>
        </w:tc>
      </w:tr>
      <w:tr w:rsidR="00AD50AA" w:rsidRPr="00BD5017" w14:paraId="7F68DFDF" w14:textId="77777777" w:rsidTr="006D6AC9">
        <w:trPr>
          <w:jc w:val="center"/>
        </w:trPr>
        <w:tc>
          <w:tcPr>
            <w:tcW w:w="4395" w:type="dxa"/>
            <w:tcBorders>
              <w:top w:val="single" w:sz="2" w:space="0" w:color="auto"/>
              <w:bottom w:val="single" w:sz="2" w:space="0" w:color="auto"/>
            </w:tcBorders>
            <w:vAlign w:val="bottom"/>
          </w:tcPr>
          <w:p w14:paraId="32EF9157" w14:textId="77777777" w:rsidR="00AD50AA" w:rsidRPr="00B52070" w:rsidRDefault="00AD50AA" w:rsidP="00AD50AA">
            <w:pPr>
              <w:pStyle w:val="T2"/>
              <w:jc w:val="left"/>
              <w:rPr>
                <w:b/>
              </w:rPr>
            </w:pPr>
            <w:r>
              <w:rPr>
                <w:b/>
              </w:rPr>
              <w:t>Total comprehensive income for the financial period</w:t>
            </w:r>
          </w:p>
        </w:tc>
        <w:tc>
          <w:tcPr>
            <w:tcW w:w="709" w:type="dxa"/>
            <w:tcBorders>
              <w:top w:val="single" w:sz="2" w:space="0" w:color="auto"/>
              <w:bottom w:val="single" w:sz="2" w:space="0" w:color="auto"/>
            </w:tcBorders>
            <w:vAlign w:val="bottom"/>
          </w:tcPr>
          <w:p w14:paraId="2BA7819C" w14:textId="77777777" w:rsidR="00AD50AA" w:rsidRPr="00BE7FD5" w:rsidRDefault="00AD50AA" w:rsidP="00AD50AA">
            <w:pPr>
              <w:pStyle w:val="T2"/>
              <w:jc w:val="right"/>
              <w:rPr>
                <w:b/>
              </w:rPr>
            </w:pPr>
            <w:r w:rsidRPr="008719BA">
              <w:rPr>
                <w:b/>
              </w:rPr>
              <w:t>–</w:t>
            </w:r>
          </w:p>
        </w:tc>
        <w:tc>
          <w:tcPr>
            <w:tcW w:w="992" w:type="dxa"/>
            <w:tcBorders>
              <w:top w:val="single" w:sz="2" w:space="0" w:color="auto"/>
              <w:bottom w:val="single" w:sz="2" w:space="0" w:color="auto"/>
            </w:tcBorders>
            <w:vAlign w:val="bottom"/>
          </w:tcPr>
          <w:p w14:paraId="542410B1" w14:textId="77777777" w:rsidR="00AD50AA" w:rsidRPr="00BE7FD5" w:rsidRDefault="00AD50AA" w:rsidP="00AD50AA">
            <w:pPr>
              <w:pStyle w:val="T2"/>
              <w:jc w:val="right"/>
              <w:rPr>
                <w:b/>
              </w:rPr>
            </w:pPr>
            <w:r w:rsidRPr="008719BA">
              <w:rPr>
                <w:b/>
              </w:rPr>
              <w:t>–</w:t>
            </w:r>
          </w:p>
        </w:tc>
        <w:tc>
          <w:tcPr>
            <w:tcW w:w="850" w:type="dxa"/>
            <w:tcBorders>
              <w:top w:val="single" w:sz="2" w:space="0" w:color="auto"/>
              <w:bottom w:val="single" w:sz="2" w:space="0" w:color="auto"/>
            </w:tcBorders>
            <w:vAlign w:val="bottom"/>
          </w:tcPr>
          <w:p w14:paraId="06A13A09" w14:textId="77777777" w:rsidR="00AD50AA" w:rsidRPr="00BD5B9E" w:rsidRDefault="00D439D4">
            <w:pPr>
              <w:pStyle w:val="T2"/>
              <w:jc w:val="right"/>
              <w:rPr>
                <w:b/>
              </w:rPr>
            </w:pPr>
            <w:r>
              <w:rPr>
                <w:b/>
              </w:rPr>
              <w:t>(4.</w:t>
            </w:r>
            <w:r w:rsidR="00863360">
              <w:rPr>
                <w:b/>
              </w:rPr>
              <w:t>4</w:t>
            </w:r>
            <w:r w:rsidR="00AD50AA">
              <w:rPr>
                <w:b/>
              </w:rPr>
              <w:t>)</w:t>
            </w:r>
          </w:p>
        </w:tc>
        <w:tc>
          <w:tcPr>
            <w:tcW w:w="851" w:type="dxa"/>
            <w:tcBorders>
              <w:top w:val="single" w:sz="2" w:space="0" w:color="auto"/>
              <w:bottom w:val="single" w:sz="2" w:space="0" w:color="auto"/>
            </w:tcBorders>
            <w:vAlign w:val="bottom"/>
          </w:tcPr>
          <w:p w14:paraId="723C15AD" w14:textId="77777777" w:rsidR="00AD50AA" w:rsidRPr="00EA1A7A" w:rsidRDefault="00AD50AA" w:rsidP="0041734A">
            <w:pPr>
              <w:pStyle w:val="T2"/>
              <w:jc w:val="right"/>
              <w:rPr>
                <w:b/>
              </w:rPr>
            </w:pPr>
            <w:r>
              <w:rPr>
                <w:b/>
              </w:rPr>
              <w:t>1</w:t>
            </w:r>
            <w:r w:rsidR="00D439D4">
              <w:rPr>
                <w:b/>
              </w:rPr>
              <w:t>0</w:t>
            </w:r>
            <w:r>
              <w:rPr>
                <w:b/>
              </w:rPr>
              <w:t>.</w:t>
            </w:r>
            <w:r w:rsidR="00E9079C">
              <w:rPr>
                <w:b/>
              </w:rPr>
              <w:t>4</w:t>
            </w:r>
          </w:p>
        </w:tc>
        <w:tc>
          <w:tcPr>
            <w:tcW w:w="826" w:type="dxa"/>
            <w:tcBorders>
              <w:top w:val="single" w:sz="2" w:space="0" w:color="auto"/>
              <w:bottom w:val="single" w:sz="2" w:space="0" w:color="auto"/>
            </w:tcBorders>
            <w:vAlign w:val="bottom"/>
          </w:tcPr>
          <w:p w14:paraId="061886B6" w14:textId="77777777" w:rsidR="00AD50AA" w:rsidRPr="00850427" w:rsidRDefault="00E9079C">
            <w:pPr>
              <w:pStyle w:val="T2"/>
              <w:jc w:val="right"/>
              <w:rPr>
                <w:b/>
              </w:rPr>
            </w:pPr>
            <w:r>
              <w:rPr>
                <w:b/>
              </w:rPr>
              <w:t>6.</w:t>
            </w:r>
            <w:r w:rsidR="00863360">
              <w:rPr>
                <w:b/>
              </w:rPr>
              <w:t>0</w:t>
            </w:r>
          </w:p>
        </w:tc>
        <w:tc>
          <w:tcPr>
            <w:tcW w:w="1020" w:type="dxa"/>
            <w:tcBorders>
              <w:top w:val="single" w:sz="2" w:space="0" w:color="auto"/>
              <w:bottom w:val="single" w:sz="2" w:space="0" w:color="auto"/>
            </w:tcBorders>
            <w:vAlign w:val="bottom"/>
          </w:tcPr>
          <w:p w14:paraId="75F4A724" w14:textId="77777777" w:rsidR="00AD50AA" w:rsidRPr="00313FBC" w:rsidRDefault="00AD50AA" w:rsidP="00AD50AA">
            <w:pPr>
              <w:pStyle w:val="T2"/>
              <w:jc w:val="right"/>
              <w:rPr>
                <w:b/>
              </w:rPr>
            </w:pPr>
            <w:r>
              <w:rPr>
                <w:b/>
              </w:rPr>
              <w:t>(5.7)</w:t>
            </w:r>
          </w:p>
        </w:tc>
        <w:tc>
          <w:tcPr>
            <w:tcW w:w="847" w:type="dxa"/>
            <w:tcBorders>
              <w:top w:val="single" w:sz="2" w:space="0" w:color="auto"/>
              <w:bottom w:val="single" w:sz="2" w:space="0" w:color="auto"/>
            </w:tcBorders>
            <w:vAlign w:val="bottom"/>
          </w:tcPr>
          <w:p w14:paraId="45BD04AB" w14:textId="77777777" w:rsidR="00AD50AA" w:rsidRPr="00313FBC" w:rsidRDefault="00D439D4">
            <w:pPr>
              <w:pStyle w:val="T2"/>
              <w:jc w:val="right"/>
              <w:rPr>
                <w:b/>
              </w:rPr>
            </w:pPr>
            <w:r>
              <w:rPr>
                <w:b/>
              </w:rPr>
              <w:t>0</w:t>
            </w:r>
            <w:r w:rsidR="00AD50AA">
              <w:rPr>
                <w:b/>
              </w:rPr>
              <w:t>.</w:t>
            </w:r>
            <w:r w:rsidR="00863360">
              <w:rPr>
                <w:b/>
              </w:rPr>
              <w:t>3</w:t>
            </w:r>
          </w:p>
        </w:tc>
      </w:tr>
      <w:tr w:rsidR="00AD50AA" w:rsidRPr="00C50E20" w14:paraId="6580866A" w14:textId="77777777" w:rsidTr="006D6AC9">
        <w:trPr>
          <w:jc w:val="center"/>
        </w:trPr>
        <w:tc>
          <w:tcPr>
            <w:tcW w:w="4395" w:type="dxa"/>
            <w:tcBorders>
              <w:top w:val="single" w:sz="2" w:space="0" w:color="auto"/>
            </w:tcBorders>
          </w:tcPr>
          <w:p w14:paraId="75616059" w14:textId="77777777" w:rsidR="00AD50AA" w:rsidRPr="005D0EFF" w:rsidRDefault="00AD50AA" w:rsidP="00AD50AA">
            <w:pPr>
              <w:pStyle w:val="T2"/>
              <w:jc w:val="left"/>
              <w:rPr>
                <w:bCs/>
              </w:rPr>
            </w:pPr>
            <w:r w:rsidRPr="00006931">
              <w:rPr>
                <w:bCs/>
              </w:rPr>
              <w:t xml:space="preserve">Employee </w:t>
            </w:r>
            <w:r w:rsidRPr="005D0EFF">
              <w:rPr>
                <w:bCs/>
              </w:rPr>
              <w:t>share</w:t>
            </w:r>
            <w:r>
              <w:rPr>
                <w:bCs/>
              </w:rPr>
              <w:t>–</w:t>
            </w:r>
            <w:r w:rsidRPr="005D0EFF">
              <w:rPr>
                <w:bCs/>
              </w:rPr>
              <w:t>based payment expense</w:t>
            </w:r>
          </w:p>
        </w:tc>
        <w:tc>
          <w:tcPr>
            <w:tcW w:w="709" w:type="dxa"/>
            <w:tcBorders>
              <w:top w:val="single" w:sz="2" w:space="0" w:color="auto"/>
            </w:tcBorders>
            <w:vAlign w:val="bottom"/>
          </w:tcPr>
          <w:p w14:paraId="33BA3DBB" w14:textId="77777777" w:rsidR="00AD50AA" w:rsidRPr="00BB14B7" w:rsidRDefault="00AD50AA" w:rsidP="00AD50AA">
            <w:pPr>
              <w:pStyle w:val="T2"/>
              <w:jc w:val="right"/>
              <w:rPr>
                <w:b/>
                <w:bCs/>
              </w:rPr>
            </w:pPr>
            <w:r w:rsidRPr="00B34A04">
              <w:rPr>
                <w:b/>
              </w:rPr>
              <w:t>–</w:t>
            </w:r>
          </w:p>
        </w:tc>
        <w:tc>
          <w:tcPr>
            <w:tcW w:w="992" w:type="dxa"/>
            <w:tcBorders>
              <w:top w:val="single" w:sz="2" w:space="0" w:color="auto"/>
            </w:tcBorders>
            <w:vAlign w:val="bottom"/>
          </w:tcPr>
          <w:p w14:paraId="0ADEEB1B" w14:textId="77777777" w:rsidR="00AD50AA" w:rsidRPr="00BB14B7" w:rsidRDefault="00AD50AA" w:rsidP="00AD50AA">
            <w:pPr>
              <w:pStyle w:val="T2"/>
              <w:jc w:val="right"/>
              <w:rPr>
                <w:b/>
                <w:bCs/>
              </w:rPr>
            </w:pPr>
            <w:r w:rsidRPr="00B34A04">
              <w:rPr>
                <w:b/>
              </w:rPr>
              <w:t>–</w:t>
            </w:r>
          </w:p>
        </w:tc>
        <w:tc>
          <w:tcPr>
            <w:tcW w:w="850" w:type="dxa"/>
            <w:tcBorders>
              <w:top w:val="single" w:sz="2" w:space="0" w:color="auto"/>
            </w:tcBorders>
            <w:vAlign w:val="bottom"/>
          </w:tcPr>
          <w:p w14:paraId="24EE18D1" w14:textId="77777777" w:rsidR="00AD50AA" w:rsidRPr="00BB14B7" w:rsidRDefault="00D439D4" w:rsidP="00AD50AA">
            <w:pPr>
              <w:pStyle w:val="T2"/>
              <w:jc w:val="right"/>
              <w:rPr>
                <w:b/>
                <w:bCs/>
              </w:rPr>
            </w:pPr>
            <w:r>
              <w:rPr>
                <w:b/>
              </w:rPr>
              <w:t>1.0</w:t>
            </w:r>
          </w:p>
        </w:tc>
        <w:tc>
          <w:tcPr>
            <w:tcW w:w="851" w:type="dxa"/>
            <w:tcBorders>
              <w:top w:val="single" w:sz="2" w:space="0" w:color="auto"/>
            </w:tcBorders>
            <w:shd w:val="clear" w:color="auto" w:fill="auto"/>
            <w:vAlign w:val="bottom"/>
          </w:tcPr>
          <w:p w14:paraId="5D3AD1A1" w14:textId="77777777" w:rsidR="00AD50AA" w:rsidRPr="00336204" w:rsidRDefault="00AD50AA" w:rsidP="00AD50AA">
            <w:pPr>
              <w:pStyle w:val="T2"/>
              <w:jc w:val="right"/>
              <w:rPr>
                <w:b/>
                <w:bCs/>
              </w:rPr>
            </w:pPr>
            <w:r w:rsidRPr="00B34A04">
              <w:rPr>
                <w:b/>
              </w:rPr>
              <w:t>–</w:t>
            </w:r>
          </w:p>
        </w:tc>
        <w:tc>
          <w:tcPr>
            <w:tcW w:w="826" w:type="dxa"/>
            <w:tcBorders>
              <w:top w:val="single" w:sz="2" w:space="0" w:color="auto"/>
            </w:tcBorders>
            <w:shd w:val="clear" w:color="auto" w:fill="auto"/>
            <w:vAlign w:val="bottom"/>
          </w:tcPr>
          <w:p w14:paraId="3489072C" w14:textId="77777777" w:rsidR="00AD50AA" w:rsidRPr="008A2066" w:rsidRDefault="00D439D4" w:rsidP="00AD50AA">
            <w:pPr>
              <w:pStyle w:val="T2"/>
              <w:jc w:val="right"/>
              <w:rPr>
                <w:b/>
                <w:bCs/>
              </w:rPr>
            </w:pPr>
            <w:r>
              <w:rPr>
                <w:b/>
                <w:bCs/>
              </w:rPr>
              <w:t>1.0</w:t>
            </w:r>
          </w:p>
        </w:tc>
        <w:tc>
          <w:tcPr>
            <w:tcW w:w="1020" w:type="dxa"/>
            <w:tcBorders>
              <w:top w:val="single" w:sz="2" w:space="0" w:color="auto"/>
            </w:tcBorders>
            <w:shd w:val="clear" w:color="auto" w:fill="auto"/>
            <w:vAlign w:val="bottom"/>
          </w:tcPr>
          <w:p w14:paraId="07E4FC3A" w14:textId="77777777" w:rsidR="00AD50AA" w:rsidRPr="001E1407" w:rsidRDefault="00AD50AA" w:rsidP="00AD50AA">
            <w:pPr>
              <w:pStyle w:val="T2"/>
              <w:jc w:val="right"/>
              <w:rPr>
                <w:b/>
                <w:bCs/>
              </w:rPr>
            </w:pPr>
            <w:r w:rsidRPr="00B34A04">
              <w:rPr>
                <w:b/>
              </w:rPr>
              <w:t>–</w:t>
            </w:r>
          </w:p>
        </w:tc>
        <w:tc>
          <w:tcPr>
            <w:tcW w:w="847" w:type="dxa"/>
            <w:tcBorders>
              <w:top w:val="single" w:sz="2" w:space="0" w:color="auto"/>
            </w:tcBorders>
            <w:shd w:val="clear" w:color="auto" w:fill="auto"/>
            <w:vAlign w:val="bottom"/>
          </w:tcPr>
          <w:p w14:paraId="76ACFD5B" w14:textId="77777777" w:rsidR="00AD50AA" w:rsidRPr="001E1407" w:rsidRDefault="00D439D4" w:rsidP="00AD50AA">
            <w:pPr>
              <w:pStyle w:val="T2"/>
              <w:jc w:val="right"/>
              <w:rPr>
                <w:b/>
                <w:bCs/>
              </w:rPr>
            </w:pPr>
            <w:r>
              <w:rPr>
                <w:b/>
                <w:bCs/>
              </w:rPr>
              <w:t>1.0</w:t>
            </w:r>
          </w:p>
        </w:tc>
      </w:tr>
      <w:tr w:rsidR="00AD50AA" w:rsidRPr="00C50E20" w14:paraId="6DF1E0D8" w14:textId="77777777" w:rsidTr="006D6AC9">
        <w:trPr>
          <w:trHeight w:val="243"/>
          <w:jc w:val="center"/>
        </w:trPr>
        <w:tc>
          <w:tcPr>
            <w:tcW w:w="4395" w:type="dxa"/>
          </w:tcPr>
          <w:p w14:paraId="0EB1822D" w14:textId="77777777" w:rsidR="00AD50AA" w:rsidRPr="00006931" w:rsidRDefault="00AD50AA" w:rsidP="00AD50AA">
            <w:pPr>
              <w:pStyle w:val="T2"/>
              <w:jc w:val="left"/>
              <w:rPr>
                <w:bCs/>
              </w:rPr>
            </w:pPr>
            <w:r w:rsidRPr="00006931">
              <w:rPr>
                <w:bCs/>
              </w:rPr>
              <w:t>Exercise, lapse or forfeit of share</w:t>
            </w:r>
            <w:r>
              <w:rPr>
                <w:bCs/>
              </w:rPr>
              <w:t>–</w:t>
            </w:r>
            <w:r w:rsidRPr="00006931">
              <w:rPr>
                <w:bCs/>
              </w:rPr>
              <w:t>based payments</w:t>
            </w:r>
          </w:p>
        </w:tc>
        <w:tc>
          <w:tcPr>
            <w:tcW w:w="709" w:type="dxa"/>
            <w:vAlign w:val="bottom"/>
          </w:tcPr>
          <w:p w14:paraId="4ADBC0E1" w14:textId="77777777" w:rsidR="00AD50AA" w:rsidRPr="00BB14B7" w:rsidRDefault="00AD50AA" w:rsidP="00AD50AA">
            <w:pPr>
              <w:pStyle w:val="T2"/>
              <w:jc w:val="right"/>
              <w:rPr>
                <w:b/>
                <w:bCs/>
              </w:rPr>
            </w:pPr>
            <w:r w:rsidRPr="00B34A04">
              <w:rPr>
                <w:b/>
              </w:rPr>
              <w:t>–</w:t>
            </w:r>
          </w:p>
        </w:tc>
        <w:tc>
          <w:tcPr>
            <w:tcW w:w="992" w:type="dxa"/>
            <w:vAlign w:val="bottom"/>
          </w:tcPr>
          <w:p w14:paraId="6B834AFB" w14:textId="77777777" w:rsidR="00AD50AA" w:rsidRPr="00BB14B7" w:rsidRDefault="00AD50AA" w:rsidP="00AD50AA">
            <w:pPr>
              <w:pStyle w:val="T2"/>
              <w:jc w:val="right"/>
              <w:rPr>
                <w:b/>
                <w:bCs/>
              </w:rPr>
            </w:pPr>
            <w:r w:rsidRPr="00B34A04">
              <w:rPr>
                <w:b/>
              </w:rPr>
              <w:t>–</w:t>
            </w:r>
          </w:p>
        </w:tc>
        <w:tc>
          <w:tcPr>
            <w:tcW w:w="850" w:type="dxa"/>
            <w:vAlign w:val="bottom"/>
          </w:tcPr>
          <w:p w14:paraId="26E077D2" w14:textId="77777777" w:rsidR="00AD50AA" w:rsidRPr="00BB14B7" w:rsidRDefault="00AE01B3" w:rsidP="00AD50AA">
            <w:pPr>
              <w:pStyle w:val="T2"/>
              <w:jc w:val="right"/>
              <w:rPr>
                <w:b/>
                <w:bCs/>
              </w:rPr>
            </w:pPr>
            <w:r>
              <w:rPr>
                <w:b/>
              </w:rPr>
              <w:t>(2.1)</w:t>
            </w:r>
          </w:p>
        </w:tc>
        <w:tc>
          <w:tcPr>
            <w:tcW w:w="851" w:type="dxa"/>
            <w:vAlign w:val="bottom"/>
          </w:tcPr>
          <w:p w14:paraId="0C6177DA" w14:textId="77777777" w:rsidR="00AD50AA" w:rsidRPr="00BB14B7" w:rsidRDefault="00AE01B3" w:rsidP="00AD50AA">
            <w:pPr>
              <w:pStyle w:val="T2"/>
              <w:jc w:val="right"/>
              <w:rPr>
                <w:b/>
                <w:bCs/>
              </w:rPr>
            </w:pPr>
            <w:r>
              <w:rPr>
                <w:b/>
              </w:rPr>
              <w:t>2.1</w:t>
            </w:r>
          </w:p>
        </w:tc>
        <w:tc>
          <w:tcPr>
            <w:tcW w:w="826" w:type="dxa"/>
            <w:vAlign w:val="bottom"/>
          </w:tcPr>
          <w:p w14:paraId="123FA164" w14:textId="77777777" w:rsidR="00AD50AA" w:rsidRPr="00BB14B7" w:rsidRDefault="00AD50AA" w:rsidP="00AD50AA">
            <w:pPr>
              <w:pStyle w:val="T2"/>
              <w:jc w:val="right"/>
              <w:rPr>
                <w:b/>
                <w:bCs/>
              </w:rPr>
            </w:pPr>
            <w:r w:rsidRPr="00B34A04">
              <w:rPr>
                <w:b/>
              </w:rPr>
              <w:t>–</w:t>
            </w:r>
          </w:p>
        </w:tc>
        <w:tc>
          <w:tcPr>
            <w:tcW w:w="1020" w:type="dxa"/>
            <w:vAlign w:val="bottom"/>
          </w:tcPr>
          <w:p w14:paraId="2E1F3FD6" w14:textId="77777777" w:rsidR="00AD50AA" w:rsidRPr="00BB14B7" w:rsidRDefault="00AD50AA" w:rsidP="00AD50AA">
            <w:pPr>
              <w:pStyle w:val="T2"/>
              <w:jc w:val="right"/>
              <w:rPr>
                <w:b/>
                <w:bCs/>
              </w:rPr>
            </w:pPr>
            <w:r w:rsidRPr="00B34A04">
              <w:rPr>
                <w:b/>
              </w:rPr>
              <w:t>–</w:t>
            </w:r>
          </w:p>
        </w:tc>
        <w:tc>
          <w:tcPr>
            <w:tcW w:w="847" w:type="dxa"/>
            <w:vAlign w:val="bottom"/>
          </w:tcPr>
          <w:p w14:paraId="7FE0CBA8" w14:textId="77777777" w:rsidR="00AD50AA" w:rsidRPr="00BB14B7" w:rsidRDefault="00AD50AA" w:rsidP="00AD50AA">
            <w:pPr>
              <w:pStyle w:val="T2"/>
              <w:jc w:val="right"/>
              <w:rPr>
                <w:b/>
                <w:bCs/>
              </w:rPr>
            </w:pPr>
            <w:r w:rsidRPr="00B34A04">
              <w:rPr>
                <w:b/>
              </w:rPr>
              <w:t>–</w:t>
            </w:r>
          </w:p>
        </w:tc>
      </w:tr>
      <w:tr w:rsidR="00AD50AA" w:rsidRPr="00C50E20" w14:paraId="7191D579" w14:textId="77777777" w:rsidTr="009107C9">
        <w:trPr>
          <w:trHeight w:val="423"/>
          <w:jc w:val="center"/>
        </w:trPr>
        <w:tc>
          <w:tcPr>
            <w:tcW w:w="4395" w:type="dxa"/>
          </w:tcPr>
          <w:p w14:paraId="734B9F33" w14:textId="77777777" w:rsidR="00AD50AA" w:rsidRPr="005D0EFF" w:rsidRDefault="00AD50AA">
            <w:pPr>
              <w:pStyle w:val="T2"/>
              <w:jc w:val="left"/>
              <w:rPr>
                <w:bCs/>
              </w:rPr>
            </w:pPr>
            <w:r w:rsidRPr="00006931">
              <w:rPr>
                <w:bCs/>
              </w:rPr>
              <w:t xml:space="preserve">Transfer to Retained Earnings on </w:t>
            </w:r>
            <w:r w:rsidR="005726F7">
              <w:rPr>
                <w:bCs/>
              </w:rPr>
              <w:t xml:space="preserve">transfer </w:t>
            </w:r>
            <w:r w:rsidRPr="00006931">
              <w:rPr>
                <w:bCs/>
              </w:rPr>
              <w:t>of shares to beneficiaries of the Employee Benefit Trust</w:t>
            </w:r>
          </w:p>
        </w:tc>
        <w:tc>
          <w:tcPr>
            <w:tcW w:w="709" w:type="dxa"/>
            <w:vAlign w:val="bottom"/>
          </w:tcPr>
          <w:p w14:paraId="3727548D" w14:textId="77777777" w:rsidR="00AD50AA" w:rsidRPr="003313E6" w:rsidRDefault="00AD50AA" w:rsidP="00AD50AA">
            <w:pPr>
              <w:pStyle w:val="T2"/>
              <w:jc w:val="right"/>
              <w:rPr>
                <w:b/>
                <w:bCs/>
              </w:rPr>
            </w:pPr>
            <w:r w:rsidRPr="00B34A04">
              <w:rPr>
                <w:b/>
              </w:rPr>
              <w:t>–</w:t>
            </w:r>
          </w:p>
        </w:tc>
        <w:tc>
          <w:tcPr>
            <w:tcW w:w="992" w:type="dxa"/>
            <w:vAlign w:val="bottom"/>
          </w:tcPr>
          <w:p w14:paraId="7AE363C9" w14:textId="77777777" w:rsidR="00AD50AA" w:rsidRPr="003313E6" w:rsidRDefault="00AD50AA" w:rsidP="00AD50AA">
            <w:pPr>
              <w:pStyle w:val="T2"/>
              <w:jc w:val="right"/>
              <w:rPr>
                <w:b/>
                <w:bCs/>
              </w:rPr>
            </w:pPr>
            <w:r w:rsidRPr="00B34A04">
              <w:rPr>
                <w:b/>
              </w:rPr>
              <w:t>–</w:t>
            </w:r>
          </w:p>
        </w:tc>
        <w:tc>
          <w:tcPr>
            <w:tcW w:w="850" w:type="dxa"/>
            <w:vAlign w:val="bottom"/>
          </w:tcPr>
          <w:p w14:paraId="00780990" w14:textId="77777777" w:rsidR="00AD50AA" w:rsidRPr="003313E6" w:rsidRDefault="00D439D4" w:rsidP="00AD50AA">
            <w:pPr>
              <w:pStyle w:val="T2"/>
              <w:jc w:val="right"/>
              <w:rPr>
                <w:b/>
                <w:bCs/>
              </w:rPr>
            </w:pPr>
            <w:r>
              <w:rPr>
                <w:b/>
              </w:rPr>
              <w:t>1.1</w:t>
            </w:r>
          </w:p>
        </w:tc>
        <w:tc>
          <w:tcPr>
            <w:tcW w:w="851" w:type="dxa"/>
            <w:vAlign w:val="bottom"/>
          </w:tcPr>
          <w:p w14:paraId="18139063" w14:textId="77777777" w:rsidR="00AD50AA" w:rsidRPr="003313E6" w:rsidRDefault="00D439D4" w:rsidP="00AD50AA">
            <w:pPr>
              <w:pStyle w:val="T2"/>
              <w:jc w:val="right"/>
              <w:rPr>
                <w:b/>
                <w:bCs/>
              </w:rPr>
            </w:pPr>
            <w:r>
              <w:rPr>
                <w:b/>
                <w:bCs/>
              </w:rPr>
              <w:t>(1.1)</w:t>
            </w:r>
          </w:p>
        </w:tc>
        <w:tc>
          <w:tcPr>
            <w:tcW w:w="826" w:type="dxa"/>
            <w:vAlign w:val="bottom"/>
          </w:tcPr>
          <w:p w14:paraId="4196ECD9" w14:textId="77777777" w:rsidR="00AD50AA" w:rsidRPr="003313E6" w:rsidRDefault="00AD50AA" w:rsidP="00AD50AA">
            <w:pPr>
              <w:pStyle w:val="T2"/>
              <w:jc w:val="right"/>
              <w:rPr>
                <w:b/>
                <w:bCs/>
              </w:rPr>
            </w:pPr>
            <w:r w:rsidRPr="00B34A04">
              <w:rPr>
                <w:b/>
              </w:rPr>
              <w:t>–</w:t>
            </w:r>
          </w:p>
        </w:tc>
        <w:tc>
          <w:tcPr>
            <w:tcW w:w="1020" w:type="dxa"/>
            <w:vAlign w:val="bottom"/>
          </w:tcPr>
          <w:p w14:paraId="56091FBA" w14:textId="77777777" w:rsidR="00AD50AA" w:rsidRPr="003313E6" w:rsidRDefault="00AD50AA" w:rsidP="00AD50AA">
            <w:pPr>
              <w:pStyle w:val="T2"/>
              <w:jc w:val="right"/>
              <w:rPr>
                <w:b/>
                <w:bCs/>
              </w:rPr>
            </w:pPr>
            <w:r w:rsidRPr="00B34A04">
              <w:rPr>
                <w:b/>
              </w:rPr>
              <w:t>–</w:t>
            </w:r>
          </w:p>
        </w:tc>
        <w:tc>
          <w:tcPr>
            <w:tcW w:w="847" w:type="dxa"/>
            <w:vAlign w:val="bottom"/>
          </w:tcPr>
          <w:p w14:paraId="37131177" w14:textId="77777777" w:rsidR="00AD50AA" w:rsidRPr="003313E6" w:rsidRDefault="00AD50AA" w:rsidP="00AD50AA">
            <w:pPr>
              <w:pStyle w:val="T2"/>
              <w:jc w:val="right"/>
              <w:rPr>
                <w:b/>
                <w:bCs/>
              </w:rPr>
            </w:pPr>
            <w:r w:rsidRPr="00B34A04">
              <w:rPr>
                <w:b/>
              </w:rPr>
              <w:t>–</w:t>
            </w:r>
          </w:p>
        </w:tc>
      </w:tr>
      <w:tr w:rsidR="00AD50AA" w:rsidRPr="00C50E20" w14:paraId="330A7968" w14:textId="77777777" w:rsidTr="009107C9">
        <w:trPr>
          <w:jc w:val="center"/>
        </w:trPr>
        <w:tc>
          <w:tcPr>
            <w:tcW w:w="4395" w:type="dxa"/>
          </w:tcPr>
          <w:p w14:paraId="02B77B98" w14:textId="77777777" w:rsidR="00AD50AA" w:rsidRPr="00006931" w:rsidRDefault="00AD50AA">
            <w:pPr>
              <w:pStyle w:val="T2"/>
              <w:jc w:val="left"/>
              <w:rPr>
                <w:bCs/>
              </w:rPr>
            </w:pPr>
            <w:r>
              <w:rPr>
                <w:bCs/>
              </w:rPr>
              <w:t xml:space="preserve">Shares issued </w:t>
            </w:r>
            <w:r w:rsidR="005726F7">
              <w:rPr>
                <w:bCs/>
              </w:rPr>
              <w:t>in the period</w:t>
            </w:r>
          </w:p>
        </w:tc>
        <w:tc>
          <w:tcPr>
            <w:tcW w:w="709" w:type="dxa"/>
            <w:vAlign w:val="bottom"/>
          </w:tcPr>
          <w:p w14:paraId="540D3AC7" w14:textId="77777777" w:rsidR="00AD50AA" w:rsidRPr="00B34A04" w:rsidRDefault="00AD50AA" w:rsidP="00AD50AA">
            <w:pPr>
              <w:pStyle w:val="T2"/>
              <w:jc w:val="right"/>
              <w:rPr>
                <w:b/>
              </w:rPr>
            </w:pPr>
            <w:r>
              <w:rPr>
                <w:b/>
              </w:rPr>
              <w:t>0.8</w:t>
            </w:r>
          </w:p>
        </w:tc>
        <w:tc>
          <w:tcPr>
            <w:tcW w:w="992" w:type="dxa"/>
            <w:vAlign w:val="bottom"/>
          </w:tcPr>
          <w:p w14:paraId="1A94C5DB" w14:textId="77777777" w:rsidR="00AD50AA" w:rsidRPr="00B34A04" w:rsidRDefault="00AD50AA" w:rsidP="00AD50AA">
            <w:pPr>
              <w:pStyle w:val="T2"/>
              <w:jc w:val="right"/>
              <w:rPr>
                <w:b/>
              </w:rPr>
            </w:pPr>
            <w:r>
              <w:rPr>
                <w:b/>
              </w:rPr>
              <w:t>89.2</w:t>
            </w:r>
          </w:p>
        </w:tc>
        <w:tc>
          <w:tcPr>
            <w:tcW w:w="850" w:type="dxa"/>
            <w:vAlign w:val="bottom"/>
          </w:tcPr>
          <w:p w14:paraId="587719B4" w14:textId="77777777" w:rsidR="00AD50AA" w:rsidRPr="00B34A04" w:rsidRDefault="00AD50AA" w:rsidP="00AD50AA">
            <w:pPr>
              <w:pStyle w:val="T2"/>
              <w:jc w:val="right"/>
              <w:rPr>
                <w:b/>
              </w:rPr>
            </w:pPr>
            <w:r w:rsidRPr="00B34A04">
              <w:rPr>
                <w:b/>
              </w:rPr>
              <w:t>–</w:t>
            </w:r>
          </w:p>
        </w:tc>
        <w:tc>
          <w:tcPr>
            <w:tcW w:w="851" w:type="dxa"/>
            <w:vAlign w:val="bottom"/>
          </w:tcPr>
          <w:p w14:paraId="6C22029A" w14:textId="77777777" w:rsidR="00AD50AA" w:rsidRPr="00B34A04" w:rsidRDefault="00AD50AA" w:rsidP="00AD50AA">
            <w:pPr>
              <w:pStyle w:val="T2"/>
              <w:jc w:val="right"/>
              <w:rPr>
                <w:b/>
              </w:rPr>
            </w:pPr>
            <w:r w:rsidRPr="00B34A04">
              <w:rPr>
                <w:b/>
              </w:rPr>
              <w:t>–</w:t>
            </w:r>
          </w:p>
        </w:tc>
        <w:tc>
          <w:tcPr>
            <w:tcW w:w="826" w:type="dxa"/>
            <w:vAlign w:val="bottom"/>
          </w:tcPr>
          <w:p w14:paraId="6FCAC395" w14:textId="77777777" w:rsidR="00AD50AA" w:rsidRPr="00B34A04" w:rsidRDefault="00AD50AA" w:rsidP="00AD50AA">
            <w:pPr>
              <w:pStyle w:val="T2"/>
              <w:jc w:val="right"/>
              <w:rPr>
                <w:b/>
              </w:rPr>
            </w:pPr>
            <w:r>
              <w:rPr>
                <w:b/>
              </w:rPr>
              <w:t>90.0</w:t>
            </w:r>
          </w:p>
        </w:tc>
        <w:tc>
          <w:tcPr>
            <w:tcW w:w="1020" w:type="dxa"/>
            <w:vAlign w:val="bottom"/>
          </w:tcPr>
          <w:p w14:paraId="50BE0BDC" w14:textId="77777777" w:rsidR="00AD50AA" w:rsidRPr="00B34A04" w:rsidRDefault="00AD50AA" w:rsidP="00AD50AA">
            <w:pPr>
              <w:pStyle w:val="T2"/>
              <w:jc w:val="right"/>
              <w:rPr>
                <w:b/>
              </w:rPr>
            </w:pPr>
            <w:r w:rsidRPr="00B34A04">
              <w:rPr>
                <w:b/>
              </w:rPr>
              <w:t>–</w:t>
            </w:r>
          </w:p>
        </w:tc>
        <w:tc>
          <w:tcPr>
            <w:tcW w:w="847" w:type="dxa"/>
            <w:vAlign w:val="bottom"/>
          </w:tcPr>
          <w:p w14:paraId="25D9E3F2" w14:textId="77777777" w:rsidR="00AD50AA" w:rsidRPr="00B34A04" w:rsidRDefault="00AD50AA" w:rsidP="00AD50AA">
            <w:pPr>
              <w:pStyle w:val="T2"/>
              <w:jc w:val="right"/>
              <w:rPr>
                <w:b/>
              </w:rPr>
            </w:pPr>
            <w:r>
              <w:rPr>
                <w:b/>
              </w:rPr>
              <w:t>90.0</w:t>
            </w:r>
          </w:p>
        </w:tc>
      </w:tr>
      <w:tr w:rsidR="00AD50AA" w:rsidRPr="00C50E20" w14:paraId="30440564" w14:textId="77777777" w:rsidTr="001F1616">
        <w:trPr>
          <w:jc w:val="center"/>
        </w:trPr>
        <w:tc>
          <w:tcPr>
            <w:tcW w:w="4395" w:type="dxa"/>
            <w:tcBorders>
              <w:bottom w:val="single" w:sz="2" w:space="0" w:color="auto"/>
            </w:tcBorders>
          </w:tcPr>
          <w:p w14:paraId="33E050FD" w14:textId="77777777" w:rsidR="00AD50AA" w:rsidRPr="00006931" w:rsidRDefault="00AD50AA">
            <w:pPr>
              <w:pStyle w:val="T2"/>
              <w:jc w:val="left"/>
              <w:rPr>
                <w:bCs/>
              </w:rPr>
            </w:pPr>
            <w:r>
              <w:rPr>
                <w:bCs/>
              </w:rPr>
              <w:t xml:space="preserve">Transaction costs </w:t>
            </w:r>
            <w:r w:rsidR="005726F7">
              <w:rPr>
                <w:bCs/>
              </w:rPr>
              <w:t>of share issue</w:t>
            </w:r>
          </w:p>
        </w:tc>
        <w:tc>
          <w:tcPr>
            <w:tcW w:w="709" w:type="dxa"/>
            <w:tcBorders>
              <w:bottom w:val="single" w:sz="2" w:space="0" w:color="auto"/>
            </w:tcBorders>
            <w:vAlign w:val="bottom"/>
          </w:tcPr>
          <w:p w14:paraId="3F8FDB51" w14:textId="77777777" w:rsidR="00AD50AA" w:rsidRPr="003313E6" w:rsidRDefault="00AD50AA" w:rsidP="00AD50AA">
            <w:pPr>
              <w:pStyle w:val="T2"/>
              <w:jc w:val="right"/>
              <w:rPr>
                <w:b/>
                <w:bCs/>
              </w:rPr>
            </w:pPr>
            <w:r w:rsidRPr="00B34A04">
              <w:rPr>
                <w:b/>
              </w:rPr>
              <w:t>–</w:t>
            </w:r>
          </w:p>
        </w:tc>
        <w:tc>
          <w:tcPr>
            <w:tcW w:w="992" w:type="dxa"/>
            <w:tcBorders>
              <w:bottom w:val="single" w:sz="2" w:space="0" w:color="auto"/>
            </w:tcBorders>
            <w:vAlign w:val="bottom"/>
          </w:tcPr>
          <w:p w14:paraId="0CDD915D" w14:textId="77777777" w:rsidR="00AD50AA" w:rsidRPr="003313E6" w:rsidRDefault="00AD50AA" w:rsidP="00AD50AA">
            <w:pPr>
              <w:pStyle w:val="T2"/>
              <w:jc w:val="right"/>
              <w:rPr>
                <w:b/>
                <w:bCs/>
              </w:rPr>
            </w:pPr>
            <w:r w:rsidRPr="00B34A04">
              <w:rPr>
                <w:b/>
              </w:rPr>
              <w:t>–</w:t>
            </w:r>
          </w:p>
        </w:tc>
        <w:tc>
          <w:tcPr>
            <w:tcW w:w="850" w:type="dxa"/>
            <w:tcBorders>
              <w:bottom w:val="single" w:sz="2" w:space="0" w:color="auto"/>
            </w:tcBorders>
            <w:vAlign w:val="bottom"/>
          </w:tcPr>
          <w:p w14:paraId="2B1E5595" w14:textId="77777777" w:rsidR="00AD50AA" w:rsidRPr="003313E6" w:rsidRDefault="00AD50AA" w:rsidP="00AD50AA">
            <w:pPr>
              <w:pStyle w:val="T2"/>
              <w:jc w:val="right"/>
              <w:rPr>
                <w:b/>
                <w:bCs/>
              </w:rPr>
            </w:pPr>
            <w:r w:rsidRPr="00B34A04">
              <w:rPr>
                <w:b/>
              </w:rPr>
              <w:t>–</w:t>
            </w:r>
          </w:p>
        </w:tc>
        <w:tc>
          <w:tcPr>
            <w:tcW w:w="851" w:type="dxa"/>
            <w:tcBorders>
              <w:bottom w:val="single" w:sz="2" w:space="0" w:color="auto"/>
            </w:tcBorders>
            <w:vAlign w:val="bottom"/>
          </w:tcPr>
          <w:p w14:paraId="45C602D4" w14:textId="77777777" w:rsidR="00AD50AA" w:rsidRPr="003313E6" w:rsidRDefault="00D439D4">
            <w:pPr>
              <w:pStyle w:val="T2"/>
              <w:jc w:val="right"/>
              <w:rPr>
                <w:b/>
                <w:bCs/>
              </w:rPr>
            </w:pPr>
            <w:r>
              <w:rPr>
                <w:b/>
                <w:bCs/>
              </w:rPr>
              <w:t>(</w:t>
            </w:r>
            <w:r w:rsidR="00D711B0">
              <w:rPr>
                <w:b/>
                <w:bCs/>
              </w:rPr>
              <w:t>3.</w:t>
            </w:r>
            <w:r w:rsidR="00863360">
              <w:rPr>
                <w:b/>
                <w:bCs/>
              </w:rPr>
              <w:t>0</w:t>
            </w:r>
            <w:r w:rsidR="00AD50AA">
              <w:rPr>
                <w:b/>
                <w:bCs/>
              </w:rPr>
              <w:t>)</w:t>
            </w:r>
          </w:p>
        </w:tc>
        <w:tc>
          <w:tcPr>
            <w:tcW w:w="826" w:type="dxa"/>
            <w:tcBorders>
              <w:bottom w:val="single" w:sz="2" w:space="0" w:color="auto"/>
            </w:tcBorders>
            <w:vAlign w:val="bottom"/>
          </w:tcPr>
          <w:p w14:paraId="586766B7" w14:textId="77777777" w:rsidR="00AD50AA" w:rsidRPr="003313E6" w:rsidRDefault="00AD50AA">
            <w:pPr>
              <w:pStyle w:val="T2"/>
              <w:jc w:val="right"/>
              <w:rPr>
                <w:b/>
                <w:bCs/>
              </w:rPr>
            </w:pPr>
            <w:r>
              <w:rPr>
                <w:b/>
                <w:bCs/>
              </w:rPr>
              <w:t>(3.</w:t>
            </w:r>
            <w:r w:rsidR="00863360">
              <w:rPr>
                <w:b/>
                <w:bCs/>
              </w:rPr>
              <w:t>0</w:t>
            </w:r>
            <w:r>
              <w:rPr>
                <w:b/>
                <w:bCs/>
              </w:rPr>
              <w:t>)</w:t>
            </w:r>
          </w:p>
        </w:tc>
        <w:tc>
          <w:tcPr>
            <w:tcW w:w="1020" w:type="dxa"/>
            <w:tcBorders>
              <w:bottom w:val="single" w:sz="2" w:space="0" w:color="auto"/>
            </w:tcBorders>
            <w:vAlign w:val="bottom"/>
          </w:tcPr>
          <w:p w14:paraId="11DC634F" w14:textId="77777777" w:rsidR="00AD50AA" w:rsidRPr="003313E6" w:rsidRDefault="00AD50AA" w:rsidP="00AD50AA">
            <w:pPr>
              <w:pStyle w:val="T2"/>
              <w:jc w:val="right"/>
              <w:rPr>
                <w:b/>
                <w:bCs/>
              </w:rPr>
            </w:pPr>
            <w:r w:rsidRPr="00B34A04">
              <w:rPr>
                <w:b/>
              </w:rPr>
              <w:t>–</w:t>
            </w:r>
          </w:p>
        </w:tc>
        <w:tc>
          <w:tcPr>
            <w:tcW w:w="847" w:type="dxa"/>
            <w:tcBorders>
              <w:bottom w:val="single" w:sz="2" w:space="0" w:color="auto"/>
            </w:tcBorders>
            <w:vAlign w:val="bottom"/>
          </w:tcPr>
          <w:p w14:paraId="4EDA8598" w14:textId="77777777" w:rsidR="00AD50AA" w:rsidRPr="003313E6" w:rsidRDefault="00AD50AA">
            <w:pPr>
              <w:pStyle w:val="T2"/>
              <w:jc w:val="right"/>
              <w:rPr>
                <w:b/>
                <w:bCs/>
              </w:rPr>
            </w:pPr>
            <w:r>
              <w:rPr>
                <w:b/>
              </w:rPr>
              <w:t>(3.</w:t>
            </w:r>
            <w:r w:rsidR="00863360">
              <w:rPr>
                <w:b/>
              </w:rPr>
              <w:t>0</w:t>
            </w:r>
            <w:r>
              <w:rPr>
                <w:b/>
              </w:rPr>
              <w:t>)</w:t>
            </w:r>
          </w:p>
        </w:tc>
      </w:tr>
      <w:tr w:rsidR="00AD50AA" w:rsidRPr="00C50E20" w14:paraId="143A0679" w14:textId="77777777" w:rsidTr="001F1616">
        <w:trPr>
          <w:jc w:val="center"/>
        </w:trPr>
        <w:tc>
          <w:tcPr>
            <w:tcW w:w="4395" w:type="dxa"/>
            <w:tcBorders>
              <w:top w:val="single" w:sz="2" w:space="0" w:color="auto"/>
              <w:bottom w:val="single" w:sz="2" w:space="0" w:color="auto"/>
            </w:tcBorders>
          </w:tcPr>
          <w:p w14:paraId="3C8F99C1" w14:textId="77777777" w:rsidR="00AD50AA" w:rsidRPr="005D0EFF" w:rsidRDefault="00AD50AA" w:rsidP="00AD50AA">
            <w:pPr>
              <w:pStyle w:val="T2"/>
              <w:jc w:val="left"/>
              <w:rPr>
                <w:b/>
                <w:bCs/>
              </w:rPr>
            </w:pPr>
            <w:r w:rsidRPr="005D0EFF">
              <w:rPr>
                <w:b/>
                <w:bCs/>
              </w:rPr>
              <w:t xml:space="preserve">At </w:t>
            </w:r>
            <w:r>
              <w:rPr>
                <w:b/>
                <w:bCs/>
              </w:rPr>
              <w:t>26 March 2021</w:t>
            </w:r>
          </w:p>
        </w:tc>
        <w:tc>
          <w:tcPr>
            <w:tcW w:w="709" w:type="dxa"/>
            <w:tcBorders>
              <w:top w:val="single" w:sz="2" w:space="0" w:color="auto"/>
              <w:bottom w:val="single" w:sz="2" w:space="0" w:color="auto"/>
            </w:tcBorders>
            <w:vAlign w:val="bottom"/>
          </w:tcPr>
          <w:p w14:paraId="6C0A6571" w14:textId="77777777" w:rsidR="00AD50AA" w:rsidRPr="003313E6" w:rsidRDefault="00AD50AA" w:rsidP="00AD50AA">
            <w:pPr>
              <w:pStyle w:val="T2"/>
              <w:jc w:val="right"/>
              <w:rPr>
                <w:b/>
                <w:bCs/>
              </w:rPr>
            </w:pPr>
            <w:r>
              <w:rPr>
                <w:b/>
              </w:rPr>
              <w:t>5.3</w:t>
            </w:r>
          </w:p>
        </w:tc>
        <w:tc>
          <w:tcPr>
            <w:tcW w:w="992" w:type="dxa"/>
            <w:tcBorders>
              <w:top w:val="single" w:sz="2" w:space="0" w:color="auto"/>
              <w:bottom w:val="single" w:sz="2" w:space="0" w:color="auto"/>
            </w:tcBorders>
            <w:vAlign w:val="bottom"/>
          </w:tcPr>
          <w:p w14:paraId="65E28234" w14:textId="77777777" w:rsidR="00AD50AA" w:rsidRPr="003313E6" w:rsidRDefault="00AD50AA" w:rsidP="00AD50AA">
            <w:pPr>
              <w:pStyle w:val="T2"/>
              <w:jc w:val="right"/>
              <w:rPr>
                <w:b/>
                <w:bCs/>
              </w:rPr>
            </w:pPr>
            <w:r>
              <w:rPr>
                <w:b/>
                <w:bCs/>
              </w:rPr>
              <w:t>89.6</w:t>
            </w:r>
          </w:p>
        </w:tc>
        <w:tc>
          <w:tcPr>
            <w:tcW w:w="850" w:type="dxa"/>
            <w:tcBorders>
              <w:top w:val="single" w:sz="2" w:space="0" w:color="auto"/>
              <w:bottom w:val="single" w:sz="2" w:space="0" w:color="auto"/>
            </w:tcBorders>
            <w:vAlign w:val="bottom"/>
          </w:tcPr>
          <w:p w14:paraId="3DAA034C" w14:textId="77777777" w:rsidR="00AD50AA" w:rsidRPr="003313E6" w:rsidRDefault="00AD50AA">
            <w:pPr>
              <w:pStyle w:val="T2"/>
              <w:jc w:val="right"/>
              <w:rPr>
                <w:b/>
                <w:bCs/>
              </w:rPr>
            </w:pPr>
            <w:r>
              <w:rPr>
                <w:b/>
                <w:bCs/>
              </w:rPr>
              <w:t>1</w:t>
            </w:r>
            <w:r w:rsidR="00737D6B">
              <w:rPr>
                <w:b/>
                <w:bCs/>
              </w:rPr>
              <w:t>19.</w:t>
            </w:r>
            <w:r w:rsidR="00863360">
              <w:rPr>
                <w:b/>
                <w:bCs/>
              </w:rPr>
              <w:t>5</w:t>
            </w:r>
          </w:p>
        </w:tc>
        <w:tc>
          <w:tcPr>
            <w:tcW w:w="851" w:type="dxa"/>
            <w:tcBorders>
              <w:top w:val="single" w:sz="2" w:space="0" w:color="auto"/>
              <w:bottom w:val="single" w:sz="2" w:space="0" w:color="auto"/>
            </w:tcBorders>
            <w:vAlign w:val="bottom"/>
          </w:tcPr>
          <w:p w14:paraId="3E4D3E7F" w14:textId="77777777" w:rsidR="00AD50AA" w:rsidRPr="003313E6" w:rsidRDefault="00AD50AA">
            <w:pPr>
              <w:pStyle w:val="T2"/>
              <w:jc w:val="right"/>
              <w:rPr>
                <w:b/>
                <w:bCs/>
              </w:rPr>
            </w:pPr>
            <w:r>
              <w:rPr>
                <w:b/>
              </w:rPr>
              <w:t>15</w:t>
            </w:r>
            <w:r w:rsidR="00D206EE">
              <w:rPr>
                <w:b/>
              </w:rPr>
              <w:t>6.</w:t>
            </w:r>
            <w:r w:rsidR="00863360">
              <w:rPr>
                <w:b/>
              </w:rPr>
              <w:t>1</w:t>
            </w:r>
          </w:p>
        </w:tc>
        <w:tc>
          <w:tcPr>
            <w:tcW w:w="826" w:type="dxa"/>
            <w:tcBorders>
              <w:top w:val="single" w:sz="2" w:space="0" w:color="auto"/>
              <w:bottom w:val="single" w:sz="2" w:space="0" w:color="auto"/>
            </w:tcBorders>
            <w:vAlign w:val="bottom"/>
          </w:tcPr>
          <w:p w14:paraId="34635758" w14:textId="77777777" w:rsidR="00AD50AA" w:rsidRPr="003313E6" w:rsidRDefault="00AD50AA">
            <w:pPr>
              <w:pStyle w:val="T2"/>
              <w:jc w:val="right"/>
              <w:rPr>
                <w:b/>
                <w:bCs/>
              </w:rPr>
            </w:pPr>
            <w:r>
              <w:rPr>
                <w:b/>
                <w:bCs/>
              </w:rPr>
              <w:t>37</w:t>
            </w:r>
            <w:r w:rsidR="00D439D4">
              <w:rPr>
                <w:b/>
                <w:bCs/>
              </w:rPr>
              <w:t>0</w:t>
            </w:r>
            <w:r>
              <w:rPr>
                <w:b/>
                <w:bCs/>
              </w:rPr>
              <w:t>.</w:t>
            </w:r>
            <w:r w:rsidR="00D206EE">
              <w:rPr>
                <w:b/>
                <w:bCs/>
              </w:rPr>
              <w:t>5</w:t>
            </w:r>
          </w:p>
        </w:tc>
        <w:tc>
          <w:tcPr>
            <w:tcW w:w="1020" w:type="dxa"/>
            <w:tcBorders>
              <w:top w:val="single" w:sz="2" w:space="0" w:color="auto"/>
              <w:bottom w:val="single" w:sz="2" w:space="0" w:color="auto"/>
            </w:tcBorders>
            <w:vAlign w:val="bottom"/>
          </w:tcPr>
          <w:p w14:paraId="621A9033" w14:textId="77777777" w:rsidR="00AD50AA" w:rsidRPr="003313E6" w:rsidRDefault="00AD50AA" w:rsidP="00AD50AA">
            <w:pPr>
              <w:pStyle w:val="T2"/>
              <w:jc w:val="right"/>
              <w:rPr>
                <w:b/>
                <w:bCs/>
              </w:rPr>
            </w:pPr>
            <w:r w:rsidRPr="00B34A04">
              <w:rPr>
                <w:b/>
              </w:rPr>
              <w:t>–</w:t>
            </w:r>
          </w:p>
        </w:tc>
        <w:tc>
          <w:tcPr>
            <w:tcW w:w="847" w:type="dxa"/>
            <w:tcBorders>
              <w:top w:val="single" w:sz="2" w:space="0" w:color="auto"/>
              <w:bottom w:val="single" w:sz="2" w:space="0" w:color="auto"/>
            </w:tcBorders>
            <w:vAlign w:val="bottom"/>
          </w:tcPr>
          <w:p w14:paraId="301AEE70" w14:textId="77777777" w:rsidR="00AD50AA" w:rsidRPr="003313E6" w:rsidRDefault="00AD50AA" w:rsidP="0041734A">
            <w:pPr>
              <w:pStyle w:val="T2"/>
              <w:jc w:val="right"/>
              <w:rPr>
                <w:b/>
                <w:bCs/>
              </w:rPr>
            </w:pPr>
            <w:r>
              <w:rPr>
                <w:b/>
              </w:rPr>
              <w:t>37</w:t>
            </w:r>
            <w:r w:rsidR="00D439D4">
              <w:rPr>
                <w:b/>
              </w:rPr>
              <w:t>0</w:t>
            </w:r>
            <w:r>
              <w:rPr>
                <w:b/>
              </w:rPr>
              <w:t>.</w:t>
            </w:r>
            <w:r w:rsidR="00D206EE">
              <w:rPr>
                <w:b/>
              </w:rPr>
              <w:t>5</w:t>
            </w:r>
          </w:p>
        </w:tc>
      </w:tr>
    </w:tbl>
    <w:p w14:paraId="111703E3" w14:textId="77777777" w:rsidR="009C27E0" w:rsidRDefault="009C27E0"/>
    <w:tbl>
      <w:tblPr>
        <w:tblStyle w:val="TableGrid"/>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709"/>
        <w:gridCol w:w="992"/>
        <w:gridCol w:w="850"/>
        <w:gridCol w:w="992"/>
        <w:gridCol w:w="826"/>
        <w:gridCol w:w="1020"/>
        <w:gridCol w:w="847"/>
      </w:tblGrid>
      <w:tr w:rsidR="00773F7B" w:rsidRPr="00BD5017" w14:paraId="05722668" w14:textId="77777777" w:rsidTr="00B52070">
        <w:trPr>
          <w:jc w:val="center"/>
        </w:trPr>
        <w:tc>
          <w:tcPr>
            <w:tcW w:w="4395" w:type="dxa"/>
            <w:vAlign w:val="bottom"/>
          </w:tcPr>
          <w:p w14:paraId="3AFCCA39" w14:textId="77777777" w:rsidR="00773F7B" w:rsidRPr="00E57F3E" w:rsidRDefault="00773F7B" w:rsidP="00773F7B">
            <w:pPr>
              <w:pStyle w:val="T2"/>
              <w:jc w:val="left"/>
            </w:pPr>
          </w:p>
        </w:tc>
        <w:tc>
          <w:tcPr>
            <w:tcW w:w="709" w:type="dxa"/>
            <w:vAlign w:val="bottom"/>
          </w:tcPr>
          <w:p w14:paraId="0EE6AD60" w14:textId="77777777" w:rsidR="00773F7B" w:rsidRPr="00B52070" w:rsidRDefault="00773F7B" w:rsidP="00B52070">
            <w:pPr>
              <w:pStyle w:val="T2"/>
              <w:ind w:left="-126" w:firstLine="126"/>
              <w:jc w:val="right"/>
            </w:pPr>
            <w:r w:rsidRPr="00BE7FD5">
              <w:t>Share capital</w:t>
            </w:r>
          </w:p>
        </w:tc>
        <w:tc>
          <w:tcPr>
            <w:tcW w:w="992" w:type="dxa"/>
            <w:vAlign w:val="bottom"/>
          </w:tcPr>
          <w:p w14:paraId="4295E5FC" w14:textId="77777777" w:rsidR="00773F7B" w:rsidRPr="00B52070" w:rsidRDefault="00773F7B" w:rsidP="00B52070">
            <w:pPr>
              <w:pStyle w:val="T2"/>
              <w:ind w:left="-126" w:firstLine="126"/>
              <w:jc w:val="right"/>
            </w:pPr>
            <w:r w:rsidRPr="00BE7FD5">
              <w:t>Share premium</w:t>
            </w:r>
          </w:p>
        </w:tc>
        <w:tc>
          <w:tcPr>
            <w:tcW w:w="850" w:type="dxa"/>
            <w:vAlign w:val="bottom"/>
          </w:tcPr>
          <w:p w14:paraId="0BA4D189" w14:textId="77777777" w:rsidR="00773F7B" w:rsidRPr="00B52070" w:rsidRDefault="00773F7B" w:rsidP="00B52070">
            <w:pPr>
              <w:pStyle w:val="T2"/>
              <w:ind w:left="-126" w:firstLine="126"/>
              <w:jc w:val="right"/>
            </w:pPr>
            <w:r w:rsidRPr="00BE7FD5">
              <w:t>Other reserves</w:t>
            </w:r>
          </w:p>
        </w:tc>
        <w:tc>
          <w:tcPr>
            <w:tcW w:w="992" w:type="dxa"/>
            <w:vAlign w:val="bottom"/>
          </w:tcPr>
          <w:p w14:paraId="4D073834" w14:textId="77777777" w:rsidR="00773F7B" w:rsidRPr="00B52070" w:rsidRDefault="00773F7B" w:rsidP="00B52070">
            <w:pPr>
              <w:pStyle w:val="T2"/>
              <w:ind w:left="-126" w:firstLine="126"/>
              <w:jc w:val="right"/>
            </w:pPr>
            <w:r w:rsidRPr="00BE7FD5">
              <w:t>Retained earnings</w:t>
            </w:r>
          </w:p>
        </w:tc>
        <w:tc>
          <w:tcPr>
            <w:tcW w:w="826" w:type="dxa"/>
            <w:vAlign w:val="bottom"/>
          </w:tcPr>
          <w:p w14:paraId="29040F04" w14:textId="77777777" w:rsidR="00773F7B" w:rsidRPr="00B52070" w:rsidRDefault="00773F7B" w:rsidP="00B52070">
            <w:pPr>
              <w:pStyle w:val="T2"/>
              <w:ind w:left="-126" w:firstLine="126"/>
              <w:jc w:val="right"/>
            </w:pPr>
            <w:r w:rsidRPr="00BE7FD5">
              <w:t>Total</w:t>
            </w:r>
          </w:p>
        </w:tc>
        <w:tc>
          <w:tcPr>
            <w:tcW w:w="1020" w:type="dxa"/>
            <w:vAlign w:val="bottom"/>
          </w:tcPr>
          <w:p w14:paraId="1BC0C40D" w14:textId="77777777" w:rsidR="00773F7B" w:rsidRPr="00B52070" w:rsidRDefault="00773F7B" w:rsidP="00B52070">
            <w:pPr>
              <w:pStyle w:val="T2"/>
              <w:ind w:left="-126" w:right="-10" w:firstLine="126"/>
              <w:jc w:val="right"/>
            </w:pPr>
            <w:r w:rsidRPr="00BE7FD5">
              <w:t>Non–controlling interest</w:t>
            </w:r>
          </w:p>
        </w:tc>
        <w:tc>
          <w:tcPr>
            <w:tcW w:w="847" w:type="dxa"/>
            <w:vAlign w:val="bottom"/>
          </w:tcPr>
          <w:p w14:paraId="4D2DF805" w14:textId="77777777" w:rsidR="00773F7B" w:rsidRPr="00BE7FD5" w:rsidRDefault="00773F7B" w:rsidP="00B52070">
            <w:pPr>
              <w:pStyle w:val="T2"/>
              <w:ind w:left="-126" w:firstLine="126"/>
              <w:jc w:val="right"/>
            </w:pPr>
            <w:r w:rsidRPr="00BE7FD5">
              <w:t xml:space="preserve">Total </w:t>
            </w:r>
          </w:p>
          <w:p w14:paraId="7790B4B9" w14:textId="77777777" w:rsidR="00773F7B" w:rsidRPr="00B52070" w:rsidRDefault="00773F7B" w:rsidP="00B52070">
            <w:pPr>
              <w:pStyle w:val="T2"/>
              <w:ind w:left="-126" w:firstLine="126"/>
              <w:jc w:val="right"/>
            </w:pPr>
            <w:r w:rsidRPr="00BE7FD5">
              <w:t>equity</w:t>
            </w:r>
          </w:p>
        </w:tc>
      </w:tr>
      <w:tr w:rsidR="00773F7B" w:rsidRPr="00BD5017" w14:paraId="32F4C7CB" w14:textId="77777777" w:rsidTr="00B52070">
        <w:trPr>
          <w:jc w:val="center"/>
        </w:trPr>
        <w:tc>
          <w:tcPr>
            <w:tcW w:w="4395" w:type="dxa"/>
            <w:tcBorders>
              <w:bottom w:val="single" w:sz="2" w:space="0" w:color="auto"/>
            </w:tcBorders>
            <w:vAlign w:val="bottom"/>
          </w:tcPr>
          <w:p w14:paraId="07380760" w14:textId="77777777" w:rsidR="00773F7B" w:rsidRPr="00E57F3E" w:rsidRDefault="00773F7B" w:rsidP="00773F7B">
            <w:pPr>
              <w:pStyle w:val="T2"/>
              <w:jc w:val="left"/>
              <w:rPr>
                <w:b/>
              </w:rPr>
            </w:pPr>
          </w:p>
        </w:tc>
        <w:tc>
          <w:tcPr>
            <w:tcW w:w="709" w:type="dxa"/>
            <w:tcBorders>
              <w:bottom w:val="single" w:sz="2" w:space="0" w:color="auto"/>
            </w:tcBorders>
            <w:vAlign w:val="bottom"/>
          </w:tcPr>
          <w:p w14:paraId="0B7FAC12" w14:textId="77777777" w:rsidR="00773F7B" w:rsidRPr="00B52070" w:rsidRDefault="00773F7B" w:rsidP="00B52070">
            <w:pPr>
              <w:pStyle w:val="T2"/>
              <w:ind w:left="-126" w:firstLine="126"/>
              <w:jc w:val="right"/>
            </w:pPr>
            <w:r w:rsidRPr="00BE7FD5">
              <w:t>£m</w:t>
            </w:r>
          </w:p>
        </w:tc>
        <w:tc>
          <w:tcPr>
            <w:tcW w:w="992" w:type="dxa"/>
            <w:tcBorders>
              <w:bottom w:val="single" w:sz="2" w:space="0" w:color="auto"/>
            </w:tcBorders>
            <w:vAlign w:val="bottom"/>
          </w:tcPr>
          <w:p w14:paraId="3BF8D8E0" w14:textId="77777777" w:rsidR="00773F7B" w:rsidRPr="00B52070" w:rsidRDefault="00773F7B" w:rsidP="00B52070">
            <w:pPr>
              <w:pStyle w:val="T2"/>
              <w:ind w:left="-126" w:firstLine="126"/>
              <w:jc w:val="right"/>
            </w:pPr>
            <w:r w:rsidRPr="00BE7FD5">
              <w:t>£m</w:t>
            </w:r>
          </w:p>
        </w:tc>
        <w:tc>
          <w:tcPr>
            <w:tcW w:w="850" w:type="dxa"/>
            <w:tcBorders>
              <w:bottom w:val="single" w:sz="2" w:space="0" w:color="auto"/>
            </w:tcBorders>
            <w:vAlign w:val="bottom"/>
          </w:tcPr>
          <w:p w14:paraId="54A4D4E7" w14:textId="77777777" w:rsidR="00773F7B" w:rsidRPr="00B52070" w:rsidRDefault="00773F7B" w:rsidP="00B52070">
            <w:pPr>
              <w:pStyle w:val="T2"/>
              <w:ind w:left="-126" w:firstLine="126"/>
              <w:jc w:val="right"/>
            </w:pPr>
            <w:r w:rsidRPr="00BE7FD5">
              <w:t>£m</w:t>
            </w:r>
          </w:p>
        </w:tc>
        <w:tc>
          <w:tcPr>
            <w:tcW w:w="992" w:type="dxa"/>
            <w:tcBorders>
              <w:bottom w:val="single" w:sz="2" w:space="0" w:color="auto"/>
            </w:tcBorders>
            <w:vAlign w:val="bottom"/>
          </w:tcPr>
          <w:p w14:paraId="52887F5A" w14:textId="77777777" w:rsidR="00773F7B" w:rsidRPr="00B52070" w:rsidRDefault="00773F7B" w:rsidP="00B52070">
            <w:pPr>
              <w:pStyle w:val="T2"/>
              <w:ind w:left="-126" w:firstLine="126"/>
              <w:jc w:val="right"/>
            </w:pPr>
            <w:r w:rsidRPr="00BE7FD5">
              <w:t>£m</w:t>
            </w:r>
          </w:p>
        </w:tc>
        <w:tc>
          <w:tcPr>
            <w:tcW w:w="826" w:type="dxa"/>
            <w:tcBorders>
              <w:bottom w:val="single" w:sz="2" w:space="0" w:color="auto"/>
            </w:tcBorders>
            <w:vAlign w:val="bottom"/>
          </w:tcPr>
          <w:p w14:paraId="598A8CF1" w14:textId="77777777" w:rsidR="00773F7B" w:rsidRPr="00B52070" w:rsidRDefault="00773F7B" w:rsidP="00B52070">
            <w:pPr>
              <w:pStyle w:val="T2"/>
              <w:ind w:left="-126" w:firstLine="126"/>
              <w:jc w:val="right"/>
            </w:pPr>
            <w:r w:rsidRPr="00BE7FD5">
              <w:t>£m</w:t>
            </w:r>
          </w:p>
        </w:tc>
        <w:tc>
          <w:tcPr>
            <w:tcW w:w="1020" w:type="dxa"/>
            <w:tcBorders>
              <w:bottom w:val="single" w:sz="2" w:space="0" w:color="auto"/>
            </w:tcBorders>
            <w:vAlign w:val="bottom"/>
          </w:tcPr>
          <w:p w14:paraId="334DCCF2" w14:textId="77777777" w:rsidR="00773F7B" w:rsidRPr="00B52070" w:rsidRDefault="00773F7B" w:rsidP="00B52070">
            <w:pPr>
              <w:pStyle w:val="T2"/>
              <w:ind w:left="-126" w:firstLine="126"/>
              <w:jc w:val="right"/>
            </w:pPr>
            <w:r w:rsidRPr="00BE7FD5">
              <w:t>£m</w:t>
            </w:r>
          </w:p>
        </w:tc>
        <w:tc>
          <w:tcPr>
            <w:tcW w:w="847" w:type="dxa"/>
            <w:tcBorders>
              <w:bottom w:val="single" w:sz="2" w:space="0" w:color="auto"/>
            </w:tcBorders>
            <w:vAlign w:val="bottom"/>
          </w:tcPr>
          <w:p w14:paraId="4ABC401F" w14:textId="77777777" w:rsidR="00773F7B" w:rsidRPr="00B52070" w:rsidRDefault="00773F7B" w:rsidP="00B52070">
            <w:pPr>
              <w:pStyle w:val="T2"/>
              <w:ind w:left="-126" w:firstLine="126"/>
              <w:jc w:val="right"/>
            </w:pPr>
            <w:r w:rsidRPr="00BE7FD5">
              <w:t>£m</w:t>
            </w:r>
          </w:p>
        </w:tc>
      </w:tr>
      <w:tr w:rsidR="00773F7B" w14:paraId="711A47E2" w14:textId="77777777" w:rsidTr="00B52070">
        <w:trPr>
          <w:jc w:val="center"/>
        </w:trPr>
        <w:tc>
          <w:tcPr>
            <w:tcW w:w="4395" w:type="dxa"/>
            <w:tcBorders>
              <w:top w:val="single" w:sz="2" w:space="0" w:color="auto"/>
              <w:bottom w:val="single" w:sz="2" w:space="0" w:color="auto"/>
            </w:tcBorders>
            <w:vAlign w:val="bottom"/>
          </w:tcPr>
          <w:p w14:paraId="73A18B1D" w14:textId="77777777" w:rsidR="00773F7B" w:rsidRPr="00B52070" w:rsidRDefault="00773F7B" w:rsidP="002F718C">
            <w:pPr>
              <w:pStyle w:val="T2"/>
              <w:jc w:val="left"/>
              <w:rPr>
                <w:b/>
              </w:rPr>
            </w:pPr>
            <w:r w:rsidRPr="00B52070">
              <w:rPr>
                <w:b/>
              </w:rPr>
              <w:t>At 2</w:t>
            </w:r>
            <w:r w:rsidR="002F718C">
              <w:rPr>
                <w:b/>
              </w:rPr>
              <w:t>7</w:t>
            </w:r>
            <w:r w:rsidRPr="00B52070">
              <w:rPr>
                <w:b/>
              </w:rPr>
              <w:t xml:space="preserve"> September 201</w:t>
            </w:r>
            <w:r w:rsidR="002F718C">
              <w:rPr>
                <w:b/>
              </w:rPr>
              <w:t>9</w:t>
            </w:r>
            <w:r w:rsidRPr="00B52070">
              <w:rPr>
                <w:b/>
              </w:rPr>
              <w:t xml:space="preserve"> </w:t>
            </w:r>
          </w:p>
        </w:tc>
        <w:tc>
          <w:tcPr>
            <w:tcW w:w="709" w:type="dxa"/>
            <w:tcBorders>
              <w:top w:val="single" w:sz="2" w:space="0" w:color="auto"/>
              <w:bottom w:val="single" w:sz="2" w:space="0" w:color="auto"/>
            </w:tcBorders>
            <w:vAlign w:val="bottom"/>
          </w:tcPr>
          <w:p w14:paraId="1762C59C" w14:textId="77777777" w:rsidR="00773F7B" w:rsidRPr="00BE7FD5" w:rsidRDefault="002F718C" w:rsidP="00773F7B">
            <w:pPr>
              <w:pStyle w:val="T2"/>
              <w:jc w:val="right"/>
              <w:rPr>
                <w:bCs/>
              </w:rPr>
            </w:pPr>
            <w:r>
              <w:rPr>
                <w:bCs/>
              </w:rPr>
              <w:t>4.5</w:t>
            </w:r>
          </w:p>
        </w:tc>
        <w:tc>
          <w:tcPr>
            <w:tcW w:w="992" w:type="dxa"/>
            <w:tcBorders>
              <w:top w:val="single" w:sz="2" w:space="0" w:color="auto"/>
              <w:bottom w:val="single" w:sz="2" w:space="0" w:color="auto"/>
            </w:tcBorders>
            <w:vAlign w:val="bottom"/>
          </w:tcPr>
          <w:p w14:paraId="43439EB4" w14:textId="77777777" w:rsidR="00773F7B" w:rsidRPr="00BD5B9E" w:rsidRDefault="002F718C" w:rsidP="00773F7B">
            <w:pPr>
              <w:pStyle w:val="T2"/>
              <w:jc w:val="right"/>
              <w:rPr>
                <w:bCs/>
              </w:rPr>
            </w:pPr>
            <w:r>
              <w:rPr>
                <w:bCs/>
              </w:rPr>
              <w:t>0.1</w:t>
            </w:r>
          </w:p>
        </w:tc>
        <w:tc>
          <w:tcPr>
            <w:tcW w:w="850" w:type="dxa"/>
            <w:tcBorders>
              <w:top w:val="single" w:sz="2" w:space="0" w:color="auto"/>
              <w:bottom w:val="single" w:sz="2" w:space="0" w:color="auto"/>
            </w:tcBorders>
            <w:vAlign w:val="bottom"/>
          </w:tcPr>
          <w:p w14:paraId="142C3F9A" w14:textId="77777777" w:rsidR="00773F7B" w:rsidRPr="00850427" w:rsidRDefault="002F718C" w:rsidP="00773F7B">
            <w:pPr>
              <w:pStyle w:val="T2"/>
              <w:jc w:val="right"/>
              <w:rPr>
                <w:bCs/>
              </w:rPr>
            </w:pPr>
            <w:r>
              <w:rPr>
                <w:bCs/>
              </w:rPr>
              <w:t>116.8</w:t>
            </w:r>
          </w:p>
        </w:tc>
        <w:tc>
          <w:tcPr>
            <w:tcW w:w="992" w:type="dxa"/>
            <w:tcBorders>
              <w:top w:val="single" w:sz="2" w:space="0" w:color="auto"/>
              <w:bottom w:val="single" w:sz="2" w:space="0" w:color="auto"/>
            </w:tcBorders>
            <w:vAlign w:val="bottom"/>
          </w:tcPr>
          <w:p w14:paraId="0090B31E" w14:textId="77777777" w:rsidR="00773F7B" w:rsidRPr="00313FBC" w:rsidRDefault="002F718C" w:rsidP="00773F7B">
            <w:pPr>
              <w:pStyle w:val="T2"/>
              <w:jc w:val="right"/>
              <w:rPr>
                <w:bCs/>
              </w:rPr>
            </w:pPr>
            <w:r>
              <w:rPr>
                <w:bCs/>
              </w:rPr>
              <w:t>178.0</w:t>
            </w:r>
          </w:p>
        </w:tc>
        <w:tc>
          <w:tcPr>
            <w:tcW w:w="826" w:type="dxa"/>
            <w:tcBorders>
              <w:top w:val="single" w:sz="2" w:space="0" w:color="auto"/>
              <w:bottom w:val="single" w:sz="2" w:space="0" w:color="auto"/>
            </w:tcBorders>
            <w:vAlign w:val="bottom"/>
          </w:tcPr>
          <w:p w14:paraId="4A3433E7" w14:textId="77777777" w:rsidR="00773F7B" w:rsidRPr="006D0A46" w:rsidRDefault="002F718C" w:rsidP="00773F7B">
            <w:pPr>
              <w:pStyle w:val="T2"/>
              <w:jc w:val="right"/>
              <w:rPr>
                <w:bCs/>
              </w:rPr>
            </w:pPr>
            <w:r>
              <w:rPr>
                <w:bCs/>
              </w:rPr>
              <w:t>299.4</w:t>
            </w:r>
          </w:p>
        </w:tc>
        <w:tc>
          <w:tcPr>
            <w:tcW w:w="1020" w:type="dxa"/>
            <w:tcBorders>
              <w:top w:val="single" w:sz="2" w:space="0" w:color="auto"/>
              <w:bottom w:val="single" w:sz="2" w:space="0" w:color="auto"/>
            </w:tcBorders>
            <w:vAlign w:val="bottom"/>
          </w:tcPr>
          <w:p w14:paraId="4FB812FD" w14:textId="77777777" w:rsidR="00773F7B" w:rsidRPr="00AF32EB" w:rsidRDefault="00773F7B" w:rsidP="00773F7B">
            <w:pPr>
              <w:pStyle w:val="T2"/>
              <w:jc w:val="right"/>
              <w:rPr>
                <w:bCs/>
              </w:rPr>
            </w:pPr>
            <w:r w:rsidRPr="00AF32EB">
              <w:rPr>
                <w:bCs/>
              </w:rPr>
              <w:t>6.4</w:t>
            </w:r>
          </w:p>
        </w:tc>
        <w:tc>
          <w:tcPr>
            <w:tcW w:w="847" w:type="dxa"/>
            <w:tcBorders>
              <w:top w:val="single" w:sz="2" w:space="0" w:color="auto"/>
              <w:bottom w:val="single" w:sz="2" w:space="0" w:color="auto"/>
            </w:tcBorders>
            <w:vAlign w:val="bottom"/>
          </w:tcPr>
          <w:p w14:paraId="63BD52B1" w14:textId="77777777" w:rsidR="00773F7B" w:rsidRPr="001C4EF0" w:rsidRDefault="002F718C" w:rsidP="00773F7B">
            <w:pPr>
              <w:pStyle w:val="T2"/>
              <w:jc w:val="right"/>
              <w:rPr>
                <w:bCs/>
              </w:rPr>
            </w:pPr>
            <w:r>
              <w:rPr>
                <w:bCs/>
              </w:rPr>
              <w:t>305.8</w:t>
            </w:r>
          </w:p>
        </w:tc>
      </w:tr>
      <w:tr w:rsidR="00773F7B" w14:paraId="4667CDA8" w14:textId="77777777" w:rsidTr="00B52070">
        <w:trPr>
          <w:jc w:val="center"/>
        </w:trPr>
        <w:tc>
          <w:tcPr>
            <w:tcW w:w="4395" w:type="dxa"/>
            <w:tcBorders>
              <w:top w:val="single" w:sz="2" w:space="0" w:color="auto"/>
            </w:tcBorders>
            <w:vAlign w:val="bottom"/>
          </w:tcPr>
          <w:p w14:paraId="1844A569" w14:textId="77777777" w:rsidR="00773F7B" w:rsidRPr="0096767F" w:rsidRDefault="00773F7B" w:rsidP="002F718C">
            <w:pPr>
              <w:pStyle w:val="T2"/>
              <w:jc w:val="left"/>
              <w:rPr>
                <w:bCs/>
              </w:rPr>
            </w:pPr>
            <w:r>
              <w:rPr>
                <w:bCs/>
              </w:rPr>
              <w:t xml:space="preserve">IFRS </w:t>
            </w:r>
            <w:r w:rsidR="002F718C">
              <w:rPr>
                <w:bCs/>
              </w:rPr>
              <w:t>16</w:t>
            </w:r>
            <w:r>
              <w:rPr>
                <w:bCs/>
              </w:rPr>
              <w:t xml:space="preserve"> </w:t>
            </w:r>
            <w:r w:rsidR="002F718C" w:rsidRPr="002F718C">
              <w:rPr>
                <w:bCs/>
                <w:i/>
              </w:rPr>
              <w:t>Leases</w:t>
            </w:r>
            <w:r w:rsidR="002F718C">
              <w:rPr>
                <w:bCs/>
              </w:rPr>
              <w:t xml:space="preserve"> </w:t>
            </w:r>
            <w:r>
              <w:rPr>
                <w:bCs/>
              </w:rPr>
              <w:t xml:space="preserve">transition adjustment </w:t>
            </w:r>
          </w:p>
        </w:tc>
        <w:tc>
          <w:tcPr>
            <w:tcW w:w="709" w:type="dxa"/>
            <w:tcBorders>
              <w:top w:val="single" w:sz="2" w:space="0" w:color="auto"/>
            </w:tcBorders>
            <w:vAlign w:val="bottom"/>
          </w:tcPr>
          <w:p w14:paraId="1C8A6DCF" w14:textId="77777777" w:rsidR="00773F7B" w:rsidRPr="00BE7FD5" w:rsidRDefault="00773F7B" w:rsidP="00773F7B">
            <w:pPr>
              <w:pStyle w:val="T2"/>
              <w:jc w:val="right"/>
              <w:rPr>
                <w:bCs/>
              </w:rPr>
            </w:pPr>
            <w:r w:rsidRPr="00BE7FD5">
              <w:rPr>
                <w:bCs/>
              </w:rPr>
              <w:t>–</w:t>
            </w:r>
          </w:p>
        </w:tc>
        <w:tc>
          <w:tcPr>
            <w:tcW w:w="992" w:type="dxa"/>
            <w:tcBorders>
              <w:top w:val="single" w:sz="2" w:space="0" w:color="auto"/>
            </w:tcBorders>
            <w:vAlign w:val="bottom"/>
          </w:tcPr>
          <w:p w14:paraId="05A36EAD" w14:textId="77777777" w:rsidR="00773F7B" w:rsidRPr="00BD5B9E" w:rsidRDefault="00773F7B" w:rsidP="00773F7B">
            <w:pPr>
              <w:pStyle w:val="T2"/>
              <w:jc w:val="right"/>
              <w:rPr>
                <w:bCs/>
              </w:rPr>
            </w:pPr>
            <w:r w:rsidRPr="00BD5B9E">
              <w:rPr>
                <w:bCs/>
              </w:rPr>
              <w:t>–</w:t>
            </w:r>
          </w:p>
        </w:tc>
        <w:tc>
          <w:tcPr>
            <w:tcW w:w="850" w:type="dxa"/>
            <w:tcBorders>
              <w:top w:val="single" w:sz="2" w:space="0" w:color="auto"/>
            </w:tcBorders>
            <w:vAlign w:val="bottom"/>
          </w:tcPr>
          <w:p w14:paraId="69D99978" w14:textId="77777777" w:rsidR="00773F7B" w:rsidRPr="00850427" w:rsidRDefault="00773F7B" w:rsidP="00773F7B">
            <w:pPr>
              <w:pStyle w:val="T2"/>
              <w:jc w:val="right"/>
              <w:rPr>
                <w:bCs/>
              </w:rPr>
            </w:pPr>
            <w:r w:rsidRPr="0052700C">
              <w:rPr>
                <w:bCs/>
              </w:rPr>
              <w:t>–</w:t>
            </w:r>
          </w:p>
        </w:tc>
        <w:tc>
          <w:tcPr>
            <w:tcW w:w="992" w:type="dxa"/>
            <w:tcBorders>
              <w:top w:val="single" w:sz="2" w:space="0" w:color="auto"/>
            </w:tcBorders>
            <w:vAlign w:val="bottom"/>
          </w:tcPr>
          <w:p w14:paraId="5BE17A64" w14:textId="77777777" w:rsidR="00773F7B" w:rsidRPr="00313FBC" w:rsidRDefault="00773F7B" w:rsidP="002F718C">
            <w:pPr>
              <w:pStyle w:val="T2"/>
              <w:jc w:val="right"/>
              <w:rPr>
                <w:bCs/>
              </w:rPr>
            </w:pPr>
            <w:r w:rsidRPr="00313FBC">
              <w:rPr>
                <w:bCs/>
              </w:rPr>
              <w:t>(</w:t>
            </w:r>
            <w:r w:rsidR="002F718C">
              <w:rPr>
                <w:bCs/>
              </w:rPr>
              <w:t>3.4</w:t>
            </w:r>
            <w:r w:rsidRPr="00313FBC">
              <w:rPr>
                <w:bCs/>
              </w:rPr>
              <w:t>)</w:t>
            </w:r>
          </w:p>
        </w:tc>
        <w:tc>
          <w:tcPr>
            <w:tcW w:w="826" w:type="dxa"/>
            <w:tcBorders>
              <w:top w:val="single" w:sz="2" w:space="0" w:color="auto"/>
            </w:tcBorders>
            <w:vAlign w:val="bottom"/>
          </w:tcPr>
          <w:p w14:paraId="74213A72" w14:textId="77777777" w:rsidR="00773F7B" w:rsidRPr="006D0A46" w:rsidRDefault="00773F7B" w:rsidP="002F718C">
            <w:pPr>
              <w:pStyle w:val="T2"/>
              <w:jc w:val="right"/>
              <w:rPr>
                <w:bCs/>
              </w:rPr>
            </w:pPr>
            <w:r w:rsidRPr="006D0A46">
              <w:rPr>
                <w:bCs/>
              </w:rPr>
              <w:t>(</w:t>
            </w:r>
            <w:r w:rsidR="002F718C">
              <w:rPr>
                <w:bCs/>
              </w:rPr>
              <w:t>3.4</w:t>
            </w:r>
            <w:r w:rsidRPr="006D0A46">
              <w:rPr>
                <w:bCs/>
              </w:rPr>
              <w:t>)</w:t>
            </w:r>
          </w:p>
        </w:tc>
        <w:tc>
          <w:tcPr>
            <w:tcW w:w="1020" w:type="dxa"/>
            <w:tcBorders>
              <w:top w:val="single" w:sz="2" w:space="0" w:color="auto"/>
            </w:tcBorders>
            <w:vAlign w:val="bottom"/>
          </w:tcPr>
          <w:p w14:paraId="39CC2BBD" w14:textId="77777777" w:rsidR="00773F7B" w:rsidRPr="00AF32EB" w:rsidRDefault="00773F7B" w:rsidP="00773F7B">
            <w:pPr>
              <w:pStyle w:val="T2"/>
              <w:jc w:val="right"/>
              <w:rPr>
                <w:bCs/>
              </w:rPr>
            </w:pPr>
            <w:r w:rsidRPr="00AF32EB">
              <w:rPr>
                <w:bCs/>
              </w:rPr>
              <w:t>–</w:t>
            </w:r>
          </w:p>
        </w:tc>
        <w:tc>
          <w:tcPr>
            <w:tcW w:w="847" w:type="dxa"/>
            <w:tcBorders>
              <w:top w:val="single" w:sz="2" w:space="0" w:color="auto"/>
            </w:tcBorders>
            <w:vAlign w:val="bottom"/>
          </w:tcPr>
          <w:p w14:paraId="68B6C31B" w14:textId="77777777" w:rsidR="00773F7B" w:rsidRPr="001C4EF0" w:rsidRDefault="00773F7B" w:rsidP="002F718C">
            <w:pPr>
              <w:pStyle w:val="T2"/>
              <w:jc w:val="right"/>
              <w:rPr>
                <w:bCs/>
              </w:rPr>
            </w:pPr>
            <w:r w:rsidRPr="001C4EF0">
              <w:rPr>
                <w:bCs/>
              </w:rPr>
              <w:t>(</w:t>
            </w:r>
            <w:r w:rsidR="002F718C">
              <w:rPr>
                <w:bCs/>
              </w:rPr>
              <w:t>3.4</w:t>
            </w:r>
            <w:r w:rsidRPr="001C4EF0">
              <w:rPr>
                <w:bCs/>
              </w:rPr>
              <w:t>)</w:t>
            </w:r>
          </w:p>
        </w:tc>
      </w:tr>
      <w:tr w:rsidR="00773F7B" w14:paraId="4F576BEC" w14:textId="77777777" w:rsidTr="00B52070">
        <w:trPr>
          <w:jc w:val="center"/>
        </w:trPr>
        <w:tc>
          <w:tcPr>
            <w:tcW w:w="4395" w:type="dxa"/>
            <w:tcBorders>
              <w:top w:val="single" w:sz="2" w:space="0" w:color="auto"/>
            </w:tcBorders>
            <w:vAlign w:val="bottom"/>
          </w:tcPr>
          <w:p w14:paraId="1749809F" w14:textId="77777777" w:rsidR="00773F7B" w:rsidRPr="00B52070" w:rsidRDefault="00773F7B" w:rsidP="002F718C">
            <w:pPr>
              <w:pStyle w:val="T2"/>
              <w:jc w:val="left"/>
              <w:rPr>
                <w:b/>
              </w:rPr>
            </w:pPr>
            <w:r w:rsidRPr="00B52070">
              <w:rPr>
                <w:b/>
              </w:rPr>
              <w:t>At 2</w:t>
            </w:r>
            <w:r w:rsidR="002F718C">
              <w:rPr>
                <w:b/>
              </w:rPr>
              <w:t>8</w:t>
            </w:r>
            <w:r w:rsidRPr="00B52070">
              <w:rPr>
                <w:b/>
              </w:rPr>
              <w:t xml:space="preserve"> September 201</w:t>
            </w:r>
            <w:r w:rsidR="002F718C">
              <w:rPr>
                <w:b/>
              </w:rPr>
              <w:t>9</w:t>
            </w:r>
          </w:p>
        </w:tc>
        <w:tc>
          <w:tcPr>
            <w:tcW w:w="709" w:type="dxa"/>
            <w:tcBorders>
              <w:top w:val="single" w:sz="2" w:space="0" w:color="auto"/>
            </w:tcBorders>
            <w:vAlign w:val="bottom"/>
          </w:tcPr>
          <w:p w14:paraId="79D81E63" w14:textId="77777777" w:rsidR="00773F7B" w:rsidRPr="00BE7FD5" w:rsidRDefault="002F718C" w:rsidP="00773F7B">
            <w:pPr>
              <w:pStyle w:val="T2"/>
              <w:jc w:val="right"/>
              <w:rPr>
                <w:bCs/>
              </w:rPr>
            </w:pPr>
            <w:r>
              <w:rPr>
                <w:bCs/>
              </w:rPr>
              <w:t>4.5</w:t>
            </w:r>
          </w:p>
        </w:tc>
        <w:tc>
          <w:tcPr>
            <w:tcW w:w="992" w:type="dxa"/>
            <w:tcBorders>
              <w:top w:val="single" w:sz="2" w:space="0" w:color="auto"/>
            </w:tcBorders>
            <w:vAlign w:val="bottom"/>
          </w:tcPr>
          <w:p w14:paraId="7312B8DE" w14:textId="77777777" w:rsidR="00773F7B" w:rsidRPr="00BD5B9E" w:rsidRDefault="002F718C" w:rsidP="00773F7B">
            <w:pPr>
              <w:pStyle w:val="T2"/>
              <w:jc w:val="right"/>
              <w:rPr>
                <w:bCs/>
              </w:rPr>
            </w:pPr>
            <w:r>
              <w:rPr>
                <w:bCs/>
              </w:rPr>
              <w:t>0.1</w:t>
            </w:r>
          </w:p>
        </w:tc>
        <w:tc>
          <w:tcPr>
            <w:tcW w:w="850" w:type="dxa"/>
            <w:tcBorders>
              <w:top w:val="single" w:sz="2" w:space="0" w:color="auto"/>
            </w:tcBorders>
            <w:vAlign w:val="bottom"/>
          </w:tcPr>
          <w:p w14:paraId="304B150F" w14:textId="77777777" w:rsidR="00773F7B" w:rsidRPr="00850427" w:rsidRDefault="002F718C" w:rsidP="00773F7B">
            <w:pPr>
              <w:pStyle w:val="T2"/>
              <w:jc w:val="right"/>
              <w:rPr>
                <w:bCs/>
              </w:rPr>
            </w:pPr>
            <w:r>
              <w:rPr>
                <w:bCs/>
              </w:rPr>
              <w:t>116.8</w:t>
            </w:r>
          </w:p>
        </w:tc>
        <w:tc>
          <w:tcPr>
            <w:tcW w:w="992" w:type="dxa"/>
            <w:tcBorders>
              <w:top w:val="single" w:sz="2" w:space="0" w:color="auto"/>
            </w:tcBorders>
            <w:vAlign w:val="bottom"/>
          </w:tcPr>
          <w:p w14:paraId="4B73B664" w14:textId="77777777" w:rsidR="00773F7B" w:rsidRPr="00313FBC" w:rsidRDefault="002F718C" w:rsidP="00773F7B">
            <w:pPr>
              <w:pStyle w:val="T2"/>
              <w:jc w:val="right"/>
              <w:rPr>
                <w:bCs/>
              </w:rPr>
            </w:pPr>
            <w:r>
              <w:rPr>
                <w:bCs/>
              </w:rPr>
              <w:t>174.6</w:t>
            </w:r>
          </w:p>
        </w:tc>
        <w:tc>
          <w:tcPr>
            <w:tcW w:w="826" w:type="dxa"/>
            <w:tcBorders>
              <w:top w:val="single" w:sz="2" w:space="0" w:color="auto"/>
            </w:tcBorders>
            <w:vAlign w:val="bottom"/>
          </w:tcPr>
          <w:p w14:paraId="31290148" w14:textId="77777777" w:rsidR="00773F7B" w:rsidRPr="006D0A46" w:rsidRDefault="002F718C" w:rsidP="00773F7B">
            <w:pPr>
              <w:pStyle w:val="T2"/>
              <w:jc w:val="right"/>
              <w:rPr>
                <w:bCs/>
              </w:rPr>
            </w:pPr>
            <w:r>
              <w:rPr>
                <w:bCs/>
              </w:rPr>
              <w:t>296.0</w:t>
            </w:r>
          </w:p>
        </w:tc>
        <w:tc>
          <w:tcPr>
            <w:tcW w:w="1020" w:type="dxa"/>
            <w:tcBorders>
              <w:top w:val="single" w:sz="2" w:space="0" w:color="auto"/>
            </w:tcBorders>
            <w:vAlign w:val="bottom"/>
          </w:tcPr>
          <w:p w14:paraId="0D22F0AA" w14:textId="77777777" w:rsidR="00773F7B" w:rsidRPr="00AF32EB" w:rsidRDefault="00773F7B" w:rsidP="00773F7B">
            <w:pPr>
              <w:pStyle w:val="T2"/>
              <w:jc w:val="right"/>
              <w:rPr>
                <w:bCs/>
              </w:rPr>
            </w:pPr>
            <w:r w:rsidRPr="00AF32EB">
              <w:rPr>
                <w:bCs/>
              </w:rPr>
              <w:t>6.4</w:t>
            </w:r>
          </w:p>
        </w:tc>
        <w:tc>
          <w:tcPr>
            <w:tcW w:w="847" w:type="dxa"/>
            <w:tcBorders>
              <w:top w:val="single" w:sz="2" w:space="0" w:color="auto"/>
            </w:tcBorders>
            <w:vAlign w:val="bottom"/>
          </w:tcPr>
          <w:p w14:paraId="10776481" w14:textId="77777777" w:rsidR="00773F7B" w:rsidRPr="001C4EF0" w:rsidRDefault="002F718C" w:rsidP="00773F7B">
            <w:pPr>
              <w:pStyle w:val="T2"/>
              <w:jc w:val="right"/>
              <w:rPr>
                <w:bCs/>
              </w:rPr>
            </w:pPr>
            <w:r>
              <w:rPr>
                <w:bCs/>
              </w:rPr>
              <w:t>302.4</w:t>
            </w:r>
          </w:p>
        </w:tc>
      </w:tr>
      <w:tr w:rsidR="00773F7B" w14:paraId="7DC92510" w14:textId="77777777" w:rsidTr="00B52070">
        <w:trPr>
          <w:jc w:val="center"/>
        </w:trPr>
        <w:tc>
          <w:tcPr>
            <w:tcW w:w="4395" w:type="dxa"/>
            <w:tcBorders>
              <w:top w:val="single" w:sz="2" w:space="0" w:color="auto"/>
            </w:tcBorders>
            <w:vAlign w:val="bottom"/>
          </w:tcPr>
          <w:p w14:paraId="67D42C60" w14:textId="77777777" w:rsidR="00773F7B" w:rsidRPr="006D6AC9" w:rsidRDefault="00773F7B" w:rsidP="00773F7B">
            <w:pPr>
              <w:pStyle w:val="T2"/>
              <w:jc w:val="left"/>
              <w:rPr>
                <w:b/>
              </w:rPr>
            </w:pPr>
            <w:r w:rsidRPr="006D6AC9">
              <w:rPr>
                <w:b/>
                <w:bCs/>
              </w:rPr>
              <w:t>Items of income and expense taken directly to equity</w:t>
            </w:r>
          </w:p>
        </w:tc>
        <w:tc>
          <w:tcPr>
            <w:tcW w:w="709" w:type="dxa"/>
            <w:tcBorders>
              <w:top w:val="single" w:sz="2" w:space="0" w:color="auto"/>
            </w:tcBorders>
            <w:vAlign w:val="bottom"/>
          </w:tcPr>
          <w:p w14:paraId="51B75171" w14:textId="77777777" w:rsidR="00773F7B" w:rsidRPr="00BE7FD5" w:rsidRDefault="00773F7B" w:rsidP="00773F7B">
            <w:pPr>
              <w:pStyle w:val="T2"/>
              <w:jc w:val="right"/>
              <w:rPr>
                <w:bCs/>
              </w:rPr>
            </w:pPr>
          </w:p>
        </w:tc>
        <w:tc>
          <w:tcPr>
            <w:tcW w:w="992" w:type="dxa"/>
            <w:tcBorders>
              <w:top w:val="single" w:sz="2" w:space="0" w:color="auto"/>
            </w:tcBorders>
            <w:vAlign w:val="bottom"/>
          </w:tcPr>
          <w:p w14:paraId="00BC2B7B" w14:textId="77777777" w:rsidR="00773F7B" w:rsidRPr="00BD5B9E" w:rsidRDefault="00773F7B" w:rsidP="00773F7B">
            <w:pPr>
              <w:pStyle w:val="T2"/>
              <w:jc w:val="right"/>
              <w:rPr>
                <w:bCs/>
              </w:rPr>
            </w:pPr>
          </w:p>
        </w:tc>
        <w:tc>
          <w:tcPr>
            <w:tcW w:w="850" w:type="dxa"/>
            <w:tcBorders>
              <w:top w:val="single" w:sz="2" w:space="0" w:color="auto"/>
            </w:tcBorders>
            <w:vAlign w:val="bottom"/>
          </w:tcPr>
          <w:p w14:paraId="4DDCAF7A" w14:textId="77777777" w:rsidR="00773F7B" w:rsidRPr="0052700C" w:rsidRDefault="00773F7B" w:rsidP="00773F7B">
            <w:pPr>
              <w:pStyle w:val="T2"/>
              <w:jc w:val="right"/>
              <w:rPr>
                <w:bCs/>
              </w:rPr>
            </w:pPr>
          </w:p>
        </w:tc>
        <w:tc>
          <w:tcPr>
            <w:tcW w:w="992" w:type="dxa"/>
            <w:tcBorders>
              <w:top w:val="single" w:sz="2" w:space="0" w:color="auto"/>
            </w:tcBorders>
            <w:vAlign w:val="bottom"/>
          </w:tcPr>
          <w:p w14:paraId="2644B217" w14:textId="77777777" w:rsidR="00773F7B" w:rsidRPr="00850427" w:rsidRDefault="00773F7B" w:rsidP="00773F7B">
            <w:pPr>
              <w:pStyle w:val="T2"/>
              <w:jc w:val="right"/>
              <w:rPr>
                <w:bCs/>
              </w:rPr>
            </w:pPr>
          </w:p>
        </w:tc>
        <w:tc>
          <w:tcPr>
            <w:tcW w:w="826" w:type="dxa"/>
            <w:tcBorders>
              <w:top w:val="single" w:sz="2" w:space="0" w:color="auto"/>
            </w:tcBorders>
            <w:vAlign w:val="bottom"/>
          </w:tcPr>
          <w:p w14:paraId="3470E855" w14:textId="77777777" w:rsidR="00773F7B" w:rsidRPr="00313FBC" w:rsidRDefault="00773F7B" w:rsidP="00773F7B">
            <w:pPr>
              <w:pStyle w:val="T2"/>
              <w:jc w:val="right"/>
              <w:rPr>
                <w:bCs/>
              </w:rPr>
            </w:pPr>
          </w:p>
        </w:tc>
        <w:tc>
          <w:tcPr>
            <w:tcW w:w="1020" w:type="dxa"/>
            <w:tcBorders>
              <w:top w:val="single" w:sz="2" w:space="0" w:color="auto"/>
            </w:tcBorders>
            <w:vAlign w:val="bottom"/>
          </w:tcPr>
          <w:p w14:paraId="6A8DE5C2" w14:textId="77777777" w:rsidR="00773F7B" w:rsidRPr="00313FBC" w:rsidRDefault="00773F7B" w:rsidP="00773F7B">
            <w:pPr>
              <w:pStyle w:val="T2"/>
              <w:jc w:val="right"/>
              <w:rPr>
                <w:bCs/>
              </w:rPr>
            </w:pPr>
          </w:p>
        </w:tc>
        <w:tc>
          <w:tcPr>
            <w:tcW w:w="847" w:type="dxa"/>
            <w:tcBorders>
              <w:top w:val="single" w:sz="2" w:space="0" w:color="auto"/>
            </w:tcBorders>
            <w:vAlign w:val="bottom"/>
          </w:tcPr>
          <w:p w14:paraId="60B43E5B" w14:textId="77777777" w:rsidR="00773F7B" w:rsidRPr="006D0A46" w:rsidRDefault="00773F7B" w:rsidP="00773F7B">
            <w:pPr>
              <w:pStyle w:val="T2"/>
              <w:jc w:val="right"/>
              <w:rPr>
                <w:bCs/>
              </w:rPr>
            </w:pPr>
          </w:p>
        </w:tc>
      </w:tr>
      <w:tr w:rsidR="00773F7B" w14:paraId="6B02E19D" w14:textId="77777777" w:rsidTr="00B52070">
        <w:trPr>
          <w:jc w:val="center"/>
        </w:trPr>
        <w:tc>
          <w:tcPr>
            <w:tcW w:w="4395" w:type="dxa"/>
            <w:vAlign w:val="bottom"/>
          </w:tcPr>
          <w:p w14:paraId="289FC841" w14:textId="77777777" w:rsidR="00773F7B" w:rsidRPr="00E57F3E" w:rsidRDefault="00773F7B" w:rsidP="00773F7B">
            <w:pPr>
              <w:pStyle w:val="T2"/>
              <w:jc w:val="left"/>
              <w:rPr>
                <w:b/>
              </w:rPr>
            </w:pPr>
            <w:r w:rsidRPr="0096767F">
              <w:rPr>
                <w:bCs/>
              </w:rPr>
              <w:t>Currency translation adjustment</w:t>
            </w:r>
          </w:p>
        </w:tc>
        <w:tc>
          <w:tcPr>
            <w:tcW w:w="709" w:type="dxa"/>
            <w:vAlign w:val="bottom"/>
          </w:tcPr>
          <w:p w14:paraId="14D23FC1" w14:textId="77777777" w:rsidR="00773F7B" w:rsidRPr="00BE7FD5" w:rsidRDefault="00773F7B" w:rsidP="00773F7B">
            <w:pPr>
              <w:pStyle w:val="T2"/>
              <w:jc w:val="right"/>
              <w:rPr>
                <w:bCs/>
              </w:rPr>
            </w:pPr>
            <w:r w:rsidRPr="00BE7FD5">
              <w:rPr>
                <w:bCs/>
              </w:rPr>
              <w:t>–</w:t>
            </w:r>
          </w:p>
        </w:tc>
        <w:tc>
          <w:tcPr>
            <w:tcW w:w="992" w:type="dxa"/>
            <w:vAlign w:val="bottom"/>
          </w:tcPr>
          <w:p w14:paraId="60E4964B" w14:textId="77777777" w:rsidR="00773F7B" w:rsidRPr="00BD5B9E" w:rsidRDefault="00773F7B" w:rsidP="00773F7B">
            <w:pPr>
              <w:pStyle w:val="T2"/>
              <w:jc w:val="right"/>
              <w:rPr>
                <w:bCs/>
              </w:rPr>
            </w:pPr>
            <w:r w:rsidRPr="00BE7FD5">
              <w:rPr>
                <w:bCs/>
              </w:rPr>
              <w:t>–</w:t>
            </w:r>
          </w:p>
        </w:tc>
        <w:tc>
          <w:tcPr>
            <w:tcW w:w="850" w:type="dxa"/>
            <w:vAlign w:val="bottom"/>
          </w:tcPr>
          <w:p w14:paraId="3C66AA84" w14:textId="77777777" w:rsidR="00773F7B" w:rsidRPr="00BD5B9E" w:rsidRDefault="002F718C" w:rsidP="00773F7B">
            <w:pPr>
              <w:pStyle w:val="T2"/>
              <w:jc w:val="right"/>
              <w:rPr>
                <w:bCs/>
              </w:rPr>
            </w:pPr>
            <w:r>
              <w:rPr>
                <w:bCs/>
              </w:rPr>
              <w:t>1.0</w:t>
            </w:r>
          </w:p>
        </w:tc>
        <w:tc>
          <w:tcPr>
            <w:tcW w:w="992" w:type="dxa"/>
            <w:vAlign w:val="bottom"/>
          </w:tcPr>
          <w:p w14:paraId="49A859AD" w14:textId="77777777" w:rsidR="00773F7B" w:rsidRPr="00BD5B9E" w:rsidRDefault="00773F7B" w:rsidP="00773F7B">
            <w:pPr>
              <w:pStyle w:val="T2"/>
              <w:jc w:val="right"/>
              <w:rPr>
                <w:bCs/>
              </w:rPr>
            </w:pPr>
            <w:r w:rsidRPr="00BE7FD5">
              <w:rPr>
                <w:bCs/>
              </w:rPr>
              <w:t>–</w:t>
            </w:r>
          </w:p>
        </w:tc>
        <w:tc>
          <w:tcPr>
            <w:tcW w:w="826" w:type="dxa"/>
            <w:vAlign w:val="bottom"/>
          </w:tcPr>
          <w:p w14:paraId="5A8525E0" w14:textId="77777777" w:rsidR="00773F7B" w:rsidRPr="00BD5B9E" w:rsidRDefault="002F718C" w:rsidP="00773F7B">
            <w:pPr>
              <w:pStyle w:val="T2"/>
              <w:jc w:val="right"/>
              <w:rPr>
                <w:bCs/>
              </w:rPr>
            </w:pPr>
            <w:r>
              <w:rPr>
                <w:bCs/>
              </w:rPr>
              <w:t>1.0</w:t>
            </w:r>
          </w:p>
        </w:tc>
        <w:tc>
          <w:tcPr>
            <w:tcW w:w="1020" w:type="dxa"/>
            <w:vAlign w:val="bottom"/>
          </w:tcPr>
          <w:p w14:paraId="410AEF05" w14:textId="77777777" w:rsidR="00773F7B" w:rsidRPr="00BD5B9E" w:rsidRDefault="002F718C" w:rsidP="00773F7B">
            <w:pPr>
              <w:pStyle w:val="T2"/>
              <w:jc w:val="right"/>
              <w:rPr>
                <w:bCs/>
              </w:rPr>
            </w:pPr>
            <w:r w:rsidRPr="00BE7FD5">
              <w:rPr>
                <w:bCs/>
              </w:rPr>
              <w:t>–</w:t>
            </w:r>
          </w:p>
        </w:tc>
        <w:tc>
          <w:tcPr>
            <w:tcW w:w="847" w:type="dxa"/>
            <w:vAlign w:val="bottom"/>
          </w:tcPr>
          <w:p w14:paraId="5B807B31" w14:textId="77777777" w:rsidR="00773F7B" w:rsidRPr="00BD5B9E" w:rsidRDefault="002F718C" w:rsidP="00773F7B">
            <w:pPr>
              <w:pStyle w:val="T2"/>
              <w:jc w:val="right"/>
              <w:rPr>
                <w:bCs/>
              </w:rPr>
            </w:pPr>
            <w:r>
              <w:rPr>
                <w:bCs/>
              </w:rPr>
              <w:t>1.0</w:t>
            </w:r>
          </w:p>
        </w:tc>
      </w:tr>
      <w:tr w:rsidR="00773F7B" w14:paraId="672C73DB" w14:textId="77777777" w:rsidTr="00B52070">
        <w:trPr>
          <w:jc w:val="center"/>
        </w:trPr>
        <w:tc>
          <w:tcPr>
            <w:tcW w:w="4395" w:type="dxa"/>
            <w:vAlign w:val="bottom"/>
          </w:tcPr>
          <w:p w14:paraId="68962391" w14:textId="77777777" w:rsidR="00773F7B" w:rsidRPr="00E57F3E" w:rsidRDefault="00773F7B" w:rsidP="00773F7B">
            <w:pPr>
              <w:pStyle w:val="T2"/>
              <w:jc w:val="left"/>
            </w:pPr>
            <w:r w:rsidRPr="0096767F">
              <w:rPr>
                <w:rFonts w:ascii="Calibri" w:hAnsi="Calibri" w:cs="Calibri"/>
                <w:bCs/>
              </w:rPr>
              <w:t>Cashflow hedge fair value movement taken to equity</w:t>
            </w:r>
          </w:p>
        </w:tc>
        <w:tc>
          <w:tcPr>
            <w:tcW w:w="709" w:type="dxa"/>
            <w:vAlign w:val="bottom"/>
          </w:tcPr>
          <w:p w14:paraId="62DF624B" w14:textId="77777777" w:rsidR="00773F7B" w:rsidRPr="00BE7FD5" w:rsidRDefault="00773F7B" w:rsidP="00773F7B">
            <w:pPr>
              <w:pStyle w:val="T2"/>
              <w:jc w:val="right"/>
              <w:rPr>
                <w:bCs/>
              </w:rPr>
            </w:pPr>
            <w:r w:rsidRPr="00BE7FD5">
              <w:rPr>
                <w:rFonts w:ascii="Calibri" w:hAnsi="Calibri" w:cs="Calibri"/>
                <w:bCs/>
              </w:rPr>
              <w:t>–</w:t>
            </w:r>
          </w:p>
        </w:tc>
        <w:tc>
          <w:tcPr>
            <w:tcW w:w="992" w:type="dxa"/>
            <w:vAlign w:val="bottom"/>
          </w:tcPr>
          <w:p w14:paraId="2ECAB150" w14:textId="77777777" w:rsidR="00773F7B" w:rsidRPr="00BD5B9E" w:rsidRDefault="00773F7B" w:rsidP="00773F7B">
            <w:pPr>
              <w:pStyle w:val="T2"/>
              <w:jc w:val="right"/>
              <w:rPr>
                <w:bCs/>
              </w:rPr>
            </w:pPr>
            <w:r w:rsidRPr="00BE7FD5">
              <w:rPr>
                <w:rFonts w:ascii="Calibri" w:hAnsi="Calibri" w:cs="Calibri"/>
                <w:bCs/>
              </w:rPr>
              <w:t>–</w:t>
            </w:r>
          </w:p>
        </w:tc>
        <w:tc>
          <w:tcPr>
            <w:tcW w:w="850" w:type="dxa"/>
            <w:vAlign w:val="bottom"/>
          </w:tcPr>
          <w:p w14:paraId="31010A47" w14:textId="77777777" w:rsidR="00773F7B" w:rsidRPr="00BD5B9E" w:rsidRDefault="002F718C" w:rsidP="00773F7B">
            <w:pPr>
              <w:pStyle w:val="T2"/>
              <w:jc w:val="right"/>
              <w:rPr>
                <w:bCs/>
              </w:rPr>
            </w:pPr>
            <w:r>
              <w:rPr>
                <w:rFonts w:ascii="Calibri" w:hAnsi="Calibri" w:cs="Calibri"/>
                <w:bCs/>
              </w:rPr>
              <w:t>2.4</w:t>
            </w:r>
          </w:p>
        </w:tc>
        <w:tc>
          <w:tcPr>
            <w:tcW w:w="992" w:type="dxa"/>
            <w:vAlign w:val="bottom"/>
          </w:tcPr>
          <w:p w14:paraId="0FF412D3" w14:textId="77777777" w:rsidR="00773F7B" w:rsidRPr="00BD5B9E" w:rsidRDefault="00773F7B" w:rsidP="00773F7B">
            <w:pPr>
              <w:pStyle w:val="T2"/>
              <w:jc w:val="right"/>
              <w:rPr>
                <w:bCs/>
              </w:rPr>
            </w:pPr>
            <w:r w:rsidRPr="00BE7FD5">
              <w:rPr>
                <w:rFonts w:ascii="Calibri" w:hAnsi="Calibri" w:cs="Calibri"/>
                <w:bCs/>
              </w:rPr>
              <w:t>–</w:t>
            </w:r>
          </w:p>
        </w:tc>
        <w:tc>
          <w:tcPr>
            <w:tcW w:w="826" w:type="dxa"/>
            <w:vAlign w:val="bottom"/>
          </w:tcPr>
          <w:p w14:paraId="2182D1A4" w14:textId="77777777" w:rsidR="00773F7B" w:rsidRPr="00BD5B9E" w:rsidRDefault="002F718C" w:rsidP="00773F7B">
            <w:pPr>
              <w:pStyle w:val="T2"/>
              <w:jc w:val="right"/>
              <w:rPr>
                <w:bCs/>
              </w:rPr>
            </w:pPr>
            <w:r>
              <w:rPr>
                <w:rFonts w:ascii="Calibri" w:hAnsi="Calibri" w:cs="Calibri"/>
                <w:bCs/>
              </w:rPr>
              <w:t>2.4</w:t>
            </w:r>
          </w:p>
        </w:tc>
        <w:tc>
          <w:tcPr>
            <w:tcW w:w="1020" w:type="dxa"/>
            <w:vAlign w:val="bottom"/>
          </w:tcPr>
          <w:p w14:paraId="32B141C4" w14:textId="77777777" w:rsidR="00773F7B" w:rsidRPr="00BD5B9E" w:rsidRDefault="00773F7B" w:rsidP="00773F7B">
            <w:pPr>
              <w:pStyle w:val="T2"/>
              <w:jc w:val="right"/>
              <w:rPr>
                <w:bCs/>
              </w:rPr>
            </w:pPr>
            <w:r w:rsidRPr="00BE7FD5">
              <w:rPr>
                <w:rFonts w:ascii="Calibri" w:hAnsi="Calibri" w:cs="Calibri"/>
                <w:bCs/>
              </w:rPr>
              <w:t>–</w:t>
            </w:r>
          </w:p>
        </w:tc>
        <w:tc>
          <w:tcPr>
            <w:tcW w:w="847" w:type="dxa"/>
            <w:vAlign w:val="bottom"/>
          </w:tcPr>
          <w:p w14:paraId="5534D717" w14:textId="77777777" w:rsidR="00773F7B" w:rsidRPr="00BD5B9E" w:rsidRDefault="002F718C" w:rsidP="00773F7B">
            <w:pPr>
              <w:pStyle w:val="T2"/>
              <w:jc w:val="right"/>
              <w:rPr>
                <w:bCs/>
              </w:rPr>
            </w:pPr>
            <w:r>
              <w:rPr>
                <w:rFonts w:ascii="Calibri" w:hAnsi="Calibri" w:cs="Calibri"/>
                <w:bCs/>
              </w:rPr>
              <w:t>2.4</w:t>
            </w:r>
          </w:p>
        </w:tc>
      </w:tr>
      <w:tr w:rsidR="00773F7B" w14:paraId="0ED26470" w14:textId="77777777" w:rsidTr="00B52070">
        <w:trPr>
          <w:jc w:val="center"/>
        </w:trPr>
        <w:tc>
          <w:tcPr>
            <w:tcW w:w="4395" w:type="dxa"/>
            <w:vAlign w:val="bottom"/>
          </w:tcPr>
          <w:p w14:paraId="2F6584FB" w14:textId="77777777" w:rsidR="00773F7B" w:rsidRPr="00E57F3E" w:rsidRDefault="00773F7B" w:rsidP="00773F7B">
            <w:pPr>
              <w:pStyle w:val="T2"/>
              <w:jc w:val="left"/>
            </w:pPr>
            <w:r w:rsidRPr="0096767F">
              <w:rPr>
                <w:rFonts w:ascii="Calibri" w:hAnsi="Calibri" w:cs="Calibri"/>
                <w:bCs/>
              </w:rPr>
              <w:t>Cashflow hedge transferred to Income Statement</w:t>
            </w:r>
          </w:p>
        </w:tc>
        <w:tc>
          <w:tcPr>
            <w:tcW w:w="709" w:type="dxa"/>
            <w:vAlign w:val="bottom"/>
          </w:tcPr>
          <w:p w14:paraId="64AB64A7" w14:textId="77777777" w:rsidR="00773F7B" w:rsidRPr="00BE7FD5" w:rsidRDefault="00773F7B" w:rsidP="00773F7B">
            <w:pPr>
              <w:pStyle w:val="T2"/>
              <w:jc w:val="right"/>
              <w:rPr>
                <w:bCs/>
              </w:rPr>
            </w:pPr>
            <w:r w:rsidRPr="00BE7FD5">
              <w:rPr>
                <w:rFonts w:ascii="Calibri" w:hAnsi="Calibri" w:cs="Calibri"/>
                <w:bCs/>
              </w:rPr>
              <w:t>–</w:t>
            </w:r>
          </w:p>
        </w:tc>
        <w:tc>
          <w:tcPr>
            <w:tcW w:w="992" w:type="dxa"/>
            <w:vAlign w:val="bottom"/>
          </w:tcPr>
          <w:p w14:paraId="1E4141D9" w14:textId="77777777" w:rsidR="00773F7B" w:rsidRPr="00BD5B9E" w:rsidRDefault="00773F7B" w:rsidP="00773F7B">
            <w:pPr>
              <w:pStyle w:val="T2"/>
              <w:jc w:val="right"/>
              <w:rPr>
                <w:bCs/>
              </w:rPr>
            </w:pPr>
            <w:r w:rsidRPr="00BE7FD5">
              <w:rPr>
                <w:rFonts w:ascii="Calibri" w:hAnsi="Calibri" w:cs="Calibri"/>
                <w:bCs/>
              </w:rPr>
              <w:t>–</w:t>
            </w:r>
          </w:p>
        </w:tc>
        <w:tc>
          <w:tcPr>
            <w:tcW w:w="850" w:type="dxa"/>
            <w:vAlign w:val="bottom"/>
          </w:tcPr>
          <w:p w14:paraId="4887D9E1" w14:textId="77777777" w:rsidR="00773F7B" w:rsidRPr="00BD5B9E" w:rsidRDefault="002F718C" w:rsidP="00773F7B">
            <w:pPr>
              <w:pStyle w:val="T2"/>
              <w:jc w:val="right"/>
              <w:rPr>
                <w:bCs/>
              </w:rPr>
            </w:pPr>
            <w:r>
              <w:rPr>
                <w:rFonts w:ascii="Calibri" w:hAnsi="Calibri" w:cs="Calibri"/>
                <w:bCs/>
              </w:rPr>
              <w:t>0.1</w:t>
            </w:r>
          </w:p>
        </w:tc>
        <w:tc>
          <w:tcPr>
            <w:tcW w:w="992" w:type="dxa"/>
            <w:vAlign w:val="bottom"/>
          </w:tcPr>
          <w:p w14:paraId="1EBE617C" w14:textId="77777777" w:rsidR="00773F7B" w:rsidRPr="00BD5B9E" w:rsidRDefault="00773F7B" w:rsidP="00773F7B">
            <w:pPr>
              <w:pStyle w:val="T2"/>
              <w:jc w:val="right"/>
              <w:rPr>
                <w:bCs/>
              </w:rPr>
            </w:pPr>
            <w:r w:rsidRPr="00BE7FD5">
              <w:rPr>
                <w:rFonts w:ascii="Calibri" w:hAnsi="Calibri" w:cs="Calibri"/>
                <w:bCs/>
              </w:rPr>
              <w:t>–</w:t>
            </w:r>
          </w:p>
        </w:tc>
        <w:tc>
          <w:tcPr>
            <w:tcW w:w="826" w:type="dxa"/>
            <w:vAlign w:val="bottom"/>
          </w:tcPr>
          <w:p w14:paraId="08AE963C" w14:textId="77777777" w:rsidR="00773F7B" w:rsidRPr="00BD5B9E" w:rsidRDefault="002F718C" w:rsidP="00773F7B">
            <w:pPr>
              <w:pStyle w:val="T2"/>
              <w:jc w:val="right"/>
              <w:rPr>
                <w:bCs/>
              </w:rPr>
            </w:pPr>
            <w:r>
              <w:rPr>
                <w:rFonts w:ascii="Calibri" w:hAnsi="Calibri" w:cs="Calibri"/>
                <w:bCs/>
              </w:rPr>
              <w:t>0.1</w:t>
            </w:r>
          </w:p>
        </w:tc>
        <w:tc>
          <w:tcPr>
            <w:tcW w:w="1020" w:type="dxa"/>
            <w:vAlign w:val="bottom"/>
          </w:tcPr>
          <w:p w14:paraId="2CC63A83" w14:textId="77777777" w:rsidR="00773F7B" w:rsidRPr="00BD5B9E" w:rsidRDefault="00773F7B" w:rsidP="00773F7B">
            <w:pPr>
              <w:pStyle w:val="T2"/>
              <w:jc w:val="right"/>
              <w:rPr>
                <w:bCs/>
              </w:rPr>
            </w:pPr>
            <w:r w:rsidRPr="00BE7FD5">
              <w:rPr>
                <w:rFonts w:ascii="Calibri" w:hAnsi="Calibri" w:cs="Calibri"/>
                <w:bCs/>
              </w:rPr>
              <w:t>–</w:t>
            </w:r>
          </w:p>
        </w:tc>
        <w:tc>
          <w:tcPr>
            <w:tcW w:w="847" w:type="dxa"/>
            <w:vAlign w:val="bottom"/>
          </w:tcPr>
          <w:p w14:paraId="4BBF8EB4" w14:textId="77777777" w:rsidR="00773F7B" w:rsidRPr="00BD5B9E" w:rsidRDefault="002F718C" w:rsidP="00773F7B">
            <w:pPr>
              <w:pStyle w:val="T2"/>
              <w:jc w:val="right"/>
              <w:rPr>
                <w:bCs/>
              </w:rPr>
            </w:pPr>
            <w:r>
              <w:rPr>
                <w:rFonts w:ascii="Calibri" w:hAnsi="Calibri" w:cs="Calibri"/>
                <w:bCs/>
              </w:rPr>
              <w:t>0.1</w:t>
            </w:r>
          </w:p>
        </w:tc>
      </w:tr>
      <w:tr w:rsidR="00773F7B" w14:paraId="7AA1F839" w14:textId="77777777" w:rsidTr="00B52070">
        <w:trPr>
          <w:jc w:val="center"/>
        </w:trPr>
        <w:tc>
          <w:tcPr>
            <w:tcW w:w="4395" w:type="dxa"/>
            <w:vAlign w:val="bottom"/>
          </w:tcPr>
          <w:p w14:paraId="3863D662" w14:textId="77777777" w:rsidR="00773F7B" w:rsidRPr="00E57F3E" w:rsidRDefault="00773F7B" w:rsidP="002F718C">
            <w:pPr>
              <w:pStyle w:val="T2"/>
              <w:jc w:val="left"/>
              <w:rPr>
                <w:b/>
              </w:rPr>
            </w:pPr>
            <w:r w:rsidRPr="0096767F">
              <w:rPr>
                <w:rFonts w:ascii="Calibri" w:hAnsi="Calibri" w:cs="Calibri"/>
                <w:bCs/>
              </w:rPr>
              <w:t xml:space="preserve">Actuarial </w:t>
            </w:r>
            <w:r w:rsidR="002F718C">
              <w:rPr>
                <w:rFonts w:ascii="Calibri" w:hAnsi="Calibri" w:cs="Calibri"/>
                <w:bCs/>
              </w:rPr>
              <w:t>gain</w:t>
            </w:r>
            <w:r w:rsidRPr="0096767F">
              <w:rPr>
                <w:rFonts w:ascii="Calibri" w:hAnsi="Calibri" w:cs="Calibri"/>
                <w:bCs/>
              </w:rPr>
              <w:t xml:space="preserve"> on Group legacy defined benefit pension schemes</w:t>
            </w:r>
          </w:p>
        </w:tc>
        <w:tc>
          <w:tcPr>
            <w:tcW w:w="709" w:type="dxa"/>
            <w:vAlign w:val="bottom"/>
          </w:tcPr>
          <w:p w14:paraId="69244232" w14:textId="77777777" w:rsidR="00773F7B" w:rsidRPr="00B52070" w:rsidRDefault="00773F7B" w:rsidP="00773F7B">
            <w:pPr>
              <w:pStyle w:val="T2"/>
              <w:jc w:val="right"/>
              <w:rPr>
                <w:bCs/>
              </w:rPr>
            </w:pPr>
            <w:r w:rsidRPr="00BE7FD5">
              <w:rPr>
                <w:bCs/>
              </w:rPr>
              <w:t>–</w:t>
            </w:r>
          </w:p>
        </w:tc>
        <w:tc>
          <w:tcPr>
            <w:tcW w:w="992" w:type="dxa"/>
            <w:vAlign w:val="bottom"/>
          </w:tcPr>
          <w:p w14:paraId="2F0C54C7" w14:textId="77777777" w:rsidR="00773F7B" w:rsidRPr="00B52070" w:rsidRDefault="00773F7B" w:rsidP="00773F7B">
            <w:pPr>
              <w:pStyle w:val="T2"/>
              <w:jc w:val="right"/>
              <w:rPr>
                <w:bCs/>
              </w:rPr>
            </w:pPr>
            <w:r w:rsidRPr="00BE7FD5">
              <w:rPr>
                <w:bCs/>
              </w:rPr>
              <w:t>–</w:t>
            </w:r>
          </w:p>
        </w:tc>
        <w:tc>
          <w:tcPr>
            <w:tcW w:w="850" w:type="dxa"/>
            <w:vAlign w:val="bottom"/>
          </w:tcPr>
          <w:p w14:paraId="071D1D41" w14:textId="77777777" w:rsidR="00773F7B" w:rsidRPr="00B52070" w:rsidRDefault="00773F7B" w:rsidP="00773F7B">
            <w:pPr>
              <w:pStyle w:val="T2"/>
              <w:jc w:val="right"/>
              <w:rPr>
                <w:bCs/>
              </w:rPr>
            </w:pPr>
            <w:r w:rsidRPr="00BE7FD5">
              <w:rPr>
                <w:bCs/>
              </w:rPr>
              <w:t>–</w:t>
            </w:r>
          </w:p>
        </w:tc>
        <w:tc>
          <w:tcPr>
            <w:tcW w:w="992" w:type="dxa"/>
            <w:vAlign w:val="bottom"/>
          </w:tcPr>
          <w:p w14:paraId="02F7FA9E" w14:textId="77777777" w:rsidR="00773F7B" w:rsidRPr="00B52070" w:rsidRDefault="002F718C" w:rsidP="00773F7B">
            <w:pPr>
              <w:pStyle w:val="T2"/>
              <w:jc w:val="right"/>
              <w:rPr>
                <w:bCs/>
              </w:rPr>
            </w:pPr>
            <w:r>
              <w:rPr>
                <w:bCs/>
              </w:rPr>
              <w:t>32.0</w:t>
            </w:r>
          </w:p>
        </w:tc>
        <w:tc>
          <w:tcPr>
            <w:tcW w:w="826" w:type="dxa"/>
            <w:vAlign w:val="bottom"/>
          </w:tcPr>
          <w:p w14:paraId="7E56351E" w14:textId="77777777" w:rsidR="00773F7B" w:rsidRPr="00B52070" w:rsidRDefault="002F718C" w:rsidP="00773F7B">
            <w:pPr>
              <w:pStyle w:val="T2"/>
              <w:jc w:val="right"/>
              <w:rPr>
                <w:bCs/>
              </w:rPr>
            </w:pPr>
            <w:r>
              <w:rPr>
                <w:bCs/>
              </w:rPr>
              <w:t>32.0</w:t>
            </w:r>
          </w:p>
        </w:tc>
        <w:tc>
          <w:tcPr>
            <w:tcW w:w="1020" w:type="dxa"/>
            <w:vAlign w:val="bottom"/>
          </w:tcPr>
          <w:p w14:paraId="4C40C92B" w14:textId="77777777" w:rsidR="00773F7B" w:rsidRPr="00BE7FD5" w:rsidRDefault="00773F7B" w:rsidP="00773F7B">
            <w:pPr>
              <w:pStyle w:val="T2"/>
              <w:jc w:val="right"/>
              <w:rPr>
                <w:bCs/>
              </w:rPr>
            </w:pPr>
            <w:r w:rsidRPr="00BE7FD5">
              <w:rPr>
                <w:bCs/>
              </w:rPr>
              <w:t>–</w:t>
            </w:r>
          </w:p>
        </w:tc>
        <w:tc>
          <w:tcPr>
            <w:tcW w:w="847" w:type="dxa"/>
            <w:vAlign w:val="bottom"/>
          </w:tcPr>
          <w:p w14:paraId="6C725E8B" w14:textId="77777777" w:rsidR="00773F7B" w:rsidRPr="00BD5B9E" w:rsidRDefault="002F718C" w:rsidP="00773F7B">
            <w:pPr>
              <w:pStyle w:val="T2"/>
              <w:jc w:val="right"/>
              <w:rPr>
                <w:bCs/>
              </w:rPr>
            </w:pPr>
            <w:r>
              <w:rPr>
                <w:bCs/>
              </w:rPr>
              <w:t>32.0</w:t>
            </w:r>
          </w:p>
        </w:tc>
      </w:tr>
      <w:tr w:rsidR="00773F7B" w14:paraId="2DBB8CF3" w14:textId="77777777" w:rsidTr="00B52070">
        <w:trPr>
          <w:jc w:val="center"/>
        </w:trPr>
        <w:tc>
          <w:tcPr>
            <w:tcW w:w="4395" w:type="dxa"/>
            <w:vAlign w:val="bottom"/>
          </w:tcPr>
          <w:p w14:paraId="32BC9B1E" w14:textId="77777777" w:rsidR="00773F7B" w:rsidRPr="00E57F3E" w:rsidRDefault="00773F7B" w:rsidP="00773F7B">
            <w:pPr>
              <w:pStyle w:val="T2"/>
              <w:jc w:val="left"/>
            </w:pPr>
            <w:r w:rsidRPr="0096767F">
              <w:rPr>
                <w:rFonts w:ascii="Calibri" w:hAnsi="Calibri" w:cs="Calibri"/>
                <w:bCs/>
              </w:rPr>
              <w:t>Deferred tax on Group legacy defined benefit pension schemes</w:t>
            </w:r>
          </w:p>
        </w:tc>
        <w:tc>
          <w:tcPr>
            <w:tcW w:w="709" w:type="dxa"/>
            <w:vAlign w:val="bottom"/>
          </w:tcPr>
          <w:p w14:paraId="0897A3D8" w14:textId="77777777" w:rsidR="00773F7B" w:rsidRPr="00BE7FD5" w:rsidRDefault="00773F7B" w:rsidP="00773F7B">
            <w:pPr>
              <w:pStyle w:val="T2"/>
              <w:jc w:val="right"/>
              <w:rPr>
                <w:bCs/>
              </w:rPr>
            </w:pPr>
            <w:r w:rsidRPr="00BE7FD5">
              <w:rPr>
                <w:bCs/>
              </w:rPr>
              <w:t>–</w:t>
            </w:r>
          </w:p>
        </w:tc>
        <w:tc>
          <w:tcPr>
            <w:tcW w:w="992" w:type="dxa"/>
            <w:vAlign w:val="bottom"/>
          </w:tcPr>
          <w:p w14:paraId="3C75560F" w14:textId="77777777" w:rsidR="00773F7B" w:rsidRPr="00BE7FD5" w:rsidRDefault="00773F7B" w:rsidP="00773F7B">
            <w:pPr>
              <w:pStyle w:val="T2"/>
              <w:jc w:val="right"/>
              <w:rPr>
                <w:bCs/>
              </w:rPr>
            </w:pPr>
            <w:r w:rsidRPr="00BE7FD5">
              <w:rPr>
                <w:bCs/>
              </w:rPr>
              <w:t>–</w:t>
            </w:r>
          </w:p>
        </w:tc>
        <w:tc>
          <w:tcPr>
            <w:tcW w:w="850" w:type="dxa"/>
            <w:vAlign w:val="bottom"/>
          </w:tcPr>
          <w:p w14:paraId="7C7346F3" w14:textId="77777777" w:rsidR="00773F7B" w:rsidRPr="00BE7FD5" w:rsidRDefault="00773F7B" w:rsidP="00773F7B">
            <w:pPr>
              <w:pStyle w:val="T2"/>
              <w:jc w:val="right"/>
              <w:rPr>
                <w:bCs/>
              </w:rPr>
            </w:pPr>
            <w:r w:rsidRPr="00BE7FD5">
              <w:rPr>
                <w:bCs/>
              </w:rPr>
              <w:t>–</w:t>
            </w:r>
          </w:p>
        </w:tc>
        <w:tc>
          <w:tcPr>
            <w:tcW w:w="992" w:type="dxa"/>
            <w:vAlign w:val="bottom"/>
          </w:tcPr>
          <w:p w14:paraId="6D75DFBF" w14:textId="77777777" w:rsidR="00773F7B" w:rsidRPr="00BE7FD5" w:rsidRDefault="002F718C" w:rsidP="002F718C">
            <w:pPr>
              <w:pStyle w:val="T2"/>
              <w:jc w:val="right"/>
              <w:rPr>
                <w:bCs/>
              </w:rPr>
            </w:pPr>
            <w:r>
              <w:rPr>
                <w:bCs/>
              </w:rPr>
              <w:t>(2.7)</w:t>
            </w:r>
          </w:p>
        </w:tc>
        <w:tc>
          <w:tcPr>
            <w:tcW w:w="826" w:type="dxa"/>
            <w:vAlign w:val="bottom"/>
          </w:tcPr>
          <w:p w14:paraId="5E158BCF" w14:textId="77777777" w:rsidR="00773F7B" w:rsidRPr="00BE7FD5" w:rsidRDefault="002F718C" w:rsidP="002F718C">
            <w:pPr>
              <w:pStyle w:val="T2"/>
              <w:jc w:val="right"/>
              <w:rPr>
                <w:bCs/>
              </w:rPr>
            </w:pPr>
            <w:r>
              <w:rPr>
                <w:bCs/>
              </w:rPr>
              <w:t>(2.7)</w:t>
            </w:r>
          </w:p>
        </w:tc>
        <w:tc>
          <w:tcPr>
            <w:tcW w:w="1020" w:type="dxa"/>
            <w:vAlign w:val="bottom"/>
          </w:tcPr>
          <w:p w14:paraId="7BA173EA" w14:textId="77777777" w:rsidR="00773F7B" w:rsidRPr="00BE7FD5" w:rsidRDefault="00773F7B" w:rsidP="00773F7B">
            <w:pPr>
              <w:pStyle w:val="T2"/>
              <w:jc w:val="right"/>
              <w:rPr>
                <w:bCs/>
              </w:rPr>
            </w:pPr>
            <w:r w:rsidRPr="00BE7FD5">
              <w:rPr>
                <w:bCs/>
              </w:rPr>
              <w:t>–</w:t>
            </w:r>
          </w:p>
        </w:tc>
        <w:tc>
          <w:tcPr>
            <w:tcW w:w="847" w:type="dxa"/>
            <w:vAlign w:val="bottom"/>
          </w:tcPr>
          <w:p w14:paraId="7BE8D18A" w14:textId="77777777" w:rsidR="00773F7B" w:rsidRPr="00BD5B9E" w:rsidRDefault="002F718C" w:rsidP="002F718C">
            <w:pPr>
              <w:pStyle w:val="T2"/>
              <w:jc w:val="right"/>
              <w:rPr>
                <w:bCs/>
              </w:rPr>
            </w:pPr>
            <w:r>
              <w:rPr>
                <w:bCs/>
              </w:rPr>
              <w:t>(2.7)</w:t>
            </w:r>
          </w:p>
        </w:tc>
      </w:tr>
      <w:tr w:rsidR="00773F7B" w14:paraId="6DA9C82F" w14:textId="77777777" w:rsidTr="00B52070">
        <w:trPr>
          <w:jc w:val="center"/>
        </w:trPr>
        <w:tc>
          <w:tcPr>
            <w:tcW w:w="4395" w:type="dxa"/>
            <w:tcBorders>
              <w:bottom w:val="single" w:sz="2" w:space="0" w:color="auto"/>
            </w:tcBorders>
            <w:vAlign w:val="bottom"/>
          </w:tcPr>
          <w:p w14:paraId="0F1B1CD3" w14:textId="77777777" w:rsidR="00773F7B" w:rsidRPr="00E57F3E" w:rsidRDefault="00773F7B" w:rsidP="00773F7B">
            <w:pPr>
              <w:pStyle w:val="T2"/>
              <w:jc w:val="left"/>
            </w:pPr>
            <w:r w:rsidRPr="0096767F">
              <w:rPr>
                <w:rFonts w:ascii="Calibri" w:hAnsi="Calibri" w:cs="Calibri"/>
                <w:bCs/>
              </w:rPr>
              <w:t>Profit for the financial period</w:t>
            </w:r>
          </w:p>
        </w:tc>
        <w:tc>
          <w:tcPr>
            <w:tcW w:w="709" w:type="dxa"/>
            <w:tcBorders>
              <w:bottom w:val="single" w:sz="2" w:space="0" w:color="auto"/>
            </w:tcBorders>
            <w:vAlign w:val="bottom"/>
          </w:tcPr>
          <w:p w14:paraId="1E2D7643" w14:textId="77777777" w:rsidR="00773F7B" w:rsidRPr="00BE7FD5" w:rsidRDefault="00773F7B" w:rsidP="00773F7B">
            <w:pPr>
              <w:jc w:val="right"/>
              <w:rPr>
                <w:rFonts w:ascii="Calibri" w:hAnsi="Calibri" w:cs="Calibri"/>
                <w:bCs/>
                <w:sz w:val="18"/>
                <w:szCs w:val="18"/>
              </w:rPr>
            </w:pPr>
            <w:r w:rsidRPr="00BE7FD5">
              <w:rPr>
                <w:bCs/>
              </w:rPr>
              <w:t>–</w:t>
            </w:r>
          </w:p>
        </w:tc>
        <w:tc>
          <w:tcPr>
            <w:tcW w:w="992" w:type="dxa"/>
            <w:tcBorders>
              <w:bottom w:val="single" w:sz="2" w:space="0" w:color="auto"/>
            </w:tcBorders>
            <w:vAlign w:val="bottom"/>
          </w:tcPr>
          <w:p w14:paraId="511EB73D" w14:textId="77777777" w:rsidR="00773F7B" w:rsidRPr="00BE7FD5" w:rsidRDefault="00773F7B" w:rsidP="00773F7B">
            <w:pPr>
              <w:pStyle w:val="T2"/>
              <w:jc w:val="right"/>
              <w:rPr>
                <w:bCs/>
              </w:rPr>
            </w:pPr>
            <w:r w:rsidRPr="00BE7FD5">
              <w:rPr>
                <w:bCs/>
              </w:rPr>
              <w:t>–</w:t>
            </w:r>
          </w:p>
        </w:tc>
        <w:tc>
          <w:tcPr>
            <w:tcW w:w="850" w:type="dxa"/>
            <w:tcBorders>
              <w:bottom w:val="single" w:sz="2" w:space="0" w:color="auto"/>
            </w:tcBorders>
            <w:vAlign w:val="bottom"/>
          </w:tcPr>
          <w:p w14:paraId="22688344" w14:textId="77777777" w:rsidR="00773F7B" w:rsidRPr="00BE7FD5" w:rsidRDefault="00773F7B" w:rsidP="00773F7B">
            <w:pPr>
              <w:pStyle w:val="T2"/>
              <w:jc w:val="right"/>
              <w:rPr>
                <w:bCs/>
              </w:rPr>
            </w:pPr>
            <w:r w:rsidRPr="00BE7FD5">
              <w:rPr>
                <w:bCs/>
              </w:rPr>
              <w:t>–</w:t>
            </w:r>
          </w:p>
        </w:tc>
        <w:tc>
          <w:tcPr>
            <w:tcW w:w="992" w:type="dxa"/>
            <w:tcBorders>
              <w:bottom w:val="single" w:sz="2" w:space="0" w:color="auto"/>
            </w:tcBorders>
            <w:vAlign w:val="bottom"/>
          </w:tcPr>
          <w:p w14:paraId="1E8094F5" w14:textId="77777777" w:rsidR="00773F7B" w:rsidRPr="00BE7FD5" w:rsidRDefault="002F718C" w:rsidP="00773F7B">
            <w:pPr>
              <w:pStyle w:val="T2"/>
              <w:jc w:val="right"/>
              <w:rPr>
                <w:bCs/>
              </w:rPr>
            </w:pPr>
            <w:r>
              <w:rPr>
                <w:bCs/>
              </w:rPr>
              <w:t>23.3</w:t>
            </w:r>
          </w:p>
        </w:tc>
        <w:tc>
          <w:tcPr>
            <w:tcW w:w="826" w:type="dxa"/>
            <w:tcBorders>
              <w:bottom w:val="single" w:sz="2" w:space="0" w:color="auto"/>
            </w:tcBorders>
            <w:vAlign w:val="bottom"/>
          </w:tcPr>
          <w:p w14:paraId="45DF38E5" w14:textId="77777777" w:rsidR="00773F7B" w:rsidRPr="00BE7FD5" w:rsidRDefault="002F718C" w:rsidP="00773F7B">
            <w:pPr>
              <w:pStyle w:val="T2"/>
              <w:jc w:val="right"/>
              <w:rPr>
                <w:bCs/>
              </w:rPr>
            </w:pPr>
            <w:r>
              <w:rPr>
                <w:bCs/>
              </w:rPr>
              <w:t>23.3</w:t>
            </w:r>
          </w:p>
        </w:tc>
        <w:tc>
          <w:tcPr>
            <w:tcW w:w="1020" w:type="dxa"/>
            <w:tcBorders>
              <w:bottom w:val="single" w:sz="2" w:space="0" w:color="auto"/>
            </w:tcBorders>
            <w:vAlign w:val="bottom"/>
          </w:tcPr>
          <w:p w14:paraId="1F968462" w14:textId="77777777" w:rsidR="00773F7B" w:rsidRPr="00BE7FD5" w:rsidRDefault="002F718C" w:rsidP="00773F7B">
            <w:pPr>
              <w:pStyle w:val="T2"/>
              <w:jc w:val="right"/>
              <w:rPr>
                <w:bCs/>
              </w:rPr>
            </w:pPr>
            <w:r>
              <w:rPr>
                <w:bCs/>
              </w:rPr>
              <w:t>0.9</w:t>
            </w:r>
          </w:p>
        </w:tc>
        <w:tc>
          <w:tcPr>
            <w:tcW w:w="847" w:type="dxa"/>
            <w:tcBorders>
              <w:bottom w:val="single" w:sz="2" w:space="0" w:color="auto"/>
            </w:tcBorders>
            <w:vAlign w:val="bottom"/>
          </w:tcPr>
          <w:p w14:paraId="6C61593F" w14:textId="77777777" w:rsidR="00773F7B" w:rsidRPr="00BD5B9E" w:rsidRDefault="002F718C" w:rsidP="00773F7B">
            <w:pPr>
              <w:pStyle w:val="T2"/>
              <w:jc w:val="right"/>
              <w:rPr>
                <w:bCs/>
              </w:rPr>
            </w:pPr>
            <w:r>
              <w:rPr>
                <w:bCs/>
              </w:rPr>
              <w:t>24.2</w:t>
            </w:r>
          </w:p>
        </w:tc>
      </w:tr>
      <w:tr w:rsidR="00773F7B" w14:paraId="0C0D724E" w14:textId="77777777" w:rsidTr="00B52070">
        <w:trPr>
          <w:jc w:val="center"/>
        </w:trPr>
        <w:tc>
          <w:tcPr>
            <w:tcW w:w="4395" w:type="dxa"/>
            <w:tcBorders>
              <w:top w:val="single" w:sz="2" w:space="0" w:color="auto"/>
              <w:bottom w:val="single" w:sz="4" w:space="0" w:color="auto"/>
            </w:tcBorders>
            <w:vAlign w:val="bottom"/>
          </w:tcPr>
          <w:p w14:paraId="2571AE7C" w14:textId="77777777" w:rsidR="00773F7B" w:rsidRPr="00B52070" w:rsidRDefault="00773F7B" w:rsidP="006D6AC9">
            <w:pPr>
              <w:pStyle w:val="T2"/>
              <w:jc w:val="left"/>
              <w:rPr>
                <w:b/>
              </w:rPr>
            </w:pPr>
            <w:r w:rsidRPr="00B52070">
              <w:rPr>
                <w:b/>
              </w:rPr>
              <w:t xml:space="preserve">Total </w:t>
            </w:r>
            <w:r w:rsidR="006D6AC9">
              <w:rPr>
                <w:b/>
              </w:rPr>
              <w:t>comprehensive income for the financial period</w:t>
            </w:r>
          </w:p>
        </w:tc>
        <w:tc>
          <w:tcPr>
            <w:tcW w:w="709" w:type="dxa"/>
            <w:tcBorders>
              <w:top w:val="single" w:sz="2" w:space="0" w:color="auto"/>
              <w:bottom w:val="single" w:sz="4" w:space="0" w:color="auto"/>
            </w:tcBorders>
            <w:vAlign w:val="bottom"/>
          </w:tcPr>
          <w:p w14:paraId="153F84D2" w14:textId="77777777" w:rsidR="00773F7B" w:rsidRPr="00BE7FD5" w:rsidRDefault="00773F7B" w:rsidP="00773F7B">
            <w:pPr>
              <w:jc w:val="right"/>
              <w:rPr>
                <w:rFonts w:ascii="Calibri" w:hAnsi="Calibri" w:cs="Calibri"/>
                <w:bCs/>
                <w:sz w:val="18"/>
                <w:szCs w:val="18"/>
              </w:rPr>
            </w:pPr>
            <w:r w:rsidRPr="00BE7FD5">
              <w:rPr>
                <w:bCs/>
              </w:rPr>
              <w:t>–</w:t>
            </w:r>
          </w:p>
        </w:tc>
        <w:tc>
          <w:tcPr>
            <w:tcW w:w="992" w:type="dxa"/>
            <w:tcBorders>
              <w:top w:val="single" w:sz="2" w:space="0" w:color="auto"/>
              <w:bottom w:val="single" w:sz="4" w:space="0" w:color="auto"/>
            </w:tcBorders>
            <w:vAlign w:val="bottom"/>
          </w:tcPr>
          <w:p w14:paraId="40D7217D" w14:textId="77777777" w:rsidR="00773F7B" w:rsidRPr="00BE7FD5" w:rsidRDefault="00773F7B" w:rsidP="00773F7B">
            <w:pPr>
              <w:pStyle w:val="T2"/>
              <w:jc w:val="right"/>
              <w:rPr>
                <w:bCs/>
              </w:rPr>
            </w:pPr>
            <w:r w:rsidRPr="00BE7FD5">
              <w:rPr>
                <w:bCs/>
              </w:rPr>
              <w:t>–</w:t>
            </w:r>
          </w:p>
        </w:tc>
        <w:tc>
          <w:tcPr>
            <w:tcW w:w="850" w:type="dxa"/>
            <w:tcBorders>
              <w:top w:val="single" w:sz="2" w:space="0" w:color="auto"/>
              <w:bottom w:val="single" w:sz="4" w:space="0" w:color="auto"/>
            </w:tcBorders>
            <w:vAlign w:val="bottom"/>
          </w:tcPr>
          <w:p w14:paraId="182C90E7" w14:textId="77777777" w:rsidR="00773F7B" w:rsidRPr="00BE7FD5" w:rsidRDefault="002F718C" w:rsidP="00773F7B">
            <w:pPr>
              <w:pStyle w:val="T2"/>
              <w:jc w:val="right"/>
              <w:rPr>
                <w:bCs/>
              </w:rPr>
            </w:pPr>
            <w:r>
              <w:rPr>
                <w:bCs/>
              </w:rPr>
              <w:t>3.5</w:t>
            </w:r>
          </w:p>
        </w:tc>
        <w:tc>
          <w:tcPr>
            <w:tcW w:w="992" w:type="dxa"/>
            <w:tcBorders>
              <w:top w:val="single" w:sz="2" w:space="0" w:color="auto"/>
              <w:bottom w:val="single" w:sz="4" w:space="0" w:color="auto"/>
            </w:tcBorders>
            <w:vAlign w:val="bottom"/>
          </w:tcPr>
          <w:p w14:paraId="00BFB541" w14:textId="77777777" w:rsidR="00773F7B" w:rsidRPr="00BE7FD5" w:rsidRDefault="002F718C" w:rsidP="00773F7B">
            <w:pPr>
              <w:pStyle w:val="T2"/>
              <w:jc w:val="right"/>
              <w:rPr>
                <w:bCs/>
              </w:rPr>
            </w:pPr>
            <w:r>
              <w:rPr>
                <w:bCs/>
              </w:rPr>
              <w:t>52.6</w:t>
            </w:r>
          </w:p>
        </w:tc>
        <w:tc>
          <w:tcPr>
            <w:tcW w:w="826" w:type="dxa"/>
            <w:tcBorders>
              <w:top w:val="single" w:sz="2" w:space="0" w:color="auto"/>
              <w:bottom w:val="single" w:sz="4" w:space="0" w:color="auto"/>
            </w:tcBorders>
            <w:vAlign w:val="bottom"/>
          </w:tcPr>
          <w:p w14:paraId="55992F17" w14:textId="77777777" w:rsidR="00773F7B" w:rsidRPr="00BE7FD5" w:rsidRDefault="002F718C" w:rsidP="00773F7B">
            <w:pPr>
              <w:pStyle w:val="T2"/>
              <w:jc w:val="right"/>
              <w:rPr>
                <w:bCs/>
              </w:rPr>
            </w:pPr>
            <w:r>
              <w:rPr>
                <w:bCs/>
              </w:rPr>
              <w:t>56.1</w:t>
            </w:r>
          </w:p>
        </w:tc>
        <w:tc>
          <w:tcPr>
            <w:tcW w:w="1020" w:type="dxa"/>
            <w:tcBorders>
              <w:top w:val="single" w:sz="2" w:space="0" w:color="auto"/>
              <w:bottom w:val="single" w:sz="4" w:space="0" w:color="auto"/>
            </w:tcBorders>
            <w:vAlign w:val="bottom"/>
          </w:tcPr>
          <w:p w14:paraId="70B07333" w14:textId="77777777" w:rsidR="00773F7B" w:rsidRPr="00BE7FD5" w:rsidRDefault="002F718C" w:rsidP="00773F7B">
            <w:pPr>
              <w:pStyle w:val="T2"/>
              <w:jc w:val="right"/>
              <w:rPr>
                <w:bCs/>
              </w:rPr>
            </w:pPr>
            <w:r>
              <w:rPr>
                <w:bCs/>
              </w:rPr>
              <w:t>0.9</w:t>
            </w:r>
          </w:p>
        </w:tc>
        <w:tc>
          <w:tcPr>
            <w:tcW w:w="847" w:type="dxa"/>
            <w:tcBorders>
              <w:top w:val="single" w:sz="2" w:space="0" w:color="auto"/>
              <w:bottom w:val="single" w:sz="4" w:space="0" w:color="auto"/>
            </w:tcBorders>
            <w:vAlign w:val="bottom"/>
          </w:tcPr>
          <w:p w14:paraId="3C405BC5" w14:textId="77777777" w:rsidR="00773F7B" w:rsidRPr="00BD5B9E" w:rsidRDefault="002F718C" w:rsidP="00773F7B">
            <w:pPr>
              <w:pStyle w:val="T2"/>
              <w:jc w:val="right"/>
              <w:rPr>
                <w:bCs/>
              </w:rPr>
            </w:pPr>
            <w:r>
              <w:rPr>
                <w:bCs/>
              </w:rPr>
              <w:t>57.0</w:t>
            </w:r>
          </w:p>
        </w:tc>
      </w:tr>
      <w:tr w:rsidR="00773F7B" w14:paraId="7400176D" w14:textId="77777777" w:rsidTr="00B52070">
        <w:trPr>
          <w:jc w:val="center"/>
        </w:trPr>
        <w:tc>
          <w:tcPr>
            <w:tcW w:w="4395" w:type="dxa"/>
            <w:tcBorders>
              <w:top w:val="single" w:sz="4" w:space="0" w:color="auto"/>
            </w:tcBorders>
          </w:tcPr>
          <w:p w14:paraId="7AE6D6BA" w14:textId="77777777" w:rsidR="00773F7B" w:rsidRPr="00AF5104" w:rsidRDefault="00773F7B" w:rsidP="00773F7B">
            <w:pPr>
              <w:pStyle w:val="T2"/>
              <w:jc w:val="left"/>
            </w:pPr>
            <w:r w:rsidRPr="0096767F">
              <w:rPr>
                <w:bCs/>
              </w:rPr>
              <w:t>Employee share</w:t>
            </w:r>
            <w:r>
              <w:rPr>
                <w:bCs/>
              </w:rPr>
              <w:t>–</w:t>
            </w:r>
            <w:r w:rsidRPr="0096767F">
              <w:rPr>
                <w:bCs/>
              </w:rPr>
              <w:t>based payment expense</w:t>
            </w:r>
          </w:p>
        </w:tc>
        <w:tc>
          <w:tcPr>
            <w:tcW w:w="709" w:type="dxa"/>
            <w:tcBorders>
              <w:top w:val="single" w:sz="4" w:space="0" w:color="auto"/>
            </w:tcBorders>
          </w:tcPr>
          <w:p w14:paraId="04C886D9" w14:textId="77777777" w:rsidR="00773F7B" w:rsidRPr="00BE7FD5" w:rsidRDefault="00773F7B" w:rsidP="00773F7B">
            <w:pPr>
              <w:pStyle w:val="T2"/>
              <w:jc w:val="right"/>
              <w:rPr>
                <w:bCs/>
              </w:rPr>
            </w:pPr>
            <w:r w:rsidRPr="00BE7FD5">
              <w:rPr>
                <w:bCs/>
              </w:rPr>
              <w:t>–</w:t>
            </w:r>
          </w:p>
        </w:tc>
        <w:tc>
          <w:tcPr>
            <w:tcW w:w="992" w:type="dxa"/>
            <w:tcBorders>
              <w:top w:val="single" w:sz="4" w:space="0" w:color="auto"/>
            </w:tcBorders>
          </w:tcPr>
          <w:p w14:paraId="1BE9EE41" w14:textId="77777777" w:rsidR="00773F7B" w:rsidRPr="00BE7FD5" w:rsidRDefault="00773F7B" w:rsidP="00773F7B">
            <w:pPr>
              <w:pStyle w:val="T2"/>
              <w:jc w:val="right"/>
              <w:rPr>
                <w:bCs/>
              </w:rPr>
            </w:pPr>
            <w:r w:rsidRPr="00BE7FD5">
              <w:rPr>
                <w:bCs/>
              </w:rPr>
              <w:t>–</w:t>
            </w:r>
          </w:p>
        </w:tc>
        <w:tc>
          <w:tcPr>
            <w:tcW w:w="850" w:type="dxa"/>
            <w:tcBorders>
              <w:top w:val="single" w:sz="4" w:space="0" w:color="auto"/>
            </w:tcBorders>
          </w:tcPr>
          <w:p w14:paraId="7865E8A9" w14:textId="77777777" w:rsidR="00773F7B" w:rsidRPr="00BE7FD5" w:rsidRDefault="002F718C" w:rsidP="00773F7B">
            <w:pPr>
              <w:pStyle w:val="T2"/>
              <w:jc w:val="right"/>
              <w:rPr>
                <w:bCs/>
              </w:rPr>
            </w:pPr>
            <w:r>
              <w:rPr>
                <w:bCs/>
              </w:rPr>
              <w:t>0.9</w:t>
            </w:r>
          </w:p>
        </w:tc>
        <w:tc>
          <w:tcPr>
            <w:tcW w:w="992" w:type="dxa"/>
            <w:tcBorders>
              <w:top w:val="single" w:sz="4" w:space="0" w:color="auto"/>
            </w:tcBorders>
          </w:tcPr>
          <w:p w14:paraId="789B8C4F" w14:textId="77777777" w:rsidR="00773F7B" w:rsidRPr="00BE7FD5" w:rsidRDefault="00773F7B" w:rsidP="00773F7B">
            <w:pPr>
              <w:pStyle w:val="T2"/>
              <w:jc w:val="right"/>
              <w:rPr>
                <w:bCs/>
              </w:rPr>
            </w:pPr>
            <w:r w:rsidRPr="00BE7FD5">
              <w:rPr>
                <w:bCs/>
              </w:rPr>
              <w:t>–</w:t>
            </w:r>
          </w:p>
        </w:tc>
        <w:tc>
          <w:tcPr>
            <w:tcW w:w="826" w:type="dxa"/>
            <w:tcBorders>
              <w:top w:val="single" w:sz="4" w:space="0" w:color="auto"/>
            </w:tcBorders>
          </w:tcPr>
          <w:p w14:paraId="0262A8B7" w14:textId="77777777" w:rsidR="00773F7B" w:rsidRPr="00BE7FD5" w:rsidRDefault="002F718C" w:rsidP="00773F7B">
            <w:pPr>
              <w:pStyle w:val="T2"/>
              <w:jc w:val="right"/>
              <w:rPr>
                <w:bCs/>
              </w:rPr>
            </w:pPr>
            <w:r>
              <w:rPr>
                <w:bCs/>
              </w:rPr>
              <w:t>0.9</w:t>
            </w:r>
          </w:p>
        </w:tc>
        <w:tc>
          <w:tcPr>
            <w:tcW w:w="1020" w:type="dxa"/>
            <w:tcBorders>
              <w:top w:val="single" w:sz="4" w:space="0" w:color="auto"/>
            </w:tcBorders>
          </w:tcPr>
          <w:p w14:paraId="1DEF2B41" w14:textId="77777777" w:rsidR="00773F7B" w:rsidRPr="00BE7FD5" w:rsidRDefault="00773F7B" w:rsidP="00773F7B">
            <w:pPr>
              <w:pStyle w:val="T2"/>
              <w:jc w:val="right"/>
              <w:rPr>
                <w:bCs/>
              </w:rPr>
            </w:pPr>
            <w:r w:rsidRPr="00BE7FD5">
              <w:rPr>
                <w:bCs/>
              </w:rPr>
              <w:t>–</w:t>
            </w:r>
          </w:p>
        </w:tc>
        <w:tc>
          <w:tcPr>
            <w:tcW w:w="847" w:type="dxa"/>
            <w:tcBorders>
              <w:top w:val="single" w:sz="4" w:space="0" w:color="auto"/>
            </w:tcBorders>
          </w:tcPr>
          <w:p w14:paraId="7B5B2DFC" w14:textId="77777777" w:rsidR="00773F7B" w:rsidRPr="00BD5B9E" w:rsidRDefault="002F718C" w:rsidP="00773F7B">
            <w:pPr>
              <w:pStyle w:val="T2"/>
              <w:jc w:val="right"/>
              <w:rPr>
                <w:bCs/>
              </w:rPr>
            </w:pPr>
            <w:r>
              <w:rPr>
                <w:bCs/>
              </w:rPr>
              <w:t>0.9</w:t>
            </w:r>
          </w:p>
        </w:tc>
      </w:tr>
      <w:tr w:rsidR="00773F7B" w14:paraId="52857D3E" w14:textId="77777777" w:rsidTr="00B52070">
        <w:trPr>
          <w:jc w:val="center"/>
        </w:trPr>
        <w:tc>
          <w:tcPr>
            <w:tcW w:w="4395" w:type="dxa"/>
          </w:tcPr>
          <w:p w14:paraId="428FAC9B" w14:textId="77777777" w:rsidR="00773F7B" w:rsidRPr="00AF5104" w:rsidRDefault="00773F7B" w:rsidP="00773F7B">
            <w:pPr>
              <w:pStyle w:val="T2"/>
              <w:jc w:val="left"/>
            </w:pPr>
            <w:r w:rsidRPr="0096767F">
              <w:rPr>
                <w:bCs/>
              </w:rPr>
              <w:t>Exercise, lapse or forfeit of share</w:t>
            </w:r>
            <w:r>
              <w:rPr>
                <w:bCs/>
              </w:rPr>
              <w:t>–</w:t>
            </w:r>
            <w:r w:rsidRPr="0096767F">
              <w:rPr>
                <w:bCs/>
              </w:rPr>
              <w:t>based payments</w:t>
            </w:r>
          </w:p>
        </w:tc>
        <w:tc>
          <w:tcPr>
            <w:tcW w:w="709" w:type="dxa"/>
          </w:tcPr>
          <w:p w14:paraId="1CDD8177" w14:textId="77777777" w:rsidR="00773F7B" w:rsidRPr="00BE7FD5" w:rsidRDefault="00773F7B" w:rsidP="00773F7B">
            <w:pPr>
              <w:pStyle w:val="T2"/>
              <w:jc w:val="right"/>
              <w:rPr>
                <w:bCs/>
              </w:rPr>
            </w:pPr>
            <w:r w:rsidRPr="00BE7FD5">
              <w:rPr>
                <w:bCs/>
              </w:rPr>
              <w:t>–</w:t>
            </w:r>
          </w:p>
        </w:tc>
        <w:tc>
          <w:tcPr>
            <w:tcW w:w="992" w:type="dxa"/>
          </w:tcPr>
          <w:p w14:paraId="78BC6CD2" w14:textId="77777777" w:rsidR="00773F7B" w:rsidRPr="00BD5B9E" w:rsidRDefault="002F718C" w:rsidP="00773F7B">
            <w:pPr>
              <w:pStyle w:val="T2"/>
              <w:jc w:val="right"/>
              <w:rPr>
                <w:bCs/>
              </w:rPr>
            </w:pPr>
            <w:r>
              <w:rPr>
                <w:bCs/>
              </w:rPr>
              <w:t>0.3</w:t>
            </w:r>
          </w:p>
        </w:tc>
        <w:tc>
          <w:tcPr>
            <w:tcW w:w="850" w:type="dxa"/>
          </w:tcPr>
          <w:p w14:paraId="6FA7B623" w14:textId="77777777" w:rsidR="00773F7B" w:rsidRPr="00BD5B9E" w:rsidRDefault="00773F7B" w:rsidP="002F718C">
            <w:pPr>
              <w:pStyle w:val="T2"/>
              <w:jc w:val="right"/>
              <w:rPr>
                <w:bCs/>
              </w:rPr>
            </w:pPr>
            <w:r w:rsidRPr="00BE7FD5">
              <w:rPr>
                <w:bCs/>
              </w:rPr>
              <w:t>(</w:t>
            </w:r>
            <w:r w:rsidR="002F718C">
              <w:rPr>
                <w:bCs/>
              </w:rPr>
              <w:t>2.6</w:t>
            </w:r>
            <w:r w:rsidRPr="00BE7FD5">
              <w:rPr>
                <w:bCs/>
              </w:rPr>
              <w:t>)</w:t>
            </w:r>
          </w:p>
        </w:tc>
        <w:tc>
          <w:tcPr>
            <w:tcW w:w="992" w:type="dxa"/>
          </w:tcPr>
          <w:p w14:paraId="100354AE" w14:textId="77777777" w:rsidR="00773F7B" w:rsidRPr="00BD5B9E" w:rsidRDefault="002F718C" w:rsidP="00773F7B">
            <w:pPr>
              <w:pStyle w:val="T2"/>
              <w:jc w:val="right"/>
              <w:rPr>
                <w:bCs/>
              </w:rPr>
            </w:pPr>
            <w:r>
              <w:rPr>
                <w:bCs/>
              </w:rPr>
              <w:t>2.6</w:t>
            </w:r>
          </w:p>
        </w:tc>
        <w:tc>
          <w:tcPr>
            <w:tcW w:w="826" w:type="dxa"/>
          </w:tcPr>
          <w:p w14:paraId="6AD44357" w14:textId="77777777" w:rsidR="00773F7B" w:rsidRPr="00BD5B9E" w:rsidRDefault="002F718C" w:rsidP="00773F7B">
            <w:pPr>
              <w:pStyle w:val="T2"/>
              <w:jc w:val="right"/>
              <w:rPr>
                <w:bCs/>
              </w:rPr>
            </w:pPr>
            <w:r>
              <w:rPr>
                <w:bCs/>
              </w:rPr>
              <w:t>0.3</w:t>
            </w:r>
          </w:p>
        </w:tc>
        <w:tc>
          <w:tcPr>
            <w:tcW w:w="1020" w:type="dxa"/>
          </w:tcPr>
          <w:p w14:paraId="6C286048" w14:textId="77777777" w:rsidR="00773F7B" w:rsidRPr="00BD5B9E" w:rsidRDefault="00773F7B" w:rsidP="00773F7B">
            <w:pPr>
              <w:pStyle w:val="T2"/>
              <w:jc w:val="right"/>
              <w:rPr>
                <w:bCs/>
              </w:rPr>
            </w:pPr>
            <w:r w:rsidRPr="00BE7FD5">
              <w:rPr>
                <w:bCs/>
              </w:rPr>
              <w:t>–</w:t>
            </w:r>
          </w:p>
        </w:tc>
        <w:tc>
          <w:tcPr>
            <w:tcW w:w="847" w:type="dxa"/>
          </w:tcPr>
          <w:p w14:paraId="640297C6" w14:textId="77777777" w:rsidR="00773F7B" w:rsidRPr="00BD5B9E" w:rsidRDefault="002F718C" w:rsidP="00773F7B">
            <w:pPr>
              <w:pStyle w:val="T2"/>
              <w:jc w:val="right"/>
              <w:rPr>
                <w:bCs/>
              </w:rPr>
            </w:pPr>
            <w:r>
              <w:rPr>
                <w:bCs/>
              </w:rPr>
              <w:t>0.3</w:t>
            </w:r>
          </w:p>
        </w:tc>
      </w:tr>
      <w:tr w:rsidR="00773F7B" w14:paraId="730D1BD1" w14:textId="77777777" w:rsidTr="00B52070">
        <w:trPr>
          <w:jc w:val="center"/>
        </w:trPr>
        <w:tc>
          <w:tcPr>
            <w:tcW w:w="4395" w:type="dxa"/>
          </w:tcPr>
          <w:p w14:paraId="66228618" w14:textId="77777777" w:rsidR="00773F7B" w:rsidRPr="003841B4" w:rsidRDefault="00773F7B" w:rsidP="00773F7B">
            <w:pPr>
              <w:pStyle w:val="T2"/>
              <w:jc w:val="left"/>
              <w:rPr>
                <w:b/>
              </w:rPr>
            </w:pPr>
            <w:r w:rsidRPr="0096767F">
              <w:rPr>
                <w:bCs/>
              </w:rPr>
              <w:t>Shares acquired by Employee Benefit Trust</w:t>
            </w:r>
          </w:p>
        </w:tc>
        <w:tc>
          <w:tcPr>
            <w:tcW w:w="709" w:type="dxa"/>
          </w:tcPr>
          <w:p w14:paraId="557F2700" w14:textId="77777777" w:rsidR="00773F7B" w:rsidRPr="00BE7FD5" w:rsidRDefault="00773F7B" w:rsidP="00773F7B">
            <w:pPr>
              <w:pStyle w:val="T2"/>
              <w:jc w:val="right"/>
              <w:rPr>
                <w:bCs/>
              </w:rPr>
            </w:pPr>
            <w:r w:rsidRPr="00BE7FD5">
              <w:rPr>
                <w:bCs/>
              </w:rPr>
              <w:t>–</w:t>
            </w:r>
          </w:p>
        </w:tc>
        <w:tc>
          <w:tcPr>
            <w:tcW w:w="992" w:type="dxa"/>
          </w:tcPr>
          <w:p w14:paraId="0A081481" w14:textId="77777777" w:rsidR="00773F7B" w:rsidRPr="00BD5B9E" w:rsidRDefault="00773F7B" w:rsidP="00773F7B">
            <w:pPr>
              <w:pStyle w:val="T2"/>
              <w:jc w:val="right"/>
              <w:rPr>
                <w:bCs/>
              </w:rPr>
            </w:pPr>
            <w:r w:rsidRPr="00BE7FD5">
              <w:rPr>
                <w:bCs/>
              </w:rPr>
              <w:t>–</w:t>
            </w:r>
          </w:p>
        </w:tc>
        <w:tc>
          <w:tcPr>
            <w:tcW w:w="850" w:type="dxa"/>
          </w:tcPr>
          <w:p w14:paraId="730742BF" w14:textId="77777777" w:rsidR="00773F7B" w:rsidRPr="00BD5B9E" w:rsidRDefault="00773F7B" w:rsidP="002F718C">
            <w:pPr>
              <w:pStyle w:val="T2"/>
              <w:jc w:val="right"/>
              <w:rPr>
                <w:bCs/>
              </w:rPr>
            </w:pPr>
            <w:r w:rsidRPr="00BE7FD5">
              <w:rPr>
                <w:bCs/>
              </w:rPr>
              <w:t>(0.</w:t>
            </w:r>
            <w:r w:rsidR="002F718C">
              <w:rPr>
                <w:bCs/>
              </w:rPr>
              <w:t>1</w:t>
            </w:r>
            <w:r w:rsidRPr="00BE7FD5">
              <w:rPr>
                <w:bCs/>
              </w:rPr>
              <w:t>)</w:t>
            </w:r>
          </w:p>
        </w:tc>
        <w:tc>
          <w:tcPr>
            <w:tcW w:w="992" w:type="dxa"/>
          </w:tcPr>
          <w:p w14:paraId="789887D4" w14:textId="77777777" w:rsidR="00773F7B" w:rsidRPr="00BD5B9E" w:rsidRDefault="002F718C" w:rsidP="00773F7B">
            <w:pPr>
              <w:pStyle w:val="T2"/>
              <w:jc w:val="right"/>
              <w:rPr>
                <w:bCs/>
              </w:rPr>
            </w:pPr>
            <w:r>
              <w:rPr>
                <w:bCs/>
              </w:rPr>
              <w:t>0.1</w:t>
            </w:r>
          </w:p>
        </w:tc>
        <w:tc>
          <w:tcPr>
            <w:tcW w:w="826" w:type="dxa"/>
          </w:tcPr>
          <w:p w14:paraId="0E9FC655" w14:textId="77777777" w:rsidR="00773F7B" w:rsidRPr="00BD5B9E" w:rsidRDefault="002F718C" w:rsidP="00773F7B">
            <w:pPr>
              <w:pStyle w:val="T2"/>
              <w:jc w:val="right"/>
              <w:rPr>
                <w:bCs/>
              </w:rPr>
            </w:pPr>
            <w:r w:rsidRPr="00BE7FD5">
              <w:rPr>
                <w:bCs/>
              </w:rPr>
              <w:t>–</w:t>
            </w:r>
          </w:p>
        </w:tc>
        <w:tc>
          <w:tcPr>
            <w:tcW w:w="1020" w:type="dxa"/>
          </w:tcPr>
          <w:p w14:paraId="2288572A" w14:textId="77777777" w:rsidR="00773F7B" w:rsidRPr="00BD5B9E" w:rsidRDefault="00773F7B" w:rsidP="00773F7B">
            <w:pPr>
              <w:pStyle w:val="T2"/>
              <w:jc w:val="right"/>
              <w:rPr>
                <w:bCs/>
              </w:rPr>
            </w:pPr>
            <w:r w:rsidRPr="00BE7FD5">
              <w:rPr>
                <w:bCs/>
              </w:rPr>
              <w:t>–</w:t>
            </w:r>
          </w:p>
        </w:tc>
        <w:tc>
          <w:tcPr>
            <w:tcW w:w="847" w:type="dxa"/>
          </w:tcPr>
          <w:p w14:paraId="6384A725" w14:textId="77777777" w:rsidR="00773F7B" w:rsidRPr="00BD5B9E" w:rsidRDefault="002F718C" w:rsidP="00773F7B">
            <w:pPr>
              <w:pStyle w:val="T2"/>
              <w:jc w:val="right"/>
              <w:rPr>
                <w:bCs/>
              </w:rPr>
            </w:pPr>
            <w:r w:rsidRPr="00BE7FD5">
              <w:rPr>
                <w:bCs/>
              </w:rPr>
              <w:t>–</w:t>
            </w:r>
          </w:p>
        </w:tc>
      </w:tr>
      <w:tr w:rsidR="00773F7B" w14:paraId="207B090C" w14:textId="77777777" w:rsidTr="00B52070">
        <w:trPr>
          <w:jc w:val="center"/>
        </w:trPr>
        <w:tc>
          <w:tcPr>
            <w:tcW w:w="4395" w:type="dxa"/>
          </w:tcPr>
          <w:p w14:paraId="58F117E9" w14:textId="77777777" w:rsidR="00773F7B" w:rsidRPr="00A52C8E" w:rsidRDefault="00773F7B">
            <w:pPr>
              <w:pStyle w:val="T2"/>
              <w:jc w:val="left"/>
            </w:pPr>
            <w:r w:rsidRPr="0096767F">
              <w:rPr>
                <w:bCs/>
              </w:rPr>
              <w:t>Transfer to Retained Earnings on</w:t>
            </w:r>
            <w:r w:rsidR="005726F7">
              <w:rPr>
                <w:bCs/>
              </w:rPr>
              <w:t xml:space="preserve"> transfer </w:t>
            </w:r>
            <w:r w:rsidRPr="0096767F">
              <w:rPr>
                <w:bCs/>
              </w:rPr>
              <w:t>of shares to beneficiaries of the Employee Benefit Trust</w:t>
            </w:r>
          </w:p>
        </w:tc>
        <w:tc>
          <w:tcPr>
            <w:tcW w:w="709" w:type="dxa"/>
          </w:tcPr>
          <w:p w14:paraId="342F3091" w14:textId="77777777" w:rsidR="00773F7B" w:rsidRPr="00BE7FD5" w:rsidRDefault="00773F7B" w:rsidP="00773F7B">
            <w:pPr>
              <w:pStyle w:val="T2"/>
              <w:jc w:val="right"/>
              <w:rPr>
                <w:bCs/>
              </w:rPr>
            </w:pPr>
            <w:r w:rsidRPr="00BE7FD5">
              <w:rPr>
                <w:bCs/>
              </w:rPr>
              <w:t>–</w:t>
            </w:r>
          </w:p>
        </w:tc>
        <w:tc>
          <w:tcPr>
            <w:tcW w:w="992" w:type="dxa"/>
          </w:tcPr>
          <w:p w14:paraId="11670C3C" w14:textId="77777777" w:rsidR="00773F7B" w:rsidRPr="00BD5B9E" w:rsidRDefault="00773F7B" w:rsidP="00773F7B">
            <w:pPr>
              <w:pStyle w:val="T2"/>
              <w:jc w:val="right"/>
              <w:rPr>
                <w:bCs/>
              </w:rPr>
            </w:pPr>
            <w:r w:rsidRPr="00BE7FD5">
              <w:rPr>
                <w:bCs/>
              </w:rPr>
              <w:t>–</w:t>
            </w:r>
          </w:p>
        </w:tc>
        <w:tc>
          <w:tcPr>
            <w:tcW w:w="850" w:type="dxa"/>
          </w:tcPr>
          <w:p w14:paraId="394D204E" w14:textId="77777777" w:rsidR="00773F7B" w:rsidRPr="00BD5B9E" w:rsidRDefault="002F718C" w:rsidP="00773F7B">
            <w:pPr>
              <w:pStyle w:val="T2"/>
              <w:jc w:val="right"/>
              <w:rPr>
                <w:bCs/>
              </w:rPr>
            </w:pPr>
            <w:r>
              <w:rPr>
                <w:bCs/>
              </w:rPr>
              <w:t>5.0</w:t>
            </w:r>
          </w:p>
        </w:tc>
        <w:tc>
          <w:tcPr>
            <w:tcW w:w="992" w:type="dxa"/>
          </w:tcPr>
          <w:p w14:paraId="5EDD2740" w14:textId="77777777" w:rsidR="00773F7B" w:rsidRPr="00BD5B9E" w:rsidRDefault="00773F7B" w:rsidP="002F718C">
            <w:pPr>
              <w:pStyle w:val="T2"/>
              <w:jc w:val="right"/>
              <w:rPr>
                <w:bCs/>
              </w:rPr>
            </w:pPr>
            <w:r w:rsidRPr="00BE7FD5">
              <w:rPr>
                <w:bCs/>
              </w:rPr>
              <w:t>(</w:t>
            </w:r>
            <w:r w:rsidR="002F718C">
              <w:rPr>
                <w:bCs/>
              </w:rPr>
              <w:t>5.0</w:t>
            </w:r>
            <w:r w:rsidRPr="00BE7FD5">
              <w:rPr>
                <w:bCs/>
              </w:rPr>
              <w:t>)</w:t>
            </w:r>
          </w:p>
        </w:tc>
        <w:tc>
          <w:tcPr>
            <w:tcW w:w="826" w:type="dxa"/>
          </w:tcPr>
          <w:p w14:paraId="6537B710" w14:textId="77777777" w:rsidR="00773F7B" w:rsidRPr="00BD5B9E" w:rsidRDefault="00773F7B" w:rsidP="00773F7B">
            <w:pPr>
              <w:pStyle w:val="T2"/>
              <w:jc w:val="right"/>
              <w:rPr>
                <w:bCs/>
              </w:rPr>
            </w:pPr>
            <w:r w:rsidRPr="00BE7FD5">
              <w:rPr>
                <w:bCs/>
              </w:rPr>
              <w:t>–</w:t>
            </w:r>
          </w:p>
        </w:tc>
        <w:tc>
          <w:tcPr>
            <w:tcW w:w="1020" w:type="dxa"/>
          </w:tcPr>
          <w:p w14:paraId="2576C179" w14:textId="77777777" w:rsidR="00773F7B" w:rsidRPr="00BD5B9E" w:rsidRDefault="00773F7B" w:rsidP="00773F7B">
            <w:pPr>
              <w:pStyle w:val="T2"/>
              <w:jc w:val="right"/>
              <w:rPr>
                <w:bCs/>
              </w:rPr>
            </w:pPr>
            <w:r w:rsidRPr="00BE7FD5">
              <w:rPr>
                <w:bCs/>
              </w:rPr>
              <w:t>–</w:t>
            </w:r>
          </w:p>
        </w:tc>
        <w:tc>
          <w:tcPr>
            <w:tcW w:w="847" w:type="dxa"/>
          </w:tcPr>
          <w:p w14:paraId="57E8FE92" w14:textId="77777777" w:rsidR="00773F7B" w:rsidRPr="00BD5B9E" w:rsidRDefault="00773F7B" w:rsidP="00773F7B">
            <w:pPr>
              <w:pStyle w:val="T2"/>
              <w:jc w:val="right"/>
              <w:rPr>
                <w:bCs/>
              </w:rPr>
            </w:pPr>
            <w:r w:rsidRPr="00BE7FD5">
              <w:rPr>
                <w:bCs/>
              </w:rPr>
              <w:t>–</w:t>
            </w:r>
          </w:p>
        </w:tc>
      </w:tr>
      <w:tr w:rsidR="00773F7B" w14:paraId="22B74A3B" w14:textId="77777777" w:rsidTr="001F1616">
        <w:trPr>
          <w:jc w:val="center"/>
        </w:trPr>
        <w:tc>
          <w:tcPr>
            <w:tcW w:w="4395" w:type="dxa"/>
            <w:tcBorders>
              <w:bottom w:val="single" w:sz="2" w:space="0" w:color="auto"/>
            </w:tcBorders>
          </w:tcPr>
          <w:p w14:paraId="2B16DB51" w14:textId="77777777" w:rsidR="00773F7B" w:rsidRPr="00A52C8E" w:rsidRDefault="00773F7B" w:rsidP="00773F7B">
            <w:pPr>
              <w:pStyle w:val="T2"/>
              <w:jc w:val="left"/>
            </w:pPr>
            <w:r w:rsidRPr="0096767F">
              <w:rPr>
                <w:bCs/>
              </w:rPr>
              <w:t>Dividends</w:t>
            </w:r>
          </w:p>
        </w:tc>
        <w:tc>
          <w:tcPr>
            <w:tcW w:w="709" w:type="dxa"/>
            <w:tcBorders>
              <w:bottom w:val="single" w:sz="2" w:space="0" w:color="auto"/>
            </w:tcBorders>
          </w:tcPr>
          <w:p w14:paraId="26E8709E" w14:textId="77777777" w:rsidR="00773F7B" w:rsidRPr="00BE7FD5" w:rsidRDefault="00773F7B" w:rsidP="00773F7B">
            <w:pPr>
              <w:pStyle w:val="T2"/>
              <w:jc w:val="right"/>
              <w:rPr>
                <w:bCs/>
              </w:rPr>
            </w:pPr>
            <w:r w:rsidRPr="00BE7FD5">
              <w:rPr>
                <w:bCs/>
              </w:rPr>
              <w:t>–</w:t>
            </w:r>
          </w:p>
        </w:tc>
        <w:tc>
          <w:tcPr>
            <w:tcW w:w="992" w:type="dxa"/>
            <w:tcBorders>
              <w:bottom w:val="single" w:sz="2" w:space="0" w:color="auto"/>
            </w:tcBorders>
          </w:tcPr>
          <w:p w14:paraId="3E352E19" w14:textId="77777777" w:rsidR="00773F7B" w:rsidRPr="00BD5B9E" w:rsidRDefault="00773F7B" w:rsidP="00773F7B">
            <w:pPr>
              <w:pStyle w:val="T2"/>
              <w:jc w:val="right"/>
              <w:rPr>
                <w:bCs/>
              </w:rPr>
            </w:pPr>
            <w:r w:rsidRPr="00BE7FD5">
              <w:rPr>
                <w:bCs/>
              </w:rPr>
              <w:t>–</w:t>
            </w:r>
          </w:p>
        </w:tc>
        <w:tc>
          <w:tcPr>
            <w:tcW w:w="850" w:type="dxa"/>
            <w:tcBorders>
              <w:bottom w:val="single" w:sz="2" w:space="0" w:color="auto"/>
            </w:tcBorders>
          </w:tcPr>
          <w:p w14:paraId="1936409D" w14:textId="77777777" w:rsidR="00773F7B" w:rsidRPr="00BD5B9E" w:rsidRDefault="00773F7B" w:rsidP="00773F7B">
            <w:pPr>
              <w:pStyle w:val="T2"/>
              <w:jc w:val="right"/>
              <w:rPr>
                <w:bCs/>
              </w:rPr>
            </w:pPr>
            <w:r w:rsidRPr="00BE7FD5">
              <w:rPr>
                <w:bCs/>
              </w:rPr>
              <w:t>–</w:t>
            </w:r>
          </w:p>
        </w:tc>
        <w:tc>
          <w:tcPr>
            <w:tcW w:w="992" w:type="dxa"/>
            <w:tcBorders>
              <w:bottom w:val="single" w:sz="2" w:space="0" w:color="auto"/>
            </w:tcBorders>
          </w:tcPr>
          <w:p w14:paraId="51597E1B" w14:textId="77777777" w:rsidR="00773F7B" w:rsidRPr="00BD5B9E" w:rsidRDefault="00773F7B" w:rsidP="002F718C">
            <w:pPr>
              <w:pStyle w:val="T2"/>
              <w:jc w:val="right"/>
              <w:rPr>
                <w:bCs/>
              </w:rPr>
            </w:pPr>
            <w:r w:rsidRPr="00BE7FD5">
              <w:rPr>
                <w:bCs/>
              </w:rPr>
              <w:t>(</w:t>
            </w:r>
            <w:r w:rsidR="002F718C">
              <w:rPr>
                <w:bCs/>
              </w:rPr>
              <w:t>16.7</w:t>
            </w:r>
            <w:r w:rsidRPr="00BE7FD5">
              <w:rPr>
                <w:bCs/>
              </w:rPr>
              <w:t>)</w:t>
            </w:r>
          </w:p>
        </w:tc>
        <w:tc>
          <w:tcPr>
            <w:tcW w:w="826" w:type="dxa"/>
            <w:tcBorders>
              <w:bottom w:val="single" w:sz="2" w:space="0" w:color="auto"/>
            </w:tcBorders>
          </w:tcPr>
          <w:p w14:paraId="7147BF0D" w14:textId="77777777" w:rsidR="00773F7B" w:rsidRPr="00BD5B9E" w:rsidRDefault="00773F7B" w:rsidP="002F718C">
            <w:pPr>
              <w:pStyle w:val="T2"/>
              <w:jc w:val="right"/>
              <w:rPr>
                <w:bCs/>
              </w:rPr>
            </w:pPr>
            <w:r w:rsidRPr="00BE7FD5">
              <w:rPr>
                <w:bCs/>
              </w:rPr>
              <w:t>(</w:t>
            </w:r>
            <w:r w:rsidR="002F718C">
              <w:rPr>
                <w:bCs/>
              </w:rPr>
              <w:t>16.7</w:t>
            </w:r>
            <w:r w:rsidRPr="00BE7FD5">
              <w:rPr>
                <w:bCs/>
              </w:rPr>
              <w:t>)</w:t>
            </w:r>
          </w:p>
        </w:tc>
        <w:tc>
          <w:tcPr>
            <w:tcW w:w="1020" w:type="dxa"/>
            <w:tcBorders>
              <w:bottom w:val="single" w:sz="2" w:space="0" w:color="auto"/>
            </w:tcBorders>
          </w:tcPr>
          <w:p w14:paraId="68794F7B" w14:textId="77777777" w:rsidR="00773F7B" w:rsidRPr="00BD5B9E" w:rsidRDefault="00773F7B" w:rsidP="002F718C">
            <w:pPr>
              <w:pStyle w:val="T2"/>
              <w:jc w:val="right"/>
              <w:rPr>
                <w:bCs/>
              </w:rPr>
            </w:pPr>
            <w:r w:rsidRPr="00BE7FD5">
              <w:rPr>
                <w:bCs/>
              </w:rPr>
              <w:t>(</w:t>
            </w:r>
            <w:r w:rsidR="002F718C">
              <w:rPr>
                <w:bCs/>
              </w:rPr>
              <w:t>2.4</w:t>
            </w:r>
            <w:r w:rsidRPr="00BE7FD5">
              <w:rPr>
                <w:bCs/>
              </w:rPr>
              <w:t>)</w:t>
            </w:r>
          </w:p>
        </w:tc>
        <w:tc>
          <w:tcPr>
            <w:tcW w:w="847" w:type="dxa"/>
            <w:tcBorders>
              <w:bottom w:val="single" w:sz="2" w:space="0" w:color="auto"/>
            </w:tcBorders>
          </w:tcPr>
          <w:p w14:paraId="10EB01F8" w14:textId="77777777" w:rsidR="00773F7B" w:rsidRPr="00BD5B9E" w:rsidRDefault="00773F7B" w:rsidP="002F718C">
            <w:pPr>
              <w:pStyle w:val="T2"/>
              <w:jc w:val="right"/>
              <w:rPr>
                <w:bCs/>
              </w:rPr>
            </w:pPr>
            <w:r w:rsidRPr="00BE7FD5">
              <w:rPr>
                <w:bCs/>
              </w:rPr>
              <w:t>(</w:t>
            </w:r>
            <w:r w:rsidR="002F718C">
              <w:rPr>
                <w:bCs/>
              </w:rPr>
              <w:t>19.1</w:t>
            </w:r>
            <w:r w:rsidRPr="00BE7FD5">
              <w:rPr>
                <w:bCs/>
              </w:rPr>
              <w:t>)</w:t>
            </w:r>
          </w:p>
        </w:tc>
      </w:tr>
      <w:tr w:rsidR="00773F7B" w14:paraId="6BC527E8" w14:textId="77777777" w:rsidTr="001F1616">
        <w:trPr>
          <w:jc w:val="center"/>
        </w:trPr>
        <w:tc>
          <w:tcPr>
            <w:tcW w:w="4395" w:type="dxa"/>
            <w:tcBorders>
              <w:top w:val="single" w:sz="2" w:space="0" w:color="auto"/>
              <w:bottom w:val="single" w:sz="2" w:space="0" w:color="auto"/>
            </w:tcBorders>
          </w:tcPr>
          <w:p w14:paraId="6CA789AE" w14:textId="77777777" w:rsidR="00773F7B" w:rsidRPr="00B52070" w:rsidRDefault="00773F7B" w:rsidP="00773F7B">
            <w:pPr>
              <w:pStyle w:val="T2"/>
              <w:jc w:val="left"/>
              <w:rPr>
                <w:b/>
              </w:rPr>
            </w:pPr>
            <w:r w:rsidRPr="00B52070">
              <w:rPr>
                <w:b/>
              </w:rPr>
              <w:t xml:space="preserve">At </w:t>
            </w:r>
            <w:r w:rsidR="00946079">
              <w:rPr>
                <w:b/>
              </w:rPr>
              <w:t>27 March 2020</w:t>
            </w:r>
          </w:p>
        </w:tc>
        <w:tc>
          <w:tcPr>
            <w:tcW w:w="709" w:type="dxa"/>
            <w:tcBorders>
              <w:top w:val="single" w:sz="2" w:space="0" w:color="auto"/>
              <w:bottom w:val="single" w:sz="2" w:space="0" w:color="auto"/>
            </w:tcBorders>
          </w:tcPr>
          <w:p w14:paraId="7259C6A7" w14:textId="77777777" w:rsidR="00773F7B" w:rsidRPr="00BE7FD5" w:rsidRDefault="00773F7B" w:rsidP="00773F7B">
            <w:pPr>
              <w:pStyle w:val="T2"/>
              <w:jc w:val="right"/>
              <w:rPr>
                <w:bCs/>
              </w:rPr>
            </w:pPr>
            <w:r w:rsidRPr="00BE7FD5">
              <w:rPr>
                <w:bCs/>
              </w:rPr>
              <w:t>4.5</w:t>
            </w:r>
          </w:p>
        </w:tc>
        <w:tc>
          <w:tcPr>
            <w:tcW w:w="992" w:type="dxa"/>
            <w:tcBorders>
              <w:top w:val="single" w:sz="2" w:space="0" w:color="auto"/>
              <w:bottom w:val="single" w:sz="2" w:space="0" w:color="auto"/>
            </w:tcBorders>
          </w:tcPr>
          <w:p w14:paraId="7926EAFA" w14:textId="77777777" w:rsidR="00773F7B" w:rsidRPr="00BD5B9E" w:rsidRDefault="002F718C" w:rsidP="00773F7B">
            <w:pPr>
              <w:pStyle w:val="T2"/>
              <w:jc w:val="right"/>
              <w:rPr>
                <w:bCs/>
              </w:rPr>
            </w:pPr>
            <w:r>
              <w:rPr>
                <w:bCs/>
              </w:rPr>
              <w:t>0.4</w:t>
            </w:r>
          </w:p>
        </w:tc>
        <w:tc>
          <w:tcPr>
            <w:tcW w:w="850" w:type="dxa"/>
            <w:tcBorders>
              <w:top w:val="single" w:sz="2" w:space="0" w:color="auto"/>
              <w:bottom w:val="single" w:sz="2" w:space="0" w:color="auto"/>
            </w:tcBorders>
          </w:tcPr>
          <w:p w14:paraId="651171D4" w14:textId="77777777" w:rsidR="00773F7B" w:rsidRPr="00BD5B9E" w:rsidRDefault="002F718C" w:rsidP="00773F7B">
            <w:pPr>
              <w:pStyle w:val="T2"/>
              <w:jc w:val="right"/>
              <w:rPr>
                <w:bCs/>
              </w:rPr>
            </w:pPr>
            <w:r>
              <w:rPr>
                <w:bCs/>
              </w:rPr>
              <w:t>123.5</w:t>
            </w:r>
          </w:p>
        </w:tc>
        <w:tc>
          <w:tcPr>
            <w:tcW w:w="992" w:type="dxa"/>
            <w:tcBorders>
              <w:top w:val="single" w:sz="2" w:space="0" w:color="auto"/>
              <w:bottom w:val="single" w:sz="2" w:space="0" w:color="auto"/>
            </w:tcBorders>
          </w:tcPr>
          <w:p w14:paraId="6948B957" w14:textId="77777777" w:rsidR="00773F7B" w:rsidRPr="00BD5B9E" w:rsidRDefault="002F718C" w:rsidP="00773F7B">
            <w:pPr>
              <w:pStyle w:val="T2"/>
              <w:jc w:val="right"/>
              <w:rPr>
                <w:bCs/>
              </w:rPr>
            </w:pPr>
            <w:r>
              <w:rPr>
                <w:bCs/>
              </w:rPr>
              <w:t>208.2</w:t>
            </w:r>
          </w:p>
        </w:tc>
        <w:tc>
          <w:tcPr>
            <w:tcW w:w="826" w:type="dxa"/>
            <w:tcBorders>
              <w:top w:val="single" w:sz="2" w:space="0" w:color="auto"/>
              <w:bottom w:val="single" w:sz="2" w:space="0" w:color="auto"/>
            </w:tcBorders>
          </w:tcPr>
          <w:p w14:paraId="25FB2AF4" w14:textId="77777777" w:rsidR="00773F7B" w:rsidRPr="00BD5B9E" w:rsidRDefault="002F718C" w:rsidP="00773F7B">
            <w:pPr>
              <w:pStyle w:val="T2"/>
              <w:jc w:val="right"/>
              <w:rPr>
                <w:bCs/>
              </w:rPr>
            </w:pPr>
            <w:r>
              <w:rPr>
                <w:bCs/>
              </w:rPr>
              <w:t>336.6</w:t>
            </w:r>
          </w:p>
        </w:tc>
        <w:tc>
          <w:tcPr>
            <w:tcW w:w="1020" w:type="dxa"/>
            <w:tcBorders>
              <w:top w:val="single" w:sz="2" w:space="0" w:color="auto"/>
              <w:bottom w:val="single" w:sz="2" w:space="0" w:color="auto"/>
            </w:tcBorders>
          </w:tcPr>
          <w:p w14:paraId="2FAB9F25" w14:textId="77777777" w:rsidR="00773F7B" w:rsidRPr="00BD5B9E" w:rsidRDefault="002F718C" w:rsidP="00773F7B">
            <w:pPr>
              <w:pStyle w:val="T2"/>
              <w:jc w:val="right"/>
              <w:rPr>
                <w:bCs/>
              </w:rPr>
            </w:pPr>
            <w:r>
              <w:rPr>
                <w:bCs/>
              </w:rPr>
              <w:t>4.9</w:t>
            </w:r>
          </w:p>
        </w:tc>
        <w:tc>
          <w:tcPr>
            <w:tcW w:w="847" w:type="dxa"/>
            <w:tcBorders>
              <w:top w:val="single" w:sz="2" w:space="0" w:color="auto"/>
              <w:bottom w:val="single" w:sz="2" w:space="0" w:color="auto"/>
            </w:tcBorders>
          </w:tcPr>
          <w:p w14:paraId="66051360" w14:textId="77777777" w:rsidR="00773F7B" w:rsidRPr="00BD5B9E" w:rsidRDefault="002F718C" w:rsidP="00773F7B">
            <w:pPr>
              <w:pStyle w:val="T2"/>
              <w:jc w:val="right"/>
              <w:rPr>
                <w:bCs/>
              </w:rPr>
            </w:pPr>
            <w:r>
              <w:rPr>
                <w:bCs/>
              </w:rPr>
              <w:t>341.5</w:t>
            </w:r>
          </w:p>
        </w:tc>
      </w:tr>
      <w:tr w:rsidR="00773F7B" w14:paraId="59E68180" w14:textId="77777777" w:rsidTr="001F1616">
        <w:trPr>
          <w:jc w:val="center"/>
        </w:trPr>
        <w:tc>
          <w:tcPr>
            <w:tcW w:w="4395" w:type="dxa"/>
            <w:tcBorders>
              <w:top w:val="single" w:sz="2" w:space="0" w:color="auto"/>
            </w:tcBorders>
            <w:vAlign w:val="bottom"/>
          </w:tcPr>
          <w:p w14:paraId="0598EDEA" w14:textId="77777777" w:rsidR="00773F7B" w:rsidRDefault="00773F7B" w:rsidP="00773F7B">
            <w:pPr>
              <w:pStyle w:val="T2"/>
              <w:jc w:val="left"/>
            </w:pPr>
          </w:p>
        </w:tc>
        <w:tc>
          <w:tcPr>
            <w:tcW w:w="709" w:type="dxa"/>
            <w:tcBorders>
              <w:top w:val="single" w:sz="2" w:space="0" w:color="auto"/>
            </w:tcBorders>
          </w:tcPr>
          <w:p w14:paraId="56EBDC95" w14:textId="77777777" w:rsidR="00773F7B" w:rsidRDefault="00773F7B" w:rsidP="00773F7B">
            <w:pPr>
              <w:pStyle w:val="T2"/>
            </w:pPr>
          </w:p>
        </w:tc>
        <w:tc>
          <w:tcPr>
            <w:tcW w:w="992" w:type="dxa"/>
            <w:tcBorders>
              <w:top w:val="single" w:sz="2" w:space="0" w:color="auto"/>
            </w:tcBorders>
          </w:tcPr>
          <w:p w14:paraId="317A3146" w14:textId="77777777" w:rsidR="00773F7B" w:rsidRDefault="00773F7B" w:rsidP="00773F7B">
            <w:pPr>
              <w:pStyle w:val="T2"/>
            </w:pPr>
          </w:p>
        </w:tc>
        <w:tc>
          <w:tcPr>
            <w:tcW w:w="850" w:type="dxa"/>
            <w:tcBorders>
              <w:top w:val="single" w:sz="2" w:space="0" w:color="auto"/>
            </w:tcBorders>
          </w:tcPr>
          <w:p w14:paraId="37C1088C" w14:textId="77777777" w:rsidR="00773F7B" w:rsidRDefault="00773F7B" w:rsidP="00773F7B">
            <w:pPr>
              <w:pStyle w:val="T2"/>
            </w:pPr>
          </w:p>
        </w:tc>
        <w:tc>
          <w:tcPr>
            <w:tcW w:w="992" w:type="dxa"/>
            <w:tcBorders>
              <w:top w:val="single" w:sz="2" w:space="0" w:color="auto"/>
            </w:tcBorders>
          </w:tcPr>
          <w:p w14:paraId="0371AC98" w14:textId="77777777" w:rsidR="00773F7B" w:rsidRDefault="00773F7B" w:rsidP="00773F7B">
            <w:pPr>
              <w:pStyle w:val="T2"/>
            </w:pPr>
          </w:p>
        </w:tc>
        <w:tc>
          <w:tcPr>
            <w:tcW w:w="826" w:type="dxa"/>
            <w:tcBorders>
              <w:top w:val="single" w:sz="2" w:space="0" w:color="auto"/>
            </w:tcBorders>
          </w:tcPr>
          <w:p w14:paraId="3AF6EC81" w14:textId="77777777" w:rsidR="00773F7B" w:rsidRDefault="00773F7B" w:rsidP="00773F7B">
            <w:pPr>
              <w:pStyle w:val="T2"/>
            </w:pPr>
          </w:p>
        </w:tc>
        <w:tc>
          <w:tcPr>
            <w:tcW w:w="1020" w:type="dxa"/>
            <w:tcBorders>
              <w:top w:val="single" w:sz="2" w:space="0" w:color="auto"/>
            </w:tcBorders>
          </w:tcPr>
          <w:p w14:paraId="2DDBEDED" w14:textId="77777777" w:rsidR="00773F7B" w:rsidRDefault="00773F7B" w:rsidP="00773F7B">
            <w:pPr>
              <w:pStyle w:val="T2"/>
            </w:pPr>
          </w:p>
        </w:tc>
        <w:tc>
          <w:tcPr>
            <w:tcW w:w="847" w:type="dxa"/>
            <w:tcBorders>
              <w:top w:val="single" w:sz="2" w:space="0" w:color="auto"/>
            </w:tcBorders>
          </w:tcPr>
          <w:p w14:paraId="69436780" w14:textId="77777777" w:rsidR="00773F7B" w:rsidRDefault="00773F7B" w:rsidP="00773F7B">
            <w:pPr>
              <w:pStyle w:val="T2"/>
            </w:pPr>
          </w:p>
        </w:tc>
      </w:tr>
    </w:tbl>
    <w:p w14:paraId="7B02E9D5" w14:textId="77777777" w:rsidR="00EB44C4" w:rsidRDefault="00EB44C4" w:rsidP="00EB44C4">
      <w:pPr>
        <w:tabs>
          <w:tab w:val="left" w:pos="3969"/>
          <w:tab w:val="left" w:pos="5891"/>
          <w:tab w:val="right" w:pos="9746"/>
        </w:tabs>
      </w:pPr>
      <w:r>
        <w:tab/>
      </w:r>
      <w:r>
        <w:tab/>
      </w:r>
      <w:r>
        <w:tab/>
      </w:r>
    </w:p>
    <w:p w14:paraId="39D18485" w14:textId="77777777" w:rsidR="00773F7B" w:rsidRPr="00EB44C4" w:rsidRDefault="00773F7B" w:rsidP="00EB44C4">
      <w:pPr>
        <w:tabs>
          <w:tab w:val="left" w:pos="3969"/>
          <w:tab w:val="left" w:pos="5891"/>
          <w:tab w:val="right" w:pos="9746"/>
        </w:tabs>
        <w:rPr>
          <w:b/>
          <w:sz w:val="18"/>
          <w:szCs w:val="18"/>
        </w:rPr>
      </w:pPr>
      <w:r w:rsidRPr="00EB44C4">
        <w:rPr>
          <w:b/>
          <w:sz w:val="18"/>
          <w:szCs w:val="18"/>
        </w:rPr>
        <w:t>OTHER RESERVES</w:t>
      </w:r>
    </w:p>
    <w:tbl>
      <w:tblPr>
        <w:tblStyle w:val="TableGrid"/>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907"/>
        <w:gridCol w:w="907"/>
        <w:gridCol w:w="1437"/>
        <w:gridCol w:w="904"/>
        <w:gridCol w:w="1033"/>
        <w:gridCol w:w="907"/>
      </w:tblGrid>
      <w:tr w:rsidR="00834013" w:rsidRPr="00EC0196" w14:paraId="7BB9A5E9" w14:textId="77777777" w:rsidTr="005B3BEE">
        <w:trPr>
          <w:jc w:val="center"/>
        </w:trPr>
        <w:tc>
          <w:tcPr>
            <w:tcW w:w="4394" w:type="dxa"/>
          </w:tcPr>
          <w:p w14:paraId="35D5AAC6" w14:textId="77777777" w:rsidR="00773F7B" w:rsidRPr="00EC0196" w:rsidRDefault="00773F7B" w:rsidP="00773F7B">
            <w:pPr>
              <w:pStyle w:val="T2"/>
              <w:rPr>
                <w:b/>
              </w:rPr>
            </w:pPr>
          </w:p>
        </w:tc>
        <w:tc>
          <w:tcPr>
            <w:tcW w:w="907" w:type="dxa"/>
            <w:vAlign w:val="bottom"/>
          </w:tcPr>
          <w:p w14:paraId="61053A34" w14:textId="77777777" w:rsidR="00773F7B" w:rsidRPr="00EC0196" w:rsidRDefault="00773F7B" w:rsidP="00773F7B">
            <w:pPr>
              <w:pStyle w:val="T2"/>
              <w:jc w:val="right"/>
              <w:rPr>
                <w:b/>
              </w:rPr>
            </w:pPr>
            <w:r w:rsidRPr="00EC0196">
              <w:rPr>
                <w:b/>
              </w:rPr>
              <w:t xml:space="preserve">Share </w:t>
            </w:r>
          </w:p>
          <w:p w14:paraId="2096D9A6" w14:textId="77777777" w:rsidR="00773F7B" w:rsidRPr="00EC0196" w:rsidRDefault="00773F7B" w:rsidP="00773F7B">
            <w:pPr>
              <w:pStyle w:val="T2"/>
              <w:jc w:val="right"/>
              <w:rPr>
                <w:b/>
              </w:rPr>
            </w:pPr>
            <w:r w:rsidRPr="00EC0196">
              <w:rPr>
                <w:b/>
              </w:rPr>
              <w:t>options</w:t>
            </w:r>
          </w:p>
        </w:tc>
        <w:tc>
          <w:tcPr>
            <w:tcW w:w="907" w:type="dxa"/>
            <w:vAlign w:val="bottom"/>
          </w:tcPr>
          <w:p w14:paraId="56287957" w14:textId="77777777" w:rsidR="00773F7B" w:rsidRPr="00EC0196" w:rsidRDefault="00773F7B" w:rsidP="00773F7B">
            <w:pPr>
              <w:pStyle w:val="T2"/>
              <w:jc w:val="right"/>
              <w:rPr>
                <w:b/>
              </w:rPr>
            </w:pPr>
            <w:r w:rsidRPr="00EC0196">
              <w:rPr>
                <w:b/>
              </w:rPr>
              <w:t xml:space="preserve">Own </w:t>
            </w:r>
          </w:p>
          <w:p w14:paraId="69C3D5BF" w14:textId="77777777" w:rsidR="00773F7B" w:rsidRPr="00EC0196" w:rsidRDefault="00773F7B" w:rsidP="00773F7B">
            <w:pPr>
              <w:pStyle w:val="T2"/>
              <w:jc w:val="right"/>
              <w:rPr>
                <w:b/>
              </w:rPr>
            </w:pPr>
            <w:r w:rsidRPr="00EC0196">
              <w:rPr>
                <w:b/>
              </w:rPr>
              <w:t>shares</w:t>
            </w:r>
          </w:p>
        </w:tc>
        <w:tc>
          <w:tcPr>
            <w:tcW w:w="1437" w:type="dxa"/>
            <w:vAlign w:val="bottom"/>
          </w:tcPr>
          <w:p w14:paraId="18EBE3BF" w14:textId="77777777" w:rsidR="00773F7B" w:rsidRPr="00EC0196" w:rsidRDefault="00773F7B" w:rsidP="00773F7B">
            <w:pPr>
              <w:pStyle w:val="T2"/>
              <w:jc w:val="right"/>
              <w:rPr>
                <w:b/>
              </w:rPr>
            </w:pPr>
            <w:r w:rsidRPr="00EC0196">
              <w:rPr>
                <w:b/>
              </w:rPr>
              <w:t>Undenominated capital reserve</w:t>
            </w:r>
          </w:p>
        </w:tc>
        <w:tc>
          <w:tcPr>
            <w:tcW w:w="904" w:type="dxa"/>
            <w:vAlign w:val="bottom"/>
          </w:tcPr>
          <w:p w14:paraId="2C8CC452" w14:textId="77777777" w:rsidR="00773F7B" w:rsidRPr="00EC0196" w:rsidRDefault="00773F7B" w:rsidP="00773F7B">
            <w:pPr>
              <w:pStyle w:val="T2"/>
              <w:jc w:val="right"/>
              <w:rPr>
                <w:b/>
              </w:rPr>
            </w:pPr>
            <w:r w:rsidRPr="00EC0196">
              <w:rPr>
                <w:b/>
              </w:rPr>
              <w:t>Hedging reserve</w:t>
            </w:r>
          </w:p>
        </w:tc>
        <w:tc>
          <w:tcPr>
            <w:tcW w:w="1033" w:type="dxa"/>
            <w:vAlign w:val="bottom"/>
          </w:tcPr>
          <w:p w14:paraId="2F543E87" w14:textId="77777777" w:rsidR="00773F7B" w:rsidRPr="00EC0196" w:rsidRDefault="00773F7B" w:rsidP="00773F7B">
            <w:pPr>
              <w:pStyle w:val="T2"/>
              <w:jc w:val="right"/>
              <w:rPr>
                <w:b/>
              </w:rPr>
            </w:pPr>
            <w:r w:rsidRPr="00EC0196">
              <w:rPr>
                <w:b/>
              </w:rPr>
              <w:t>Foreign currency translation reserve</w:t>
            </w:r>
          </w:p>
        </w:tc>
        <w:tc>
          <w:tcPr>
            <w:tcW w:w="907" w:type="dxa"/>
            <w:vAlign w:val="bottom"/>
          </w:tcPr>
          <w:p w14:paraId="4DEF987C" w14:textId="77777777" w:rsidR="00773F7B" w:rsidRPr="00EC0196" w:rsidRDefault="00773F7B" w:rsidP="00773F7B">
            <w:pPr>
              <w:pStyle w:val="T2"/>
              <w:jc w:val="right"/>
              <w:rPr>
                <w:b/>
              </w:rPr>
            </w:pPr>
            <w:r w:rsidRPr="00EC0196">
              <w:rPr>
                <w:b/>
              </w:rPr>
              <w:t>Total</w:t>
            </w:r>
          </w:p>
        </w:tc>
      </w:tr>
      <w:tr w:rsidR="00834013" w:rsidRPr="00C75824" w14:paraId="2656CE58" w14:textId="77777777" w:rsidTr="005B3BEE">
        <w:trPr>
          <w:jc w:val="center"/>
        </w:trPr>
        <w:tc>
          <w:tcPr>
            <w:tcW w:w="4394" w:type="dxa"/>
            <w:tcBorders>
              <w:bottom w:val="single" w:sz="2" w:space="0" w:color="auto"/>
            </w:tcBorders>
          </w:tcPr>
          <w:p w14:paraId="1C1EC5D2" w14:textId="77777777" w:rsidR="00773F7B" w:rsidRPr="00C75824" w:rsidRDefault="00773F7B" w:rsidP="00773F7B">
            <w:pPr>
              <w:pStyle w:val="T2"/>
            </w:pPr>
          </w:p>
        </w:tc>
        <w:tc>
          <w:tcPr>
            <w:tcW w:w="907" w:type="dxa"/>
            <w:tcBorders>
              <w:bottom w:val="single" w:sz="2" w:space="0" w:color="auto"/>
            </w:tcBorders>
            <w:vAlign w:val="bottom"/>
          </w:tcPr>
          <w:p w14:paraId="6397CB99" w14:textId="77777777" w:rsidR="00773F7B" w:rsidRPr="00377178" w:rsidRDefault="00773F7B" w:rsidP="00773F7B">
            <w:pPr>
              <w:pStyle w:val="T2"/>
              <w:jc w:val="right"/>
              <w:rPr>
                <w:b/>
              </w:rPr>
            </w:pPr>
            <w:r w:rsidRPr="00377178">
              <w:rPr>
                <w:b/>
              </w:rPr>
              <w:t>£m</w:t>
            </w:r>
          </w:p>
        </w:tc>
        <w:tc>
          <w:tcPr>
            <w:tcW w:w="907" w:type="dxa"/>
            <w:tcBorders>
              <w:bottom w:val="single" w:sz="2" w:space="0" w:color="auto"/>
            </w:tcBorders>
            <w:vAlign w:val="bottom"/>
          </w:tcPr>
          <w:p w14:paraId="516AA345" w14:textId="77777777" w:rsidR="00773F7B" w:rsidRPr="00377178" w:rsidRDefault="00773F7B" w:rsidP="00773F7B">
            <w:pPr>
              <w:pStyle w:val="T2"/>
              <w:jc w:val="right"/>
              <w:rPr>
                <w:b/>
              </w:rPr>
            </w:pPr>
            <w:r w:rsidRPr="00377178">
              <w:rPr>
                <w:b/>
              </w:rPr>
              <w:t>£m</w:t>
            </w:r>
          </w:p>
        </w:tc>
        <w:tc>
          <w:tcPr>
            <w:tcW w:w="1437" w:type="dxa"/>
            <w:tcBorders>
              <w:bottom w:val="single" w:sz="2" w:space="0" w:color="auto"/>
            </w:tcBorders>
            <w:vAlign w:val="bottom"/>
          </w:tcPr>
          <w:p w14:paraId="03065D1F" w14:textId="77777777" w:rsidR="00773F7B" w:rsidRPr="00377178" w:rsidRDefault="00773F7B" w:rsidP="00773F7B">
            <w:pPr>
              <w:pStyle w:val="T2"/>
              <w:jc w:val="right"/>
              <w:rPr>
                <w:b/>
              </w:rPr>
            </w:pPr>
            <w:r w:rsidRPr="00377178">
              <w:rPr>
                <w:b/>
              </w:rPr>
              <w:t>£m</w:t>
            </w:r>
          </w:p>
        </w:tc>
        <w:tc>
          <w:tcPr>
            <w:tcW w:w="904" w:type="dxa"/>
            <w:tcBorders>
              <w:bottom w:val="single" w:sz="2" w:space="0" w:color="auto"/>
            </w:tcBorders>
            <w:vAlign w:val="bottom"/>
          </w:tcPr>
          <w:p w14:paraId="262F1394" w14:textId="77777777" w:rsidR="00773F7B" w:rsidRPr="00377178" w:rsidRDefault="00773F7B" w:rsidP="00773F7B">
            <w:pPr>
              <w:pStyle w:val="T2"/>
              <w:jc w:val="right"/>
              <w:rPr>
                <w:b/>
              </w:rPr>
            </w:pPr>
            <w:r w:rsidRPr="00377178">
              <w:rPr>
                <w:b/>
              </w:rPr>
              <w:t>£m</w:t>
            </w:r>
          </w:p>
        </w:tc>
        <w:tc>
          <w:tcPr>
            <w:tcW w:w="1033" w:type="dxa"/>
            <w:tcBorders>
              <w:bottom w:val="single" w:sz="2" w:space="0" w:color="auto"/>
            </w:tcBorders>
            <w:vAlign w:val="bottom"/>
          </w:tcPr>
          <w:p w14:paraId="770ED9C6" w14:textId="77777777" w:rsidR="00773F7B" w:rsidRPr="00377178" w:rsidRDefault="00773F7B" w:rsidP="00773F7B">
            <w:pPr>
              <w:pStyle w:val="T2"/>
              <w:jc w:val="right"/>
              <w:rPr>
                <w:b/>
              </w:rPr>
            </w:pPr>
            <w:r w:rsidRPr="00377178">
              <w:rPr>
                <w:b/>
              </w:rPr>
              <w:t>£m</w:t>
            </w:r>
          </w:p>
        </w:tc>
        <w:tc>
          <w:tcPr>
            <w:tcW w:w="907" w:type="dxa"/>
            <w:tcBorders>
              <w:bottom w:val="single" w:sz="2" w:space="0" w:color="auto"/>
            </w:tcBorders>
            <w:vAlign w:val="bottom"/>
          </w:tcPr>
          <w:p w14:paraId="0FC57CF0" w14:textId="77777777" w:rsidR="00773F7B" w:rsidRPr="00377178" w:rsidRDefault="00773F7B" w:rsidP="00773F7B">
            <w:pPr>
              <w:pStyle w:val="T2"/>
              <w:jc w:val="right"/>
              <w:rPr>
                <w:b/>
              </w:rPr>
            </w:pPr>
            <w:r w:rsidRPr="00377178">
              <w:rPr>
                <w:b/>
              </w:rPr>
              <w:t>£m</w:t>
            </w:r>
          </w:p>
        </w:tc>
      </w:tr>
      <w:tr w:rsidR="00834013" w:rsidRPr="00C75824" w14:paraId="26DF005C" w14:textId="77777777" w:rsidTr="005B3BEE">
        <w:trPr>
          <w:jc w:val="center"/>
        </w:trPr>
        <w:tc>
          <w:tcPr>
            <w:tcW w:w="4394" w:type="dxa"/>
            <w:tcBorders>
              <w:top w:val="single" w:sz="2" w:space="0" w:color="auto"/>
              <w:bottom w:val="single" w:sz="2" w:space="0" w:color="auto"/>
            </w:tcBorders>
            <w:vAlign w:val="bottom"/>
          </w:tcPr>
          <w:p w14:paraId="6B36C08F" w14:textId="77777777" w:rsidR="00773F7B" w:rsidRPr="008A2EFB" w:rsidRDefault="00773F7B" w:rsidP="00DD4093">
            <w:pPr>
              <w:pStyle w:val="T2"/>
              <w:jc w:val="left"/>
              <w:rPr>
                <w:b/>
              </w:rPr>
            </w:pPr>
            <w:r w:rsidRPr="008A2EFB">
              <w:rPr>
                <w:b/>
              </w:rPr>
              <w:t>At 2</w:t>
            </w:r>
            <w:r w:rsidR="00DD4093">
              <w:rPr>
                <w:b/>
              </w:rPr>
              <w:t>5</w:t>
            </w:r>
            <w:r w:rsidRPr="008A2EFB">
              <w:rPr>
                <w:b/>
              </w:rPr>
              <w:t xml:space="preserve"> September 20</w:t>
            </w:r>
            <w:r w:rsidR="00DD4093">
              <w:rPr>
                <w:b/>
              </w:rPr>
              <w:t>20</w:t>
            </w:r>
          </w:p>
        </w:tc>
        <w:tc>
          <w:tcPr>
            <w:tcW w:w="907" w:type="dxa"/>
            <w:tcBorders>
              <w:top w:val="single" w:sz="2" w:space="0" w:color="auto"/>
              <w:bottom w:val="single" w:sz="2" w:space="0" w:color="auto"/>
            </w:tcBorders>
            <w:vAlign w:val="bottom"/>
          </w:tcPr>
          <w:p w14:paraId="2E862FCD" w14:textId="77777777" w:rsidR="00773F7B" w:rsidRPr="003313E6" w:rsidRDefault="002F718C" w:rsidP="00773F7B">
            <w:pPr>
              <w:pStyle w:val="T2"/>
              <w:jc w:val="right"/>
              <w:rPr>
                <w:b/>
                <w:bCs/>
              </w:rPr>
            </w:pPr>
            <w:r>
              <w:rPr>
                <w:b/>
                <w:bCs/>
              </w:rPr>
              <w:t>3.9</w:t>
            </w:r>
          </w:p>
        </w:tc>
        <w:tc>
          <w:tcPr>
            <w:tcW w:w="907" w:type="dxa"/>
            <w:tcBorders>
              <w:top w:val="single" w:sz="2" w:space="0" w:color="auto"/>
              <w:bottom w:val="single" w:sz="2" w:space="0" w:color="auto"/>
            </w:tcBorders>
            <w:vAlign w:val="bottom"/>
          </w:tcPr>
          <w:p w14:paraId="6CE49D11" w14:textId="77777777" w:rsidR="00773F7B" w:rsidRPr="003313E6" w:rsidRDefault="00773F7B" w:rsidP="002F718C">
            <w:pPr>
              <w:pStyle w:val="T2"/>
              <w:jc w:val="right"/>
              <w:rPr>
                <w:b/>
                <w:bCs/>
              </w:rPr>
            </w:pPr>
            <w:r w:rsidRPr="003313E6">
              <w:rPr>
                <w:b/>
                <w:bCs/>
              </w:rPr>
              <w:t>(</w:t>
            </w:r>
            <w:r w:rsidR="002F718C">
              <w:rPr>
                <w:b/>
                <w:bCs/>
              </w:rPr>
              <w:t>2.9</w:t>
            </w:r>
            <w:r w:rsidRPr="003313E6">
              <w:rPr>
                <w:b/>
                <w:bCs/>
              </w:rPr>
              <w:t>)</w:t>
            </w:r>
          </w:p>
        </w:tc>
        <w:tc>
          <w:tcPr>
            <w:tcW w:w="1437" w:type="dxa"/>
            <w:tcBorders>
              <w:top w:val="single" w:sz="2" w:space="0" w:color="auto"/>
              <w:bottom w:val="single" w:sz="2" w:space="0" w:color="auto"/>
            </w:tcBorders>
            <w:vAlign w:val="bottom"/>
          </w:tcPr>
          <w:p w14:paraId="196A8DF6" w14:textId="77777777" w:rsidR="00773F7B" w:rsidRPr="003313E6" w:rsidRDefault="00773F7B" w:rsidP="00773F7B">
            <w:pPr>
              <w:pStyle w:val="T2"/>
              <w:jc w:val="right"/>
              <w:rPr>
                <w:b/>
                <w:bCs/>
              </w:rPr>
            </w:pPr>
            <w:r w:rsidRPr="003313E6">
              <w:rPr>
                <w:b/>
                <w:bCs/>
              </w:rPr>
              <w:t>120.4</w:t>
            </w:r>
          </w:p>
        </w:tc>
        <w:tc>
          <w:tcPr>
            <w:tcW w:w="904" w:type="dxa"/>
            <w:tcBorders>
              <w:top w:val="single" w:sz="2" w:space="0" w:color="auto"/>
              <w:bottom w:val="single" w:sz="2" w:space="0" w:color="auto"/>
            </w:tcBorders>
            <w:vAlign w:val="bottom"/>
          </w:tcPr>
          <w:p w14:paraId="27D4E8B7" w14:textId="77777777" w:rsidR="00773F7B" w:rsidRPr="003313E6" w:rsidRDefault="002F718C" w:rsidP="00773F7B">
            <w:pPr>
              <w:pStyle w:val="T2"/>
              <w:jc w:val="right"/>
              <w:rPr>
                <w:b/>
                <w:bCs/>
              </w:rPr>
            </w:pPr>
            <w:r>
              <w:rPr>
                <w:b/>
                <w:bCs/>
              </w:rPr>
              <w:t>0.5</w:t>
            </w:r>
          </w:p>
        </w:tc>
        <w:tc>
          <w:tcPr>
            <w:tcW w:w="1033" w:type="dxa"/>
            <w:tcBorders>
              <w:top w:val="single" w:sz="2" w:space="0" w:color="auto"/>
              <w:bottom w:val="single" w:sz="2" w:space="0" w:color="auto"/>
            </w:tcBorders>
            <w:vAlign w:val="bottom"/>
          </w:tcPr>
          <w:p w14:paraId="2DF07FDC" w14:textId="77777777" w:rsidR="00773F7B" w:rsidRPr="003313E6" w:rsidRDefault="002F718C" w:rsidP="00773F7B">
            <w:pPr>
              <w:pStyle w:val="T2"/>
              <w:jc w:val="right"/>
              <w:rPr>
                <w:b/>
                <w:bCs/>
              </w:rPr>
            </w:pPr>
            <w:r>
              <w:rPr>
                <w:b/>
                <w:bCs/>
              </w:rPr>
              <w:t>2.0</w:t>
            </w:r>
          </w:p>
        </w:tc>
        <w:tc>
          <w:tcPr>
            <w:tcW w:w="907" w:type="dxa"/>
            <w:tcBorders>
              <w:top w:val="single" w:sz="2" w:space="0" w:color="auto"/>
              <w:bottom w:val="single" w:sz="2" w:space="0" w:color="auto"/>
            </w:tcBorders>
            <w:vAlign w:val="bottom"/>
          </w:tcPr>
          <w:p w14:paraId="7E65EA6B" w14:textId="77777777" w:rsidR="00773F7B" w:rsidRPr="003313E6" w:rsidRDefault="002F718C" w:rsidP="00773F7B">
            <w:pPr>
              <w:pStyle w:val="T2"/>
              <w:jc w:val="right"/>
              <w:rPr>
                <w:b/>
                <w:bCs/>
              </w:rPr>
            </w:pPr>
            <w:r>
              <w:rPr>
                <w:b/>
                <w:bCs/>
              </w:rPr>
              <w:t>123.9</w:t>
            </w:r>
          </w:p>
        </w:tc>
      </w:tr>
      <w:tr w:rsidR="00834013" w:rsidRPr="00C75824" w14:paraId="1C5F6649" w14:textId="77777777" w:rsidTr="005B3BEE">
        <w:trPr>
          <w:jc w:val="center"/>
        </w:trPr>
        <w:tc>
          <w:tcPr>
            <w:tcW w:w="4394" w:type="dxa"/>
            <w:tcBorders>
              <w:top w:val="single" w:sz="2" w:space="0" w:color="auto"/>
            </w:tcBorders>
            <w:vAlign w:val="bottom"/>
          </w:tcPr>
          <w:p w14:paraId="541D9C11" w14:textId="77777777" w:rsidR="00773F7B" w:rsidRPr="008A2EFB" w:rsidRDefault="00773F7B" w:rsidP="00773F7B">
            <w:pPr>
              <w:pStyle w:val="T2"/>
              <w:jc w:val="left"/>
              <w:rPr>
                <w:b/>
              </w:rPr>
            </w:pPr>
            <w:r w:rsidRPr="008A2EFB">
              <w:rPr>
                <w:b/>
              </w:rPr>
              <w:t>Items of income and expense taken directly to equity</w:t>
            </w:r>
          </w:p>
        </w:tc>
        <w:tc>
          <w:tcPr>
            <w:tcW w:w="907" w:type="dxa"/>
            <w:tcBorders>
              <w:top w:val="single" w:sz="2" w:space="0" w:color="auto"/>
            </w:tcBorders>
            <w:vAlign w:val="bottom"/>
          </w:tcPr>
          <w:p w14:paraId="0EF91F6E" w14:textId="77777777" w:rsidR="00773F7B" w:rsidRPr="003313E6" w:rsidRDefault="00773F7B" w:rsidP="00773F7B">
            <w:pPr>
              <w:pStyle w:val="T2"/>
              <w:jc w:val="right"/>
              <w:rPr>
                <w:b/>
                <w:bCs/>
              </w:rPr>
            </w:pPr>
          </w:p>
        </w:tc>
        <w:tc>
          <w:tcPr>
            <w:tcW w:w="907" w:type="dxa"/>
            <w:tcBorders>
              <w:top w:val="single" w:sz="2" w:space="0" w:color="auto"/>
            </w:tcBorders>
            <w:vAlign w:val="bottom"/>
          </w:tcPr>
          <w:p w14:paraId="06377DFB" w14:textId="77777777" w:rsidR="00773F7B" w:rsidRPr="003313E6" w:rsidRDefault="00773F7B" w:rsidP="00773F7B">
            <w:pPr>
              <w:pStyle w:val="T2"/>
              <w:jc w:val="right"/>
              <w:rPr>
                <w:b/>
                <w:bCs/>
              </w:rPr>
            </w:pPr>
          </w:p>
        </w:tc>
        <w:tc>
          <w:tcPr>
            <w:tcW w:w="1437" w:type="dxa"/>
            <w:tcBorders>
              <w:top w:val="single" w:sz="2" w:space="0" w:color="auto"/>
            </w:tcBorders>
            <w:vAlign w:val="bottom"/>
          </w:tcPr>
          <w:p w14:paraId="19E8B072" w14:textId="77777777" w:rsidR="00773F7B" w:rsidRPr="003313E6" w:rsidRDefault="00773F7B" w:rsidP="00773F7B">
            <w:pPr>
              <w:pStyle w:val="T2"/>
              <w:jc w:val="right"/>
              <w:rPr>
                <w:b/>
                <w:bCs/>
              </w:rPr>
            </w:pPr>
          </w:p>
        </w:tc>
        <w:tc>
          <w:tcPr>
            <w:tcW w:w="904" w:type="dxa"/>
            <w:tcBorders>
              <w:top w:val="single" w:sz="2" w:space="0" w:color="auto"/>
            </w:tcBorders>
            <w:vAlign w:val="bottom"/>
          </w:tcPr>
          <w:p w14:paraId="0EC5C9FA" w14:textId="77777777" w:rsidR="00773F7B" w:rsidRPr="003313E6" w:rsidRDefault="00773F7B" w:rsidP="00773F7B">
            <w:pPr>
              <w:pStyle w:val="T2"/>
              <w:jc w:val="right"/>
              <w:rPr>
                <w:b/>
                <w:bCs/>
              </w:rPr>
            </w:pPr>
          </w:p>
        </w:tc>
        <w:tc>
          <w:tcPr>
            <w:tcW w:w="1033" w:type="dxa"/>
            <w:tcBorders>
              <w:top w:val="single" w:sz="2" w:space="0" w:color="auto"/>
            </w:tcBorders>
            <w:vAlign w:val="bottom"/>
          </w:tcPr>
          <w:p w14:paraId="54E23703" w14:textId="77777777" w:rsidR="00773F7B" w:rsidRPr="003313E6" w:rsidRDefault="00773F7B" w:rsidP="00773F7B">
            <w:pPr>
              <w:pStyle w:val="T2"/>
              <w:jc w:val="right"/>
              <w:rPr>
                <w:b/>
                <w:bCs/>
              </w:rPr>
            </w:pPr>
          </w:p>
        </w:tc>
        <w:tc>
          <w:tcPr>
            <w:tcW w:w="907" w:type="dxa"/>
            <w:tcBorders>
              <w:top w:val="single" w:sz="2" w:space="0" w:color="auto"/>
            </w:tcBorders>
            <w:vAlign w:val="bottom"/>
          </w:tcPr>
          <w:p w14:paraId="05655AF7" w14:textId="77777777" w:rsidR="00773F7B" w:rsidRPr="003313E6" w:rsidRDefault="00773F7B" w:rsidP="00773F7B">
            <w:pPr>
              <w:pStyle w:val="T2"/>
              <w:jc w:val="right"/>
              <w:rPr>
                <w:b/>
                <w:bCs/>
              </w:rPr>
            </w:pPr>
          </w:p>
        </w:tc>
      </w:tr>
      <w:tr w:rsidR="002F718C" w:rsidRPr="00C75824" w14:paraId="0F16A4A5" w14:textId="77777777" w:rsidTr="00D477E0">
        <w:trPr>
          <w:jc w:val="center"/>
        </w:trPr>
        <w:tc>
          <w:tcPr>
            <w:tcW w:w="4394" w:type="dxa"/>
            <w:vAlign w:val="bottom"/>
          </w:tcPr>
          <w:p w14:paraId="12E3CCF9" w14:textId="77777777" w:rsidR="002F718C" w:rsidRPr="008A2EFB" w:rsidRDefault="002F718C" w:rsidP="002F718C">
            <w:pPr>
              <w:pStyle w:val="T2"/>
              <w:jc w:val="left"/>
            </w:pPr>
            <w:r w:rsidRPr="008A2EFB">
              <w:t>Currency translation adjustment</w:t>
            </w:r>
          </w:p>
        </w:tc>
        <w:tc>
          <w:tcPr>
            <w:tcW w:w="907" w:type="dxa"/>
            <w:vAlign w:val="bottom"/>
          </w:tcPr>
          <w:p w14:paraId="483B26C0" w14:textId="77777777" w:rsidR="002F718C" w:rsidRPr="003313E6" w:rsidRDefault="00D477E0" w:rsidP="00D477E0">
            <w:pPr>
              <w:pStyle w:val="T2"/>
              <w:jc w:val="right"/>
              <w:rPr>
                <w:b/>
                <w:bCs/>
              </w:rPr>
            </w:pPr>
            <w:r w:rsidRPr="00525379">
              <w:rPr>
                <w:b/>
                <w:bCs/>
              </w:rPr>
              <w:t>–</w:t>
            </w:r>
          </w:p>
        </w:tc>
        <w:tc>
          <w:tcPr>
            <w:tcW w:w="907" w:type="dxa"/>
            <w:vAlign w:val="bottom"/>
          </w:tcPr>
          <w:p w14:paraId="204A79BB" w14:textId="77777777" w:rsidR="002F718C" w:rsidRPr="003313E6" w:rsidRDefault="002F718C" w:rsidP="00D477E0">
            <w:pPr>
              <w:pStyle w:val="T2"/>
              <w:jc w:val="right"/>
              <w:rPr>
                <w:b/>
                <w:bCs/>
              </w:rPr>
            </w:pPr>
            <w:r w:rsidRPr="00525379">
              <w:rPr>
                <w:b/>
                <w:bCs/>
              </w:rPr>
              <w:t>–</w:t>
            </w:r>
          </w:p>
        </w:tc>
        <w:tc>
          <w:tcPr>
            <w:tcW w:w="1437" w:type="dxa"/>
            <w:vAlign w:val="bottom"/>
          </w:tcPr>
          <w:p w14:paraId="642CB693" w14:textId="77777777" w:rsidR="002F718C" w:rsidRPr="003313E6" w:rsidRDefault="002F718C" w:rsidP="00D477E0">
            <w:pPr>
              <w:pStyle w:val="T2"/>
              <w:jc w:val="right"/>
              <w:rPr>
                <w:b/>
                <w:bCs/>
              </w:rPr>
            </w:pPr>
            <w:r w:rsidRPr="00525379">
              <w:rPr>
                <w:b/>
                <w:bCs/>
              </w:rPr>
              <w:t>–</w:t>
            </w:r>
          </w:p>
        </w:tc>
        <w:tc>
          <w:tcPr>
            <w:tcW w:w="904" w:type="dxa"/>
            <w:vAlign w:val="bottom"/>
          </w:tcPr>
          <w:p w14:paraId="226515B9" w14:textId="77777777" w:rsidR="002F718C" w:rsidRPr="003313E6" w:rsidRDefault="002F718C" w:rsidP="00D477E0">
            <w:pPr>
              <w:pStyle w:val="T2"/>
              <w:jc w:val="right"/>
              <w:rPr>
                <w:b/>
                <w:bCs/>
              </w:rPr>
            </w:pPr>
            <w:r w:rsidRPr="00525379">
              <w:rPr>
                <w:b/>
                <w:bCs/>
              </w:rPr>
              <w:t>–</w:t>
            </w:r>
          </w:p>
        </w:tc>
        <w:tc>
          <w:tcPr>
            <w:tcW w:w="1033" w:type="dxa"/>
            <w:vAlign w:val="bottom"/>
          </w:tcPr>
          <w:p w14:paraId="1AFF1866" w14:textId="77777777" w:rsidR="002F718C" w:rsidRPr="003313E6" w:rsidRDefault="00AD50AA">
            <w:pPr>
              <w:pStyle w:val="T2"/>
              <w:jc w:val="right"/>
              <w:rPr>
                <w:b/>
                <w:bCs/>
              </w:rPr>
            </w:pPr>
            <w:r>
              <w:rPr>
                <w:b/>
                <w:bCs/>
              </w:rPr>
              <w:t>(3.</w:t>
            </w:r>
            <w:r w:rsidR="00863360">
              <w:rPr>
                <w:b/>
                <w:bCs/>
              </w:rPr>
              <w:t>2</w:t>
            </w:r>
            <w:r>
              <w:rPr>
                <w:b/>
                <w:bCs/>
              </w:rPr>
              <w:t>)</w:t>
            </w:r>
          </w:p>
        </w:tc>
        <w:tc>
          <w:tcPr>
            <w:tcW w:w="907" w:type="dxa"/>
            <w:vAlign w:val="bottom"/>
          </w:tcPr>
          <w:p w14:paraId="4757D1C1" w14:textId="77777777" w:rsidR="002F718C" w:rsidRPr="003313E6" w:rsidRDefault="00AD50AA">
            <w:pPr>
              <w:pStyle w:val="T2"/>
              <w:jc w:val="right"/>
              <w:rPr>
                <w:b/>
                <w:bCs/>
              </w:rPr>
            </w:pPr>
            <w:r>
              <w:rPr>
                <w:b/>
                <w:bCs/>
              </w:rPr>
              <w:t>(3.</w:t>
            </w:r>
            <w:r w:rsidR="00863360">
              <w:rPr>
                <w:b/>
                <w:bCs/>
              </w:rPr>
              <w:t>2</w:t>
            </w:r>
            <w:r>
              <w:rPr>
                <w:b/>
                <w:bCs/>
              </w:rPr>
              <w:t>)</w:t>
            </w:r>
          </w:p>
        </w:tc>
      </w:tr>
      <w:tr w:rsidR="00D477E0" w:rsidRPr="00C75824" w14:paraId="3F43F98C" w14:textId="77777777" w:rsidTr="00D477E0">
        <w:trPr>
          <w:jc w:val="center"/>
        </w:trPr>
        <w:tc>
          <w:tcPr>
            <w:tcW w:w="4394" w:type="dxa"/>
            <w:vAlign w:val="bottom"/>
          </w:tcPr>
          <w:p w14:paraId="72B70503" w14:textId="77777777" w:rsidR="00D477E0" w:rsidRPr="008A2EFB" w:rsidRDefault="00D477E0" w:rsidP="00D477E0">
            <w:pPr>
              <w:pStyle w:val="T2"/>
              <w:jc w:val="left"/>
            </w:pPr>
            <w:r w:rsidRPr="00765393">
              <w:t xml:space="preserve">Translation reserve transferred to </w:t>
            </w:r>
            <w:r>
              <w:t>I</w:t>
            </w:r>
            <w:r w:rsidRPr="00765393">
              <w:t xml:space="preserve">ncome </w:t>
            </w:r>
            <w:r>
              <w:t>S</w:t>
            </w:r>
            <w:r w:rsidRPr="00765393">
              <w:t xml:space="preserve">tatement </w:t>
            </w:r>
            <w:r>
              <w:t>on disposal of subsidiary</w:t>
            </w:r>
          </w:p>
        </w:tc>
        <w:tc>
          <w:tcPr>
            <w:tcW w:w="907" w:type="dxa"/>
            <w:vAlign w:val="bottom"/>
          </w:tcPr>
          <w:p w14:paraId="72483155" w14:textId="77777777" w:rsidR="00D477E0" w:rsidRPr="00525379" w:rsidRDefault="00D477E0" w:rsidP="00D477E0">
            <w:pPr>
              <w:pStyle w:val="T2"/>
              <w:jc w:val="right"/>
              <w:rPr>
                <w:b/>
                <w:bCs/>
              </w:rPr>
            </w:pPr>
            <w:r w:rsidRPr="00525379">
              <w:rPr>
                <w:b/>
                <w:bCs/>
              </w:rPr>
              <w:t>–</w:t>
            </w:r>
          </w:p>
        </w:tc>
        <w:tc>
          <w:tcPr>
            <w:tcW w:w="907" w:type="dxa"/>
            <w:vAlign w:val="bottom"/>
          </w:tcPr>
          <w:p w14:paraId="569983C9" w14:textId="77777777" w:rsidR="00D477E0" w:rsidRPr="00525379" w:rsidRDefault="00D477E0" w:rsidP="00D477E0">
            <w:pPr>
              <w:pStyle w:val="T2"/>
              <w:jc w:val="right"/>
              <w:rPr>
                <w:b/>
                <w:bCs/>
              </w:rPr>
            </w:pPr>
            <w:r w:rsidRPr="00525379">
              <w:rPr>
                <w:b/>
                <w:bCs/>
              </w:rPr>
              <w:t>–</w:t>
            </w:r>
          </w:p>
        </w:tc>
        <w:tc>
          <w:tcPr>
            <w:tcW w:w="1437" w:type="dxa"/>
            <w:vAlign w:val="bottom"/>
          </w:tcPr>
          <w:p w14:paraId="5A61A43D" w14:textId="77777777" w:rsidR="00D477E0" w:rsidRPr="00525379" w:rsidRDefault="00D477E0" w:rsidP="00D477E0">
            <w:pPr>
              <w:pStyle w:val="T2"/>
              <w:jc w:val="right"/>
              <w:rPr>
                <w:b/>
                <w:bCs/>
              </w:rPr>
            </w:pPr>
            <w:r w:rsidRPr="00525379">
              <w:rPr>
                <w:b/>
                <w:bCs/>
              </w:rPr>
              <w:t>–</w:t>
            </w:r>
          </w:p>
        </w:tc>
        <w:tc>
          <w:tcPr>
            <w:tcW w:w="904" w:type="dxa"/>
            <w:vAlign w:val="bottom"/>
          </w:tcPr>
          <w:p w14:paraId="6EE6996A" w14:textId="77777777" w:rsidR="00D477E0" w:rsidRPr="00525379" w:rsidRDefault="00D477E0" w:rsidP="00D477E0">
            <w:pPr>
              <w:pStyle w:val="T2"/>
              <w:jc w:val="right"/>
              <w:rPr>
                <w:b/>
                <w:bCs/>
              </w:rPr>
            </w:pPr>
            <w:r w:rsidRPr="00525379">
              <w:rPr>
                <w:b/>
                <w:bCs/>
              </w:rPr>
              <w:t>–</w:t>
            </w:r>
          </w:p>
        </w:tc>
        <w:tc>
          <w:tcPr>
            <w:tcW w:w="1033" w:type="dxa"/>
            <w:vAlign w:val="bottom"/>
          </w:tcPr>
          <w:p w14:paraId="1F986EDF" w14:textId="77777777" w:rsidR="00D477E0" w:rsidRPr="00525379" w:rsidRDefault="00AD50AA" w:rsidP="00D477E0">
            <w:pPr>
              <w:pStyle w:val="T2"/>
              <w:jc w:val="right"/>
              <w:rPr>
                <w:b/>
                <w:bCs/>
              </w:rPr>
            </w:pPr>
            <w:r>
              <w:rPr>
                <w:b/>
                <w:bCs/>
              </w:rPr>
              <w:t>(1.0)</w:t>
            </w:r>
          </w:p>
        </w:tc>
        <w:tc>
          <w:tcPr>
            <w:tcW w:w="907" w:type="dxa"/>
            <w:vAlign w:val="bottom"/>
          </w:tcPr>
          <w:p w14:paraId="35E22220" w14:textId="77777777" w:rsidR="00D477E0" w:rsidRPr="00525379" w:rsidRDefault="00AD50AA" w:rsidP="00D477E0">
            <w:pPr>
              <w:pStyle w:val="T2"/>
              <w:jc w:val="right"/>
              <w:rPr>
                <w:b/>
                <w:bCs/>
              </w:rPr>
            </w:pPr>
            <w:r>
              <w:rPr>
                <w:b/>
                <w:bCs/>
              </w:rPr>
              <w:t>(1.0)</w:t>
            </w:r>
          </w:p>
        </w:tc>
      </w:tr>
      <w:tr w:rsidR="00D477E0" w:rsidRPr="00C75824" w14:paraId="4C0EEC3C" w14:textId="77777777" w:rsidTr="00D477E0">
        <w:trPr>
          <w:jc w:val="center"/>
        </w:trPr>
        <w:tc>
          <w:tcPr>
            <w:tcW w:w="4394" w:type="dxa"/>
            <w:vAlign w:val="bottom"/>
          </w:tcPr>
          <w:p w14:paraId="2DC9341F" w14:textId="77777777" w:rsidR="00D477E0" w:rsidRPr="008A2EFB" w:rsidRDefault="00D477E0" w:rsidP="00D477E0">
            <w:pPr>
              <w:pStyle w:val="T2"/>
              <w:jc w:val="left"/>
            </w:pPr>
            <w:r w:rsidRPr="008A2EFB">
              <w:t>Cash flow hedge fair value movement taken to equity</w:t>
            </w:r>
          </w:p>
        </w:tc>
        <w:tc>
          <w:tcPr>
            <w:tcW w:w="907" w:type="dxa"/>
            <w:vAlign w:val="bottom"/>
          </w:tcPr>
          <w:p w14:paraId="1AE14EF3" w14:textId="77777777" w:rsidR="00D477E0" w:rsidRPr="003313E6" w:rsidRDefault="00D477E0" w:rsidP="00D477E0">
            <w:pPr>
              <w:pStyle w:val="T2"/>
              <w:jc w:val="right"/>
              <w:rPr>
                <w:b/>
                <w:bCs/>
              </w:rPr>
            </w:pPr>
            <w:r w:rsidRPr="00525379">
              <w:rPr>
                <w:b/>
                <w:bCs/>
              </w:rPr>
              <w:t>–</w:t>
            </w:r>
          </w:p>
        </w:tc>
        <w:tc>
          <w:tcPr>
            <w:tcW w:w="907" w:type="dxa"/>
            <w:vAlign w:val="bottom"/>
          </w:tcPr>
          <w:p w14:paraId="509E70E8" w14:textId="77777777" w:rsidR="00D477E0" w:rsidRPr="003313E6" w:rsidRDefault="00D477E0" w:rsidP="00D477E0">
            <w:pPr>
              <w:pStyle w:val="T2"/>
              <w:jc w:val="right"/>
              <w:rPr>
                <w:b/>
                <w:bCs/>
              </w:rPr>
            </w:pPr>
            <w:r w:rsidRPr="00525379">
              <w:rPr>
                <w:b/>
                <w:bCs/>
              </w:rPr>
              <w:t>–</w:t>
            </w:r>
          </w:p>
        </w:tc>
        <w:tc>
          <w:tcPr>
            <w:tcW w:w="1437" w:type="dxa"/>
            <w:vAlign w:val="bottom"/>
          </w:tcPr>
          <w:p w14:paraId="695E49B3" w14:textId="77777777" w:rsidR="00D477E0" w:rsidRPr="003313E6" w:rsidRDefault="00D477E0" w:rsidP="00D477E0">
            <w:pPr>
              <w:pStyle w:val="T2"/>
              <w:jc w:val="right"/>
              <w:rPr>
                <w:b/>
                <w:bCs/>
              </w:rPr>
            </w:pPr>
            <w:r w:rsidRPr="00525379">
              <w:rPr>
                <w:b/>
                <w:bCs/>
              </w:rPr>
              <w:t>–</w:t>
            </w:r>
          </w:p>
        </w:tc>
        <w:tc>
          <w:tcPr>
            <w:tcW w:w="904" w:type="dxa"/>
            <w:vAlign w:val="bottom"/>
          </w:tcPr>
          <w:p w14:paraId="613E3490" w14:textId="77777777" w:rsidR="00D477E0" w:rsidRPr="003313E6" w:rsidRDefault="00AD50AA" w:rsidP="000F1ADC">
            <w:pPr>
              <w:pStyle w:val="T2"/>
              <w:jc w:val="right"/>
              <w:rPr>
                <w:b/>
                <w:bCs/>
              </w:rPr>
            </w:pPr>
            <w:r>
              <w:rPr>
                <w:b/>
                <w:bCs/>
              </w:rPr>
              <w:t>(0.</w:t>
            </w:r>
            <w:r w:rsidR="000F1ADC">
              <w:rPr>
                <w:b/>
                <w:bCs/>
              </w:rPr>
              <w:t>8</w:t>
            </w:r>
            <w:r>
              <w:rPr>
                <w:b/>
                <w:bCs/>
              </w:rPr>
              <w:t>)</w:t>
            </w:r>
          </w:p>
        </w:tc>
        <w:tc>
          <w:tcPr>
            <w:tcW w:w="1033" w:type="dxa"/>
            <w:vAlign w:val="bottom"/>
          </w:tcPr>
          <w:p w14:paraId="2A735EAB" w14:textId="77777777" w:rsidR="00D477E0" w:rsidRPr="003313E6" w:rsidRDefault="00D477E0" w:rsidP="00D477E0">
            <w:pPr>
              <w:pStyle w:val="T2"/>
              <w:jc w:val="right"/>
              <w:rPr>
                <w:b/>
                <w:bCs/>
              </w:rPr>
            </w:pPr>
            <w:r w:rsidRPr="00525379">
              <w:rPr>
                <w:b/>
                <w:bCs/>
              </w:rPr>
              <w:t>–</w:t>
            </w:r>
          </w:p>
        </w:tc>
        <w:tc>
          <w:tcPr>
            <w:tcW w:w="907" w:type="dxa"/>
            <w:vAlign w:val="bottom"/>
          </w:tcPr>
          <w:p w14:paraId="27037E3F" w14:textId="77777777" w:rsidR="00D477E0" w:rsidRPr="003313E6" w:rsidRDefault="00AD50AA">
            <w:pPr>
              <w:pStyle w:val="T2"/>
              <w:jc w:val="right"/>
              <w:rPr>
                <w:b/>
                <w:bCs/>
              </w:rPr>
            </w:pPr>
            <w:r>
              <w:rPr>
                <w:b/>
                <w:bCs/>
              </w:rPr>
              <w:t>(0.</w:t>
            </w:r>
            <w:r w:rsidR="000F1ADC">
              <w:rPr>
                <w:b/>
                <w:bCs/>
              </w:rPr>
              <w:t>8</w:t>
            </w:r>
            <w:r>
              <w:rPr>
                <w:b/>
                <w:bCs/>
              </w:rPr>
              <w:t>)</w:t>
            </w:r>
          </w:p>
        </w:tc>
      </w:tr>
      <w:tr w:rsidR="00D477E0" w:rsidRPr="00C75824" w14:paraId="7CE2C5EB" w14:textId="77777777" w:rsidTr="00D477E0">
        <w:trPr>
          <w:jc w:val="center"/>
        </w:trPr>
        <w:tc>
          <w:tcPr>
            <w:tcW w:w="4394" w:type="dxa"/>
            <w:tcBorders>
              <w:bottom w:val="single" w:sz="2" w:space="0" w:color="auto"/>
            </w:tcBorders>
            <w:vAlign w:val="bottom"/>
          </w:tcPr>
          <w:p w14:paraId="7389A039" w14:textId="77777777" w:rsidR="00D477E0" w:rsidRPr="008A2EFB" w:rsidRDefault="00D477E0" w:rsidP="00D477E0">
            <w:pPr>
              <w:pStyle w:val="T2"/>
              <w:jc w:val="left"/>
            </w:pPr>
            <w:r w:rsidRPr="008A2EFB">
              <w:t>Cash flow hedge transferred to Income Statement</w:t>
            </w:r>
          </w:p>
        </w:tc>
        <w:tc>
          <w:tcPr>
            <w:tcW w:w="907" w:type="dxa"/>
            <w:tcBorders>
              <w:bottom w:val="single" w:sz="2" w:space="0" w:color="auto"/>
            </w:tcBorders>
            <w:vAlign w:val="bottom"/>
          </w:tcPr>
          <w:p w14:paraId="01D4902A" w14:textId="77777777" w:rsidR="00D477E0" w:rsidRPr="003313E6" w:rsidRDefault="00D477E0" w:rsidP="00D477E0">
            <w:pPr>
              <w:pStyle w:val="T2"/>
              <w:jc w:val="right"/>
              <w:rPr>
                <w:b/>
                <w:bCs/>
              </w:rPr>
            </w:pPr>
            <w:r w:rsidRPr="00525379">
              <w:rPr>
                <w:b/>
                <w:bCs/>
              </w:rPr>
              <w:t>–</w:t>
            </w:r>
          </w:p>
        </w:tc>
        <w:tc>
          <w:tcPr>
            <w:tcW w:w="907" w:type="dxa"/>
            <w:tcBorders>
              <w:bottom w:val="single" w:sz="2" w:space="0" w:color="auto"/>
            </w:tcBorders>
            <w:vAlign w:val="bottom"/>
          </w:tcPr>
          <w:p w14:paraId="52AB4CA2" w14:textId="77777777" w:rsidR="00D477E0" w:rsidRPr="003313E6" w:rsidRDefault="00D477E0" w:rsidP="00D477E0">
            <w:pPr>
              <w:pStyle w:val="T2"/>
              <w:jc w:val="right"/>
              <w:rPr>
                <w:b/>
                <w:bCs/>
              </w:rPr>
            </w:pPr>
            <w:r w:rsidRPr="00525379">
              <w:rPr>
                <w:b/>
                <w:bCs/>
              </w:rPr>
              <w:t>–</w:t>
            </w:r>
          </w:p>
        </w:tc>
        <w:tc>
          <w:tcPr>
            <w:tcW w:w="1437" w:type="dxa"/>
            <w:tcBorders>
              <w:bottom w:val="single" w:sz="2" w:space="0" w:color="auto"/>
            </w:tcBorders>
            <w:vAlign w:val="bottom"/>
          </w:tcPr>
          <w:p w14:paraId="10A7D798" w14:textId="77777777" w:rsidR="00D477E0" w:rsidRPr="003313E6" w:rsidRDefault="00D477E0" w:rsidP="00D477E0">
            <w:pPr>
              <w:pStyle w:val="T2"/>
              <w:jc w:val="right"/>
              <w:rPr>
                <w:b/>
                <w:bCs/>
              </w:rPr>
            </w:pPr>
            <w:r w:rsidRPr="00525379">
              <w:rPr>
                <w:b/>
                <w:bCs/>
              </w:rPr>
              <w:t>–</w:t>
            </w:r>
          </w:p>
        </w:tc>
        <w:tc>
          <w:tcPr>
            <w:tcW w:w="904" w:type="dxa"/>
            <w:tcBorders>
              <w:bottom w:val="single" w:sz="2" w:space="0" w:color="auto"/>
            </w:tcBorders>
            <w:vAlign w:val="bottom"/>
          </w:tcPr>
          <w:p w14:paraId="1206AC8D" w14:textId="77777777" w:rsidR="00D477E0" w:rsidRPr="003313E6" w:rsidRDefault="00D439D4" w:rsidP="000F1ADC">
            <w:pPr>
              <w:pStyle w:val="T2"/>
              <w:jc w:val="right"/>
              <w:rPr>
                <w:b/>
                <w:bCs/>
              </w:rPr>
            </w:pPr>
            <w:r>
              <w:rPr>
                <w:b/>
                <w:bCs/>
              </w:rPr>
              <w:t>0.</w:t>
            </w:r>
            <w:r w:rsidR="000F1ADC">
              <w:rPr>
                <w:b/>
                <w:bCs/>
              </w:rPr>
              <w:t>6</w:t>
            </w:r>
          </w:p>
        </w:tc>
        <w:tc>
          <w:tcPr>
            <w:tcW w:w="1033" w:type="dxa"/>
            <w:tcBorders>
              <w:bottom w:val="single" w:sz="2" w:space="0" w:color="auto"/>
            </w:tcBorders>
            <w:vAlign w:val="bottom"/>
          </w:tcPr>
          <w:p w14:paraId="251657E5" w14:textId="77777777" w:rsidR="00D477E0" w:rsidRPr="003313E6" w:rsidRDefault="00D477E0" w:rsidP="00D477E0">
            <w:pPr>
              <w:pStyle w:val="T2"/>
              <w:jc w:val="right"/>
              <w:rPr>
                <w:b/>
                <w:bCs/>
              </w:rPr>
            </w:pPr>
            <w:r w:rsidRPr="00525379">
              <w:rPr>
                <w:b/>
                <w:bCs/>
              </w:rPr>
              <w:t>–</w:t>
            </w:r>
          </w:p>
        </w:tc>
        <w:tc>
          <w:tcPr>
            <w:tcW w:w="907" w:type="dxa"/>
            <w:tcBorders>
              <w:bottom w:val="single" w:sz="2" w:space="0" w:color="auto"/>
            </w:tcBorders>
            <w:vAlign w:val="bottom"/>
          </w:tcPr>
          <w:p w14:paraId="6536A848" w14:textId="77777777" w:rsidR="00D477E0" w:rsidRPr="003313E6" w:rsidRDefault="00D439D4">
            <w:pPr>
              <w:pStyle w:val="T2"/>
              <w:jc w:val="right"/>
              <w:rPr>
                <w:b/>
                <w:bCs/>
              </w:rPr>
            </w:pPr>
            <w:r>
              <w:rPr>
                <w:b/>
                <w:bCs/>
              </w:rPr>
              <w:t>0.</w:t>
            </w:r>
            <w:r w:rsidR="000F1ADC">
              <w:rPr>
                <w:b/>
                <w:bCs/>
              </w:rPr>
              <w:t>6</w:t>
            </w:r>
          </w:p>
        </w:tc>
      </w:tr>
      <w:tr w:rsidR="00D477E0" w:rsidRPr="00C75824" w14:paraId="53F08DCA" w14:textId="77777777" w:rsidTr="00D477E0">
        <w:trPr>
          <w:jc w:val="center"/>
        </w:trPr>
        <w:tc>
          <w:tcPr>
            <w:tcW w:w="4394" w:type="dxa"/>
            <w:tcBorders>
              <w:top w:val="single" w:sz="2" w:space="0" w:color="auto"/>
              <w:bottom w:val="single" w:sz="2" w:space="0" w:color="auto"/>
            </w:tcBorders>
            <w:vAlign w:val="bottom"/>
          </w:tcPr>
          <w:p w14:paraId="22CFBA90" w14:textId="77777777" w:rsidR="00D477E0" w:rsidRPr="008A2EFB" w:rsidRDefault="00D477E0" w:rsidP="00D477E0">
            <w:pPr>
              <w:pStyle w:val="T2"/>
              <w:jc w:val="left"/>
              <w:rPr>
                <w:b/>
              </w:rPr>
            </w:pPr>
            <w:r w:rsidRPr="008A2EFB">
              <w:rPr>
                <w:b/>
              </w:rPr>
              <w:t xml:space="preserve">Total </w:t>
            </w:r>
            <w:r>
              <w:rPr>
                <w:b/>
              </w:rPr>
              <w:t>comprehensive income for the financial period</w:t>
            </w:r>
          </w:p>
        </w:tc>
        <w:tc>
          <w:tcPr>
            <w:tcW w:w="907" w:type="dxa"/>
            <w:tcBorders>
              <w:top w:val="single" w:sz="2" w:space="0" w:color="auto"/>
              <w:bottom w:val="single" w:sz="2" w:space="0" w:color="auto"/>
            </w:tcBorders>
            <w:vAlign w:val="bottom"/>
          </w:tcPr>
          <w:p w14:paraId="1634F943" w14:textId="77777777" w:rsidR="00D477E0" w:rsidRPr="003313E6" w:rsidRDefault="00D477E0" w:rsidP="00D477E0">
            <w:pPr>
              <w:pStyle w:val="T2"/>
              <w:jc w:val="right"/>
              <w:rPr>
                <w:rFonts w:ascii="Calibri" w:hAnsi="Calibri" w:cs="Calibri"/>
                <w:b/>
                <w:bCs/>
              </w:rPr>
            </w:pPr>
            <w:r w:rsidRPr="00525379">
              <w:rPr>
                <w:b/>
                <w:bCs/>
              </w:rPr>
              <w:t>–</w:t>
            </w:r>
          </w:p>
        </w:tc>
        <w:tc>
          <w:tcPr>
            <w:tcW w:w="907" w:type="dxa"/>
            <w:tcBorders>
              <w:top w:val="single" w:sz="2" w:space="0" w:color="auto"/>
              <w:bottom w:val="single" w:sz="2" w:space="0" w:color="auto"/>
            </w:tcBorders>
            <w:vAlign w:val="bottom"/>
          </w:tcPr>
          <w:p w14:paraId="094B35BE" w14:textId="77777777" w:rsidR="00D477E0" w:rsidRPr="003313E6" w:rsidRDefault="00D477E0" w:rsidP="00D477E0">
            <w:pPr>
              <w:pStyle w:val="T2"/>
              <w:jc w:val="right"/>
              <w:rPr>
                <w:rFonts w:ascii="Calibri" w:hAnsi="Calibri" w:cs="Calibri"/>
                <w:b/>
                <w:bCs/>
              </w:rPr>
            </w:pPr>
            <w:r w:rsidRPr="00525379">
              <w:rPr>
                <w:b/>
                <w:bCs/>
              </w:rPr>
              <w:t>–</w:t>
            </w:r>
          </w:p>
        </w:tc>
        <w:tc>
          <w:tcPr>
            <w:tcW w:w="1437" w:type="dxa"/>
            <w:tcBorders>
              <w:top w:val="single" w:sz="2" w:space="0" w:color="auto"/>
              <w:bottom w:val="single" w:sz="2" w:space="0" w:color="auto"/>
            </w:tcBorders>
            <w:vAlign w:val="bottom"/>
          </w:tcPr>
          <w:p w14:paraId="2559688E" w14:textId="77777777" w:rsidR="00D477E0" w:rsidRPr="003313E6" w:rsidRDefault="00D477E0" w:rsidP="00D477E0">
            <w:pPr>
              <w:pStyle w:val="T2"/>
              <w:jc w:val="right"/>
              <w:rPr>
                <w:rFonts w:ascii="Calibri" w:hAnsi="Calibri" w:cs="Calibri"/>
                <w:b/>
                <w:bCs/>
              </w:rPr>
            </w:pPr>
            <w:r w:rsidRPr="00525379">
              <w:rPr>
                <w:b/>
                <w:bCs/>
              </w:rPr>
              <w:t>–</w:t>
            </w:r>
          </w:p>
        </w:tc>
        <w:tc>
          <w:tcPr>
            <w:tcW w:w="904" w:type="dxa"/>
            <w:tcBorders>
              <w:top w:val="single" w:sz="2" w:space="0" w:color="auto"/>
              <w:bottom w:val="single" w:sz="2" w:space="0" w:color="auto"/>
            </w:tcBorders>
            <w:vAlign w:val="bottom"/>
          </w:tcPr>
          <w:p w14:paraId="720CE1B4" w14:textId="77777777" w:rsidR="00D477E0" w:rsidRPr="003313E6" w:rsidRDefault="00AD50AA" w:rsidP="0041734A">
            <w:pPr>
              <w:pStyle w:val="T2"/>
              <w:jc w:val="right"/>
              <w:rPr>
                <w:rFonts w:ascii="Calibri" w:hAnsi="Calibri" w:cs="Calibri"/>
                <w:b/>
                <w:bCs/>
              </w:rPr>
            </w:pPr>
            <w:r>
              <w:rPr>
                <w:b/>
                <w:bCs/>
              </w:rPr>
              <w:t>(0.</w:t>
            </w:r>
            <w:r w:rsidR="00D206EE">
              <w:rPr>
                <w:b/>
                <w:bCs/>
              </w:rPr>
              <w:t>2</w:t>
            </w:r>
            <w:r>
              <w:rPr>
                <w:b/>
                <w:bCs/>
              </w:rPr>
              <w:t>)</w:t>
            </w:r>
          </w:p>
        </w:tc>
        <w:tc>
          <w:tcPr>
            <w:tcW w:w="1033" w:type="dxa"/>
            <w:tcBorders>
              <w:top w:val="single" w:sz="2" w:space="0" w:color="auto"/>
              <w:bottom w:val="single" w:sz="2" w:space="0" w:color="auto"/>
            </w:tcBorders>
            <w:vAlign w:val="bottom"/>
          </w:tcPr>
          <w:p w14:paraId="733BB996" w14:textId="77777777" w:rsidR="00D477E0" w:rsidRPr="003313E6" w:rsidRDefault="00AD50AA">
            <w:pPr>
              <w:pStyle w:val="T2"/>
              <w:jc w:val="right"/>
              <w:rPr>
                <w:rFonts w:ascii="Calibri" w:hAnsi="Calibri" w:cs="Calibri"/>
                <w:b/>
                <w:bCs/>
              </w:rPr>
            </w:pPr>
            <w:r>
              <w:rPr>
                <w:rFonts w:ascii="Calibri" w:hAnsi="Calibri" w:cs="Calibri"/>
                <w:b/>
                <w:bCs/>
              </w:rPr>
              <w:t>(4.</w:t>
            </w:r>
            <w:r w:rsidR="00863360">
              <w:rPr>
                <w:rFonts w:ascii="Calibri" w:hAnsi="Calibri" w:cs="Calibri"/>
                <w:b/>
                <w:bCs/>
              </w:rPr>
              <w:t>2</w:t>
            </w:r>
            <w:r>
              <w:rPr>
                <w:rFonts w:ascii="Calibri" w:hAnsi="Calibri" w:cs="Calibri"/>
                <w:b/>
                <w:bCs/>
              </w:rPr>
              <w:t>)</w:t>
            </w:r>
          </w:p>
        </w:tc>
        <w:tc>
          <w:tcPr>
            <w:tcW w:w="907" w:type="dxa"/>
            <w:tcBorders>
              <w:top w:val="single" w:sz="2" w:space="0" w:color="auto"/>
              <w:bottom w:val="single" w:sz="2" w:space="0" w:color="auto"/>
            </w:tcBorders>
            <w:vAlign w:val="bottom"/>
          </w:tcPr>
          <w:p w14:paraId="554BB1CB" w14:textId="77777777" w:rsidR="00D477E0" w:rsidRPr="003313E6" w:rsidRDefault="00AD50AA">
            <w:pPr>
              <w:pStyle w:val="T2"/>
              <w:jc w:val="right"/>
              <w:rPr>
                <w:rFonts w:ascii="Calibri" w:hAnsi="Calibri" w:cs="Calibri"/>
                <w:b/>
                <w:bCs/>
              </w:rPr>
            </w:pPr>
            <w:r>
              <w:rPr>
                <w:b/>
                <w:bCs/>
              </w:rPr>
              <w:t>(4.</w:t>
            </w:r>
            <w:r w:rsidR="00863360">
              <w:rPr>
                <w:b/>
                <w:bCs/>
              </w:rPr>
              <w:t>4</w:t>
            </w:r>
            <w:r>
              <w:rPr>
                <w:b/>
                <w:bCs/>
              </w:rPr>
              <w:t>)</w:t>
            </w:r>
          </w:p>
        </w:tc>
      </w:tr>
      <w:tr w:rsidR="00D477E0" w:rsidRPr="00C75824" w14:paraId="2E84CBCB" w14:textId="77777777" w:rsidTr="00D477E0">
        <w:trPr>
          <w:jc w:val="center"/>
        </w:trPr>
        <w:tc>
          <w:tcPr>
            <w:tcW w:w="4394" w:type="dxa"/>
            <w:tcBorders>
              <w:top w:val="single" w:sz="2" w:space="0" w:color="auto"/>
            </w:tcBorders>
            <w:vAlign w:val="bottom"/>
          </w:tcPr>
          <w:p w14:paraId="4E7C5E71" w14:textId="77777777" w:rsidR="00D477E0" w:rsidRPr="008A2EFB" w:rsidRDefault="00D477E0" w:rsidP="00D477E0">
            <w:pPr>
              <w:pStyle w:val="T2"/>
              <w:jc w:val="left"/>
            </w:pPr>
            <w:r w:rsidRPr="008A2EFB">
              <w:t>Employee share</w:t>
            </w:r>
            <w:r>
              <w:t>–</w:t>
            </w:r>
            <w:r w:rsidRPr="008A2EFB">
              <w:t>based payment expense</w:t>
            </w:r>
          </w:p>
        </w:tc>
        <w:tc>
          <w:tcPr>
            <w:tcW w:w="907" w:type="dxa"/>
            <w:tcBorders>
              <w:top w:val="single" w:sz="2" w:space="0" w:color="auto"/>
            </w:tcBorders>
            <w:vAlign w:val="bottom"/>
          </w:tcPr>
          <w:p w14:paraId="143FE9A6" w14:textId="77777777" w:rsidR="00D477E0" w:rsidRPr="003313E6" w:rsidRDefault="00D439D4" w:rsidP="00D477E0">
            <w:pPr>
              <w:pStyle w:val="T2"/>
              <w:jc w:val="right"/>
              <w:rPr>
                <w:b/>
                <w:bCs/>
              </w:rPr>
            </w:pPr>
            <w:r>
              <w:rPr>
                <w:b/>
                <w:bCs/>
              </w:rPr>
              <w:t>1.0</w:t>
            </w:r>
          </w:p>
        </w:tc>
        <w:tc>
          <w:tcPr>
            <w:tcW w:w="907" w:type="dxa"/>
            <w:tcBorders>
              <w:top w:val="single" w:sz="2" w:space="0" w:color="auto"/>
            </w:tcBorders>
            <w:vAlign w:val="bottom"/>
          </w:tcPr>
          <w:p w14:paraId="72F33B8D" w14:textId="77777777" w:rsidR="00D477E0" w:rsidRPr="003313E6" w:rsidRDefault="00D477E0" w:rsidP="00D477E0">
            <w:pPr>
              <w:pStyle w:val="T2"/>
              <w:jc w:val="right"/>
              <w:rPr>
                <w:b/>
                <w:bCs/>
              </w:rPr>
            </w:pPr>
            <w:r w:rsidRPr="00525379">
              <w:rPr>
                <w:b/>
                <w:bCs/>
              </w:rPr>
              <w:t>–</w:t>
            </w:r>
          </w:p>
        </w:tc>
        <w:tc>
          <w:tcPr>
            <w:tcW w:w="1437" w:type="dxa"/>
            <w:tcBorders>
              <w:top w:val="single" w:sz="2" w:space="0" w:color="auto"/>
            </w:tcBorders>
            <w:vAlign w:val="bottom"/>
          </w:tcPr>
          <w:p w14:paraId="78407D8A" w14:textId="77777777" w:rsidR="00D477E0" w:rsidRPr="003313E6" w:rsidRDefault="00D477E0" w:rsidP="00D477E0">
            <w:pPr>
              <w:pStyle w:val="T2"/>
              <w:jc w:val="right"/>
              <w:rPr>
                <w:b/>
                <w:bCs/>
              </w:rPr>
            </w:pPr>
            <w:r w:rsidRPr="00525379">
              <w:rPr>
                <w:b/>
                <w:bCs/>
              </w:rPr>
              <w:t>–</w:t>
            </w:r>
          </w:p>
        </w:tc>
        <w:tc>
          <w:tcPr>
            <w:tcW w:w="904" w:type="dxa"/>
            <w:tcBorders>
              <w:top w:val="single" w:sz="2" w:space="0" w:color="auto"/>
            </w:tcBorders>
            <w:vAlign w:val="bottom"/>
          </w:tcPr>
          <w:p w14:paraId="5D1D17EF" w14:textId="77777777" w:rsidR="00D477E0" w:rsidRPr="003313E6" w:rsidRDefault="00D477E0" w:rsidP="00D477E0">
            <w:pPr>
              <w:pStyle w:val="T2"/>
              <w:jc w:val="right"/>
              <w:rPr>
                <w:b/>
                <w:bCs/>
              </w:rPr>
            </w:pPr>
            <w:r w:rsidRPr="00525379">
              <w:rPr>
                <w:b/>
                <w:bCs/>
              </w:rPr>
              <w:t>–</w:t>
            </w:r>
          </w:p>
        </w:tc>
        <w:tc>
          <w:tcPr>
            <w:tcW w:w="1033" w:type="dxa"/>
            <w:tcBorders>
              <w:top w:val="single" w:sz="2" w:space="0" w:color="auto"/>
            </w:tcBorders>
            <w:vAlign w:val="bottom"/>
          </w:tcPr>
          <w:p w14:paraId="402C0EF4" w14:textId="77777777" w:rsidR="00D477E0" w:rsidRPr="003313E6" w:rsidRDefault="00D477E0" w:rsidP="00D477E0">
            <w:pPr>
              <w:pStyle w:val="T2"/>
              <w:jc w:val="right"/>
              <w:rPr>
                <w:b/>
                <w:bCs/>
              </w:rPr>
            </w:pPr>
            <w:r w:rsidRPr="00525379">
              <w:rPr>
                <w:b/>
                <w:bCs/>
              </w:rPr>
              <w:t>–</w:t>
            </w:r>
          </w:p>
        </w:tc>
        <w:tc>
          <w:tcPr>
            <w:tcW w:w="907" w:type="dxa"/>
            <w:tcBorders>
              <w:top w:val="single" w:sz="2" w:space="0" w:color="auto"/>
            </w:tcBorders>
            <w:vAlign w:val="bottom"/>
          </w:tcPr>
          <w:p w14:paraId="75468C64" w14:textId="77777777" w:rsidR="00D477E0" w:rsidRPr="003313E6" w:rsidRDefault="00D439D4" w:rsidP="00D477E0">
            <w:pPr>
              <w:pStyle w:val="T2"/>
              <w:jc w:val="right"/>
              <w:rPr>
                <w:b/>
                <w:bCs/>
              </w:rPr>
            </w:pPr>
            <w:r>
              <w:rPr>
                <w:b/>
                <w:bCs/>
              </w:rPr>
              <w:t>1.0</w:t>
            </w:r>
          </w:p>
        </w:tc>
      </w:tr>
      <w:tr w:rsidR="00D477E0" w:rsidRPr="00C75824" w14:paraId="22F0C540" w14:textId="77777777" w:rsidTr="00D477E0">
        <w:trPr>
          <w:jc w:val="center"/>
        </w:trPr>
        <w:tc>
          <w:tcPr>
            <w:tcW w:w="4394" w:type="dxa"/>
            <w:vAlign w:val="bottom"/>
          </w:tcPr>
          <w:p w14:paraId="378B0124" w14:textId="77777777" w:rsidR="00D477E0" w:rsidRPr="008A2EFB" w:rsidRDefault="00D477E0" w:rsidP="00D477E0">
            <w:pPr>
              <w:pStyle w:val="T2"/>
              <w:jc w:val="left"/>
            </w:pPr>
            <w:r w:rsidRPr="008A2EFB">
              <w:t>Exercise, lapse or forfeit of share</w:t>
            </w:r>
            <w:r>
              <w:t>–</w:t>
            </w:r>
            <w:r w:rsidRPr="008A2EFB">
              <w:t>based payments</w:t>
            </w:r>
          </w:p>
        </w:tc>
        <w:tc>
          <w:tcPr>
            <w:tcW w:w="907" w:type="dxa"/>
            <w:vAlign w:val="bottom"/>
          </w:tcPr>
          <w:p w14:paraId="6AB7861C" w14:textId="77777777" w:rsidR="00D477E0" w:rsidRPr="003313E6" w:rsidRDefault="00AE01B3" w:rsidP="00D477E0">
            <w:pPr>
              <w:pStyle w:val="T2"/>
              <w:jc w:val="right"/>
              <w:rPr>
                <w:b/>
                <w:bCs/>
              </w:rPr>
            </w:pPr>
            <w:r>
              <w:rPr>
                <w:b/>
                <w:bCs/>
              </w:rPr>
              <w:t>(2.1)</w:t>
            </w:r>
          </w:p>
        </w:tc>
        <w:tc>
          <w:tcPr>
            <w:tcW w:w="907" w:type="dxa"/>
            <w:vAlign w:val="bottom"/>
          </w:tcPr>
          <w:p w14:paraId="1DA0DDAE" w14:textId="77777777" w:rsidR="00D477E0" w:rsidRPr="003313E6" w:rsidRDefault="00D477E0" w:rsidP="00D477E0">
            <w:pPr>
              <w:pStyle w:val="T2"/>
              <w:jc w:val="right"/>
              <w:rPr>
                <w:b/>
                <w:bCs/>
              </w:rPr>
            </w:pPr>
            <w:r w:rsidRPr="00525379">
              <w:rPr>
                <w:b/>
                <w:bCs/>
              </w:rPr>
              <w:t>–</w:t>
            </w:r>
          </w:p>
        </w:tc>
        <w:tc>
          <w:tcPr>
            <w:tcW w:w="1437" w:type="dxa"/>
            <w:vAlign w:val="bottom"/>
          </w:tcPr>
          <w:p w14:paraId="3F651934" w14:textId="77777777" w:rsidR="00D477E0" w:rsidRPr="003313E6" w:rsidRDefault="00D477E0" w:rsidP="00D477E0">
            <w:pPr>
              <w:pStyle w:val="T2"/>
              <w:jc w:val="right"/>
              <w:rPr>
                <w:b/>
                <w:bCs/>
              </w:rPr>
            </w:pPr>
            <w:r w:rsidRPr="00525379">
              <w:rPr>
                <w:b/>
                <w:bCs/>
              </w:rPr>
              <w:t>–</w:t>
            </w:r>
          </w:p>
        </w:tc>
        <w:tc>
          <w:tcPr>
            <w:tcW w:w="904" w:type="dxa"/>
            <w:vAlign w:val="bottom"/>
          </w:tcPr>
          <w:p w14:paraId="2484B430" w14:textId="77777777" w:rsidR="00D477E0" w:rsidRPr="003313E6" w:rsidRDefault="00D477E0" w:rsidP="00D477E0">
            <w:pPr>
              <w:pStyle w:val="T2"/>
              <w:jc w:val="right"/>
              <w:rPr>
                <w:b/>
                <w:bCs/>
              </w:rPr>
            </w:pPr>
            <w:r w:rsidRPr="00525379">
              <w:rPr>
                <w:b/>
                <w:bCs/>
              </w:rPr>
              <w:t>–</w:t>
            </w:r>
          </w:p>
        </w:tc>
        <w:tc>
          <w:tcPr>
            <w:tcW w:w="1033" w:type="dxa"/>
            <w:vAlign w:val="bottom"/>
          </w:tcPr>
          <w:p w14:paraId="1201562E" w14:textId="77777777" w:rsidR="00D477E0" w:rsidRPr="003313E6" w:rsidRDefault="00D477E0" w:rsidP="00D477E0">
            <w:pPr>
              <w:pStyle w:val="T2"/>
              <w:jc w:val="right"/>
              <w:rPr>
                <w:b/>
                <w:bCs/>
              </w:rPr>
            </w:pPr>
            <w:r w:rsidRPr="00525379">
              <w:rPr>
                <w:b/>
                <w:bCs/>
              </w:rPr>
              <w:t>–</w:t>
            </w:r>
          </w:p>
        </w:tc>
        <w:tc>
          <w:tcPr>
            <w:tcW w:w="907" w:type="dxa"/>
            <w:vAlign w:val="bottom"/>
          </w:tcPr>
          <w:p w14:paraId="5853D3CA" w14:textId="77777777" w:rsidR="00D477E0" w:rsidRPr="003313E6" w:rsidRDefault="00AE01B3" w:rsidP="00D477E0">
            <w:pPr>
              <w:pStyle w:val="T2"/>
              <w:jc w:val="right"/>
              <w:rPr>
                <w:b/>
                <w:bCs/>
              </w:rPr>
            </w:pPr>
            <w:r>
              <w:rPr>
                <w:b/>
                <w:bCs/>
              </w:rPr>
              <w:t>(2.1)</w:t>
            </w:r>
          </w:p>
        </w:tc>
      </w:tr>
      <w:tr w:rsidR="00D477E0" w:rsidRPr="00C75824" w14:paraId="56291898" w14:textId="77777777" w:rsidTr="001F1616">
        <w:trPr>
          <w:jc w:val="center"/>
        </w:trPr>
        <w:tc>
          <w:tcPr>
            <w:tcW w:w="4394" w:type="dxa"/>
            <w:tcBorders>
              <w:bottom w:val="single" w:sz="2" w:space="0" w:color="auto"/>
            </w:tcBorders>
            <w:vAlign w:val="bottom"/>
          </w:tcPr>
          <w:p w14:paraId="09CBEC10" w14:textId="77777777" w:rsidR="00D477E0" w:rsidRPr="008A2EFB" w:rsidRDefault="00D477E0">
            <w:pPr>
              <w:pStyle w:val="T2"/>
              <w:jc w:val="left"/>
            </w:pPr>
            <w:r w:rsidRPr="008A2EFB">
              <w:t xml:space="preserve">Transfer to </w:t>
            </w:r>
            <w:r>
              <w:t>R</w:t>
            </w:r>
            <w:r w:rsidRPr="008A2EFB">
              <w:t xml:space="preserve">etained </w:t>
            </w:r>
            <w:r>
              <w:t>E</w:t>
            </w:r>
            <w:r w:rsidRPr="008A2EFB">
              <w:t xml:space="preserve">arnings on </w:t>
            </w:r>
            <w:r w:rsidR="005726F7">
              <w:t>transfer</w:t>
            </w:r>
            <w:r w:rsidR="005726F7" w:rsidRPr="008A2EFB">
              <w:t xml:space="preserve"> </w:t>
            </w:r>
            <w:r w:rsidRPr="008A2EFB">
              <w:t>of shares to beneficiaries of the Employee Benefit Trust</w:t>
            </w:r>
          </w:p>
        </w:tc>
        <w:tc>
          <w:tcPr>
            <w:tcW w:w="907" w:type="dxa"/>
            <w:tcBorders>
              <w:bottom w:val="single" w:sz="2" w:space="0" w:color="auto"/>
            </w:tcBorders>
            <w:vAlign w:val="bottom"/>
          </w:tcPr>
          <w:p w14:paraId="6F2BE40C" w14:textId="77777777" w:rsidR="00D477E0" w:rsidRPr="003313E6" w:rsidRDefault="00D477E0" w:rsidP="00D477E0">
            <w:pPr>
              <w:pStyle w:val="T2"/>
              <w:jc w:val="right"/>
              <w:rPr>
                <w:b/>
                <w:bCs/>
              </w:rPr>
            </w:pPr>
            <w:r w:rsidRPr="00525379">
              <w:rPr>
                <w:b/>
                <w:bCs/>
              </w:rPr>
              <w:t>–</w:t>
            </w:r>
          </w:p>
        </w:tc>
        <w:tc>
          <w:tcPr>
            <w:tcW w:w="907" w:type="dxa"/>
            <w:tcBorders>
              <w:bottom w:val="single" w:sz="2" w:space="0" w:color="auto"/>
            </w:tcBorders>
            <w:vAlign w:val="bottom"/>
          </w:tcPr>
          <w:p w14:paraId="01D89015" w14:textId="77777777" w:rsidR="00D477E0" w:rsidRPr="003313E6" w:rsidRDefault="00D439D4" w:rsidP="00D477E0">
            <w:pPr>
              <w:pStyle w:val="T2"/>
              <w:jc w:val="right"/>
              <w:rPr>
                <w:b/>
                <w:bCs/>
              </w:rPr>
            </w:pPr>
            <w:r>
              <w:rPr>
                <w:b/>
                <w:bCs/>
              </w:rPr>
              <w:t>1.1</w:t>
            </w:r>
          </w:p>
        </w:tc>
        <w:tc>
          <w:tcPr>
            <w:tcW w:w="1437" w:type="dxa"/>
            <w:tcBorders>
              <w:bottom w:val="single" w:sz="2" w:space="0" w:color="auto"/>
            </w:tcBorders>
            <w:vAlign w:val="bottom"/>
          </w:tcPr>
          <w:p w14:paraId="6C1C2282" w14:textId="77777777" w:rsidR="00D477E0" w:rsidRPr="003313E6" w:rsidRDefault="00D477E0" w:rsidP="00D477E0">
            <w:pPr>
              <w:pStyle w:val="T2"/>
              <w:jc w:val="right"/>
              <w:rPr>
                <w:b/>
                <w:bCs/>
              </w:rPr>
            </w:pPr>
            <w:r w:rsidRPr="00525379">
              <w:rPr>
                <w:b/>
                <w:bCs/>
              </w:rPr>
              <w:t>–</w:t>
            </w:r>
          </w:p>
        </w:tc>
        <w:tc>
          <w:tcPr>
            <w:tcW w:w="904" w:type="dxa"/>
            <w:tcBorders>
              <w:bottom w:val="single" w:sz="2" w:space="0" w:color="auto"/>
            </w:tcBorders>
            <w:vAlign w:val="bottom"/>
          </w:tcPr>
          <w:p w14:paraId="0E64CDDE" w14:textId="77777777" w:rsidR="00D477E0" w:rsidRPr="003313E6" w:rsidRDefault="00D477E0" w:rsidP="00D477E0">
            <w:pPr>
              <w:pStyle w:val="T2"/>
              <w:jc w:val="right"/>
              <w:rPr>
                <w:b/>
                <w:bCs/>
              </w:rPr>
            </w:pPr>
            <w:r w:rsidRPr="00525379">
              <w:rPr>
                <w:b/>
                <w:bCs/>
              </w:rPr>
              <w:t>–</w:t>
            </w:r>
          </w:p>
        </w:tc>
        <w:tc>
          <w:tcPr>
            <w:tcW w:w="1033" w:type="dxa"/>
            <w:tcBorders>
              <w:bottom w:val="single" w:sz="2" w:space="0" w:color="auto"/>
            </w:tcBorders>
            <w:vAlign w:val="bottom"/>
          </w:tcPr>
          <w:p w14:paraId="4C3A72C6" w14:textId="77777777" w:rsidR="00D477E0" w:rsidRPr="003313E6" w:rsidRDefault="00D477E0" w:rsidP="00D477E0">
            <w:pPr>
              <w:pStyle w:val="T2"/>
              <w:jc w:val="right"/>
              <w:rPr>
                <w:b/>
                <w:bCs/>
              </w:rPr>
            </w:pPr>
            <w:r w:rsidRPr="00525379">
              <w:rPr>
                <w:b/>
                <w:bCs/>
              </w:rPr>
              <w:t>–</w:t>
            </w:r>
          </w:p>
        </w:tc>
        <w:tc>
          <w:tcPr>
            <w:tcW w:w="907" w:type="dxa"/>
            <w:tcBorders>
              <w:bottom w:val="single" w:sz="2" w:space="0" w:color="auto"/>
            </w:tcBorders>
            <w:vAlign w:val="bottom"/>
          </w:tcPr>
          <w:p w14:paraId="7951E773" w14:textId="77777777" w:rsidR="00D477E0" w:rsidRPr="003313E6" w:rsidRDefault="00D439D4" w:rsidP="00D477E0">
            <w:pPr>
              <w:pStyle w:val="T2"/>
              <w:jc w:val="right"/>
              <w:rPr>
                <w:b/>
                <w:bCs/>
              </w:rPr>
            </w:pPr>
            <w:r>
              <w:rPr>
                <w:b/>
                <w:bCs/>
              </w:rPr>
              <w:t>1.1</w:t>
            </w:r>
          </w:p>
        </w:tc>
      </w:tr>
      <w:tr w:rsidR="00D477E0" w:rsidRPr="00C75824" w14:paraId="6D5125FF" w14:textId="77777777" w:rsidTr="001F1616">
        <w:trPr>
          <w:trHeight w:val="51"/>
          <w:jc w:val="center"/>
        </w:trPr>
        <w:tc>
          <w:tcPr>
            <w:tcW w:w="4394" w:type="dxa"/>
            <w:tcBorders>
              <w:top w:val="single" w:sz="2" w:space="0" w:color="auto"/>
              <w:bottom w:val="single" w:sz="2" w:space="0" w:color="auto"/>
            </w:tcBorders>
            <w:vAlign w:val="bottom"/>
          </w:tcPr>
          <w:p w14:paraId="01A155C4" w14:textId="77777777" w:rsidR="00D477E0" w:rsidRPr="008A2EFB" w:rsidRDefault="00D477E0" w:rsidP="00D477E0">
            <w:pPr>
              <w:pStyle w:val="T2"/>
              <w:jc w:val="left"/>
              <w:rPr>
                <w:b/>
              </w:rPr>
            </w:pPr>
            <w:r w:rsidRPr="008A2EFB">
              <w:rPr>
                <w:b/>
              </w:rPr>
              <w:t xml:space="preserve">At </w:t>
            </w:r>
            <w:r>
              <w:rPr>
                <w:b/>
              </w:rPr>
              <w:t>26 March 2021</w:t>
            </w:r>
          </w:p>
        </w:tc>
        <w:tc>
          <w:tcPr>
            <w:tcW w:w="907" w:type="dxa"/>
            <w:tcBorders>
              <w:top w:val="single" w:sz="2" w:space="0" w:color="auto"/>
              <w:bottom w:val="single" w:sz="2" w:space="0" w:color="auto"/>
            </w:tcBorders>
            <w:vAlign w:val="bottom"/>
          </w:tcPr>
          <w:p w14:paraId="2563EBD0" w14:textId="77777777" w:rsidR="00D477E0" w:rsidRPr="003313E6" w:rsidRDefault="00737D6B" w:rsidP="00D477E0">
            <w:pPr>
              <w:pStyle w:val="T2"/>
              <w:jc w:val="right"/>
              <w:rPr>
                <w:b/>
                <w:bCs/>
              </w:rPr>
            </w:pPr>
            <w:r>
              <w:rPr>
                <w:b/>
                <w:bCs/>
              </w:rPr>
              <w:t>2.8</w:t>
            </w:r>
          </w:p>
        </w:tc>
        <w:tc>
          <w:tcPr>
            <w:tcW w:w="907" w:type="dxa"/>
            <w:tcBorders>
              <w:top w:val="single" w:sz="2" w:space="0" w:color="auto"/>
              <w:bottom w:val="single" w:sz="2" w:space="0" w:color="auto"/>
            </w:tcBorders>
            <w:vAlign w:val="bottom"/>
          </w:tcPr>
          <w:p w14:paraId="055A5978" w14:textId="77777777" w:rsidR="00D477E0" w:rsidRPr="003313E6" w:rsidRDefault="00AD50AA" w:rsidP="00D439D4">
            <w:pPr>
              <w:pStyle w:val="T2"/>
              <w:jc w:val="right"/>
              <w:rPr>
                <w:b/>
                <w:bCs/>
              </w:rPr>
            </w:pPr>
            <w:r>
              <w:rPr>
                <w:b/>
                <w:bCs/>
              </w:rPr>
              <w:t>(</w:t>
            </w:r>
            <w:r w:rsidR="00D439D4">
              <w:rPr>
                <w:b/>
                <w:bCs/>
              </w:rPr>
              <w:t>1.8</w:t>
            </w:r>
            <w:r>
              <w:rPr>
                <w:b/>
                <w:bCs/>
              </w:rPr>
              <w:t>)</w:t>
            </w:r>
          </w:p>
        </w:tc>
        <w:tc>
          <w:tcPr>
            <w:tcW w:w="1437" w:type="dxa"/>
            <w:tcBorders>
              <w:top w:val="single" w:sz="2" w:space="0" w:color="auto"/>
              <w:bottom w:val="single" w:sz="2" w:space="0" w:color="auto"/>
            </w:tcBorders>
            <w:vAlign w:val="bottom"/>
          </w:tcPr>
          <w:p w14:paraId="7626F378" w14:textId="77777777" w:rsidR="00D477E0" w:rsidRPr="003313E6" w:rsidRDefault="00AD50AA" w:rsidP="00D477E0">
            <w:pPr>
              <w:pStyle w:val="T2"/>
              <w:jc w:val="right"/>
              <w:rPr>
                <w:b/>
                <w:bCs/>
              </w:rPr>
            </w:pPr>
            <w:r>
              <w:rPr>
                <w:b/>
                <w:bCs/>
              </w:rPr>
              <w:t>120.4</w:t>
            </w:r>
          </w:p>
        </w:tc>
        <w:tc>
          <w:tcPr>
            <w:tcW w:w="904" w:type="dxa"/>
            <w:tcBorders>
              <w:top w:val="single" w:sz="2" w:space="0" w:color="auto"/>
              <w:bottom w:val="single" w:sz="2" w:space="0" w:color="auto"/>
            </w:tcBorders>
            <w:vAlign w:val="bottom"/>
          </w:tcPr>
          <w:p w14:paraId="4F5744DB" w14:textId="77777777" w:rsidR="00D477E0" w:rsidRPr="003313E6" w:rsidRDefault="00AD50AA" w:rsidP="0041734A">
            <w:pPr>
              <w:pStyle w:val="T2"/>
              <w:jc w:val="right"/>
              <w:rPr>
                <w:b/>
                <w:bCs/>
              </w:rPr>
            </w:pPr>
            <w:r>
              <w:rPr>
                <w:b/>
                <w:bCs/>
              </w:rPr>
              <w:t>0.</w:t>
            </w:r>
            <w:r w:rsidR="00D206EE">
              <w:rPr>
                <w:b/>
                <w:bCs/>
              </w:rPr>
              <w:t>3</w:t>
            </w:r>
          </w:p>
        </w:tc>
        <w:tc>
          <w:tcPr>
            <w:tcW w:w="1033" w:type="dxa"/>
            <w:tcBorders>
              <w:top w:val="single" w:sz="2" w:space="0" w:color="auto"/>
              <w:bottom w:val="single" w:sz="2" w:space="0" w:color="auto"/>
            </w:tcBorders>
            <w:vAlign w:val="bottom"/>
          </w:tcPr>
          <w:p w14:paraId="61F96A56" w14:textId="77777777" w:rsidR="00D477E0" w:rsidRPr="003313E6" w:rsidRDefault="00AD50AA">
            <w:pPr>
              <w:pStyle w:val="T2"/>
              <w:jc w:val="right"/>
              <w:rPr>
                <w:b/>
                <w:bCs/>
              </w:rPr>
            </w:pPr>
            <w:r>
              <w:rPr>
                <w:b/>
                <w:bCs/>
              </w:rPr>
              <w:t>(2.</w:t>
            </w:r>
            <w:r w:rsidR="00863360">
              <w:rPr>
                <w:b/>
                <w:bCs/>
              </w:rPr>
              <w:t>2</w:t>
            </w:r>
            <w:r>
              <w:rPr>
                <w:b/>
                <w:bCs/>
              </w:rPr>
              <w:t>)</w:t>
            </w:r>
          </w:p>
        </w:tc>
        <w:tc>
          <w:tcPr>
            <w:tcW w:w="907" w:type="dxa"/>
            <w:tcBorders>
              <w:top w:val="single" w:sz="2" w:space="0" w:color="auto"/>
              <w:bottom w:val="single" w:sz="2" w:space="0" w:color="auto"/>
            </w:tcBorders>
            <w:vAlign w:val="bottom"/>
          </w:tcPr>
          <w:p w14:paraId="38714AD9" w14:textId="77777777" w:rsidR="00D477E0" w:rsidRPr="003313E6" w:rsidRDefault="00AD50AA">
            <w:pPr>
              <w:pStyle w:val="T2"/>
              <w:jc w:val="right"/>
              <w:rPr>
                <w:b/>
                <w:bCs/>
              </w:rPr>
            </w:pPr>
            <w:r>
              <w:rPr>
                <w:b/>
                <w:bCs/>
              </w:rPr>
              <w:t>1</w:t>
            </w:r>
            <w:r w:rsidR="00737D6B">
              <w:rPr>
                <w:b/>
                <w:bCs/>
              </w:rPr>
              <w:t>19</w:t>
            </w:r>
            <w:r>
              <w:rPr>
                <w:b/>
                <w:bCs/>
              </w:rPr>
              <w:t>.</w:t>
            </w:r>
            <w:r w:rsidR="00863360">
              <w:rPr>
                <w:b/>
                <w:bCs/>
              </w:rPr>
              <w:t>5</w:t>
            </w:r>
          </w:p>
        </w:tc>
      </w:tr>
      <w:tr w:rsidR="00D477E0" w:rsidRPr="00C75824" w14:paraId="217B8108" w14:textId="77777777" w:rsidTr="001F1616">
        <w:trPr>
          <w:jc w:val="center"/>
        </w:trPr>
        <w:tc>
          <w:tcPr>
            <w:tcW w:w="4394" w:type="dxa"/>
            <w:tcBorders>
              <w:top w:val="single" w:sz="2" w:space="0" w:color="auto"/>
            </w:tcBorders>
          </w:tcPr>
          <w:p w14:paraId="5D2B8632" w14:textId="77777777" w:rsidR="00D477E0" w:rsidRPr="00C75824" w:rsidRDefault="00D477E0" w:rsidP="00D477E0">
            <w:pPr>
              <w:pStyle w:val="T2"/>
            </w:pPr>
          </w:p>
        </w:tc>
        <w:tc>
          <w:tcPr>
            <w:tcW w:w="907" w:type="dxa"/>
            <w:tcBorders>
              <w:top w:val="single" w:sz="2" w:space="0" w:color="auto"/>
            </w:tcBorders>
          </w:tcPr>
          <w:p w14:paraId="69C80EFE" w14:textId="77777777" w:rsidR="00D477E0" w:rsidRPr="007573FA" w:rsidRDefault="00D477E0" w:rsidP="00D477E0">
            <w:pPr>
              <w:pStyle w:val="T2"/>
            </w:pPr>
          </w:p>
        </w:tc>
        <w:tc>
          <w:tcPr>
            <w:tcW w:w="907" w:type="dxa"/>
            <w:tcBorders>
              <w:top w:val="single" w:sz="2" w:space="0" w:color="auto"/>
            </w:tcBorders>
          </w:tcPr>
          <w:p w14:paraId="3AF41684" w14:textId="77777777" w:rsidR="00D477E0" w:rsidRPr="007573FA" w:rsidRDefault="00D477E0" w:rsidP="00D477E0">
            <w:pPr>
              <w:pStyle w:val="T2"/>
            </w:pPr>
          </w:p>
        </w:tc>
        <w:tc>
          <w:tcPr>
            <w:tcW w:w="1437" w:type="dxa"/>
            <w:tcBorders>
              <w:top w:val="single" w:sz="2" w:space="0" w:color="auto"/>
            </w:tcBorders>
          </w:tcPr>
          <w:p w14:paraId="4110A38A" w14:textId="77777777" w:rsidR="00D477E0" w:rsidRPr="007573FA" w:rsidRDefault="00D477E0" w:rsidP="00D477E0">
            <w:pPr>
              <w:pStyle w:val="T2"/>
            </w:pPr>
          </w:p>
        </w:tc>
        <w:tc>
          <w:tcPr>
            <w:tcW w:w="904" w:type="dxa"/>
            <w:tcBorders>
              <w:top w:val="single" w:sz="2" w:space="0" w:color="auto"/>
            </w:tcBorders>
          </w:tcPr>
          <w:p w14:paraId="365EB9F4" w14:textId="77777777" w:rsidR="00D477E0" w:rsidRPr="007573FA" w:rsidRDefault="00D477E0" w:rsidP="00D477E0">
            <w:pPr>
              <w:pStyle w:val="T2"/>
            </w:pPr>
          </w:p>
        </w:tc>
        <w:tc>
          <w:tcPr>
            <w:tcW w:w="1033" w:type="dxa"/>
            <w:tcBorders>
              <w:top w:val="single" w:sz="2" w:space="0" w:color="auto"/>
            </w:tcBorders>
          </w:tcPr>
          <w:p w14:paraId="6B1090CB" w14:textId="77777777" w:rsidR="00D477E0" w:rsidRPr="007573FA" w:rsidRDefault="00D477E0" w:rsidP="00D477E0">
            <w:pPr>
              <w:pStyle w:val="T2"/>
            </w:pPr>
          </w:p>
        </w:tc>
        <w:tc>
          <w:tcPr>
            <w:tcW w:w="907" w:type="dxa"/>
            <w:tcBorders>
              <w:top w:val="single" w:sz="2" w:space="0" w:color="auto"/>
            </w:tcBorders>
          </w:tcPr>
          <w:p w14:paraId="758F9CB3" w14:textId="77777777" w:rsidR="00D477E0" w:rsidRPr="007573FA" w:rsidRDefault="00D477E0" w:rsidP="00D477E0">
            <w:pPr>
              <w:pStyle w:val="T2"/>
            </w:pPr>
          </w:p>
        </w:tc>
      </w:tr>
      <w:tr w:rsidR="00D477E0" w:rsidRPr="00C75824" w14:paraId="5AC39FA8" w14:textId="77777777" w:rsidTr="005B3BEE">
        <w:trPr>
          <w:jc w:val="center"/>
        </w:trPr>
        <w:tc>
          <w:tcPr>
            <w:tcW w:w="4394" w:type="dxa"/>
          </w:tcPr>
          <w:p w14:paraId="1A11C914" w14:textId="77777777" w:rsidR="00D477E0" w:rsidRPr="00C75824" w:rsidRDefault="00D477E0" w:rsidP="00D477E0">
            <w:pPr>
              <w:pStyle w:val="T2"/>
            </w:pPr>
          </w:p>
        </w:tc>
        <w:tc>
          <w:tcPr>
            <w:tcW w:w="907" w:type="dxa"/>
            <w:vAlign w:val="bottom"/>
          </w:tcPr>
          <w:p w14:paraId="375BCE72" w14:textId="77777777" w:rsidR="00D477E0" w:rsidRPr="007573FA" w:rsidRDefault="00D477E0" w:rsidP="00D477E0">
            <w:pPr>
              <w:pStyle w:val="T2"/>
              <w:jc w:val="right"/>
            </w:pPr>
            <w:r w:rsidRPr="007573FA">
              <w:t xml:space="preserve">Share </w:t>
            </w:r>
          </w:p>
          <w:p w14:paraId="580BBE82" w14:textId="77777777" w:rsidR="00D477E0" w:rsidRPr="007573FA" w:rsidRDefault="00D477E0" w:rsidP="00D477E0">
            <w:pPr>
              <w:pStyle w:val="T2"/>
              <w:jc w:val="right"/>
            </w:pPr>
            <w:r w:rsidRPr="007573FA">
              <w:t>options</w:t>
            </w:r>
          </w:p>
        </w:tc>
        <w:tc>
          <w:tcPr>
            <w:tcW w:w="907" w:type="dxa"/>
            <w:vAlign w:val="bottom"/>
          </w:tcPr>
          <w:p w14:paraId="55986BEC" w14:textId="77777777" w:rsidR="00D477E0" w:rsidRPr="007573FA" w:rsidRDefault="00D477E0" w:rsidP="00D477E0">
            <w:pPr>
              <w:pStyle w:val="T2"/>
              <w:jc w:val="right"/>
            </w:pPr>
            <w:r w:rsidRPr="007573FA">
              <w:t xml:space="preserve">Own </w:t>
            </w:r>
          </w:p>
          <w:p w14:paraId="53712FC0" w14:textId="77777777" w:rsidR="00D477E0" w:rsidRPr="007573FA" w:rsidRDefault="00D477E0" w:rsidP="00D477E0">
            <w:pPr>
              <w:pStyle w:val="T2"/>
              <w:jc w:val="right"/>
            </w:pPr>
            <w:r w:rsidRPr="007573FA">
              <w:t>shares</w:t>
            </w:r>
          </w:p>
        </w:tc>
        <w:tc>
          <w:tcPr>
            <w:tcW w:w="1437" w:type="dxa"/>
            <w:vAlign w:val="bottom"/>
          </w:tcPr>
          <w:p w14:paraId="3841AB9F" w14:textId="77777777" w:rsidR="00D477E0" w:rsidRPr="007573FA" w:rsidRDefault="00D477E0" w:rsidP="00D477E0">
            <w:pPr>
              <w:pStyle w:val="T2"/>
              <w:jc w:val="right"/>
            </w:pPr>
            <w:r w:rsidRPr="007573FA">
              <w:t>Undenominated capital reserve</w:t>
            </w:r>
          </w:p>
        </w:tc>
        <w:tc>
          <w:tcPr>
            <w:tcW w:w="904" w:type="dxa"/>
            <w:vAlign w:val="bottom"/>
          </w:tcPr>
          <w:p w14:paraId="4A61C88E" w14:textId="77777777" w:rsidR="00D477E0" w:rsidRPr="007573FA" w:rsidRDefault="00D477E0" w:rsidP="00D477E0">
            <w:pPr>
              <w:pStyle w:val="T2"/>
              <w:jc w:val="right"/>
            </w:pPr>
            <w:r w:rsidRPr="007573FA">
              <w:t>Hedging reserve</w:t>
            </w:r>
          </w:p>
        </w:tc>
        <w:tc>
          <w:tcPr>
            <w:tcW w:w="1033" w:type="dxa"/>
            <w:shd w:val="clear" w:color="auto" w:fill="auto"/>
            <w:vAlign w:val="bottom"/>
          </w:tcPr>
          <w:p w14:paraId="2457C89A" w14:textId="77777777" w:rsidR="00D477E0" w:rsidRPr="007573FA" w:rsidRDefault="00D477E0" w:rsidP="00D477E0">
            <w:pPr>
              <w:pStyle w:val="T2"/>
              <w:jc w:val="right"/>
            </w:pPr>
            <w:r w:rsidRPr="007573FA">
              <w:t>Foreign currency translation reserve</w:t>
            </w:r>
          </w:p>
        </w:tc>
        <w:tc>
          <w:tcPr>
            <w:tcW w:w="907" w:type="dxa"/>
            <w:vAlign w:val="bottom"/>
          </w:tcPr>
          <w:p w14:paraId="56B78DB1" w14:textId="77777777" w:rsidR="00D477E0" w:rsidRPr="007573FA" w:rsidRDefault="00D477E0" w:rsidP="00D477E0">
            <w:pPr>
              <w:pStyle w:val="T2"/>
              <w:jc w:val="right"/>
            </w:pPr>
            <w:r w:rsidRPr="007573FA">
              <w:t>Total</w:t>
            </w:r>
          </w:p>
        </w:tc>
      </w:tr>
      <w:tr w:rsidR="00D477E0" w:rsidRPr="00C75824" w14:paraId="7747B41F" w14:textId="77777777" w:rsidTr="005B3BEE">
        <w:trPr>
          <w:jc w:val="center"/>
        </w:trPr>
        <w:tc>
          <w:tcPr>
            <w:tcW w:w="4394" w:type="dxa"/>
            <w:tcBorders>
              <w:bottom w:val="single" w:sz="2" w:space="0" w:color="auto"/>
            </w:tcBorders>
          </w:tcPr>
          <w:p w14:paraId="1DD0E080" w14:textId="77777777" w:rsidR="00D477E0" w:rsidRPr="00C75824" w:rsidRDefault="00D477E0" w:rsidP="00D477E0">
            <w:pPr>
              <w:pStyle w:val="T2"/>
            </w:pPr>
          </w:p>
        </w:tc>
        <w:tc>
          <w:tcPr>
            <w:tcW w:w="907" w:type="dxa"/>
            <w:tcBorders>
              <w:bottom w:val="single" w:sz="2" w:space="0" w:color="auto"/>
            </w:tcBorders>
            <w:vAlign w:val="bottom"/>
          </w:tcPr>
          <w:p w14:paraId="71415AA0" w14:textId="77777777" w:rsidR="00D477E0" w:rsidRPr="007573FA" w:rsidRDefault="00D477E0" w:rsidP="00D477E0">
            <w:pPr>
              <w:pStyle w:val="T2"/>
              <w:jc w:val="right"/>
            </w:pPr>
            <w:r w:rsidRPr="007573FA">
              <w:t>£m</w:t>
            </w:r>
          </w:p>
        </w:tc>
        <w:tc>
          <w:tcPr>
            <w:tcW w:w="907" w:type="dxa"/>
            <w:tcBorders>
              <w:bottom w:val="single" w:sz="2" w:space="0" w:color="auto"/>
            </w:tcBorders>
            <w:vAlign w:val="bottom"/>
          </w:tcPr>
          <w:p w14:paraId="733E9AF1" w14:textId="77777777" w:rsidR="00D477E0" w:rsidRPr="007573FA" w:rsidRDefault="00D477E0" w:rsidP="00D477E0">
            <w:pPr>
              <w:pStyle w:val="T2"/>
              <w:jc w:val="right"/>
            </w:pPr>
            <w:r w:rsidRPr="007573FA">
              <w:t>£m</w:t>
            </w:r>
          </w:p>
        </w:tc>
        <w:tc>
          <w:tcPr>
            <w:tcW w:w="1437" w:type="dxa"/>
            <w:tcBorders>
              <w:bottom w:val="single" w:sz="2" w:space="0" w:color="auto"/>
            </w:tcBorders>
            <w:vAlign w:val="bottom"/>
          </w:tcPr>
          <w:p w14:paraId="43CB0244" w14:textId="77777777" w:rsidR="00D477E0" w:rsidRPr="007573FA" w:rsidRDefault="00D477E0" w:rsidP="00D477E0">
            <w:pPr>
              <w:pStyle w:val="T2"/>
              <w:jc w:val="right"/>
            </w:pPr>
            <w:r w:rsidRPr="007573FA">
              <w:t>£m</w:t>
            </w:r>
          </w:p>
        </w:tc>
        <w:tc>
          <w:tcPr>
            <w:tcW w:w="904" w:type="dxa"/>
            <w:tcBorders>
              <w:bottom w:val="single" w:sz="2" w:space="0" w:color="auto"/>
            </w:tcBorders>
            <w:vAlign w:val="bottom"/>
          </w:tcPr>
          <w:p w14:paraId="5E22C823" w14:textId="77777777" w:rsidR="00D477E0" w:rsidRPr="007573FA" w:rsidRDefault="00D477E0" w:rsidP="00D477E0">
            <w:pPr>
              <w:pStyle w:val="T2"/>
              <w:jc w:val="right"/>
            </w:pPr>
            <w:r w:rsidRPr="007573FA">
              <w:t>£m</w:t>
            </w:r>
          </w:p>
        </w:tc>
        <w:tc>
          <w:tcPr>
            <w:tcW w:w="1033" w:type="dxa"/>
            <w:tcBorders>
              <w:bottom w:val="single" w:sz="2" w:space="0" w:color="auto"/>
            </w:tcBorders>
            <w:vAlign w:val="bottom"/>
          </w:tcPr>
          <w:p w14:paraId="7764D3F5" w14:textId="77777777" w:rsidR="00D477E0" w:rsidRPr="007573FA" w:rsidRDefault="00D477E0" w:rsidP="00D477E0">
            <w:pPr>
              <w:pStyle w:val="T2"/>
              <w:jc w:val="right"/>
            </w:pPr>
            <w:r w:rsidRPr="007573FA">
              <w:t>£m</w:t>
            </w:r>
          </w:p>
        </w:tc>
        <w:tc>
          <w:tcPr>
            <w:tcW w:w="907" w:type="dxa"/>
            <w:tcBorders>
              <w:bottom w:val="single" w:sz="2" w:space="0" w:color="auto"/>
            </w:tcBorders>
            <w:vAlign w:val="bottom"/>
          </w:tcPr>
          <w:p w14:paraId="722457C2" w14:textId="77777777" w:rsidR="00D477E0" w:rsidRPr="007573FA" w:rsidRDefault="00D477E0" w:rsidP="00D477E0">
            <w:pPr>
              <w:pStyle w:val="T2"/>
              <w:jc w:val="right"/>
            </w:pPr>
            <w:r w:rsidRPr="007573FA">
              <w:t>£m</w:t>
            </w:r>
          </w:p>
        </w:tc>
      </w:tr>
      <w:tr w:rsidR="00D477E0" w:rsidRPr="00C75824" w14:paraId="13F26AFB" w14:textId="77777777" w:rsidTr="005B3BEE">
        <w:trPr>
          <w:jc w:val="center"/>
        </w:trPr>
        <w:tc>
          <w:tcPr>
            <w:tcW w:w="4394" w:type="dxa"/>
            <w:tcBorders>
              <w:top w:val="single" w:sz="2" w:space="0" w:color="auto"/>
              <w:bottom w:val="single" w:sz="2" w:space="0" w:color="auto"/>
            </w:tcBorders>
            <w:vAlign w:val="bottom"/>
          </w:tcPr>
          <w:p w14:paraId="14D5F2D7" w14:textId="71B082E5" w:rsidR="00D477E0" w:rsidRPr="00E02FFC" w:rsidRDefault="00D477E0" w:rsidP="00D477E0">
            <w:pPr>
              <w:pStyle w:val="T2"/>
              <w:jc w:val="left"/>
              <w:rPr>
                <w:b/>
              </w:rPr>
            </w:pPr>
            <w:r w:rsidRPr="00E02FFC">
              <w:rPr>
                <w:b/>
              </w:rPr>
              <w:t>At 2</w:t>
            </w:r>
            <w:r>
              <w:rPr>
                <w:b/>
              </w:rPr>
              <w:t>7</w:t>
            </w:r>
            <w:r w:rsidRPr="00E02FFC">
              <w:rPr>
                <w:b/>
              </w:rPr>
              <w:t xml:space="preserve"> September 201</w:t>
            </w:r>
            <w:r>
              <w:rPr>
                <w:b/>
              </w:rPr>
              <w:t>9</w:t>
            </w:r>
          </w:p>
        </w:tc>
        <w:tc>
          <w:tcPr>
            <w:tcW w:w="907" w:type="dxa"/>
            <w:tcBorders>
              <w:top w:val="single" w:sz="2" w:space="0" w:color="auto"/>
              <w:bottom w:val="single" w:sz="2" w:space="0" w:color="auto"/>
            </w:tcBorders>
            <w:vAlign w:val="bottom"/>
          </w:tcPr>
          <w:p w14:paraId="6ED1D308" w14:textId="77777777" w:rsidR="00D477E0" w:rsidRPr="000606CD" w:rsidRDefault="00D477E0" w:rsidP="00D477E0">
            <w:pPr>
              <w:pStyle w:val="T2"/>
              <w:jc w:val="right"/>
              <w:rPr>
                <w:rFonts w:cs="Calibri"/>
              </w:rPr>
            </w:pPr>
            <w:r>
              <w:rPr>
                <w:bCs/>
              </w:rPr>
              <w:t>4.8</w:t>
            </w:r>
          </w:p>
        </w:tc>
        <w:tc>
          <w:tcPr>
            <w:tcW w:w="907" w:type="dxa"/>
            <w:tcBorders>
              <w:top w:val="single" w:sz="2" w:space="0" w:color="auto"/>
              <w:bottom w:val="single" w:sz="2" w:space="0" w:color="auto"/>
            </w:tcBorders>
            <w:vAlign w:val="bottom"/>
          </w:tcPr>
          <w:p w14:paraId="0299CB34" w14:textId="77777777" w:rsidR="00D477E0" w:rsidRPr="000606CD" w:rsidRDefault="00D477E0" w:rsidP="00D477E0">
            <w:pPr>
              <w:pStyle w:val="T2"/>
              <w:jc w:val="right"/>
              <w:rPr>
                <w:rFonts w:cs="Calibri"/>
              </w:rPr>
            </w:pPr>
            <w:r w:rsidRPr="0096767F">
              <w:rPr>
                <w:bCs/>
              </w:rPr>
              <w:t>(8.</w:t>
            </w:r>
            <w:r>
              <w:rPr>
                <w:bCs/>
              </w:rPr>
              <w:t>2</w:t>
            </w:r>
            <w:r w:rsidRPr="0096767F">
              <w:rPr>
                <w:bCs/>
              </w:rPr>
              <w:t>)</w:t>
            </w:r>
          </w:p>
        </w:tc>
        <w:tc>
          <w:tcPr>
            <w:tcW w:w="1437" w:type="dxa"/>
            <w:tcBorders>
              <w:top w:val="single" w:sz="2" w:space="0" w:color="auto"/>
              <w:bottom w:val="single" w:sz="2" w:space="0" w:color="auto"/>
            </w:tcBorders>
            <w:vAlign w:val="bottom"/>
          </w:tcPr>
          <w:p w14:paraId="61152F94" w14:textId="77777777" w:rsidR="00D477E0" w:rsidRPr="000606CD" w:rsidRDefault="00D477E0" w:rsidP="00D477E0">
            <w:pPr>
              <w:pStyle w:val="T2"/>
              <w:jc w:val="right"/>
              <w:rPr>
                <w:rFonts w:cs="Calibri"/>
              </w:rPr>
            </w:pPr>
            <w:r>
              <w:rPr>
                <w:bCs/>
              </w:rPr>
              <w:t>120.4</w:t>
            </w:r>
          </w:p>
        </w:tc>
        <w:tc>
          <w:tcPr>
            <w:tcW w:w="904" w:type="dxa"/>
            <w:tcBorders>
              <w:top w:val="single" w:sz="2" w:space="0" w:color="auto"/>
              <w:bottom w:val="single" w:sz="2" w:space="0" w:color="auto"/>
            </w:tcBorders>
            <w:vAlign w:val="bottom"/>
          </w:tcPr>
          <w:p w14:paraId="04CF289F" w14:textId="77777777" w:rsidR="00D477E0" w:rsidRPr="000606CD" w:rsidRDefault="00D477E0" w:rsidP="00D477E0">
            <w:pPr>
              <w:pStyle w:val="T2"/>
              <w:jc w:val="right"/>
              <w:rPr>
                <w:rFonts w:cs="Calibri"/>
              </w:rPr>
            </w:pPr>
            <w:r w:rsidRPr="0096767F">
              <w:rPr>
                <w:bCs/>
              </w:rPr>
              <w:t>(</w:t>
            </w:r>
            <w:r>
              <w:rPr>
                <w:bCs/>
              </w:rPr>
              <w:t>1.0</w:t>
            </w:r>
            <w:r w:rsidRPr="0096767F">
              <w:rPr>
                <w:bCs/>
              </w:rPr>
              <w:t>)</w:t>
            </w:r>
          </w:p>
        </w:tc>
        <w:tc>
          <w:tcPr>
            <w:tcW w:w="1033" w:type="dxa"/>
            <w:tcBorders>
              <w:top w:val="single" w:sz="2" w:space="0" w:color="auto"/>
              <w:bottom w:val="single" w:sz="2" w:space="0" w:color="auto"/>
            </w:tcBorders>
            <w:vAlign w:val="bottom"/>
          </w:tcPr>
          <w:p w14:paraId="1A561CCD" w14:textId="77777777" w:rsidR="00D477E0" w:rsidRPr="000606CD" w:rsidRDefault="00D477E0" w:rsidP="00D477E0">
            <w:pPr>
              <w:pStyle w:val="T2"/>
              <w:jc w:val="right"/>
              <w:rPr>
                <w:rFonts w:cs="Calibri"/>
              </w:rPr>
            </w:pPr>
            <w:r>
              <w:rPr>
                <w:bCs/>
              </w:rPr>
              <w:t>0.8</w:t>
            </w:r>
          </w:p>
        </w:tc>
        <w:tc>
          <w:tcPr>
            <w:tcW w:w="907" w:type="dxa"/>
            <w:tcBorders>
              <w:top w:val="single" w:sz="2" w:space="0" w:color="auto"/>
              <w:bottom w:val="single" w:sz="2" w:space="0" w:color="auto"/>
            </w:tcBorders>
            <w:vAlign w:val="bottom"/>
          </w:tcPr>
          <w:p w14:paraId="749BB16C" w14:textId="77777777" w:rsidR="00D477E0" w:rsidRPr="000606CD" w:rsidRDefault="00D477E0" w:rsidP="00D477E0">
            <w:pPr>
              <w:pStyle w:val="T2"/>
              <w:jc w:val="right"/>
              <w:rPr>
                <w:rFonts w:cs="Calibri"/>
              </w:rPr>
            </w:pPr>
            <w:r>
              <w:rPr>
                <w:bCs/>
              </w:rPr>
              <w:t>116.8</w:t>
            </w:r>
          </w:p>
        </w:tc>
      </w:tr>
      <w:tr w:rsidR="00D477E0" w:rsidRPr="00C75824" w14:paraId="4F0BB9D0" w14:textId="77777777" w:rsidTr="005B3BEE">
        <w:trPr>
          <w:jc w:val="center"/>
        </w:trPr>
        <w:tc>
          <w:tcPr>
            <w:tcW w:w="4394" w:type="dxa"/>
            <w:tcBorders>
              <w:top w:val="single" w:sz="2" w:space="0" w:color="auto"/>
            </w:tcBorders>
            <w:vAlign w:val="bottom"/>
          </w:tcPr>
          <w:p w14:paraId="55FEE4A4" w14:textId="60613E53" w:rsidR="00D477E0" w:rsidRPr="00E02FFC" w:rsidRDefault="00D477E0" w:rsidP="00D477E0">
            <w:pPr>
              <w:pStyle w:val="T2"/>
              <w:jc w:val="left"/>
              <w:rPr>
                <w:b/>
              </w:rPr>
            </w:pPr>
            <w:r w:rsidRPr="00E02FFC">
              <w:rPr>
                <w:b/>
              </w:rPr>
              <w:t>Items of income and expense taken directly to equity</w:t>
            </w:r>
          </w:p>
        </w:tc>
        <w:tc>
          <w:tcPr>
            <w:tcW w:w="907" w:type="dxa"/>
            <w:tcBorders>
              <w:top w:val="single" w:sz="2" w:space="0" w:color="auto"/>
            </w:tcBorders>
            <w:vAlign w:val="bottom"/>
          </w:tcPr>
          <w:p w14:paraId="2E965008" w14:textId="77777777" w:rsidR="00D477E0" w:rsidRPr="000606CD" w:rsidRDefault="00D477E0" w:rsidP="00D477E0">
            <w:pPr>
              <w:pStyle w:val="T2"/>
            </w:pPr>
          </w:p>
        </w:tc>
        <w:tc>
          <w:tcPr>
            <w:tcW w:w="907" w:type="dxa"/>
            <w:tcBorders>
              <w:top w:val="single" w:sz="2" w:space="0" w:color="auto"/>
            </w:tcBorders>
            <w:vAlign w:val="bottom"/>
          </w:tcPr>
          <w:p w14:paraId="5788FE53" w14:textId="77777777" w:rsidR="00D477E0" w:rsidRPr="000606CD" w:rsidRDefault="00D477E0" w:rsidP="00D477E0">
            <w:pPr>
              <w:pStyle w:val="T2"/>
              <w:jc w:val="right"/>
            </w:pPr>
          </w:p>
        </w:tc>
        <w:tc>
          <w:tcPr>
            <w:tcW w:w="1437" w:type="dxa"/>
            <w:tcBorders>
              <w:top w:val="single" w:sz="2" w:space="0" w:color="auto"/>
            </w:tcBorders>
            <w:vAlign w:val="bottom"/>
          </w:tcPr>
          <w:p w14:paraId="3D919191" w14:textId="77777777" w:rsidR="00D477E0" w:rsidRPr="000606CD" w:rsidRDefault="00D477E0" w:rsidP="00D477E0">
            <w:pPr>
              <w:pStyle w:val="T2"/>
              <w:jc w:val="right"/>
            </w:pPr>
          </w:p>
        </w:tc>
        <w:tc>
          <w:tcPr>
            <w:tcW w:w="904" w:type="dxa"/>
            <w:tcBorders>
              <w:top w:val="single" w:sz="2" w:space="0" w:color="auto"/>
            </w:tcBorders>
            <w:vAlign w:val="bottom"/>
          </w:tcPr>
          <w:p w14:paraId="148A323B" w14:textId="77777777" w:rsidR="00D477E0" w:rsidRPr="000606CD" w:rsidRDefault="00D477E0" w:rsidP="00D477E0">
            <w:pPr>
              <w:pStyle w:val="T2"/>
              <w:jc w:val="right"/>
            </w:pPr>
          </w:p>
        </w:tc>
        <w:tc>
          <w:tcPr>
            <w:tcW w:w="1033" w:type="dxa"/>
            <w:tcBorders>
              <w:top w:val="single" w:sz="2" w:space="0" w:color="auto"/>
            </w:tcBorders>
            <w:vAlign w:val="bottom"/>
          </w:tcPr>
          <w:p w14:paraId="14B5D103" w14:textId="77777777" w:rsidR="00D477E0" w:rsidRPr="000606CD" w:rsidRDefault="00D477E0" w:rsidP="00D477E0">
            <w:pPr>
              <w:pStyle w:val="T2"/>
              <w:jc w:val="right"/>
            </w:pPr>
          </w:p>
        </w:tc>
        <w:tc>
          <w:tcPr>
            <w:tcW w:w="907" w:type="dxa"/>
            <w:tcBorders>
              <w:top w:val="single" w:sz="2" w:space="0" w:color="auto"/>
            </w:tcBorders>
            <w:vAlign w:val="bottom"/>
          </w:tcPr>
          <w:p w14:paraId="1E200FD2" w14:textId="77777777" w:rsidR="00D477E0" w:rsidRPr="000606CD" w:rsidRDefault="00D477E0" w:rsidP="00D477E0">
            <w:pPr>
              <w:pStyle w:val="T2"/>
              <w:jc w:val="right"/>
            </w:pPr>
          </w:p>
        </w:tc>
      </w:tr>
      <w:tr w:rsidR="00D477E0" w:rsidRPr="00C75824" w14:paraId="3B730AB5" w14:textId="77777777" w:rsidTr="005B3BEE">
        <w:trPr>
          <w:jc w:val="center"/>
        </w:trPr>
        <w:tc>
          <w:tcPr>
            <w:tcW w:w="4394" w:type="dxa"/>
            <w:vAlign w:val="bottom"/>
          </w:tcPr>
          <w:p w14:paraId="0FE44831" w14:textId="77777777" w:rsidR="00D477E0" w:rsidRPr="00172EC0" w:rsidRDefault="00D477E0" w:rsidP="00D477E0">
            <w:pPr>
              <w:pStyle w:val="T2"/>
              <w:jc w:val="left"/>
            </w:pPr>
            <w:r w:rsidRPr="00172EC0">
              <w:t>Currency translation adjustment</w:t>
            </w:r>
          </w:p>
        </w:tc>
        <w:tc>
          <w:tcPr>
            <w:tcW w:w="907" w:type="dxa"/>
            <w:vAlign w:val="bottom"/>
          </w:tcPr>
          <w:p w14:paraId="43B23B4B" w14:textId="77777777" w:rsidR="00D477E0" w:rsidRPr="002C46B4" w:rsidRDefault="00D477E0" w:rsidP="00D477E0">
            <w:pPr>
              <w:pStyle w:val="T2"/>
              <w:jc w:val="right"/>
            </w:pPr>
            <w:r w:rsidRPr="0096767F">
              <w:rPr>
                <w:bCs/>
              </w:rPr>
              <w:t>–</w:t>
            </w:r>
          </w:p>
        </w:tc>
        <w:tc>
          <w:tcPr>
            <w:tcW w:w="907" w:type="dxa"/>
            <w:vAlign w:val="bottom"/>
          </w:tcPr>
          <w:p w14:paraId="27998EA1" w14:textId="77777777" w:rsidR="00D477E0" w:rsidRPr="002C46B4" w:rsidRDefault="00D477E0" w:rsidP="00D477E0">
            <w:pPr>
              <w:pStyle w:val="T2"/>
              <w:jc w:val="right"/>
            </w:pPr>
            <w:r w:rsidRPr="0096767F">
              <w:rPr>
                <w:bCs/>
              </w:rPr>
              <w:t>–</w:t>
            </w:r>
          </w:p>
        </w:tc>
        <w:tc>
          <w:tcPr>
            <w:tcW w:w="1437" w:type="dxa"/>
            <w:vAlign w:val="bottom"/>
          </w:tcPr>
          <w:p w14:paraId="49017CEC" w14:textId="77777777" w:rsidR="00D477E0" w:rsidRPr="002C46B4" w:rsidRDefault="00D477E0" w:rsidP="00D477E0">
            <w:pPr>
              <w:pStyle w:val="T2"/>
              <w:jc w:val="right"/>
            </w:pPr>
            <w:r w:rsidRPr="0096767F">
              <w:rPr>
                <w:bCs/>
              </w:rPr>
              <w:t>–</w:t>
            </w:r>
          </w:p>
        </w:tc>
        <w:tc>
          <w:tcPr>
            <w:tcW w:w="904" w:type="dxa"/>
            <w:vAlign w:val="bottom"/>
          </w:tcPr>
          <w:p w14:paraId="592239AF" w14:textId="77777777" w:rsidR="00D477E0" w:rsidRPr="002C46B4" w:rsidRDefault="00D477E0" w:rsidP="00D477E0">
            <w:pPr>
              <w:pStyle w:val="T2"/>
              <w:jc w:val="right"/>
            </w:pPr>
            <w:r w:rsidRPr="0096767F">
              <w:rPr>
                <w:bCs/>
              </w:rPr>
              <w:t>–</w:t>
            </w:r>
          </w:p>
        </w:tc>
        <w:tc>
          <w:tcPr>
            <w:tcW w:w="1033" w:type="dxa"/>
            <w:vAlign w:val="bottom"/>
          </w:tcPr>
          <w:p w14:paraId="110BC126" w14:textId="77777777" w:rsidR="00D477E0" w:rsidRPr="000606CD" w:rsidRDefault="00D477E0" w:rsidP="00D477E0">
            <w:pPr>
              <w:pStyle w:val="T2"/>
              <w:jc w:val="right"/>
            </w:pPr>
            <w:r>
              <w:rPr>
                <w:bCs/>
              </w:rPr>
              <w:t>1.0</w:t>
            </w:r>
          </w:p>
        </w:tc>
        <w:tc>
          <w:tcPr>
            <w:tcW w:w="907" w:type="dxa"/>
            <w:vAlign w:val="bottom"/>
          </w:tcPr>
          <w:p w14:paraId="0AFD88BA" w14:textId="77777777" w:rsidR="00D477E0" w:rsidRPr="000606CD" w:rsidRDefault="00D477E0" w:rsidP="00D477E0">
            <w:pPr>
              <w:pStyle w:val="T2"/>
              <w:jc w:val="right"/>
            </w:pPr>
            <w:r>
              <w:rPr>
                <w:bCs/>
              </w:rPr>
              <w:t>1.0</w:t>
            </w:r>
          </w:p>
        </w:tc>
      </w:tr>
      <w:tr w:rsidR="00D477E0" w:rsidRPr="00C75824" w14:paraId="7E1D8A49" w14:textId="77777777" w:rsidTr="005B3BEE">
        <w:trPr>
          <w:jc w:val="center"/>
        </w:trPr>
        <w:tc>
          <w:tcPr>
            <w:tcW w:w="4394" w:type="dxa"/>
            <w:vAlign w:val="bottom"/>
          </w:tcPr>
          <w:p w14:paraId="476E9201" w14:textId="77777777" w:rsidR="00D477E0" w:rsidRPr="00172EC0" w:rsidRDefault="00D477E0" w:rsidP="00D477E0">
            <w:pPr>
              <w:pStyle w:val="T2"/>
              <w:jc w:val="left"/>
            </w:pPr>
            <w:r w:rsidRPr="00172EC0">
              <w:t>Cash flow hedge fair value movement taken to equity</w:t>
            </w:r>
          </w:p>
        </w:tc>
        <w:tc>
          <w:tcPr>
            <w:tcW w:w="907" w:type="dxa"/>
            <w:vAlign w:val="bottom"/>
          </w:tcPr>
          <w:p w14:paraId="77E3F871" w14:textId="77777777" w:rsidR="00D477E0" w:rsidRPr="002C46B4" w:rsidRDefault="00D477E0" w:rsidP="00D477E0">
            <w:pPr>
              <w:pStyle w:val="T2"/>
              <w:jc w:val="right"/>
            </w:pPr>
            <w:r w:rsidRPr="0096767F">
              <w:rPr>
                <w:bCs/>
              </w:rPr>
              <w:t>–</w:t>
            </w:r>
          </w:p>
        </w:tc>
        <w:tc>
          <w:tcPr>
            <w:tcW w:w="907" w:type="dxa"/>
            <w:vAlign w:val="bottom"/>
          </w:tcPr>
          <w:p w14:paraId="7FBEFD36" w14:textId="77777777" w:rsidR="00D477E0" w:rsidRPr="002C46B4" w:rsidRDefault="00D477E0" w:rsidP="00D477E0">
            <w:pPr>
              <w:pStyle w:val="T2"/>
              <w:jc w:val="right"/>
            </w:pPr>
            <w:r w:rsidRPr="0096767F">
              <w:rPr>
                <w:bCs/>
              </w:rPr>
              <w:t>–</w:t>
            </w:r>
          </w:p>
        </w:tc>
        <w:tc>
          <w:tcPr>
            <w:tcW w:w="1437" w:type="dxa"/>
            <w:vAlign w:val="bottom"/>
          </w:tcPr>
          <w:p w14:paraId="5D04EBB0" w14:textId="77777777" w:rsidR="00D477E0" w:rsidRPr="002C46B4" w:rsidRDefault="00D477E0" w:rsidP="00D477E0">
            <w:pPr>
              <w:pStyle w:val="T2"/>
              <w:jc w:val="right"/>
            </w:pPr>
            <w:r w:rsidRPr="0096767F">
              <w:rPr>
                <w:bCs/>
              </w:rPr>
              <w:t>–</w:t>
            </w:r>
          </w:p>
        </w:tc>
        <w:tc>
          <w:tcPr>
            <w:tcW w:w="904" w:type="dxa"/>
            <w:vAlign w:val="bottom"/>
          </w:tcPr>
          <w:p w14:paraId="20D2AE82" w14:textId="77777777" w:rsidR="00D477E0" w:rsidRPr="000606CD" w:rsidRDefault="00D477E0" w:rsidP="00D477E0">
            <w:pPr>
              <w:pStyle w:val="T2"/>
              <w:jc w:val="right"/>
            </w:pPr>
            <w:r>
              <w:rPr>
                <w:bCs/>
              </w:rPr>
              <w:t>2.4</w:t>
            </w:r>
          </w:p>
        </w:tc>
        <w:tc>
          <w:tcPr>
            <w:tcW w:w="1033" w:type="dxa"/>
            <w:vAlign w:val="bottom"/>
          </w:tcPr>
          <w:p w14:paraId="4D7D7676" w14:textId="77777777" w:rsidR="00D477E0" w:rsidRPr="002C46B4" w:rsidRDefault="00D477E0" w:rsidP="00D477E0">
            <w:pPr>
              <w:pStyle w:val="T2"/>
              <w:jc w:val="right"/>
            </w:pPr>
            <w:r w:rsidRPr="0096767F">
              <w:rPr>
                <w:bCs/>
              </w:rPr>
              <w:t>–</w:t>
            </w:r>
          </w:p>
        </w:tc>
        <w:tc>
          <w:tcPr>
            <w:tcW w:w="907" w:type="dxa"/>
            <w:vAlign w:val="bottom"/>
          </w:tcPr>
          <w:p w14:paraId="61366069" w14:textId="77777777" w:rsidR="00D477E0" w:rsidRPr="000606CD" w:rsidRDefault="00D477E0" w:rsidP="00D477E0">
            <w:pPr>
              <w:pStyle w:val="T2"/>
              <w:jc w:val="right"/>
            </w:pPr>
            <w:r>
              <w:rPr>
                <w:bCs/>
              </w:rPr>
              <w:t>2.4</w:t>
            </w:r>
          </w:p>
        </w:tc>
      </w:tr>
      <w:tr w:rsidR="00D477E0" w:rsidRPr="00C75824" w14:paraId="68269B46" w14:textId="77777777" w:rsidTr="005B3BEE">
        <w:trPr>
          <w:jc w:val="center"/>
        </w:trPr>
        <w:tc>
          <w:tcPr>
            <w:tcW w:w="4394" w:type="dxa"/>
            <w:tcBorders>
              <w:bottom w:val="single" w:sz="2" w:space="0" w:color="auto"/>
            </w:tcBorders>
            <w:vAlign w:val="bottom"/>
          </w:tcPr>
          <w:p w14:paraId="4E4F132C" w14:textId="77777777" w:rsidR="00D477E0" w:rsidRPr="00172EC0" w:rsidRDefault="00D477E0" w:rsidP="00D477E0">
            <w:pPr>
              <w:pStyle w:val="T2"/>
              <w:jc w:val="left"/>
            </w:pPr>
            <w:r w:rsidRPr="00172EC0">
              <w:t>Cash flow hedge transferred to Income Statement</w:t>
            </w:r>
          </w:p>
        </w:tc>
        <w:tc>
          <w:tcPr>
            <w:tcW w:w="907" w:type="dxa"/>
            <w:tcBorders>
              <w:bottom w:val="single" w:sz="2" w:space="0" w:color="auto"/>
            </w:tcBorders>
            <w:vAlign w:val="bottom"/>
          </w:tcPr>
          <w:p w14:paraId="4A9F542D" w14:textId="77777777" w:rsidR="00D477E0" w:rsidRPr="002C46B4" w:rsidRDefault="00D477E0" w:rsidP="00D477E0">
            <w:pPr>
              <w:pStyle w:val="T2"/>
              <w:jc w:val="right"/>
            </w:pPr>
            <w:r w:rsidRPr="0096767F">
              <w:rPr>
                <w:bCs/>
              </w:rPr>
              <w:t>–</w:t>
            </w:r>
          </w:p>
        </w:tc>
        <w:tc>
          <w:tcPr>
            <w:tcW w:w="907" w:type="dxa"/>
            <w:tcBorders>
              <w:bottom w:val="single" w:sz="2" w:space="0" w:color="auto"/>
            </w:tcBorders>
            <w:vAlign w:val="bottom"/>
          </w:tcPr>
          <w:p w14:paraId="5D6D3057" w14:textId="77777777" w:rsidR="00D477E0" w:rsidRPr="002C46B4" w:rsidRDefault="00D477E0" w:rsidP="00D477E0">
            <w:pPr>
              <w:pStyle w:val="T2"/>
              <w:jc w:val="right"/>
            </w:pPr>
            <w:r w:rsidRPr="0096767F">
              <w:rPr>
                <w:bCs/>
              </w:rPr>
              <w:t>–</w:t>
            </w:r>
          </w:p>
        </w:tc>
        <w:tc>
          <w:tcPr>
            <w:tcW w:w="1437" w:type="dxa"/>
            <w:tcBorders>
              <w:bottom w:val="single" w:sz="2" w:space="0" w:color="auto"/>
            </w:tcBorders>
            <w:vAlign w:val="bottom"/>
          </w:tcPr>
          <w:p w14:paraId="40E46C52" w14:textId="77777777" w:rsidR="00D477E0" w:rsidRPr="002C46B4" w:rsidRDefault="00D477E0" w:rsidP="00D477E0">
            <w:pPr>
              <w:pStyle w:val="T2"/>
              <w:jc w:val="right"/>
            </w:pPr>
            <w:r w:rsidRPr="0096767F">
              <w:rPr>
                <w:bCs/>
              </w:rPr>
              <w:t>–</w:t>
            </w:r>
          </w:p>
        </w:tc>
        <w:tc>
          <w:tcPr>
            <w:tcW w:w="904" w:type="dxa"/>
            <w:tcBorders>
              <w:bottom w:val="single" w:sz="2" w:space="0" w:color="auto"/>
            </w:tcBorders>
            <w:vAlign w:val="bottom"/>
          </w:tcPr>
          <w:p w14:paraId="161C6327" w14:textId="77777777" w:rsidR="00D477E0" w:rsidRPr="000606CD" w:rsidRDefault="00D477E0" w:rsidP="00D477E0">
            <w:pPr>
              <w:pStyle w:val="T2"/>
              <w:jc w:val="right"/>
            </w:pPr>
            <w:r>
              <w:rPr>
                <w:bCs/>
              </w:rPr>
              <w:t>0.1</w:t>
            </w:r>
          </w:p>
        </w:tc>
        <w:tc>
          <w:tcPr>
            <w:tcW w:w="1033" w:type="dxa"/>
            <w:tcBorders>
              <w:bottom w:val="single" w:sz="2" w:space="0" w:color="auto"/>
            </w:tcBorders>
            <w:vAlign w:val="bottom"/>
          </w:tcPr>
          <w:p w14:paraId="5A148F15" w14:textId="77777777" w:rsidR="00D477E0" w:rsidRPr="002C46B4" w:rsidRDefault="00D477E0" w:rsidP="00D477E0">
            <w:pPr>
              <w:pStyle w:val="T2"/>
              <w:jc w:val="right"/>
            </w:pPr>
            <w:r w:rsidRPr="0096767F">
              <w:rPr>
                <w:bCs/>
              </w:rPr>
              <w:t>–</w:t>
            </w:r>
          </w:p>
        </w:tc>
        <w:tc>
          <w:tcPr>
            <w:tcW w:w="907" w:type="dxa"/>
            <w:tcBorders>
              <w:bottom w:val="single" w:sz="2" w:space="0" w:color="auto"/>
            </w:tcBorders>
            <w:vAlign w:val="bottom"/>
          </w:tcPr>
          <w:p w14:paraId="61C1F025" w14:textId="77777777" w:rsidR="00D477E0" w:rsidRPr="000606CD" w:rsidRDefault="00D477E0" w:rsidP="00D477E0">
            <w:pPr>
              <w:pStyle w:val="T2"/>
              <w:jc w:val="right"/>
            </w:pPr>
            <w:r>
              <w:rPr>
                <w:bCs/>
              </w:rPr>
              <w:t>0.1</w:t>
            </w:r>
          </w:p>
        </w:tc>
      </w:tr>
      <w:tr w:rsidR="00D477E0" w:rsidRPr="00C75824" w14:paraId="3AA5467A" w14:textId="77777777" w:rsidTr="005B3BEE">
        <w:trPr>
          <w:jc w:val="center"/>
        </w:trPr>
        <w:tc>
          <w:tcPr>
            <w:tcW w:w="4394" w:type="dxa"/>
            <w:tcBorders>
              <w:top w:val="single" w:sz="2" w:space="0" w:color="auto"/>
              <w:bottom w:val="single" w:sz="2" w:space="0" w:color="auto"/>
            </w:tcBorders>
            <w:vAlign w:val="bottom"/>
          </w:tcPr>
          <w:p w14:paraId="2C1FB27C" w14:textId="77777777" w:rsidR="00D477E0" w:rsidRPr="00E02FFC" w:rsidRDefault="00D477E0" w:rsidP="00D477E0">
            <w:pPr>
              <w:pStyle w:val="T2"/>
              <w:jc w:val="left"/>
              <w:rPr>
                <w:b/>
              </w:rPr>
            </w:pPr>
            <w:r w:rsidRPr="00E02FFC">
              <w:rPr>
                <w:b/>
              </w:rPr>
              <w:t xml:space="preserve">Total </w:t>
            </w:r>
            <w:r>
              <w:rPr>
                <w:b/>
              </w:rPr>
              <w:t>comprehensive income for the financial period</w:t>
            </w:r>
          </w:p>
        </w:tc>
        <w:tc>
          <w:tcPr>
            <w:tcW w:w="907" w:type="dxa"/>
            <w:tcBorders>
              <w:top w:val="single" w:sz="2" w:space="0" w:color="auto"/>
              <w:bottom w:val="single" w:sz="2" w:space="0" w:color="auto"/>
            </w:tcBorders>
            <w:vAlign w:val="bottom"/>
          </w:tcPr>
          <w:p w14:paraId="570F01A8" w14:textId="77777777" w:rsidR="00D477E0" w:rsidRPr="000606CD" w:rsidRDefault="00D477E0" w:rsidP="00D477E0">
            <w:pPr>
              <w:pStyle w:val="T2"/>
              <w:jc w:val="right"/>
            </w:pPr>
            <w:r w:rsidRPr="0096767F">
              <w:rPr>
                <w:rFonts w:ascii="Calibri" w:hAnsi="Calibri" w:cs="Calibri"/>
                <w:bCs/>
              </w:rPr>
              <w:t>–</w:t>
            </w:r>
          </w:p>
        </w:tc>
        <w:tc>
          <w:tcPr>
            <w:tcW w:w="907" w:type="dxa"/>
            <w:tcBorders>
              <w:top w:val="single" w:sz="2" w:space="0" w:color="auto"/>
              <w:bottom w:val="single" w:sz="2" w:space="0" w:color="auto"/>
            </w:tcBorders>
            <w:vAlign w:val="bottom"/>
          </w:tcPr>
          <w:p w14:paraId="75BF763A" w14:textId="77777777" w:rsidR="00D477E0" w:rsidRPr="000606CD" w:rsidRDefault="00D477E0" w:rsidP="00D477E0">
            <w:pPr>
              <w:pStyle w:val="T2"/>
              <w:jc w:val="right"/>
            </w:pPr>
            <w:r w:rsidRPr="0096767F">
              <w:rPr>
                <w:rFonts w:ascii="Calibri" w:hAnsi="Calibri" w:cs="Calibri"/>
                <w:bCs/>
              </w:rPr>
              <w:t>–</w:t>
            </w:r>
          </w:p>
        </w:tc>
        <w:tc>
          <w:tcPr>
            <w:tcW w:w="1437" w:type="dxa"/>
            <w:tcBorders>
              <w:top w:val="single" w:sz="2" w:space="0" w:color="auto"/>
              <w:bottom w:val="single" w:sz="2" w:space="0" w:color="auto"/>
            </w:tcBorders>
            <w:vAlign w:val="bottom"/>
          </w:tcPr>
          <w:p w14:paraId="4D277400" w14:textId="77777777" w:rsidR="00D477E0" w:rsidRPr="000606CD" w:rsidRDefault="00D477E0" w:rsidP="00D477E0">
            <w:pPr>
              <w:pStyle w:val="T2"/>
              <w:jc w:val="right"/>
            </w:pPr>
            <w:r w:rsidRPr="0096767F">
              <w:rPr>
                <w:rFonts w:ascii="Calibri" w:hAnsi="Calibri" w:cs="Calibri"/>
                <w:bCs/>
              </w:rPr>
              <w:t>–</w:t>
            </w:r>
          </w:p>
        </w:tc>
        <w:tc>
          <w:tcPr>
            <w:tcW w:w="904" w:type="dxa"/>
            <w:tcBorders>
              <w:top w:val="single" w:sz="2" w:space="0" w:color="auto"/>
              <w:bottom w:val="single" w:sz="2" w:space="0" w:color="auto"/>
            </w:tcBorders>
            <w:vAlign w:val="bottom"/>
          </w:tcPr>
          <w:p w14:paraId="7D99F13F" w14:textId="77777777" w:rsidR="00D477E0" w:rsidRPr="000606CD" w:rsidRDefault="00D477E0" w:rsidP="00D477E0">
            <w:pPr>
              <w:pStyle w:val="T2"/>
              <w:jc w:val="right"/>
            </w:pPr>
            <w:r>
              <w:rPr>
                <w:rFonts w:ascii="Calibri" w:hAnsi="Calibri" w:cs="Calibri"/>
                <w:bCs/>
              </w:rPr>
              <w:t>2.5</w:t>
            </w:r>
          </w:p>
        </w:tc>
        <w:tc>
          <w:tcPr>
            <w:tcW w:w="1033" w:type="dxa"/>
            <w:tcBorders>
              <w:top w:val="single" w:sz="2" w:space="0" w:color="auto"/>
              <w:bottom w:val="single" w:sz="2" w:space="0" w:color="auto"/>
            </w:tcBorders>
            <w:vAlign w:val="bottom"/>
          </w:tcPr>
          <w:p w14:paraId="15C90882" w14:textId="77777777" w:rsidR="00D477E0" w:rsidRPr="000606CD" w:rsidRDefault="00D477E0" w:rsidP="00D477E0">
            <w:pPr>
              <w:pStyle w:val="T2"/>
              <w:jc w:val="right"/>
            </w:pPr>
            <w:r>
              <w:rPr>
                <w:rFonts w:ascii="Calibri" w:hAnsi="Calibri" w:cs="Calibri"/>
                <w:bCs/>
              </w:rPr>
              <w:t>1.0</w:t>
            </w:r>
          </w:p>
        </w:tc>
        <w:tc>
          <w:tcPr>
            <w:tcW w:w="907" w:type="dxa"/>
            <w:tcBorders>
              <w:top w:val="single" w:sz="2" w:space="0" w:color="auto"/>
              <w:bottom w:val="single" w:sz="2" w:space="0" w:color="auto"/>
            </w:tcBorders>
            <w:vAlign w:val="bottom"/>
          </w:tcPr>
          <w:p w14:paraId="5C581833" w14:textId="77777777" w:rsidR="00D477E0" w:rsidRPr="000606CD" w:rsidRDefault="00D477E0" w:rsidP="00D477E0">
            <w:pPr>
              <w:pStyle w:val="T2"/>
              <w:jc w:val="right"/>
            </w:pPr>
            <w:r>
              <w:rPr>
                <w:rFonts w:ascii="Calibri" w:hAnsi="Calibri" w:cs="Calibri"/>
                <w:bCs/>
              </w:rPr>
              <w:t>3.5</w:t>
            </w:r>
          </w:p>
        </w:tc>
      </w:tr>
      <w:tr w:rsidR="00D477E0" w:rsidRPr="00C75824" w14:paraId="74844412" w14:textId="77777777" w:rsidTr="005B3BEE">
        <w:trPr>
          <w:jc w:val="center"/>
        </w:trPr>
        <w:tc>
          <w:tcPr>
            <w:tcW w:w="4394" w:type="dxa"/>
            <w:tcBorders>
              <w:top w:val="single" w:sz="2" w:space="0" w:color="auto"/>
            </w:tcBorders>
            <w:vAlign w:val="bottom"/>
          </w:tcPr>
          <w:p w14:paraId="718D8A03" w14:textId="77777777" w:rsidR="00D477E0" w:rsidRPr="000606CD" w:rsidRDefault="00D477E0" w:rsidP="00D477E0">
            <w:pPr>
              <w:pStyle w:val="T2"/>
              <w:jc w:val="left"/>
              <w:rPr>
                <w:rFonts w:cs="Calibri"/>
              </w:rPr>
            </w:pPr>
            <w:r w:rsidRPr="000606CD">
              <w:rPr>
                <w:rFonts w:cs="Calibri"/>
              </w:rPr>
              <w:t>Employee share</w:t>
            </w:r>
            <w:r>
              <w:rPr>
                <w:rFonts w:cs="Calibri"/>
              </w:rPr>
              <w:t>–</w:t>
            </w:r>
            <w:r w:rsidRPr="000606CD">
              <w:rPr>
                <w:rFonts w:cs="Calibri"/>
              </w:rPr>
              <w:t>based payment expense</w:t>
            </w:r>
          </w:p>
        </w:tc>
        <w:tc>
          <w:tcPr>
            <w:tcW w:w="907" w:type="dxa"/>
            <w:tcBorders>
              <w:top w:val="single" w:sz="2" w:space="0" w:color="auto"/>
            </w:tcBorders>
            <w:vAlign w:val="bottom"/>
          </w:tcPr>
          <w:p w14:paraId="5DF4912B" w14:textId="77777777" w:rsidR="00D477E0" w:rsidRPr="000606CD" w:rsidRDefault="00D477E0" w:rsidP="00D477E0">
            <w:pPr>
              <w:pStyle w:val="T2"/>
              <w:jc w:val="right"/>
              <w:rPr>
                <w:rFonts w:cs="Calibri"/>
              </w:rPr>
            </w:pPr>
            <w:r>
              <w:rPr>
                <w:bCs/>
              </w:rPr>
              <w:t>0.9</w:t>
            </w:r>
          </w:p>
        </w:tc>
        <w:tc>
          <w:tcPr>
            <w:tcW w:w="907" w:type="dxa"/>
            <w:tcBorders>
              <w:top w:val="single" w:sz="2" w:space="0" w:color="auto"/>
            </w:tcBorders>
            <w:vAlign w:val="bottom"/>
          </w:tcPr>
          <w:p w14:paraId="0A721709" w14:textId="77777777" w:rsidR="00D477E0" w:rsidRPr="000606CD" w:rsidRDefault="00D477E0" w:rsidP="00D477E0">
            <w:pPr>
              <w:pStyle w:val="T2"/>
              <w:jc w:val="right"/>
              <w:rPr>
                <w:rFonts w:cs="Calibri"/>
              </w:rPr>
            </w:pPr>
            <w:r w:rsidRPr="0096767F">
              <w:rPr>
                <w:bCs/>
              </w:rPr>
              <w:t>–</w:t>
            </w:r>
          </w:p>
        </w:tc>
        <w:tc>
          <w:tcPr>
            <w:tcW w:w="1437" w:type="dxa"/>
            <w:tcBorders>
              <w:top w:val="single" w:sz="2" w:space="0" w:color="auto"/>
            </w:tcBorders>
            <w:vAlign w:val="bottom"/>
          </w:tcPr>
          <w:p w14:paraId="55EA63C6" w14:textId="77777777" w:rsidR="00D477E0" w:rsidRPr="000606CD" w:rsidRDefault="00D477E0" w:rsidP="00D477E0">
            <w:pPr>
              <w:pStyle w:val="T2"/>
              <w:jc w:val="right"/>
              <w:rPr>
                <w:rFonts w:cs="Calibri"/>
              </w:rPr>
            </w:pPr>
            <w:r w:rsidRPr="0096767F">
              <w:rPr>
                <w:bCs/>
              </w:rPr>
              <w:t>–</w:t>
            </w:r>
          </w:p>
        </w:tc>
        <w:tc>
          <w:tcPr>
            <w:tcW w:w="904" w:type="dxa"/>
            <w:tcBorders>
              <w:top w:val="single" w:sz="2" w:space="0" w:color="auto"/>
            </w:tcBorders>
            <w:vAlign w:val="bottom"/>
          </w:tcPr>
          <w:p w14:paraId="1C0282EA" w14:textId="77777777" w:rsidR="00D477E0" w:rsidRPr="000606CD" w:rsidRDefault="00D477E0" w:rsidP="00D477E0">
            <w:pPr>
              <w:pStyle w:val="T2"/>
              <w:jc w:val="right"/>
              <w:rPr>
                <w:rFonts w:cs="Calibri"/>
              </w:rPr>
            </w:pPr>
            <w:r w:rsidRPr="0096767F">
              <w:rPr>
                <w:bCs/>
              </w:rPr>
              <w:t>–</w:t>
            </w:r>
          </w:p>
        </w:tc>
        <w:tc>
          <w:tcPr>
            <w:tcW w:w="1033" w:type="dxa"/>
            <w:tcBorders>
              <w:top w:val="single" w:sz="2" w:space="0" w:color="auto"/>
            </w:tcBorders>
            <w:vAlign w:val="bottom"/>
          </w:tcPr>
          <w:p w14:paraId="276518A3" w14:textId="77777777" w:rsidR="00D477E0" w:rsidRPr="000606CD" w:rsidRDefault="00D477E0" w:rsidP="00D477E0">
            <w:pPr>
              <w:pStyle w:val="T2"/>
              <w:jc w:val="right"/>
              <w:rPr>
                <w:rFonts w:cs="Calibri"/>
              </w:rPr>
            </w:pPr>
            <w:r w:rsidRPr="0096767F">
              <w:rPr>
                <w:bCs/>
              </w:rPr>
              <w:t>–</w:t>
            </w:r>
          </w:p>
        </w:tc>
        <w:tc>
          <w:tcPr>
            <w:tcW w:w="907" w:type="dxa"/>
            <w:tcBorders>
              <w:top w:val="single" w:sz="2" w:space="0" w:color="auto"/>
            </w:tcBorders>
            <w:vAlign w:val="bottom"/>
          </w:tcPr>
          <w:p w14:paraId="6C6EDF95" w14:textId="77777777" w:rsidR="00D477E0" w:rsidRPr="000606CD" w:rsidRDefault="00D477E0" w:rsidP="00D477E0">
            <w:pPr>
              <w:pStyle w:val="T2"/>
              <w:jc w:val="right"/>
              <w:rPr>
                <w:rFonts w:cs="Calibri"/>
              </w:rPr>
            </w:pPr>
            <w:r>
              <w:rPr>
                <w:bCs/>
              </w:rPr>
              <w:t>0.9</w:t>
            </w:r>
          </w:p>
        </w:tc>
      </w:tr>
      <w:tr w:rsidR="00D477E0" w:rsidRPr="00C75824" w14:paraId="2273D0D8" w14:textId="77777777" w:rsidTr="005B3BEE">
        <w:trPr>
          <w:jc w:val="center"/>
        </w:trPr>
        <w:tc>
          <w:tcPr>
            <w:tcW w:w="4394" w:type="dxa"/>
            <w:vAlign w:val="bottom"/>
          </w:tcPr>
          <w:p w14:paraId="11346AF1" w14:textId="77777777" w:rsidR="00D477E0" w:rsidRPr="000606CD" w:rsidRDefault="00D477E0" w:rsidP="00D477E0">
            <w:pPr>
              <w:pStyle w:val="T2"/>
              <w:jc w:val="left"/>
              <w:rPr>
                <w:rFonts w:cs="Calibri"/>
              </w:rPr>
            </w:pPr>
            <w:r w:rsidRPr="000606CD">
              <w:rPr>
                <w:rFonts w:cs="Calibri"/>
              </w:rPr>
              <w:t>Exercise, lapse or forfeit of share</w:t>
            </w:r>
            <w:r>
              <w:rPr>
                <w:rFonts w:cs="Calibri"/>
              </w:rPr>
              <w:t>–</w:t>
            </w:r>
            <w:r w:rsidRPr="000606CD">
              <w:rPr>
                <w:rFonts w:cs="Calibri"/>
              </w:rPr>
              <w:t>based payments</w:t>
            </w:r>
          </w:p>
        </w:tc>
        <w:tc>
          <w:tcPr>
            <w:tcW w:w="907" w:type="dxa"/>
            <w:vAlign w:val="bottom"/>
          </w:tcPr>
          <w:p w14:paraId="22F75188" w14:textId="77777777" w:rsidR="00D477E0" w:rsidRPr="000606CD" w:rsidRDefault="00D477E0" w:rsidP="00D477E0">
            <w:pPr>
              <w:pStyle w:val="T2"/>
              <w:jc w:val="right"/>
              <w:rPr>
                <w:rFonts w:cs="Calibri"/>
              </w:rPr>
            </w:pPr>
            <w:r w:rsidRPr="0096767F">
              <w:rPr>
                <w:bCs/>
              </w:rPr>
              <w:t>(</w:t>
            </w:r>
            <w:r>
              <w:rPr>
                <w:bCs/>
              </w:rPr>
              <w:t>2.6</w:t>
            </w:r>
            <w:r w:rsidRPr="0096767F">
              <w:rPr>
                <w:bCs/>
              </w:rPr>
              <w:t>)</w:t>
            </w:r>
          </w:p>
        </w:tc>
        <w:tc>
          <w:tcPr>
            <w:tcW w:w="907" w:type="dxa"/>
            <w:vAlign w:val="bottom"/>
          </w:tcPr>
          <w:p w14:paraId="04FF87CE" w14:textId="77777777" w:rsidR="00D477E0" w:rsidRPr="000606CD" w:rsidRDefault="00D477E0" w:rsidP="00D477E0">
            <w:pPr>
              <w:pStyle w:val="T2"/>
              <w:jc w:val="right"/>
              <w:rPr>
                <w:rFonts w:cs="Calibri"/>
              </w:rPr>
            </w:pPr>
            <w:r w:rsidRPr="0096767F">
              <w:rPr>
                <w:bCs/>
              </w:rPr>
              <w:t>–</w:t>
            </w:r>
          </w:p>
        </w:tc>
        <w:tc>
          <w:tcPr>
            <w:tcW w:w="1437" w:type="dxa"/>
            <w:vAlign w:val="bottom"/>
          </w:tcPr>
          <w:p w14:paraId="5A09A28E" w14:textId="77777777" w:rsidR="00D477E0" w:rsidRPr="000606CD" w:rsidRDefault="00D477E0" w:rsidP="00D477E0">
            <w:pPr>
              <w:pStyle w:val="T2"/>
              <w:jc w:val="right"/>
              <w:rPr>
                <w:rFonts w:cs="Calibri"/>
              </w:rPr>
            </w:pPr>
            <w:r w:rsidRPr="0096767F">
              <w:rPr>
                <w:bCs/>
              </w:rPr>
              <w:t>–</w:t>
            </w:r>
          </w:p>
        </w:tc>
        <w:tc>
          <w:tcPr>
            <w:tcW w:w="904" w:type="dxa"/>
            <w:vAlign w:val="bottom"/>
          </w:tcPr>
          <w:p w14:paraId="3EAE0EAF" w14:textId="77777777" w:rsidR="00D477E0" w:rsidRPr="000606CD" w:rsidRDefault="00D477E0" w:rsidP="00D477E0">
            <w:pPr>
              <w:pStyle w:val="T2"/>
              <w:jc w:val="right"/>
              <w:rPr>
                <w:rFonts w:cs="Calibri"/>
              </w:rPr>
            </w:pPr>
            <w:r w:rsidRPr="0096767F">
              <w:rPr>
                <w:bCs/>
              </w:rPr>
              <w:t>–</w:t>
            </w:r>
          </w:p>
        </w:tc>
        <w:tc>
          <w:tcPr>
            <w:tcW w:w="1033" w:type="dxa"/>
            <w:vAlign w:val="bottom"/>
          </w:tcPr>
          <w:p w14:paraId="36761509" w14:textId="77777777" w:rsidR="00D477E0" w:rsidRPr="000606CD" w:rsidRDefault="00D477E0" w:rsidP="00D477E0">
            <w:pPr>
              <w:pStyle w:val="T2"/>
              <w:jc w:val="right"/>
              <w:rPr>
                <w:rFonts w:cs="Calibri"/>
              </w:rPr>
            </w:pPr>
            <w:r w:rsidRPr="0096767F">
              <w:rPr>
                <w:bCs/>
              </w:rPr>
              <w:t>–</w:t>
            </w:r>
          </w:p>
        </w:tc>
        <w:tc>
          <w:tcPr>
            <w:tcW w:w="907" w:type="dxa"/>
            <w:vAlign w:val="bottom"/>
          </w:tcPr>
          <w:p w14:paraId="6B11BC5B" w14:textId="77777777" w:rsidR="00D477E0" w:rsidRPr="000606CD" w:rsidRDefault="00D477E0" w:rsidP="00D477E0">
            <w:pPr>
              <w:pStyle w:val="T2"/>
              <w:jc w:val="right"/>
              <w:rPr>
                <w:rFonts w:cs="Calibri"/>
              </w:rPr>
            </w:pPr>
            <w:r w:rsidRPr="0096767F">
              <w:rPr>
                <w:bCs/>
              </w:rPr>
              <w:t>(</w:t>
            </w:r>
            <w:r>
              <w:rPr>
                <w:bCs/>
              </w:rPr>
              <w:t>2.6</w:t>
            </w:r>
            <w:r w:rsidRPr="0096767F">
              <w:rPr>
                <w:bCs/>
              </w:rPr>
              <w:t>)</w:t>
            </w:r>
          </w:p>
        </w:tc>
      </w:tr>
      <w:tr w:rsidR="00D477E0" w:rsidRPr="00C75824" w14:paraId="5DDB0091" w14:textId="77777777" w:rsidTr="005B3BEE">
        <w:trPr>
          <w:jc w:val="center"/>
        </w:trPr>
        <w:tc>
          <w:tcPr>
            <w:tcW w:w="4394" w:type="dxa"/>
            <w:vAlign w:val="bottom"/>
          </w:tcPr>
          <w:p w14:paraId="501FA398" w14:textId="77777777" w:rsidR="00D477E0" w:rsidRPr="000606CD" w:rsidRDefault="00D477E0" w:rsidP="00D477E0">
            <w:pPr>
              <w:pStyle w:val="T2"/>
              <w:jc w:val="left"/>
              <w:rPr>
                <w:rFonts w:cs="Calibri"/>
              </w:rPr>
            </w:pPr>
            <w:r w:rsidRPr="000606CD">
              <w:rPr>
                <w:rFonts w:cs="Calibri"/>
              </w:rPr>
              <w:t>Shares acquired by Employee Benefit Trust</w:t>
            </w:r>
          </w:p>
        </w:tc>
        <w:tc>
          <w:tcPr>
            <w:tcW w:w="907" w:type="dxa"/>
            <w:vAlign w:val="bottom"/>
          </w:tcPr>
          <w:p w14:paraId="68D3CFBD" w14:textId="77777777" w:rsidR="00D477E0" w:rsidRPr="000606CD" w:rsidRDefault="00D477E0" w:rsidP="00D477E0">
            <w:pPr>
              <w:pStyle w:val="T2"/>
              <w:jc w:val="right"/>
              <w:rPr>
                <w:rFonts w:cs="Calibri"/>
              </w:rPr>
            </w:pPr>
            <w:r w:rsidRPr="0096767F">
              <w:rPr>
                <w:bCs/>
              </w:rPr>
              <w:t>–</w:t>
            </w:r>
          </w:p>
        </w:tc>
        <w:tc>
          <w:tcPr>
            <w:tcW w:w="907" w:type="dxa"/>
            <w:vAlign w:val="bottom"/>
          </w:tcPr>
          <w:p w14:paraId="20D5777A" w14:textId="77777777" w:rsidR="00D477E0" w:rsidRPr="000606CD" w:rsidRDefault="00D477E0" w:rsidP="00D477E0">
            <w:pPr>
              <w:pStyle w:val="T2"/>
              <w:jc w:val="right"/>
              <w:rPr>
                <w:rFonts w:cs="Calibri"/>
              </w:rPr>
            </w:pPr>
            <w:r w:rsidRPr="0096767F">
              <w:rPr>
                <w:bCs/>
              </w:rPr>
              <w:t>(0.</w:t>
            </w:r>
            <w:r>
              <w:rPr>
                <w:bCs/>
              </w:rPr>
              <w:t>1</w:t>
            </w:r>
            <w:r w:rsidRPr="0096767F">
              <w:rPr>
                <w:bCs/>
              </w:rPr>
              <w:t>)</w:t>
            </w:r>
          </w:p>
        </w:tc>
        <w:tc>
          <w:tcPr>
            <w:tcW w:w="1437" w:type="dxa"/>
            <w:vAlign w:val="bottom"/>
          </w:tcPr>
          <w:p w14:paraId="385559CA" w14:textId="77777777" w:rsidR="00D477E0" w:rsidRPr="000606CD" w:rsidRDefault="00D477E0" w:rsidP="00D477E0">
            <w:pPr>
              <w:pStyle w:val="T2"/>
              <w:jc w:val="right"/>
              <w:rPr>
                <w:rFonts w:cs="Calibri"/>
              </w:rPr>
            </w:pPr>
            <w:r w:rsidRPr="0096767F">
              <w:rPr>
                <w:bCs/>
              </w:rPr>
              <w:t>–</w:t>
            </w:r>
          </w:p>
        </w:tc>
        <w:tc>
          <w:tcPr>
            <w:tcW w:w="904" w:type="dxa"/>
            <w:vAlign w:val="bottom"/>
          </w:tcPr>
          <w:p w14:paraId="3D626563" w14:textId="77777777" w:rsidR="00D477E0" w:rsidRPr="000606CD" w:rsidRDefault="00D477E0" w:rsidP="00D477E0">
            <w:pPr>
              <w:pStyle w:val="T2"/>
              <w:jc w:val="right"/>
              <w:rPr>
                <w:rFonts w:cs="Calibri"/>
              </w:rPr>
            </w:pPr>
            <w:r w:rsidRPr="0096767F">
              <w:rPr>
                <w:bCs/>
              </w:rPr>
              <w:t>–</w:t>
            </w:r>
          </w:p>
        </w:tc>
        <w:tc>
          <w:tcPr>
            <w:tcW w:w="1033" w:type="dxa"/>
            <w:vAlign w:val="bottom"/>
          </w:tcPr>
          <w:p w14:paraId="02D859FD" w14:textId="77777777" w:rsidR="00D477E0" w:rsidRPr="000606CD" w:rsidRDefault="00D477E0" w:rsidP="00D477E0">
            <w:pPr>
              <w:pStyle w:val="T2"/>
              <w:jc w:val="right"/>
              <w:rPr>
                <w:rFonts w:cs="Calibri"/>
              </w:rPr>
            </w:pPr>
            <w:r w:rsidRPr="0096767F">
              <w:rPr>
                <w:bCs/>
              </w:rPr>
              <w:t>–</w:t>
            </w:r>
          </w:p>
        </w:tc>
        <w:tc>
          <w:tcPr>
            <w:tcW w:w="907" w:type="dxa"/>
            <w:vAlign w:val="bottom"/>
          </w:tcPr>
          <w:p w14:paraId="4100FC47" w14:textId="77777777" w:rsidR="00D477E0" w:rsidRPr="000606CD" w:rsidRDefault="00D477E0" w:rsidP="00D477E0">
            <w:pPr>
              <w:pStyle w:val="T2"/>
              <w:jc w:val="right"/>
              <w:rPr>
                <w:rFonts w:cs="Calibri"/>
              </w:rPr>
            </w:pPr>
            <w:r w:rsidRPr="0096767F">
              <w:rPr>
                <w:bCs/>
              </w:rPr>
              <w:t>(0.</w:t>
            </w:r>
            <w:r>
              <w:rPr>
                <w:bCs/>
              </w:rPr>
              <w:t>1</w:t>
            </w:r>
            <w:r w:rsidRPr="0096767F">
              <w:rPr>
                <w:bCs/>
              </w:rPr>
              <w:t>)</w:t>
            </w:r>
          </w:p>
        </w:tc>
      </w:tr>
      <w:tr w:rsidR="00D477E0" w:rsidRPr="00C75824" w14:paraId="07D4F056" w14:textId="77777777" w:rsidTr="001F1616">
        <w:trPr>
          <w:jc w:val="center"/>
        </w:trPr>
        <w:tc>
          <w:tcPr>
            <w:tcW w:w="4394" w:type="dxa"/>
            <w:tcBorders>
              <w:bottom w:val="single" w:sz="2" w:space="0" w:color="auto"/>
            </w:tcBorders>
            <w:vAlign w:val="bottom"/>
          </w:tcPr>
          <w:p w14:paraId="35B1A42D" w14:textId="77777777" w:rsidR="00D477E0" w:rsidRPr="000606CD" w:rsidRDefault="00D477E0">
            <w:pPr>
              <w:pStyle w:val="T2"/>
              <w:jc w:val="left"/>
              <w:rPr>
                <w:rFonts w:cs="Calibri"/>
              </w:rPr>
            </w:pPr>
            <w:r w:rsidRPr="000606CD">
              <w:rPr>
                <w:rFonts w:cs="Calibri"/>
              </w:rPr>
              <w:t xml:space="preserve">Transfer to Retained Earnings on </w:t>
            </w:r>
            <w:r w:rsidR="005726F7">
              <w:rPr>
                <w:rFonts w:cs="Calibri"/>
              </w:rPr>
              <w:t xml:space="preserve">transfer </w:t>
            </w:r>
            <w:r w:rsidRPr="000606CD">
              <w:rPr>
                <w:rFonts w:cs="Calibri"/>
              </w:rPr>
              <w:t>of shares to beneficiaries of the Employee Benefit Trust</w:t>
            </w:r>
          </w:p>
        </w:tc>
        <w:tc>
          <w:tcPr>
            <w:tcW w:w="907" w:type="dxa"/>
            <w:tcBorders>
              <w:bottom w:val="single" w:sz="2" w:space="0" w:color="auto"/>
            </w:tcBorders>
            <w:vAlign w:val="bottom"/>
          </w:tcPr>
          <w:p w14:paraId="7AF42298" w14:textId="77777777" w:rsidR="00D477E0" w:rsidRPr="000606CD" w:rsidRDefault="00D477E0" w:rsidP="00D477E0">
            <w:pPr>
              <w:pStyle w:val="T2"/>
              <w:jc w:val="right"/>
              <w:rPr>
                <w:rFonts w:cs="Calibri"/>
              </w:rPr>
            </w:pPr>
            <w:r w:rsidRPr="0096767F">
              <w:rPr>
                <w:bCs/>
              </w:rPr>
              <w:t>–</w:t>
            </w:r>
          </w:p>
        </w:tc>
        <w:tc>
          <w:tcPr>
            <w:tcW w:w="907" w:type="dxa"/>
            <w:tcBorders>
              <w:bottom w:val="single" w:sz="2" w:space="0" w:color="auto"/>
            </w:tcBorders>
            <w:vAlign w:val="bottom"/>
          </w:tcPr>
          <w:p w14:paraId="02E00FAB" w14:textId="77777777" w:rsidR="00D477E0" w:rsidRPr="000606CD" w:rsidRDefault="00D477E0" w:rsidP="00D477E0">
            <w:pPr>
              <w:pStyle w:val="T2"/>
              <w:jc w:val="right"/>
              <w:rPr>
                <w:rFonts w:cs="Calibri"/>
              </w:rPr>
            </w:pPr>
            <w:r>
              <w:rPr>
                <w:bCs/>
              </w:rPr>
              <w:t>5.0</w:t>
            </w:r>
          </w:p>
        </w:tc>
        <w:tc>
          <w:tcPr>
            <w:tcW w:w="1437" w:type="dxa"/>
            <w:tcBorders>
              <w:bottom w:val="single" w:sz="2" w:space="0" w:color="auto"/>
            </w:tcBorders>
            <w:vAlign w:val="bottom"/>
          </w:tcPr>
          <w:p w14:paraId="68C5BCB4" w14:textId="77777777" w:rsidR="00D477E0" w:rsidRPr="000606CD" w:rsidRDefault="00D477E0" w:rsidP="00D477E0">
            <w:pPr>
              <w:pStyle w:val="T2"/>
              <w:jc w:val="right"/>
              <w:rPr>
                <w:rFonts w:cs="Calibri"/>
              </w:rPr>
            </w:pPr>
            <w:r w:rsidRPr="0096767F">
              <w:rPr>
                <w:bCs/>
              </w:rPr>
              <w:t>–</w:t>
            </w:r>
          </w:p>
        </w:tc>
        <w:tc>
          <w:tcPr>
            <w:tcW w:w="904" w:type="dxa"/>
            <w:tcBorders>
              <w:bottom w:val="single" w:sz="2" w:space="0" w:color="auto"/>
            </w:tcBorders>
            <w:vAlign w:val="bottom"/>
          </w:tcPr>
          <w:p w14:paraId="04E53E55" w14:textId="77777777" w:rsidR="00D477E0" w:rsidRPr="000606CD" w:rsidRDefault="00D477E0" w:rsidP="00D477E0">
            <w:pPr>
              <w:pStyle w:val="T2"/>
              <w:jc w:val="right"/>
              <w:rPr>
                <w:rFonts w:cs="Calibri"/>
              </w:rPr>
            </w:pPr>
            <w:r w:rsidRPr="0096767F">
              <w:rPr>
                <w:bCs/>
              </w:rPr>
              <w:t>–</w:t>
            </w:r>
          </w:p>
        </w:tc>
        <w:tc>
          <w:tcPr>
            <w:tcW w:w="1033" w:type="dxa"/>
            <w:tcBorders>
              <w:bottom w:val="single" w:sz="2" w:space="0" w:color="auto"/>
            </w:tcBorders>
            <w:vAlign w:val="bottom"/>
          </w:tcPr>
          <w:p w14:paraId="6994ED70" w14:textId="77777777" w:rsidR="00D477E0" w:rsidRPr="000606CD" w:rsidRDefault="00D477E0" w:rsidP="00D477E0">
            <w:pPr>
              <w:pStyle w:val="T2"/>
              <w:jc w:val="right"/>
              <w:rPr>
                <w:rFonts w:cs="Calibri"/>
              </w:rPr>
            </w:pPr>
            <w:r w:rsidRPr="0096767F">
              <w:rPr>
                <w:bCs/>
              </w:rPr>
              <w:t>–</w:t>
            </w:r>
          </w:p>
        </w:tc>
        <w:tc>
          <w:tcPr>
            <w:tcW w:w="907" w:type="dxa"/>
            <w:tcBorders>
              <w:bottom w:val="single" w:sz="2" w:space="0" w:color="auto"/>
            </w:tcBorders>
            <w:vAlign w:val="bottom"/>
          </w:tcPr>
          <w:p w14:paraId="1165C220" w14:textId="77777777" w:rsidR="00D477E0" w:rsidRPr="000606CD" w:rsidRDefault="00D477E0" w:rsidP="00D477E0">
            <w:pPr>
              <w:pStyle w:val="T2"/>
              <w:jc w:val="right"/>
              <w:rPr>
                <w:rFonts w:cs="Calibri"/>
              </w:rPr>
            </w:pPr>
            <w:r>
              <w:rPr>
                <w:bCs/>
              </w:rPr>
              <w:t>5.0</w:t>
            </w:r>
          </w:p>
        </w:tc>
      </w:tr>
      <w:tr w:rsidR="00D477E0" w:rsidRPr="00C75824" w14:paraId="2ABE576E" w14:textId="77777777" w:rsidTr="001F1616">
        <w:trPr>
          <w:jc w:val="center"/>
        </w:trPr>
        <w:tc>
          <w:tcPr>
            <w:tcW w:w="4394" w:type="dxa"/>
            <w:tcBorders>
              <w:top w:val="single" w:sz="2" w:space="0" w:color="auto"/>
              <w:bottom w:val="single" w:sz="2" w:space="0" w:color="auto"/>
            </w:tcBorders>
            <w:vAlign w:val="bottom"/>
          </w:tcPr>
          <w:p w14:paraId="0F14DB40" w14:textId="77777777" w:rsidR="00D477E0" w:rsidRPr="00E02FFC" w:rsidRDefault="00D477E0" w:rsidP="00D477E0">
            <w:pPr>
              <w:pStyle w:val="T2"/>
              <w:jc w:val="left"/>
              <w:rPr>
                <w:b/>
              </w:rPr>
            </w:pPr>
            <w:r w:rsidRPr="00E02FFC">
              <w:rPr>
                <w:b/>
              </w:rPr>
              <w:t xml:space="preserve">At </w:t>
            </w:r>
            <w:r>
              <w:rPr>
                <w:b/>
              </w:rPr>
              <w:t>27 March 2020</w:t>
            </w:r>
          </w:p>
        </w:tc>
        <w:tc>
          <w:tcPr>
            <w:tcW w:w="907" w:type="dxa"/>
            <w:tcBorders>
              <w:top w:val="single" w:sz="2" w:space="0" w:color="auto"/>
              <w:bottom w:val="single" w:sz="2" w:space="0" w:color="auto"/>
            </w:tcBorders>
            <w:vAlign w:val="bottom"/>
          </w:tcPr>
          <w:p w14:paraId="2E2BEF15" w14:textId="77777777" w:rsidR="00D477E0" w:rsidRPr="000606CD" w:rsidRDefault="0088383C" w:rsidP="00D477E0">
            <w:pPr>
              <w:pStyle w:val="T2"/>
              <w:jc w:val="right"/>
              <w:rPr>
                <w:rFonts w:cs="Calibri"/>
              </w:rPr>
            </w:pPr>
            <w:r>
              <w:rPr>
                <w:bCs/>
              </w:rPr>
              <w:t>3.1</w:t>
            </w:r>
          </w:p>
        </w:tc>
        <w:tc>
          <w:tcPr>
            <w:tcW w:w="907" w:type="dxa"/>
            <w:tcBorders>
              <w:top w:val="single" w:sz="2" w:space="0" w:color="auto"/>
              <w:bottom w:val="single" w:sz="2" w:space="0" w:color="auto"/>
            </w:tcBorders>
            <w:vAlign w:val="bottom"/>
          </w:tcPr>
          <w:p w14:paraId="667FC162" w14:textId="77777777" w:rsidR="00D477E0" w:rsidRPr="000606CD" w:rsidRDefault="00D477E0" w:rsidP="0088383C">
            <w:pPr>
              <w:pStyle w:val="T2"/>
              <w:jc w:val="right"/>
              <w:rPr>
                <w:rFonts w:cs="Calibri"/>
              </w:rPr>
            </w:pPr>
            <w:r w:rsidRPr="0096767F">
              <w:rPr>
                <w:bCs/>
              </w:rPr>
              <w:t>(</w:t>
            </w:r>
            <w:r w:rsidR="0088383C">
              <w:rPr>
                <w:bCs/>
              </w:rPr>
              <w:t>3.3</w:t>
            </w:r>
            <w:r w:rsidRPr="0096767F">
              <w:rPr>
                <w:bCs/>
              </w:rPr>
              <w:t>)</w:t>
            </w:r>
          </w:p>
        </w:tc>
        <w:tc>
          <w:tcPr>
            <w:tcW w:w="1437" w:type="dxa"/>
            <w:tcBorders>
              <w:top w:val="single" w:sz="2" w:space="0" w:color="auto"/>
              <w:bottom w:val="single" w:sz="2" w:space="0" w:color="auto"/>
            </w:tcBorders>
            <w:vAlign w:val="bottom"/>
          </w:tcPr>
          <w:p w14:paraId="4E2AB4C0" w14:textId="77777777" w:rsidR="00D477E0" w:rsidRPr="000606CD" w:rsidRDefault="00D477E0" w:rsidP="00D477E0">
            <w:pPr>
              <w:pStyle w:val="T2"/>
              <w:jc w:val="right"/>
              <w:rPr>
                <w:rFonts w:cs="Calibri"/>
              </w:rPr>
            </w:pPr>
            <w:r w:rsidRPr="0096767F">
              <w:rPr>
                <w:bCs/>
              </w:rPr>
              <w:t>120.4</w:t>
            </w:r>
          </w:p>
        </w:tc>
        <w:tc>
          <w:tcPr>
            <w:tcW w:w="904" w:type="dxa"/>
            <w:tcBorders>
              <w:top w:val="single" w:sz="2" w:space="0" w:color="auto"/>
              <w:bottom w:val="single" w:sz="2" w:space="0" w:color="auto"/>
            </w:tcBorders>
            <w:vAlign w:val="bottom"/>
          </w:tcPr>
          <w:p w14:paraId="57651605" w14:textId="77777777" w:rsidR="00D477E0" w:rsidRPr="000606CD" w:rsidRDefault="0088383C" w:rsidP="0088383C">
            <w:pPr>
              <w:pStyle w:val="T2"/>
              <w:jc w:val="right"/>
              <w:rPr>
                <w:rFonts w:cs="Calibri"/>
              </w:rPr>
            </w:pPr>
            <w:r>
              <w:rPr>
                <w:bCs/>
              </w:rPr>
              <w:t>1.5</w:t>
            </w:r>
          </w:p>
        </w:tc>
        <w:tc>
          <w:tcPr>
            <w:tcW w:w="1033" w:type="dxa"/>
            <w:tcBorders>
              <w:top w:val="single" w:sz="2" w:space="0" w:color="auto"/>
              <w:bottom w:val="single" w:sz="2" w:space="0" w:color="auto"/>
            </w:tcBorders>
            <w:vAlign w:val="bottom"/>
          </w:tcPr>
          <w:p w14:paraId="5C0AA9B6" w14:textId="77777777" w:rsidR="00D477E0" w:rsidRPr="000606CD" w:rsidRDefault="0088383C" w:rsidP="00D477E0">
            <w:pPr>
              <w:pStyle w:val="T2"/>
              <w:jc w:val="right"/>
              <w:rPr>
                <w:rFonts w:cs="Calibri"/>
              </w:rPr>
            </w:pPr>
            <w:r>
              <w:rPr>
                <w:bCs/>
              </w:rPr>
              <w:t>1.8</w:t>
            </w:r>
          </w:p>
        </w:tc>
        <w:tc>
          <w:tcPr>
            <w:tcW w:w="907" w:type="dxa"/>
            <w:tcBorders>
              <w:top w:val="single" w:sz="2" w:space="0" w:color="auto"/>
              <w:bottom w:val="single" w:sz="2" w:space="0" w:color="auto"/>
            </w:tcBorders>
            <w:vAlign w:val="bottom"/>
          </w:tcPr>
          <w:p w14:paraId="201D9A8A" w14:textId="77777777" w:rsidR="00D477E0" w:rsidRPr="000606CD" w:rsidRDefault="0088383C" w:rsidP="0088383C">
            <w:pPr>
              <w:pStyle w:val="T2"/>
              <w:jc w:val="right"/>
              <w:rPr>
                <w:rFonts w:cs="Calibri"/>
              </w:rPr>
            </w:pPr>
            <w:r>
              <w:rPr>
                <w:bCs/>
              </w:rPr>
              <w:t>123.5</w:t>
            </w:r>
          </w:p>
        </w:tc>
      </w:tr>
      <w:tr w:rsidR="00D477E0" w:rsidRPr="00C75824" w14:paraId="3606C139" w14:textId="77777777" w:rsidTr="001F1616">
        <w:trPr>
          <w:jc w:val="center"/>
        </w:trPr>
        <w:tc>
          <w:tcPr>
            <w:tcW w:w="4394" w:type="dxa"/>
            <w:tcBorders>
              <w:top w:val="single" w:sz="2" w:space="0" w:color="auto"/>
            </w:tcBorders>
            <w:vAlign w:val="bottom"/>
          </w:tcPr>
          <w:p w14:paraId="632CF2BF" w14:textId="77777777" w:rsidR="00D477E0" w:rsidRPr="00102F12" w:rsidRDefault="00D477E0" w:rsidP="00D477E0">
            <w:pPr>
              <w:pStyle w:val="T2"/>
              <w:jc w:val="left"/>
              <w:rPr>
                <w:b/>
              </w:rPr>
            </w:pPr>
          </w:p>
        </w:tc>
        <w:tc>
          <w:tcPr>
            <w:tcW w:w="907" w:type="dxa"/>
            <w:tcBorders>
              <w:top w:val="single" w:sz="2" w:space="0" w:color="auto"/>
            </w:tcBorders>
            <w:vAlign w:val="bottom"/>
          </w:tcPr>
          <w:p w14:paraId="4E6976C8" w14:textId="77777777" w:rsidR="00D477E0" w:rsidRPr="000606CD" w:rsidRDefault="00D477E0" w:rsidP="00D477E0">
            <w:pPr>
              <w:pStyle w:val="T2"/>
              <w:jc w:val="right"/>
              <w:rPr>
                <w:rFonts w:cs="Calibri"/>
              </w:rPr>
            </w:pPr>
          </w:p>
        </w:tc>
        <w:tc>
          <w:tcPr>
            <w:tcW w:w="907" w:type="dxa"/>
            <w:tcBorders>
              <w:top w:val="single" w:sz="2" w:space="0" w:color="auto"/>
            </w:tcBorders>
            <w:vAlign w:val="bottom"/>
          </w:tcPr>
          <w:p w14:paraId="3EFEB7FD" w14:textId="77777777" w:rsidR="00D477E0" w:rsidRPr="000606CD" w:rsidRDefault="00D477E0" w:rsidP="00D477E0">
            <w:pPr>
              <w:pStyle w:val="T2"/>
              <w:jc w:val="right"/>
              <w:rPr>
                <w:rFonts w:cs="Calibri"/>
              </w:rPr>
            </w:pPr>
          </w:p>
        </w:tc>
        <w:tc>
          <w:tcPr>
            <w:tcW w:w="1437" w:type="dxa"/>
            <w:tcBorders>
              <w:top w:val="single" w:sz="2" w:space="0" w:color="auto"/>
            </w:tcBorders>
            <w:vAlign w:val="bottom"/>
          </w:tcPr>
          <w:p w14:paraId="4CE53CE0" w14:textId="77777777" w:rsidR="00D477E0" w:rsidRPr="000606CD" w:rsidRDefault="00D477E0" w:rsidP="00D477E0">
            <w:pPr>
              <w:pStyle w:val="T2"/>
              <w:jc w:val="right"/>
              <w:rPr>
                <w:rFonts w:cs="Calibri"/>
              </w:rPr>
            </w:pPr>
          </w:p>
        </w:tc>
        <w:tc>
          <w:tcPr>
            <w:tcW w:w="904" w:type="dxa"/>
            <w:tcBorders>
              <w:top w:val="single" w:sz="2" w:space="0" w:color="auto"/>
            </w:tcBorders>
            <w:vAlign w:val="bottom"/>
          </w:tcPr>
          <w:p w14:paraId="115D40A8" w14:textId="77777777" w:rsidR="00D477E0" w:rsidRPr="000606CD" w:rsidRDefault="00D477E0" w:rsidP="00D477E0">
            <w:pPr>
              <w:pStyle w:val="T2"/>
              <w:jc w:val="right"/>
              <w:rPr>
                <w:rFonts w:cs="Calibri"/>
              </w:rPr>
            </w:pPr>
          </w:p>
        </w:tc>
        <w:tc>
          <w:tcPr>
            <w:tcW w:w="1033" w:type="dxa"/>
            <w:tcBorders>
              <w:top w:val="single" w:sz="2" w:space="0" w:color="auto"/>
            </w:tcBorders>
            <w:vAlign w:val="bottom"/>
          </w:tcPr>
          <w:p w14:paraId="41863A5C" w14:textId="77777777" w:rsidR="00D477E0" w:rsidRPr="000606CD" w:rsidRDefault="00D477E0" w:rsidP="00D477E0">
            <w:pPr>
              <w:pStyle w:val="T2"/>
              <w:jc w:val="right"/>
              <w:rPr>
                <w:rFonts w:cs="Calibri"/>
              </w:rPr>
            </w:pPr>
          </w:p>
        </w:tc>
        <w:tc>
          <w:tcPr>
            <w:tcW w:w="907" w:type="dxa"/>
            <w:tcBorders>
              <w:top w:val="single" w:sz="2" w:space="0" w:color="auto"/>
            </w:tcBorders>
            <w:vAlign w:val="bottom"/>
          </w:tcPr>
          <w:p w14:paraId="5579A048" w14:textId="77777777" w:rsidR="00D477E0" w:rsidRPr="000606CD" w:rsidRDefault="00D477E0" w:rsidP="00D477E0">
            <w:pPr>
              <w:pStyle w:val="T2"/>
              <w:jc w:val="right"/>
              <w:rPr>
                <w:rFonts w:cs="Calibri"/>
              </w:rPr>
            </w:pPr>
          </w:p>
        </w:tc>
      </w:tr>
    </w:tbl>
    <w:p w14:paraId="3C2F8418" w14:textId="77777777" w:rsidR="00EB44C4" w:rsidRPr="00EB44C4" w:rsidRDefault="00EB44C4" w:rsidP="00EB44C4">
      <w:pPr>
        <w:tabs>
          <w:tab w:val="left" w:pos="207"/>
          <w:tab w:val="right" w:pos="9746"/>
        </w:tabs>
        <w:rPr>
          <w:b/>
          <w:color w:val="002060"/>
          <w:sz w:val="20"/>
          <w:szCs w:val="20"/>
        </w:rPr>
      </w:pPr>
      <w:r w:rsidRPr="00EB44C4">
        <w:rPr>
          <w:b/>
          <w:color w:val="002060"/>
          <w:sz w:val="20"/>
          <w:szCs w:val="20"/>
        </w:rPr>
        <w:tab/>
      </w:r>
    </w:p>
    <w:p w14:paraId="05EB6523" w14:textId="77777777" w:rsidR="00EB44C4" w:rsidRPr="00EB44C4" w:rsidRDefault="00EB44C4" w:rsidP="00EB44C4">
      <w:pPr>
        <w:tabs>
          <w:tab w:val="left" w:pos="207"/>
          <w:tab w:val="right" w:pos="9746"/>
        </w:tabs>
        <w:rPr>
          <w:b/>
          <w:color w:val="002060"/>
          <w:sz w:val="20"/>
          <w:szCs w:val="20"/>
        </w:rPr>
      </w:pPr>
      <w:r w:rsidRPr="00EB44C4">
        <w:rPr>
          <w:b/>
          <w:color w:val="002060"/>
          <w:sz w:val="20"/>
          <w:szCs w:val="20"/>
        </w:rPr>
        <w:t>NOTES TO THE CONDENSED GROUP FINANCIAL STATEMENTS</w:t>
      </w:r>
    </w:p>
    <w:p w14:paraId="3293B014" w14:textId="77777777" w:rsidR="00773F7B" w:rsidRPr="00EB44C4" w:rsidRDefault="00773F7B" w:rsidP="00EB44C4">
      <w:pPr>
        <w:tabs>
          <w:tab w:val="left" w:pos="207"/>
          <w:tab w:val="right" w:pos="9746"/>
        </w:tabs>
        <w:rPr>
          <w:b/>
          <w:sz w:val="18"/>
          <w:szCs w:val="18"/>
        </w:rPr>
      </w:pPr>
      <w:r w:rsidRPr="00EB44C4">
        <w:rPr>
          <w:b/>
          <w:sz w:val="18"/>
          <w:szCs w:val="18"/>
        </w:rPr>
        <w:t>1.</w:t>
      </w:r>
      <w:r w:rsidR="000A27F7" w:rsidRPr="00EB44C4">
        <w:rPr>
          <w:b/>
          <w:sz w:val="18"/>
          <w:szCs w:val="18"/>
        </w:rPr>
        <w:tab/>
      </w:r>
      <w:r w:rsidRPr="00EB44C4">
        <w:rPr>
          <w:b/>
          <w:bCs/>
          <w:sz w:val="18"/>
          <w:szCs w:val="18"/>
          <w:lang w:val="en-US"/>
        </w:rPr>
        <w:t>Basis of preparation</w:t>
      </w:r>
    </w:p>
    <w:p w14:paraId="66D6CA3A" w14:textId="77777777" w:rsidR="00773F7B" w:rsidRDefault="00773F7B" w:rsidP="005B3BEE">
      <w:pPr>
        <w:pStyle w:val="Paragraph"/>
        <w:spacing w:before="0" w:after="120"/>
        <w:jc w:val="both"/>
      </w:pPr>
      <w:r>
        <w:t xml:space="preserve">The </w:t>
      </w:r>
      <w:r w:rsidRPr="005C6717">
        <w:t xml:space="preserve">Condensed </w:t>
      </w:r>
      <w:r>
        <w:t xml:space="preserve">Group </w:t>
      </w:r>
      <w:r w:rsidRPr="005C6717">
        <w:t>Financial Statements of Greencore Group Plc (the 'Group'), which are presented in sterling and expressed in millions</w:t>
      </w:r>
      <w:r>
        <w:t>, unless otherwise indicated</w:t>
      </w:r>
      <w:r w:rsidRPr="005C6717">
        <w:t>, have been prepared as at, and for the 26 week period ended</w:t>
      </w:r>
      <w:r>
        <w:t>,</w:t>
      </w:r>
      <w:r w:rsidRPr="005C6717">
        <w:t xml:space="preserve"> </w:t>
      </w:r>
      <w:r w:rsidR="00946079">
        <w:t>26 March 2021</w:t>
      </w:r>
      <w:r w:rsidRPr="005C6717">
        <w:t xml:space="preserve">, and have been prepared in accordance with </w:t>
      </w:r>
      <w:r w:rsidR="005726F7">
        <w:t xml:space="preserve">the </w:t>
      </w:r>
      <w:r w:rsidR="00316576">
        <w:t xml:space="preserve">Disclosure </w:t>
      </w:r>
      <w:r w:rsidR="00491A42">
        <w:t>G</w:t>
      </w:r>
      <w:r w:rsidR="00316576" w:rsidRPr="00F9496A">
        <w:t xml:space="preserve">uidance and </w:t>
      </w:r>
      <w:r w:rsidRPr="00F55D04">
        <w:t xml:space="preserve">Transparency Rules of the </w:t>
      </w:r>
      <w:r w:rsidR="00614D12" w:rsidRPr="00F55D04">
        <w:t xml:space="preserve">Financial Conduct Authority </w:t>
      </w:r>
      <w:r w:rsidR="00EA0555">
        <w:t>(‘FCA’)</w:t>
      </w:r>
      <w:r w:rsidR="00206E9E">
        <w:t xml:space="preserve"> </w:t>
      </w:r>
      <w:r w:rsidRPr="00F9496A">
        <w:t>and</w:t>
      </w:r>
      <w:r w:rsidRPr="005C6717">
        <w:t xml:space="preserve"> IAS 34 </w:t>
      </w:r>
      <w:r w:rsidRPr="008A2EFB">
        <w:rPr>
          <w:i/>
        </w:rPr>
        <w:t>Interim Financial Reporting</w:t>
      </w:r>
      <w:r w:rsidR="00F9496A">
        <w:t xml:space="preserve"> as adopted by the European Union</w:t>
      </w:r>
      <w:r w:rsidR="005726F7">
        <w:t>.</w:t>
      </w:r>
    </w:p>
    <w:p w14:paraId="5919008A" w14:textId="77777777" w:rsidR="00773F7B" w:rsidRDefault="00773F7B" w:rsidP="005B3BEE">
      <w:pPr>
        <w:pStyle w:val="Paragraph"/>
        <w:spacing w:before="0" w:after="120"/>
        <w:jc w:val="both"/>
      </w:pPr>
      <w:r w:rsidRPr="005C6717">
        <w:t xml:space="preserve">These Condensed </w:t>
      </w:r>
      <w:r w:rsidR="00665CB5">
        <w:t xml:space="preserve">Group </w:t>
      </w:r>
      <w:r w:rsidRPr="005C6717">
        <w:t>Financial Statements do not comprise statutory accounts within the meaning of Section 3</w:t>
      </w:r>
      <w:r>
        <w:t>40</w:t>
      </w:r>
      <w:r w:rsidRPr="005C6717">
        <w:t xml:space="preserve"> of the Companies Act 2014. The condensed </w:t>
      </w:r>
      <w:r>
        <w:t xml:space="preserve">Group </w:t>
      </w:r>
      <w:r w:rsidRPr="005C6717">
        <w:t>financial information for the year ended 2</w:t>
      </w:r>
      <w:r w:rsidR="00614D12">
        <w:t>5</w:t>
      </w:r>
      <w:r w:rsidRPr="005C6717">
        <w:t xml:space="preserve"> September 20</w:t>
      </w:r>
      <w:r w:rsidR="00614D12">
        <w:t>20</w:t>
      </w:r>
      <w:r w:rsidRPr="005C6717">
        <w:t xml:space="preserve"> represents an abbreviated version of the Group Financial Statements for that year. Those financial statements, upon which the auditor issued an unqualified audit report</w:t>
      </w:r>
      <w:r w:rsidR="00831223">
        <w:t xml:space="preserve"> and did not include a reference to any matters to which the auditor drew attention by way of emphasis without qualifying the report</w:t>
      </w:r>
      <w:r w:rsidRPr="005C6717">
        <w:t xml:space="preserve">, have been filed with the Registrar of Companies. </w:t>
      </w:r>
    </w:p>
    <w:p w14:paraId="2F36966F" w14:textId="77777777" w:rsidR="003F79EF" w:rsidRDefault="00C16FC0" w:rsidP="00F55D04">
      <w:pPr>
        <w:pStyle w:val="SectionH3"/>
        <w:spacing w:before="120" w:after="0"/>
      </w:pPr>
      <w:r>
        <w:t>Comparative period presentation</w:t>
      </w:r>
    </w:p>
    <w:p w14:paraId="5C35F42B" w14:textId="77777777" w:rsidR="003F79EF" w:rsidRPr="00F55D04" w:rsidRDefault="003F79EF" w:rsidP="00F55D04">
      <w:pPr>
        <w:pStyle w:val="SectionH3"/>
        <w:spacing w:before="120" w:after="0"/>
        <w:rPr>
          <w:b w:val="0"/>
        </w:rPr>
      </w:pPr>
      <w:r>
        <w:rPr>
          <w:b w:val="0"/>
        </w:rPr>
        <w:t>For the period ended 27 March 2020, the Group has re-presented certain income statement items on a basis consistent with the current year. The change impacted the presentation of finance income and finance expense and the presentation of</w:t>
      </w:r>
      <w:r w:rsidR="00157690">
        <w:rPr>
          <w:b w:val="0"/>
        </w:rPr>
        <w:t xml:space="preserve"> exceptional items between cost of sales and operating costs</w:t>
      </w:r>
      <w:r>
        <w:rPr>
          <w:b w:val="0"/>
        </w:rPr>
        <w:t xml:space="preserve">. There was no impact to previously reported profit. </w:t>
      </w:r>
    </w:p>
    <w:p w14:paraId="1CE4F947" w14:textId="77777777" w:rsidR="00614D12" w:rsidRDefault="00911786" w:rsidP="00F55D04">
      <w:pPr>
        <w:pStyle w:val="SectionH3"/>
        <w:spacing w:before="120" w:after="0"/>
        <w:rPr>
          <w:b w:val="0"/>
        </w:rPr>
      </w:pPr>
      <w:r>
        <w:rPr>
          <w:b w:val="0"/>
        </w:rPr>
        <w:t xml:space="preserve">For the </w:t>
      </w:r>
      <w:r w:rsidR="00C76E35">
        <w:rPr>
          <w:b w:val="0"/>
        </w:rPr>
        <w:t xml:space="preserve">year ended 25 September 2020, the Group </w:t>
      </w:r>
      <w:r w:rsidR="005726F7">
        <w:rPr>
          <w:b w:val="0"/>
        </w:rPr>
        <w:t xml:space="preserve">amended </w:t>
      </w:r>
      <w:r w:rsidR="00C76E35">
        <w:rPr>
          <w:b w:val="0"/>
        </w:rPr>
        <w:t xml:space="preserve">the presentation of cash at bank and in hand and bank overdrafts for the Group’s cash pooling arrangement. While the Group has the legal right to offset under the arrangement, it was determined that a more appropriate presentation of cash at bank and in hand and bank overdrafts is on a gross basis in line with the requirements of IAS 32 </w:t>
      </w:r>
      <w:r w:rsidR="00C76E35" w:rsidRPr="00911786">
        <w:rPr>
          <w:b w:val="0"/>
          <w:i/>
        </w:rPr>
        <w:t>Financial Instruments: Presentation</w:t>
      </w:r>
      <w:r w:rsidR="00C76E35">
        <w:rPr>
          <w:b w:val="0"/>
        </w:rPr>
        <w:t xml:space="preserve"> and therefore prior period comparatives have been restated accordingly. The impact of this change is to increase both cash at bank and in hand and bank overdrafts within borrowings as at 27 March 2020 by £238.1m in the Condensed Group Statement of Financial Position. There is no impact on net assets. </w:t>
      </w:r>
    </w:p>
    <w:p w14:paraId="173BE29A" w14:textId="77777777" w:rsidR="00773F7B" w:rsidRPr="008A2EFB" w:rsidRDefault="00773F7B" w:rsidP="00F55D04">
      <w:pPr>
        <w:pStyle w:val="SectionH3"/>
        <w:spacing w:before="120" w:after="0"/>
      </w:pPr>
      <w:r w:rsidRPr="008A2EFB">
        <w:t>Going concern</w:t>
      </w:r>
    </w:p>
    <w:p w14:paraId="6F70DE32" w14:textId="77777777" w:rsidR="00751644" w:rsidRDefault="00751644" w:rsidP="00F55D04">
      <w:pPr>
        <w:pStyle w:val="Paragraph"/>
        <w:spacing w:before="120"/>
        <w:jc w:val="both"/>
      </w:pPr>
      <w:bookmarkStart w:id="2" w:name="_Hlk40354950"/>
      <w:r w:rsidRPr="00BA554D">
        <w:t>The Directors, after making enquiries, have a reasonable expectation that the Group has adequate resources to continue operating as a going concern for the foreseeable future.</w:t>
      </w:r>
    </w:p>
    <w:p w14:paraId="58092377" w14:textId="77777777" w:rsidR="00751644" w:rsidRPr="00350629" w:rsidRDefault="00751644" w:rsidP="00F55D04">
      <w:pPr>
        <w:pStyle w:val="Paragraph"/>
        <w:spacing w:before="120"/>
        <w:jc w:val="both"/>
      </w:pPr>
      <w:r w:rsidRPr="00715C04">
        <w:t xml:space="preserve">The Group’s performance continued to be materially impacted by </w:t>
      </w:r>
      <w:r w:rsidR="00BB1985">
        <w:t xml:space="preserve">the mobility restrictions imposed by the UK Government due to </w:t>
      </w:r>
      <w:r w:rsidRPr="00715C04">
        <w:t>COVID-19</w:t>
      </w:r>
      <w:r>
        <w:t xml:space="preserve"> in H1 FY21</w:t>
      </w:r>
      <w:r w:rsidRPr="00715C04">
        <w:t xml:space="preserve">, </w:t>
      </w:r>
      <w:r>
        <w:t xml:space="preserve">as the Group </w:t>
      </w:r>
      <w:r w:rsidRPr="00715C04">
        <w:t>manag</w:t>
      </w:r>
      <w:r>
        <w:t>ed</w:t>
      </w:r>
      <w:r w:rsidRPr="00715C04">
        <w:t xml:space="preserve"> through volatile demand patterns</w:t>
      </w:r>
      <w:r>
        <w:t xml:space="preserve"> arising from</w:t>
      </w:r>
      <w:r w:rsidRPr="00715C04">
        <w:t xml:space="preserve"> lockdowns </w:t>
      </w:r>
      <w:r>
        <w:t xml:space="preserve">and </w:t>
      </w:r>
      <w:r w:rsidRPr="00715C04">
        <w:t xml:space="preserve">changing mobility restrictions </w:t>
      </w:r>
      <w:r>
        <w:t xml:space="preserve">in place for almost all of the </w:t>
      </w:r>
      <w:r w:rsidRPr="00350629">
        <w:t>first half. The impact of this was most evident on consumer demand patterns in the Group</w:t>
      </w:r>
      <w:r w:rsidR="00A25506">
        <w:t>’</w:t>
      </w:r>
      <w:r w:rsidRPr="00350629">
        <w:t>s food to go categories.</w:t>
      </w:r>
    </w:p>
    <w:p w14:paraId="71A27D72" w14:textId="77777777" w:rsidR="00751644" w:rsidRDefault="00751644" w:rsidP="00F55D04">
      <w:pPr>
        <w:pStyle w:val="Paragraph"/>
        <w:spacing w:before="120"/>
        <w:jc w:val="both"/>
      </w:pPr>
      <w:r>
        <w:t xml:space="preserve">As the UK </w:t>
      </w:r>
      <w:r w:rsidRPr="001F1616">
        <w:t xml:space="preserve">began to ease mobility restrictions in March 2021, consumer demand in food to go categories has responded positively. In the first </w:t>
      </w:r>
      <w:r w:rsidR="00882E3C" w:rsidRPr="001F1616">
        <w:t>seven</w:t>
      </w:r>
      <w:r w:rsidRPr="001F1616">
        <w:t xml:space="preserve"> weeks of H2 FY21, demand in the Group</w:t>
      </w:r>
      <w:r w:rsidR="00A25506" w:rsidRPr="001F1616">
        <w:t>’</w:t>
      </w:r>
      <w:r w:rsidRPr="001F1616">
        <w:t xml:space="preserve">s food to go categories was </w:t>
      </w:r>
      <w:r w:rsidR="00882E3C" w:rsidRPr="001F1616">
        <w:t>14</w:t>
      </w:r>
      <w:r w:rsidRPr="001F1616">
        <w:t xml:space="preserve"> % below the comparative period in FY19. Despite this recent positive trajectory in revenue, the Group continues to expect ongoing uncertainty regarding</w:t>
      </w:r>
      <w:r w:rsidRPr="009F79EB">
        <w:t xml:space="preserve"> </w:t>
      </w:r>
      <w:r w:rsidRPr="00991754">
        <w:t>the duration and impact of COVID-19 on the Group</w:t>
      </w:r>
      <w:r w:rsidR="00A25506">
        <w:t>’</w:t>
      </w:r>
      <w:r w:rsidRPr="00991754">
        <w:t>s trading environment</w:t>
      </w:r>
      <w:r>
        <w:t>.</w:t>
      </w:r>
    </w:p>
    <w:p w14:paraId="01B369DE" w14:textId="77777777" w:rsidR="00751644" w:rsidRPr="00DC78DD" w:rsidRDefault="00751644" w:rsidP="00F55D04">
      <w:pPr>
        <w:pStyle w:val="Paragraph"/>
        <w:spacing w:before="120"/>
        <w:jc w:val="both"/>
      </w:pPr>
      <w:r w:rsidRPr="00F22A36">
        <w:t xml:space="preserve">Accordingly, the Directors have considered a number of scenarios for </w:t>
      </w:r>
      <w:r w:rsidR="00BB1985">
        <w:t xml:space="preserve">the next </w:t>
      </w:r>
      <w:r>
        <w:t>18 months</w:t>
      </w:r>
      <w:r w:rsidRPr="00F31C1B">
        <w:t xml:space="preserve">. These scenarios consider the estimated potential impact of COVID-19 on the </w:t>
      </w:r>
      <w:r w:rsidRPr="00AA1068">
        <w:t xml:space="preserve">business as the pandemic eases and mobility restrictions are removed. Based on current levels of trading, the impact on revenue, profit and cashflows are modelled, including the consequential impact on working capital. </w:t>
      </w:r>
      <w:r w:rsidR="00BB1985">
        <w:t>These</w:t>
      </w:r>
      <w:r w:rsidRPr="00AA1068">
        <w:t xml:space="preserve"> scenario</w:t>
      </w:r>
      <w:r w:rsidR="00BB1985">
        <w:t>s assume</w:t>
      </w:r>
      <w:r w:rsidRPr="00AA1068">
        <w:t xml:space="preserve"> costs and cashflow mitigating actions, including utilisation of the Coronavirus Job Retention Scheme</w:t>
      </w:r>
      <w:r>
        <w:t xml:space="preserve"> and </w:t>
      </w:r>
      <w:r w:rsidRPr="00AA1068">
        <w:t xml:space="preserve">disciplined </w:t>
      </w:r>
      <w:r w:rsidRPr="00AA1068">
        <w:lastRenderedPageBreak/>
        <w:t>management of business expen</w:t>
      </w:r>
      <w:r>
        <w:t>diture</w:t>
      </w:r>
      <w:r w:rsidRPr="00AA1068">
        <w:t xml:space="preserve">. The </w:t>
      </w:r>
      <w:r w:rsidRPr="00CB4482">
        <w:t xml:space="preserve">Group has assumed that no significant structural changes to </w:t>
      </w:r>
      <w:r w:rsidRPr="00DC78DD">
        <w:t>the business will be needed in any of the scenarios modelled.</w:t>
      </w:r>
    </w:p>
    <w:p w14:paraId="5AF1090B" w14:textId="1B9A74FE" w:rsidR="00751644" w:rsidRPr="00BA554D" w:rsidRDefault="00751644" w:rsidP="00F55D04">
      <w:pPr>
        <w:pStyle w:val="Paragraph"/>
        <w:tabs>
          <w:tab w:val="left" w:pos="3245"/>
        </w:tabs>
        <w:spacing w:before="120"/>
        <w:jc w:val="both"/>
        <w:rPr>
          <w:color w:val="FF0000"/>
        </w:rPr>
      </w:pPr>
      <w:r w:rsidRPr="00DC78DD">
        <w:t>The Group’s scenarios assume:</w:t>
      </w:r>
    </w:p>
    <w:p w14:paraId="6BF4C8F5" w14:textId="77777777" w:rsidR="00751644" w:rsidRPr="00B866A8" w:rsidRDefault="00751644" w:rsidP="00F55D04">
      <w:pPr>
        <w:pStyle w:val="Paragraph"/>
        <w:numPr>
          <w:ilvl w:val="0"/>
          <w:numId w:val="29"/>
        </w:numPr>
        <w:spacing w:before="120"/>
        <w:ind w:left="357" w:hanging="357"/>
        <w:jc w:val="both"/>
      </w:pPr>
      <w:r w:rsidRPr="006161EF">
        <w:t xml:space="preserve">A base case </w:t>
      </w:r>
      <w:r w:rsidR="00BB1985">
        <w:t xml:space="preserve">projection, </w:t>
      </w:r>
      <w:r w:rsidRPr="006161EF">
        <w:t xml:space="preserve">which assumes </w:t>
      </w:r>
      <w:r w:rsidR="00BB1985">
        <w:t xml:space="preserve">a continuation of the </w:t>
      </w:r>
      <w:r w:rsidR="00BB1985" w:rsidRPr="006161EF">
        <w:t xml:space="preserve">current </w:t>
      </w:r>
      <w:r w:rsidR="00BB1985">
        <w:t xml:space="preserve">volume trajectory </w:t>
      </w:r>
      <w:r w:rsidRPr="006161EF">
        <w:t xml:space="preserve">through H2 </w:t>
      </w:r>
      <w:r w:rsidRPr="00B866A8">
        <w:t>FY21, wi</w:t>
      </w:r>
      <w:r>
        <w:t>th</w:t>
      </w:r>
      <w:r w:rsidRPr="00B866A8">
        <w:t xml:space="preserve"> volumes</w:t>
      </w:r>
      <w:r>
        <w:t xml:space="preserve"> in food to go categories</w:t>
      </w:r>
      <w:r w:rsidRPr="00B866A8">
        <w:t xml:space="preserve"> expected to </w:t>
      </w:r>
      <w:r w:rsidR="00BB1985">
        <w:t xml:space="preserve">approach </w:t>
      </w:r>
      <w:r w:rsidRPr="00B866A8">
        <w:t>FY19</w:t>
      </w:r>
      <w:r>
        <w:t xml:space="preserve"> levels</w:t>
      </w:r>
      <w:r w:rsidRPr="00B866A8">
        <w:t xml:space="preserve"> </w:t>
      </w:r>
      <w:r w:rsidR="00BB1985">
        <w:t xml:space="preserve">by the end </w:t>
      </w:r>
      <w:r>
        <w:t>of FY21.</w:t>
      </w:r>
    </w:p>
    <w:p w14:paraId="28CE474E" w14:textId="77777777" w:rsidR="00751644" w:rsidRPr="00213D7A" w:rsidRDefault="00751644" w:rsidP="00F55D04">
      <w:pPr>
        <w:pStyle w:val="Paragraph"/>
        <w:numPr>
          <w:ilvl w:val="0"/>
          <w:numId w:val="29"/>
        </w:numPr>
        <w:spacing w:before="120"/>
        <w:ind w:left="357" w:hanging="357"/>
        <w:jc w:val="both"/>
      </w:pPr>
      <w:r w:rsidRPr="00B866A8">
        <w:t xml:space="preserve">A downside scenario is also applied to the base case, </w:t>
      </w:r>
      <w:r>
        <w:t xml:space="preserve">which assumes a slower recovery of food to categories reflecting </w:t>
      </w:r>
      <w:r w:rsidR="00BB1985">
        <w:t xml:space="preserve">extended </w:t>
      </w:r>
      <w:r>
        <w:t>mobility restrictions. In this scenario</w:t>
      </w:r>
      <w:r w:rsidRPr="00B866A8">
        <w:t xml:space="preserve"> current </w:t>
      </w:r>
      <w:r w:rsidR="00BB1985">
        <w:t>volumes continue</w:t>
      </w:r>
      <w:r w:rsidRPr="00B866A8">
        <w:t xml:space="preserve"> for H2 FY21 with no further recovery in food to go </w:t>
      </w:r>
      <w:r>
        <w:t xml:space="preserve">categories, gradually recovering thereafter </w:t>
      </w:r>
      <w:r w:rsidR="00BB1985">
        <w:t xml:space="preserve">but </w:t>
      </w:r>
      <w:r w:rsidRPr="00B866A8">
        <w:t xml:space="preserve">not reaching FY19 levels </w:t>
      </w:r>
      <w:r w:rsidRPr="00213D7A">
        <w:t>until the second half of FY22.</w:t>
      </w:r>
    </w:p>
    <w:p w14:paraId="0C924F2F" w14:textId="77777777" w:rsidR="00751644" w:rsidRPr="00213D7A" w:rsidRDefault="00751644" w:rsidP="00F55D04">
      <w:pPr>
        <w:pStyle w:val="Paragraph"/>
        <w:numPr>
          <w:ilvl w:val="0"/>
          <w:numId w:val="29"/>
        </w:numPr>
        <w:spacing w:before="120"/>
        <w:ind w:left="357" w:hanging="357"/>
        <w:jc w:val="both"/>
      </w:pPr>
      <w:r w:rsidRPr="00213D7A">
        <w:t xml:space="preserve">A severe downside scenario is also applied to the </w:t>
      </w:r>
      <w:r w:rsidR="00B734A2">
        <w:t>downside</w:t>
      </w:r>
      <w:r w:rsidR="00BB1985">
        <w:t>.</w:t>
      </w:r>
      <w:r w:rsidRPr="00213D7A">
        <w:t xml:space="preserve"> In this scenario</w:t>
      </w:r>
      <w:r w:rsidR="00BB1985">
        <w:t xml:space="preserve">, </w:t>
      </w:r>
      <w:r w:rsidR="00B734A2">
        <w:t>volumes are assumed to be at a lower rate in H2 FY21, in addition to a two month lockdown assumed in the winter of FY22, resulting in food to go categories volumes not reaching FY19 levels until the end of FY22.</w:t>
      </w:r>
    </w:p>
    <w:p w14:paraId="63F47B5D" w14:textId="77777777" w:rsidR="00751644" w:rsidRDefault="00751644" w:rsidP="00F55D04">
      <w:pPr>
        <w:pStyle w:val="Paragraph"/>
        <w:spacing w:before="120"/>
        <w:jc w:val="both"/>
      </w:pPr>
      <w:r w:rsidRPr="0000653F">
        <w:t>The Group retain</w:t>
      </w:r>
      <w:r w:rsidR="00BB1985">
        <w:t>s</w:t>
      </w:r>
      <w:r w:rsidRPr="0000653F">
        <w:t xml:space="preserve"> financial strength and flexibility at </w:t>
      </w:r>
      <w:r>
        <w:t>reporting date</w:t>
      </w:r>
      <w:r w:rsidRPr="0000653F">
        <w:t>, with cash and undrawn committed bank facilities of £302.0m at 26 March 2021 (September 2020: £232.0m). The Directors have taken steps to ensure adequate liquidity is available to the Group in light of the uncertainty surrounding the ongoing impact of COVID-19.</w:t>
      </w:r>
    </w:p>
    <w:p w14:paraId="352D8EF4" w14:textId="77777777" w:rsidR="00751644" w:rsidRDefault="00751644" w:rsidP="00F55D04">
      <w:pPr>
        <w:pStyle w:val="Paragraph"/>
        <w:spacing w:before="120"/>
        <w:jc w:val="both"/>
      </w:pPr>
      <w:r w:rsidRPr="00BA554D">
        <w:t>In November 2020</w:t>
      </w:r>
      <w:r w:rsidR="00BB1985">
        <w:t>, the Group completed an equity placing of 80,357,142 new ordinary shares at 112 pence per share, to raise net proceeds of £87.1m.</w:t>
      </w:r>
      <w:r w:rsidRPr="00BA554D">
        <w:t xml:space="preserve"> </w:t>
      </w:r>
      <w:r w:rsidR="00BB1985">
        <w:t>T</w:t>
      </w:r>
      <w:r w:rsidRPr="00BA554D">
        <w:t xml:space="preserve">he Group </w:t>
      </w:r>
      <w:r w:rsidR="00BB1985">
        <w:t xml:space="preserve">also </w:t>
      </w:r>
      <w:r w:rsidRPr="00BA554D">
        <w:t>extended the maturity of its £75m committed bank facility by two years to March 2023 and refinanced its £50m bilateral loan for a new three</w:t>
      </w:r>
      <w:r>
        <w:t>-</w:t>
      </w:r>
      <w:r w:rsidRPr="00BA554D">
        <w:t>year term maturing in January 2024.</w:t>
      </w:r>
      <w:r w:rsidRPr="0000653F">
        <w:t xml:space="preserve"> </w:t>
      </w:r>
    </w:p>
    <w:p w14:paraId="2FD1FD42" w14:textId="77777777" w:rsidR="00426410" w:rsidRDefault="00426410">
      <w:pPr>
        <w:pStyle w:val="Paragraph"/>
        <w:spacing w:before="0"/>
        <w:jc w:val="both"/>
      </w:pPr>
    </w:p>
    <w:p w14:paraId="25EDA5EB" w14:textId="77777777" w:rsidR="00751644" w:rsidRDefault="00751644">
      <w:pPr>
        <w:pStyle w:val="Paragraph"/>
        <w:spacing w:before="0"/>
        <w:jc w:val="both"/>
      </w:pPr>
      <w:r>
        <w:t>As previously announced, the</w:t>
      </w:r>
      <w:r w:rsidRPr="00DD0F33">
        <w:t xml:space="preserve"> Group </w:t>
      </w:r>
      <w:r w:rsidR="002C6657">
        <w:t xml:space="preserve">has </w:t>
      </w:r>
      <w:r w:rsidRPr="00DD0F33">
        <w:t>secured agreement with its bank lending syndicate and its Private Placement Note h</w:t>
      </w:r>
      <w:r w:rsidR="002C6657">
        <w:t>olders</w:t>
      </w:r>
      <w:r w:rsidRPr="00DD0F33">
        <w:t xml:space="preserve"> amend</w:t>
      </w:r>
      <w:r w:rsidR="002C6657">
        <w:t>ing</w:t>
      </w:r>
      <w:r w:rsidRPr="00DD0F33">
        <w:t xml:space="preserve"> covenant conditions. The key features of the amendments include:</w:t>
      </w:r>
    </w:p>
    <w:p w14:paraId="2902F327" w14:textId="77777777" w:rsidR="00751644" w:rsidRPr="00DD0F33" w:rsidRDefault="00751644">
      <w:pPr>
        <w:pStyle w:val="Paragraph"/>
        <w:spacing w:before="0"/>
        <w:jc w:val="both"/>
      </w:pPr>
    </w:p>
    <w:p w14:paraId="7136DD48" w14:textId="77777777" w:rsidR="00751644" w:rsidRDefault="00751644">
      <w:pPr>
        <w:pStyle w:val="Paragraph"/>
        <w:numPr>
          <w:ilvl w:val="0"/>
          <w:numId w:val="28"/>
        </w:numPr>
        <w:spacing w:before="0"/>
        <w:jc w:val="both"/>
      </w:pPr>
      <w:r w:rsidRPr="00DD0F33">
        <w:t>EBITDA: Interest covenant condition for March 2021 test period is 2.0</w:t>
      </w:r>
      <w:r>
        <w:t>x;</w:t>
      </w:r>
    </w:p>
    <w:p w14:paraId="60D4033F" w14:textId="77777777" w:rsidR="00751644" w:rsidRPr="00DD0F33" w:rsidRDefault="00751644">
      <w:pPr>
        <w:pStyle w:val="Paragraph"/>
        <w:numPr>
          <w:ilvl w:val="0"/>
          <w:numId w:val="28"/>
        </w:numPr>
        <w:spacing w:before="0"/>
        <w:jc w:val="both"/>
      </w:pPr>
      <w:r w:rsidRPr="00DD0F33">
        <w:t>Net Debt: EBITDA covenant test at June 2021 is 5.0x</w:t>
      </w:r>
      <w:r>
        <w:t>;</w:t>
      </w:r>
    </w:p>
    <w:p w14:paraId="408D7DE6" w14:textId="77777777" w:rsidR="00751644" w:rsidRPr="00DD0F33" w:rsidRDefault="00751644">
      <w:pPr>
        <w:pStyle w:val="Paragraph"/>
        <w:numPr>
          <w:ilvl w:val="0"/>
          <w:numId w:val="28"/>
        </w:numPr>
        <w:spacing w:before="0"/>
        <w:jc w:val="both"/>
      </w:pPr>
      <w:r w:rsidRPr="00DD0F33">
        <w:t>Minimum liquidity requirement on cash and undrawn facilities is £70m for FY21</w:t>
      </w:r>
      <w:r>
        <w:t>;</w:t>
      </w:r>
    </w:p>
    <w:p w14:paraId="0F23BD9E" w14:textId="77777777" w:rsidR="00751644" w:rsidRPr="00DD0F33" w:rsidRDefault="00751644">
      <w:pPr>
        <w:pStyle w:val="Paragraph"/>
        <w:numPr>
          <w:ilvl w:val="0"/>
          <w:numId w:val="28"/>
        </w:numPr>
        <w:spacing w:before="0"/>
        <w:jc w:val="both"/>
      </w:pPr>
      <w:r w:rsidRPr="00DD0F33">
        <w:t xml:space="preserve">Maximum net debt requirement </w:t>
      </w:r>
      <w:r w:rsidR="00157690">
        <w:t>of</w:t>
      </w:r>
      <w:r w:rsidRPr="00DD0F33">
        <w:t xml:space="preserve"> £550m to May 2021 and £500m to September 2021</w:t>
      </w:r>
      <w:r>
        <w:t>;</w:t>
      </w:r>
    </w:p>
    <w:p w14:paraId="692E20CD" w14:textId="77777777" w:rsidR="00751644" w:rsidRPr="00DD0F33" w:rsidRDefault="00751644">
      <w:pPr>
        <w:pStyle w:val="Paragraph"/>
        <w:numPr>
          <w:ilvl w:val="0"/>
          <w:numId w:val="28"/>
        </w:numPr>
        <w:spacing w:before="0"/>
        <w:jc w:val="both"/>
      </w:pPr>
      <w:r w:rsidRPr="00DD0F33">
        <w:t xml:space="preserve">Agreement not to proceed </w:t>
      </w:r>
      <w:r w:rsidR="007905AF">
        <w:t xml:space="preserve">with </w:t>
      </w:r>
      <w:r w:rsidR="00157690">
        <w:t>dividends for the duration of the waiver period</w:t>
      </w:r>
      <w:r>
        <w:t>; and</w:t>
      </w:r>
    </w:p>
    <w:p w14:paraId="29AD407A" w14:textId="77777777" w:rsidR="00751644" w:rsidRPr="00DD0F33" w:rsidRDefault="00751644">
      <w:pPr>
        <w:pStyle w:val="Paragraph"/>
        <w:numPr>
          <w:ilvl w:val="0"/>
          <w:numId w:val="28"/>
        </w:numPr>
        <w:spacing w:before="0"/>
        <w:jc w:val="both"/>
      </w:pPr>
      <w:r w:rsidRPr="00DD0F33">
        <w:t xml:space="preserve">Restricted acquisitions with an aggregate </w:t>
      </w:r>
      <w:r>
        <w:t xml:space="preserve">consideration </w:t>
      </w:r>
      <w:r w:rsidRPr="00DD0F33">
        <w:t>of £25m for the duration of the waiver period</w:t>
      </w:r>
      <w:r>
        <w:t>.</w:t>
      </w:r>
    </w:p>
    <w:p w14:paraId="768F404A" w14:textId="77777777" w:rsidR="00751644" w:rsidRPr="00751644" w:rsidRDefault="00751644" w:rsidP="00F55D04">
      <w:pPr>
        <w:adjustRightInd w:val="0"/>
        <w:spacing w:before="120" w:after="0" w:line="240" w:lineRule="auto"/>
        <w:jc w:val="both"/>
        <w:rPr>
          <w:sz w:val="18"/>
          <w:szCs w:val="18"/>
        </w:rPr>
      </w:pPr>
      <w:r w:rsidRPr="00BA554D">
        <w:rPr>
          <w:sz w:val="18"/>
          <w:szCs w:val="18"/>
        </w:rPr>
        <w:t xml:space="preserve">Based on these scenarios and the resources available to the Group, the Directors believe the Group has sufficient liquidity to manage through a range of different cashflow </w:t>
      </w:r>
      <w:r w:rsidRPr="00994C9D">
        <w:rPr>
          <w:sz w:val="18"/>
          <w:szCs w:val="18"/>
        </w:rPr>
        <w:t>scenarios over the next 18 months.</w:t>
      </w:r>
      <w:r w:rsidRPr="00BA554D">
        <w:rPr>
          <w:sz w:val="18"/>
          <w:szCs w:val="18"/>
        </w:rPr>
        <w:t xml:space="preserve"> Accordingly, the Directors adopt the going concern basis in </w:t>
      </w:r>
      <w:r w:rsidRPr="00751644">
        <w:rPr>
          <w:sz w:val="18"/>
          <w:szCs w:val="18"/>
        </w:rPr>
        <w:t xml:space="preserve">preparing the </w:t>
      </w:r>
      <w:r>
        <w:rPr>
          <w:sz w:val="18"/>
          <w:szCs w:val="18"/>
        </w:rPr>
        <w:t xml:space="preserve">Condensed </w:t>
      </w:r>
      <w:r w:rsidRPr="00751644">
        <w:rPr>
          <w:sz w:val="18"/>
          <w:szCs w:val="18"/>
        </w:rPr>
        <w:t xml:space="preserve">Group Financial Statements. </w:t>
      </w:r>
    </w:p>
    <w:p w14:paraId="70A24B05" w14:textId="77777777" w:rsidR="00B64BF0" w:rsidRPr="00AC1A57" w:rsidRDefault="00B64BF0" w:rsidP="00F55D04">
      <w:pPr>
        <w:pStyle w:val="Paragraph"/>
        <w:spacing w:before="120"/>
        <w:jc w:val="both"/>
        <w:rPr>
          <w:b/>
        </w:rPr>
      </w:pPr>
      <w:bookmarkStart w:id="3" w:name="_Hlk6238540"/>
      <w:bookmarkEnd w:id="2"/>
      <w:r w:rsidRPr="00751644">
        <w:rPr>
          <w:b/>
        </w:rPr>
        <w:t>Accounting Policies</w:t>
      </w:r>
      <w:r w:rsidRPr="00AC1A57">
        <w:rPr>
          <w:b/>
        </w:rPr>
        <w:t xml:space="preserve"> </w:t>
      </w:r>
    </w:p>
    <w:p w14:paraId="1D24EDA3" w14:textId="77777777" w:rsidR="00B64BF0" w:rsidRDefault="00B64BF0" w:rsidP="00F55D04">
      <w:pPr>
        <w:pStyle w:val="Paragraph"/>
        <w:spacing w:before="120"/>
        <w:jc w:val="both"/>
      </w:pPr>
      <w:r w:rsidRPr="008A2EFB">
        <w:t>The accounting policies and methods of computation adopted in the preparation of the Condensed</w:t>
      </w:r>
      <w:r>
        <w:t xml:space="preserve"> Group</w:t>
      </w:r>
      <w:r w:rsidRPr="008A2EFB">
        <w:t xml:space="preserve"> Financial Statements are consistent with those applied in the Annual Report for the financial year ended 2</w:t>
      </w:r>
      <w:r>
        <w:t>5</w:t>
      </w:r>
      <w:r w:rsidRPr="008A2EFB">
        <w:t xml:space="preserve"> September 20</w:t>
      </w:r>
      <w:r>
        <w:t>20</w:t>
      </w:r>
      <w:r w:rsidRPr="008A2EFB">
        <w:t xml:space="preserve"> and are as set out in those financial statements. </w:t>
      </w:r>
    </w:p>
    <w:p w14:paraId="2CBD5291" w14:textId="77777777" w:rsidR="00773F7B" w:rsidRPr="00BE1908" w:rsidRDefault="00773F7B" w:rsidP="00F55D04">
      <w:pPr>
        <w:pStyle w:val="SectionH3"/>
        <w:spacing w:before="120" w:after="0"/>
      </w:pPr>
      <w:r w:rsidRPr="00BE1908">
        <w:t xml:space="preserve">Critical Accounting Estimates and Judgements </w:t>
      </w:r>
    </w:p>
    <w:p w14:paraId="76156209" w14:textId="77777777" w:rsidR="00773F7B" w:rsidRDefault="00773F7B" w:rsidP="00F55D04">
      <w:pPr>
        <w:pStyle w:val="Paragraph"/>
        <w:spacing w:before="120"/>
        <w:jc w:val="both"/>
      </w:pPr>
      <w:r>
        <w:t xml:space="preserve">The preparation of the Condensed </w:t>
      </w:r>
      <w:r w:rsidR="00665CB5">
        <w:t xml:space="preserve">Group </w:t>
      </w:r>
      <w:r>
        <w:t xml:space="preserve">Financial Statements requires management to make certain estimates, assumptions and judgements that affect the application of accounting policies and the reported amount of assets, liabilities, income and expenses. Estimates and underlying assumptions are reviewed on an ongoing basis. Changes in accounting estimates may be necessary if there </w:t>
      </w:r>
      <w:r w:rsidRPr="001D0FD3">
        <w:t>are changes in circumstances on which the estimate was based or as a result of new information or more experience. Such changes are reflected in the period in which the estimate was revised.</w:t>
      </w:r>
    </w:p>
    <w:p w14:paraId="2D5ED98C" w14:textId="77777777" w:rsidR="00B64BF0" w:rsidRDefault="00773F7B" w:rsidP="00F55D04">
      <w:pPr>
        <w:pStyle w:val="Paragraph"/>
        <w:spacing w:before="120"/>
        <w:jc w:val="both"/>
      </w:pPr>
      <w:r>
        <w:t>In preparing the Condensed</w:t>
      </w:r>
      <w:r w:rsidR="00665CB5">
        <w:t xml:space="preserve"> Group</w:t>
      </w:r>
      <w:r>
        <w:t xml:space="preserve"> Financial Statements, the significant judgements made by management in applying the Group’s accounting policies and the key sources of estimation uncertainty were the same as those applied to the Consolidated Financial </w:t>
      </w:r>
      <w:r w:rsidR="00665CB5">
        <w:t>S</w:t>
      </w:r>
      <w:r>
        <w:t>tatements for the 52 weeks ended 2</w:t>
      </w:r>
      <w:r w:rsidR="00747A52">
        <w:t>5 September 2020</w:t>
      </w:r>
      <w:r w:rsidR="00AE01B3">
        <w:t xml:space="preserve">. </w:t>
      </w:r>
    </w:p>
    <w:bookmarkEnd w:id="3"/>
    <w:p w14:paraId="2ACCA774" w14:textId="77777777" w:rsidR="00AE01B3" w:rsidRPr="00D3448E" w:rsidRDefault="00B64BF0" w:rsidP="00F55D04">
      <w:pPr>
        <w:pStyle w:val="Paragraph"/>
        <w:spacing w:before="120"/>
        <w:jc w:val="both"/>
        <w:rPr>
          <w:b/>
          <w:highlight w:val="yellow"/>
        </w:rPr>
      </w:pPr>
      <w:r w:rsidRPr="00D3448E">
        <w:rPr>
          <w:b/>
        </w:rPr>
        <w:t>C</w:t>
      </w:r>
      <w:r w:rsidR="00ED5E41" w:rsidRPr="00D3448E">
        <w:rPr>
          <w:b/>
        </w:rPr>
        <w:t>OVID-19</w:t>
      </w:r>
      <w:r w:rsidRPr="00D3448E">
        <w:rPr>
          <w:b/>
        </w:rPr>
        <w:t xml:space="preserve"> impact</w:t>
      </w:r>
      <w:r w:rsidR="00D3448E" w:rsidRPr="00D3448E">
        <w:rPr>
          <w:b/>
        </w:rPr>
        <w:t xml:space="preserve"> </w:t>
      </w:r>
    </w:p>
    <w:p w14:paraId="0840CD95" w14:textId="77777777" w:rsidR="00B64BF0" w:rsidRPr="00D3448E" w:rsidRDefault="00ED5E41" w:rsidP="00F55D04">
      <w:pPr>
        <w:pStyle w:val="Paragraph"/>
        <w:spacing w:before="120"/>
        <w:jc w:val="both"/>
      </w:pPr>
      <w:r w:rsidRPr="00D3448E">
        <w:t>COVID-19 continues to impact the Group</w:t>
      </w:r>
      <w:r w:rsidR="00986298" w:rsidRPr="00D3448E">
        <w:t xml:space="preserve">, with the UK Government enforcing local and nationwide lockdowns </w:t>
      </w:r>
      <w:r w:rsidR="005726F7">
        <w:t xml:space="preserve">and restrictions on movement throughout </w:t>
      </w:r>
      <w:r w:rsidR="00986298" w:rsidRPr="00D3448E">
        <w:t>the interim reporting period. T</w:t>
      </w:r>
      <w:r w:rsidRPr="00D3448E">
        <w:t>he results for the period have been significantly impacted by the</w:t>
      </w:r>
      <w:r w:rsidR="00986298" w:rsidRPr="00D3448E">
        <w:t xml:space="preserve">se measures, </w:t>
      </w:r>
      <w:r w:rsidR="001B56E6">
        <w:t>particularly impacting</w:t>
      </w:r>
      <w:r w:rsidR="001B56E6" w:rsidRPr="00D3448E">
        <w:t xml:space="preserve"> </w:t>
      </w:r>
      <w:r w:rsidRPr="00D3448E">
        <w:t xml:space="preserve">volumes </w:t>
      </w:r>
      <w:r w:rsidR="001B56E6">
        <w:t>i</w:t>
      </w:r>
      <w:r w:rsidRPr="00D3448E">
        <w:t xml:space="preserve">n food to go categories. The </w:t>
      </w:r>
      <w:r w:rsidR="00986298" w:rsidRPr="00D3448E">
        <w:t>G</w:t>
      </w:r>
      <w:r w:rsidRPr="00D3448E">
        <w:t xml:space="preserve">roup continued to incur costs in relation to ensuring safe working and social distancing in its manufacturing facilities. The Group </w:t>
      </w:r>
      <w:r w:rsidR="00986298" w:rsidRPr="00D3448E">
        <w:t>also</w:t>
      </w:r>
      <w:r w:rsidRPr="00D3448E">
        <w:t xml:space="preserve"> avail</w:t>
      </w:r>
      <w:r w:rsidR="00986298" w:rsidRPr="00D3448E">
        <w:t>ed</w:t>
      </w:r>
      <w:r w:rsidRPr="00D3448E">
        <w:t xml:space="preserve"> of the Government funded furlough scheme and </w:t>
      </w:r>
      <w:r w:rsidR="00986298" w:rsidRPr="00D3448E">
        <w:t>incurred in</w:t>
      </w:r>
      <w:r w:rsidRPr="00D3448E">
        <w:t>cremental costs</w:t>
      </w:r>
      <w:r w:rsidR="001B56E6">
        <w:t xml:space="preserve"> related to</w:t>
      </w:r>
      <w:r w:rsidRPr="00D3448E">
        <w:t xml:space="preserve"> </w:t>
      </w:r>
      <w:r w:rsidR="001B56E6" w:rsidRPr="00D3448E">
        <w:t>furlough</w:t>
      </w:r>
      <w:r w:rsidR="001B56E6">
        <w:t>ed</w:t>
      </w:r>
      <w:r w:rsidR="001B56E6" w:rsidRPr="00D3448E">
        <w:t xml:space="preserve"> </w:t>
      </w:r>
      <w:r w:rsidR="001B56E6">
        <w:t>colleagues in</w:t>
      </w:r>
      <w:r w:rsidR="00751644">
        <w:t xml:space="preserve"> </w:t>
      </w:r>
      <w:r w:rsidRPr="00D3448E">
        <w:t xml:space="preserve">the period. </w:t>
      </w:r>
    </w:p>
    <w:p w14:paraId="391B88B3" w14:textId="77777777" w:rsidR="00ED5E41" w:rsidRPr="00D3448E" w:rsidRDefault="001B56E6" w:rsidP="00F55D04">
      <w:pPr>
        <w:pStyle w:val="Paragraph"/>
        <w:spacing w:before="120"/>
        <w:jc w:val="both"/>
      </w:pPr>
      <w:r w:rsidRPr="00FF0A90">
        <w:rPr>
          <w:rFonts w:cs="Arial"/>
        </w:rPr>
        <w:t xml:space="preserve">The UK </w:t>
      </w:r>
      <w:r>
        <w:rPr>
          <w:rFonts w:cs="Arial"/>
        </w:rPr>
        <w:t xml:space="preserve">Government has established a clear roadmap out of lockdown with the first phase commencing on 8 March 2021. </w:t>
      </w:r>
      <w:r w:rsidRPr="00FF0A90">
        <w:rPr>
          <w:rFonts w:cs="Arial"/>
        </w:rPr>
        <w:t xml:space="preserve">Since 17 May </w:t>
      </w:r>
      <w:r w:rsidR="00882E3C">
        <w:rPr>
          <w:rFonts w:cs="Arial"/>
        </w:rPr>
        <w:t xml:space="preserve">2021 </w:t>
      </w:r>
      <w:r w:rsidRPr="00FF0A90">
        <w:rPr>
          <w:rFonts w:cs="Arial"/>
        </w:rPr>
        <w:t xml:space="preserve">there has been a further easing of limits on social gatherings and most businesses in all but the highest risk sectors have been </w:t>
      </w:r>
      <w:r w:rsidRPr="001142F2">
        <w:rPr>
          <w:rFonts w:cs="Arial"/>
        </w:rPr>
        <w:t xml:space="preserve">permitted </w:t>
      </w:r>
      <w:r w:rsidRPr="00FF0A90">
        <w:rPr>
          <w:rFonts w:cs="Arial"/>
        </w:rPr>
        <w:t>to reopen</w:t>
      </w:r>
      <w:r>
        <w:rPr>
          <w:rFonts w:cs="Arial"/>
        </w:rPr>
        <w:t xml:space="preserve"> in some form.</w:t>
      </w:r>
      <w:r w:rsidR="00986298" w:rsidRPr="00D3448E">
        <w:t xml:space="preserve"> The Group has considered the impact of these changes </w:t>
      </w:r>
      <w:r w:rsidR="00CA563B">
        <w:t xml:space="preserve">with </w:t>
      </w:r>
      <w:r w:rsidR="00986298" w:rsidRPr="00D3448E">
        <w:t>respect to all judgements and estimates it makes in the application of the Group’s accounting policies at the reporting date</w:t>
      </w:r>
      <w:r>
        <w:t xml:space="preserve"> and</w:t>
      </w:r>
      <w:r w:rsidR="00986298" w:rsidRPr="00D3448E">
        <w:t xml:space="preserve"> </w:t>
      </w:r>
      <w:r>
        <w:t>t</w:t>
      </w:r>
      <w:r w:rsidR="00035262" w:rsidRPr="00D3448E">
        <w:t>he impact has been factored into the Group’s financ</w:t>
      </w:r>
      <w:r w:rsidR="00D3448E">
        <w:t>ial statements at 26 March 2021</w:t>
      </w:r>
      <w:r w:rsidR="00035262" w:rsidRPr="00D3448E">
        <w:t xml:space="preserve">. </w:t>
      </w:r>
    </w:p>
    <w:p w14:paraId="7057FE03" w14:textId="77777777" w:rsidR="00F67637" w:rsidRDefault="001B56E6" w:rsidP="00F55D04">
      <w:pPr>
        <w:pStyle w:val="Paragraph"/>
        <w:spacing w:before="120"/>
        <w:jc w:val="both"/>
      </w:pPr>
      <w:r>
        <w:lastRenderedPageBreak/>
        <w:t xml:space="preserve">The Group has </w:t>
      </w:r>
      <w:r w:rsidR="00F67637" w:rsidRPr="00F55D04">
        <w:t xml:space="preserve">carried out impairment testing of assets including goodwill at the reporting date </w:t>
      </w:r>
      <w:r>
        <w:t>and no</w:t>
      </w:r>
      <w:r w:rsidR="00035262" w:rsidRPr="00F55D04">
        <w:t xml:space="preserve"> impairment</w:t>
      </w:r>
      <w:r>
        <w:t xml:space="preserve"> was identified</w:t>
      </w:r>
      <w:r w:rsidR="00035262" w:rsidRPr="00F55D04">
        <w:t>.</w:t>
      </w:r>
      <w:r w:rsidR="00035262">
        <w:t xml:space="preserve"> </w:t>
      </w:r>
    </w:p>
    <w:p w14:paraId="7AB8A1C3" w14:textId="77777777" w:rsidR="00B64BF0" w:rsidRDefault="00B64BF0" w:rsidP="005B3BEE">
      <w:pPr>
        <w:pStyle w:val="Paragraph"/>
        <w:spacing w:before="0" w:after="120"/>
        <w:jc w:val="both"/>
      </w:pPr>
    </w:p>
    <w:p w14:paraId="1822AC9B" w14:textId="77777777" w:rsidR="00773F7B" w:rsidRPr="005B3BEE" w:rsidRDefault="00561B0F" w:rsidP="005B3BEE">
      <w:pPr>
        <w:rPr>
          <w:rFonts w:ascii="Calibri" w:eastAsia="Calibri" w:hAnsi="Calibri" w:cs="Arial"/>
          <w:bCs/>
          <w:lang w:val="en-US" w:eastAsia="en-GB" w:bidi="en-GB"/>
        </w:rPr>
      </w:pPr>
      <w:bookmarkStart w:id="4" w:name="_Hlk6238593"/>
      <w:r>
        <w:rPr>
          <w:rFonts w:ascii="Calibri" w:eastAsia="Calibri" w:hAnsi="Calibri" w:cs="Arial"/>
          <w:b/>
          <w:bCs/>
          <w:sz w:val="18"/>
          <w:szCs w:val="18"/>
          <w:lang w:val="en-US" w:eastAsia="en-GB" w:bidi="en-GB"/>
        </w:rPr>
        <w:t>2</w:t>
      </w:r>
      <w:r w:rsidR="00773F7B" w:rsidRPr="005B3BEE">
        <w:rPr>
          <w:rFonts w:ascii="Calibri" w:eastAsia="Calibri" w:hAnsi="Calibri" w:cs="Arial"/>
          <w:b/>
          <w:bCs/>
          <w:sz w:val="18"/>
          <w:szCs w:val="18"/>
          <w:lang w:val="en-US" w:eastAsia="en-GB" w:bidi="en-GB"/>
        </w:rPr>
        <w:t>.</w:t>
      </w:r>
      <w:r w:rsidR="00710227" w:rsidRPr="005B3BEE">
        <w:rPr>
          <w:rFonts w:ascii="Calibri" w:eastAsia="Calibri" w:hAnsi="Calibri" w:cs="Arial"/>
          <w:b/>
          <w:bCs/>
          <w:sz w:val="18"/>
          <w:szCs w:val="18"/>
          <w:lang w:val="en-US" w:eastAsia="en-GB" w:bidi="en-GB"/>
        </w:rPr>
        <w:tab/>
      </w:r>
      <w:r w:rsidR="00773F7B" w:rsidRPr="005B3BEE">
        <w:rPr>
          <w:rFonts w:ascii="Calibri" w:eastAsia="Calibri" w:hAnsi="Calibri" w:cs="Arial"/>
          <w:b/>
          <w:bCs/>
          <w:sz w:val="18"/>
          <w:szCs w:val="18"/>
          <w:lang w:val="en-US" w:eastAsia="en-GB" w:bidi="en-GB"/>
        </w:rPr>
        <w:t>Segment Information</w:t>
      </w:r>
    </w:p>
    <w:bookmarkEnd w:id="4"/>
    <w:p w14:paraId="0544660B" w14:textId="77777777" w:rsidR="00773F7B" w:rsidRDefault="00773F7B" w:rsidP="005B3BEE">
      <w:pPr>
        <w:pStyle w:val="Paragraph"/>
        <w:spacing w:before="0" w:after="120"/>
        <w:jc w:val="both"/>
      </w:pPr>
      <w:r w:rsidRPr="00C93535">
        <w:t>Convenience Foods UK &amp; Ireland is the Group’s operating segment, which represents its reporting segment.</w:t>
      </w:r>
      <w:r>
        <w:t xml:space="preserve"> This</w:t>
      </w:r>
      <w:r w:rsidRPr="00C93535">
        <w:t xml:space="preserve"> </w:t>
      </w:r>
      <w:r w:rsidRPr="00E81D2F">
        <w:t>reflect</w:t>
      </w:r>
      <w:r>
        <w:t>s</w:t>
      </w:r>
      <w:r w:rsidRPr="00E81D2F">
        <w:t xml:space="preserve"> the Group’s organisational structure and the nature of the financial information reported to and assessed by the Chief Operati</w:t>
      </w:r>
      <w:r>
        <w:t>ng</w:t>
      </w:r>
      <w:r w:rsidRPr="00E81D2F">
        <w:t xml:space="preserve"> Decision Maker (‘CODM’) as defined by IFRS 8 </w:t>
      </w:r>
      <w:r w:rsidRPr="005C7C70">
        <w:rPr>
          <w:i/>
        </w:rPr>
        <w:t>Operating Segments</w:t>
      </w:r>
      <w:r w:rsidRPr="00E81D2F">
        <w:t xml:space="preserve">. </w:t>
      </w:r>
      <w:r w:rsidRPr="0062389F">
        <w:t xml:space="preserve">The CODM has been identified as the Group’s Chief Executive Officer. </w:t>
      </w:r>
      <w:r w:rsidRPr="00386903">
        <w:t xml:space="preserve">The segment incorporates many UK convenience food categories </w:t>
      </w:r>
      <w:r>
        <w:t>i</w:t>
      </w:r>
      <w:r w:rsidRPr="00386903">
        <w:t>ncluding sandwiches, salads, sushi, chilled snacking, chilled ready meals, chilled soups and sauces, chilled quiche, ambient sauces and pickles and frozen Yorkshire Puddings as well as the Iris</w:t>
      </w:r>
      <w:r w:rsidR="00911786">
        <w:t>h ingredients trading business</w:t>
      </w:r>
      <w:r w:rsidRPr="00386903">
        <w:t>.</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73F7B" w14:paraId="5AEBAA63" w14:textId="77777777" w:rsidTr="005B3BEE">
        <w:trPr>
          <w:jc w:val="center"/>
        </w:trPr>
        <w:tc>
          <w:tcPr>
            <w:tcW w:w="7795" w:type="dxa"/>
          </w:tcPr>
          <w:p w14:paraId="2C0B5C29" w14:textId="77777777" w:rsidR="00773F7B" w:rsidRDefault="00773F7B" w:rsidP="00773F7B">
            <w:pPr>
              <w:pStyle w:val="T2"/>
            </w:pPr>
          </w:p>
        </w:tc>
        <w:tc>
          <w:tcPr>
            <w:tcW w:w="1984" w:type="dxa"/>
            <w:gridSpan w:val="2"/>
            <w:vAlign w:val="bottom"/>
          </w:tcPr>
          <w:p w14:paraId="4ADB5228" w14:textId="77777777" w:rsidR="00773F7B" w:rsidRPr="00424769" w:rsidRDefault="00773F7B" w:rsidP="00773F7B">
            <w:pPr>
              <w:pStyle w:val="T2"/>
              <w:rPr>
                <w:b/>
              </w:rPr>
            </w:pPr>
            <w:r w:rsidRPr="00424769">
              <w:rPr>
                <w:b/>
              </w:rPr>
              <w:t>Convenience Foods</w:t>
            </w:r>
            <w:r w:rsidRPr="00424769">
              <w:rPr>
                <w:b/>
              </w:rPr>
              <w:br/>
              <w:t>UK &amp; Ireland</w:t>
            </w:r>
          </w:p>
        </w:tc>
      </w:tr>
      <w:tr w:rsidR="00773F7B" w14:paraId="51A21BBD" w14:textId="77777777" w:rsidTr="005B3BEE">
        <w:trPr>
          <w:jc w:val="center"/>
        </w:trPr>
        <w:tc>
          <w:tcPr>
            <w:tcW w:w="7795" w:type="dxa"/>
          </w:tcPr>
          <w:p w14:paraId="1DF47A59" w14:textId="77777777" w:rsidR="00773F7B" w:rsidRDefault="00773F7B" w:rsidP="00773F7B">
            <w:pPr>
              <w:pStyle w:val="T2"/>
            </w:pPr>
          </w:p>
        </w:tc>
        <w:tc>
          <w:tcPr>
            <w:tcW w:w="992" w:type="dxa"/>
            <w:vAlign w:val="bottom"/>
          </w:tcPr>
          <w:p w14:paraId="47066EC4" w14:textId="77777777" w:rsidR="00773F7B" w:rsidRPr="00424769" w:rsidRDefault="00773F7B" w:rsidP="004F400F">
            <w:pPr>
              <w:pStyle w:val="T2"/>
              <w:jc w:val="right"/>
              <w:rPr>
                <w:b/>
              </w:rPr>
            </w:pPr>
            <w:r w:rsidRPr="00424769">
              <w:rPr>
                <w:b/>
              </w:rPr>
              <w:t>Half year 20</w:t>
            </w:r>
            <w:r>
              <w:rPr>
                <w:b/>
              </w:rPr>
              <w:t>2</w:t>
            </w:r>
            <w:r w:rsidR="004F400F">
              <w:rPr>
                <w:b/>
              </w:rPr>
              <w:t>1</w:t>
            </w:r>
          </w:p>
        </w:tc>
        <w:tc>
          <w:tcPr>
            <w:tcW w:w="992" w:type="dxa"/>
            <w:vAlign w:val="bottom"/>
          </w:tcPr>
          <w:p w14:paraId="5CD42526" w14:textId="77777777" w:rsidR="00773F7B" w:rsidRDefault="00773F7B" w:rsidP="004F400F">
            <w:pPr>
              <w:pStyle w:val="T2"/>
              <w:jc w:val="right"/>
            </w:pPr>
            <w:r w:rsidRPr="0068425A">
              <w:t>Half year</w:t>
            </w:r>
            <w:r>
              <w:t xml:space="preserve"> 20</w:t>
            </w:r>
            <w:r w:rsidR="004F400F">
              <w:t>20</w:t>
            </w:r>
          </w:p>
        </w:tc>
      </w:tr>
      <w:tr w:rsidR="00773F7B" w14:paraId="1017168B" w14:textId="77777777" w:rsidTr="001F1616">
        <w:trPr>
          <w:jc w:val="center"/>
        </w:trPr>
        <w:tc>
          <w:tcPr>
            <w:tcW w:w="7795" w:type="dxa"/>
            <w:tcBorders>
              <w:bottom w:val="single" w:sz="2" w:space="0" w:color="auto"/>
            </w:tcBorders>
          </w:tcPr>
          <w:p w14:paraId="530F01F1" w14:textId="77777777" w:rsidR="00773F7B" w:rsidRDefault="00773F7B" w:rsidP="00773F7B">
            <w:pPr>
              <w:pStyle w:val="T2"/>
            </w:pPr>
          </w:p>
        </w:tc>
        <w:tc>
          <w:tcPr>
            <w:tcW w:w="992" w:type="dxa"/>
            <w:tcBorders>
              <w:bottom w:val="single" w:sz="2" w:space="0" w:color="auto"/>
            </w:tcBorders>
            <w:vAlign w:val="bottom"/>
          </w:tcPr>
          <w:p w14:paraId="01CA640E" w14:textId="77777777" w:rsidR="00773F7B" w:rsidRPr="0073636E" w:rsidRDefault="00773F7B" w:rsidP="00773F7B">
            <w:pPr>
              <w:pStyle w:val="T2"/>
              <w:jc w:val="right"/>
              <w:rPr>
                <w:b/>
              </w:rPr>
            </w:pPr>
            <w:r w:rsidRPr="0073636E">
              <w:rPr>
                <w:b/>
              </w:rPr>
              <w:t>£m</w:t>
            </w:r>
          </w:p>
        </w:tc>
        <w:tc>
          <w:tcPr>
            <w:tcW w:w="992" w:type="dxa"/>
            <w:tcBorders>
              <w:bottom w:val="single" w:sz="2" w:space="0" w:color="auto"/>
            </w:tcBorders>
            <w:vAlign w:val="bottom"/>
          </w:tcPr>
          <w:p w14:paraId="4C6D16F8" w14:textId="77777777" w:rsidR="00773F7B" w:rsidRDefault="00773F7B" w:rsidP="00773F7B">
            <w:pPr>
              <w:pStyle w:val="T2"/>
              <w:jc w:val="right"/>
            </w:pPr>
            <w:r w:rsidRPr="0073636E">
              <w:t>£m</w:t>
            </w:r>
          </w:p>
        </w:tc>
      </w:tr>
      <w:tr w:rsidR="004F400F" w14:paraId="358F948B" w14:textId="77777777" w:rsidTr="001F1616">
        <w:trPr>
          <w:jc w:val="center"/>
        </w:trPr>
        <w:tc>
          <w:tcPr>
            <w:tcW w:w="7795" w:type="dxa"/>
            <w:tcBorders>
              <w:top w:val="single" w:sz="2" w:space="0" w:color="auto"/>
              <w:bottom w:val="single" w:sz="2" w:space="0" w:color="auto"/>
            </w:tcBorders>
            <w:vAlign w:val="bottom"/>
          </w:tcPr>
          <w:p w14:paraId="60C892EF" w14:textId="77777777" w:rsidR="004F400F" w:rsidRPr="00484E13" w:rsidRDefault="004F400F" w:rsidP="004F400F">
            <w:pPr>
              <w:pStyle w:val="T2"/>
              <w:jc w:val="left"/>
              <w:rPr>
                <w:b/>
              </w:rPr>
            </w:pPr>
            <w:r w:rsidRPr="00484E13">
              <w:rPr>
                <w:b/>
              </w:rPr>
              <w:t>Revenue</w:t>
            </w:r>
          </w:p>
        </w:tc>
        <w:tc>
          <w:tcPr>
            <w:tcW w:w="992" w:type="dxa"/>
            <w:tcBorders>
              <w:top w:val="single" w:sz="2" w:space="0" w:color="auto"/>
              <w:bottom w:val="single" w:sz="2" w:space="0" w:color="auto"/>
            </w:tcBorders>
          </w:tcPr>
          <w:p w14:paraId="09B9BCC2" w14:textId="77777777" w:rsidR="004F400F" w:rsidRPr="00C025A7" w:rsidRDefault="00E25584">
            <w:pPr>
              <w:pStyle w:val="T2"/>
              <w:jc w:val="right"/>
              <w:rPr>
                <w:rFonts w:cs="Calibri"/>
                <w:b/>
                <w:color w:val="000000"/>
              </w:rPr>
            </w:pPr>
            <w:r>
              <w:rPr>
                <w:rFonts w:cs="Calibri"/>
                <w:b/>
                <w:color w:val="000000"/>
              </w:rPr>
              <w:t>5</w:t>
            </w:r>
            <w:r w:rsidR="00863360">
              <w:rPr>
                <w:rFonts w:cs="Calibri"/>
                <w:b/>
                <w:color w:val="000000"/>
              </w:rPr>
              <w:t>77.1</w:t>
            </w:r>
          </w:p>
        </w:tc>
        <w:tc>
          <w:tcPr>
            <w:tcW w:w="992" w:type="dxa"/>
            <w:tcBorders>
              <w:top w:val="single" w:sz="2" w:space="0" w:color="auto"/>
              <w:bottom w:val="single" w:sz="2" w:space="0" w:color="auto"/>
            </w:tcBorders>
            <w:vAlign w:val="bottom"/>
          </w:tcPr>
          <w:p w14:paraId="358B2177" w14:textId="77777777" w:rsidR="004F400F" w:rsidRPr="009126D7" w:rsidRDefault="004F400F" w:rsidP="004F400F">
            <w:pPr>
              <w:pStyle w:val="T2"/>
              <w:jc w:val="right"/>
              <w:rPr>
                <w:rFonts w:cs="Calibri"/>
                <w:color w:val="000000"/>
              </w:rPr>
            </w:pPr>
            <w:r w:rsidRPr="009126D7">
              <w:rPr>
                <w:rFonts w:cs="Calibri"/>
                <w:color w:val="000000"/>
              </w:rPr>
              <w:t>7</w:t>
            </w:r>
            <w:r>
              <w:rPr>
                <w:rFonts w:cs="Calibri"/>
                <w:color w:val="000000"/>
              </w:rPr>
              <w:t>12</w:t>
            </w:r>
            <w:r w:rsidRPr="009126D7">
              <w:rPr>
                <w:rFonts w:cs="Calibri"/>
                <w:color w:val="000000"/>
              </w:rPr>
              <w:t>.</w:t>
            </w:r>
            <w:r>
              <w:rPr>
                <w:rFonts w:cs="Calibri"/>
                <w:color w:val="000000"/>
              </w:rPr>
              <w:t>7</w:t>
            </w:r>
          </w:p>
        </w:tc>
      </w:tr>
      <w:tr w:rsidR="004F400F" w14:paraId="42D2DDAE" w14:textId="77777777" w:rsidTr="001F1616">
        <w:trPr>
          <w:trHeight w:val="52"/>
          <w:jc w:val="center"/>
        </w:trPr>
        <w:tc>
          <w:tcPr>
            <w:tcW w:w="7795" w:type="dxa"/>
            <w:tcBorders>
              <w:top w:val="single" w:sz="2" w:space="0" w:color="auto"/>
            </w:tcBorders>
            <w:vAlign w:val="bottom"/>
          </w:tcPr>
          <w:p w14:paraId="604268D1" w14:textId="77777777" w:rsidR="004F400F" w:rsidRDefault="004F400F" w:rsidP="00A774AF">
            <w:pPr>
              <w:pStyle w:val="T2"/>
              <w:jc w:val="left"/>
            </w:pPr>
            <w:r w:rsidRPr="00484E13">
              <w:rPr>
                <w:b/>
              </w:rPr>
              <w:t xml:space="preserve">Group operating profit before acquisition related </w:t>
            </w:r>
            <w:r w:rsidR="000F1E1E">
              <w:rPr>
                <w:b/>
              </w:rPr>
              <w:t>amortisation</w:t>
            </w:r>
            <w:r w:rsidR="00D239C9">
              <w:rPr>
                <w:b/>
              </w:rPr>
              <w:t xml:space="preserve"> and </w:t>
            </w:r>
            <w:r w:rsidR="00D239C9" w:rsidRPr="00484E13">
              <w:rPr>
                <w:b/>
              </w:rPr>
              <w:t xml:space="preserve">exceptional items </w:t>
            </w:r>
          </w:p>
        </w:tc>
        <w:tc>
          <w:tcPr>
            <w:tcW w:w="992" w:type="dxa"/>
            <w:tcBorders>
              <w:top w:val="single" w:sz="2" w:space="0" w:color="auto"/>
            </w:tcBorders>
            <w:vAlign w:val="bottom"/>
          </w:tcPr>
          <w:p w14:paraId="6EBC0F56" w14:textId="77777777" w:rsidR="004F400F" w:rsidRPr="00C025A7" w:rsidRDefault="00D206EE" w:rsidP="005D3EAC">
            <w:pPr>
              <w:pStyle w:val="T2"/>
              <w:jc w:val="right"/>
              <w:rPr>
                <w:b/>
              </w:rPr>
            </w:pPr>
            <w:r>
              <w:rPr>
                <w:b/>
              </w:rPr>
              <w:t>0.2</w:t>
            </w:r>
          </w:p>
        </w:tc>
        <w:tc>
          <w:tcPr>
            <w:tcW w:w="992" w:type="dxa"/>
            <w:tcBorders>
              <w:top w:val="single" w:sz="2" w:space="0" w:color="auto"/>
            </w:tcBorders>
            <w:vAlign w:val="bottom"/>
          </w:tcPr>
          <w:p w14:paraId="3FA54849" w14:textId="77777777" w:rsidR="004F400F" w:rsidRPr="009126D7" w:rsidRDefault="004F400F" w:rsidP="004F400F">
            <w:pPr>
              <w:pStyle w:val="T2"/>
              <w:jc w:val="right"/>
            </w:pPr>
            <w:r>
              <w:rPr>
                <w:rFonts w:cs="Calibri"/>
                <w:color w:val="000000"/>
              </w:rPr>
              <w:t>38.3</w:t>
            </w:r>
          </w:p>
        </w:tc>
      </w:tr>
      <w:tr w:rsidR="004F400F" w14:paraId="0226FDF8" w14:textId="77777777" w:rsidTr="001F1616">
        <w:trPr>
          <w:jc w:val="center"/>
        </w:trPr>
        <w:tc>
          <w:tcPr>
            <w:tcW w:w="7795" w:type="dxa"/>
            <w:tcBorders>
              <w:bottom w:val="single" w:sz="2" w:space="0" w:color="auto"/>
            </w:tcBorders>
            <w:vAlign w:val="bottom"/>
          </w:tcPr>
          <w:p w14:paraId="2E8F28CA" w14:textId="77777777" w:rsidR="004F400F" w:rsidRDefault="004F400F" w:rsidP="004F400F">
            <w:pPr>
              <w:pStyle w:val="T2"/>
              <w:jc w:val="left"/>
            </w:pPr>
            <w:r w:rsidRPr="0068425A">
              <w:t>Amortisation of acquisition related intangible assets</w:t>
            </w:r>
          </w:p>
        </w:tc>
        <w:tc>
          <w:tcPr>
            <w:tcW w:w="992" w:type="dxa"/>
            <w:tcBorders>
              <w:bottom w:val="single" w:sz="2" w:space="0" w:color="auto"/>
            </w:tcBorders>
          </w:tcPr>
          <w:p w14:paraId="451C9949" w14:textId="77777777" w:rsidR="004F400F" w:rsidRPr="00C025A7" w:rsidRDefault="00E25584" w:rsidP="004F400F">
            <w:pPr>
              <w:pStyle w:val="T2"/>
              <w:jc w:val="right"/>
              <w:rPr>
                <w:rFonts w:cs="Calibri"/>
                <w:b/>
                <w:color w:val="000000"/>
              </w:rPr>
            </w:pPr>
            <w:r>
              <w:rPr>
                <w:rFonts w:cs="Calibri"/>
                <w:b/>
                <w:color w:val="000000"/>
              </w:rPr>
              <w:t>(2.0)</w:t>
            </w:r>
          </w:p>
        </w:tc>
        <w:tc>
          <w:tcPr>
            <w:tcW w:w="992" w:type="dxa"/>
            <w:tcBorders>
              <w:bottom w:val="single" w:sz="2" w:space="0" w:color="auto"/>
            </w:tcBorders>
            <w:vAlign w:val="bottom"/>
          </w:tcPr>
          <w:p w14:paraId="75315F6E" w14:textId="77777777" w:rsidR="004F400F" w:rsidRPr="009126D7" w:rsidRDefault="004F400F" w:rsidP="004F400F">
            <w:pPr>
              <w:jc w:val="right"/>
              <w:rPr>
                <w:rFonts w:cs="Calibri"/>
                <w:color w:val="000000"/>
                <w:sz w:val="18"/>
                <w:szCs w:val="18"/>
              </w:rPr>
            </w:pPr>
            <w:r w:rsidRPr="005D0EFF">
              <w:rPr>
                <w:rFonts w:cs="Calibri"/>
                <w:color w:val="000000"/>
                <w:sz w:val="18"/>
                <w:szCs w:val="18"/>
              </w:rPr>
              <w:t>(</w:t>
            </w:r>
            <w:r>
              <w:rPr>
                <w:rFonts w:cs="Calibri"/>
                <w:color w:val="000000"/>
                <w:sz w:val="18"/>
                <w:szCs w:val="18"/>
              </w:rPr>
              <w:t>2.7</w:t>
            </w:r>
            <w:r w:rsidRPr="005D0EFF">
              <w:rPr>
                <w:rFonts w:cs="Calibri"/>
                <w:color w:val="000000"/>
                <w:sz w:val="18"/>
                <w:szCs w:val="18"/>
              </w:rPr>
              <w:t>)</w:t>
            </w:r>
          </w:p>
        </w:tc>
      </w:tr>
      <w:tr w:rsidR="002A2B15" w14:paraId="19C5D896" w14:textId="77777777" w:rsidTr="001F1616">
        <w:trPr>
          <w:jc w:val="center"/>
        </w:trPr>
        <w:tc>
          <w:tcPr>
            <w:tcW w:w="7795" w:type="dxa"/>
            <w:tcBorders>
              <w:top w:val="single" w:sz="2" w:space="0" w:color="auto"/>
            </w:tcBorders>
            <w:vAlign w:val="center"/>
          </w:tcPr>
          <w:p w14:paraId="2CE9C213" w14:textId="77777777" w:rsidR="002A2B15" w:rsidRPr="002A2B15" w:rsidRDefault="002A2B15" w:rsidP="00911786">
            <w:pPr>
              <w:pStyle w:val="T2"/>
              <w:jc w:val="left"/>
              <w:rPr>
                <w:b/>
              </w:rPr>
            </w:pPr>
            <w:r w:rsidRPr="002A2B15">
              <w:rPr>
                <w:b/>
              </w:rPr>
              <w:t xml:space="preserve">Group operating </w:t>
            </w:r>
            <w:r w:rsidR="000F1E1E">
              <w:rPr>
                <w:b/>
              </w:rPr>
              <w:t>(loss)/</w:t>
            </w:r>
            <w:r w:rsidRPr="002A2B15">
              <w:rPr>
                <w:b/>
              </w:rPr>
              <w:t>profit (pre-exceptional)</w:t>
            </w:r>
          </w:p>
        </w:tc>
        <w:tc>
          <w:tcPr>
            <w:tcW w:w="992" w:type="dxa"/>
            <w:tcBorders>
              <w:top w:val="single" w:sz="2" w:space="0" w:color="auto"/>
            </w:tcBorders>
            <w:vAlign w:val="center"/>
          </w:tcPr>
          <w:p w14:paraId="1EC7287A" w14:textId="77777777" w:rsidR="002A2B15" w:rsidRDefault="002A2B15" w:rsidP="0041734A">
            <w:pPr>
              <w:pStyle w:val="T2"/>
              <w:jc w:val="right"/>
              <w:rPr>
                <w:b/>
              </w:rPr>
            </w:pPr>
            <w:r>
              <w:rPr>
                <w:b/>
              </w:rPr>
              <w:t>(</w:t>
            </w:r>
            <w:r w:rsidR="00D206EE">
              <w:rPr>
                <w:b/>
              </w:rPr>
              <w:t>1</w:t>
            </w:r>
            <w:r>
              <w:rPr>
                <w:b/>
              </w:rPr>
              <w:t>.8)</w:t>
            </w:r>
          </w:p>
        </w:tc>
        <w:tc>
          <w:tcPr>
            <w:tcW w:w="992" w:type="dxa"/>
            <w:tcBorders>
              <w:top w:val="single" w:sz="2" w:space="0" w:color="auto"/>
            </w:tcBorders>
            <w:vAlign w:val="center"/>
          </w:tcPr>
          <w:p w14:paraId="59688512" w14:textId="77777777" w:rsidR="002A2B15" w:rsidRPr="004F400F" w:rsidRDefault="002A2B15" w:rsidP="002A2B15">
            <w:pPr>
              <w:pStyle w:val="T2"/>
              <w:jc w:val="right"/>
            </w:pPr>
            <w:r>
              <w:t>35.6</w:t>
            </w:r>
          </w:p>
        </w:tc>
      </w:tr>
      <w:tr w:rsidR="004F400F" w14:paraId="135A3A47" w14:textId="77777777" w:rsidTr="002A2B15">
        <w:trPr>
          <w:jc w:val="center"/>
        </w:trPr>
        <w:tc>
          <w:tcPr>
            <w:tcW w:w="7795" w:type="dxa"/>
            <w:vAlign w:val="bottom"/>
          </w:tcPr>
          <w:p w14:paraId="5612AC30" w14:textId="77777777" w:rsidR="004F400F" w:rsidRDefault="004F400F" w:rsidP="004F400F">
            <w:pPr>
              <w:pStyle w:val="T2"/>
              <w:jc w:val="left"/>
            </w:pPr>
            <w:r w:rsidRPr="0068425A">
              <w:t>Finance income</w:t>
            </w:r>
          </w:p>
        </w:tc>
        <w:tc>
          <w:tcPr>
            <w:tcW w:w="992" w:type="dxa"/>
          </w:tcPr>
          <w:p w14:paraId="25648209" w14:textId="77777777" w:rsidR="004F400F" w:rsidRPr="00C025A7" w:rsidRDefault="00863360" w:rsidP="004F400F">
            <w:pPr>
              <w:pStyle w:val="T2"/>
              <w:jc w:val="right"/>
              <w:rPr>
                <w:b/>
              </w:rPr>
            </w:pPr>
            <w:r>
              <w:rPr>
                <w:b/>
              </w:rPr>
              <w:t>0.4</w:t>
            </w:r>
          </w:p>
        </w:tc>
        <w:tc>
          <w:tcPr>
            <w:tcW w:w="992" w:type="dxa"/>
            <w:vAlign w:val="bottom"/>
          </w:tcPr>
          <w:p w14:paraId="1BDD4985" w14:textId="77777777" w:rsidR="004F400F" w:rsidRPr="009126D7" w:rsidRDefault="004F400F">
            <w:pPr>
              <w:pStyle w:val="T2"/>
              <w:jc w:val="right"/>
            </w:pPr>
            <w:r>
              <w:t>0.</w:t>
            </w:r>
            <w:r w:rsidR="00863360">
              <w:t>5</w:t>
            </w:r>
          </w:p>
        </w:tc>
      </w:tr>
      <w:tr w:rsidR="004F400F" w14:paraId="34C4635E" w14:textId="77777777" w:rsidTr="00E14D65">
        <w:trPr>
          <w:jc w:val="center"/>
        </w:trPr>
        <w:tc>
          <w:tcPr>
            <w:tcW w:w="7795" w:type="dxa"/>
            <w:vAlign w:val="bottom"/>
          </w:tcPr>
          <w:p w14:paraId="077A69CC" w14:textId="77777777" w:rsidR="004F400F" w:rsidRDefault="004F400F" w:rsidP="004F400F">
            <w:pPr>
              <w:pStyle w:val="T2"/>
              <w:jc w:val="left"/>
            </w:pPr>
            <w:r w:rsidRPr="0068425A">
              <w:t>Finance costs</w:t>
            </w:r>
          </w:p>
        </w:tc>
        <w:tc>
          <w:tcPr>
            <w:tcW w:w="992" w:type="dxa"/>
          </w:tcPr>
          <w:p w14:paraId="7E396CD4" w14:textId="77777777" w:rsidR="004F400F" w:rsidRPr="00C025A7" w:rsidRDefault="00E25584">
            <w:pPr>
              <w:pStyle w:val="T2"/>
              <w:jc w:val="right"/>
              <w:rPr>
                <w:b/>
              </w:rPr>
            </w:pPr>
            <w:r>
              <w:rPr>
                <w:b/>
              </w:rPr>
              <w:t>(</w:t>
            </w:r>
            <w:r w:rsidR="00863360">
              <w:rPr>
                <w:b/>
              </w:rPr>
              <w:t>10.1</w:t>
            </w:r>
            <w:r>
              <w:rPr>
                <w:b/>
              </w:rPr>
              <w:t>)</w:t>
            </w:r>
          </w:p>
        </w:tc>
        <w:tc>
          <w:tcPr>
            <w:tcW w:w="992" w:type="dxa"/>
            <w:vAlign w:val="bottom"/>
          </w:tcPr>
          <w:p w14:paraId="7C110A48" w14:textId="77777777" w:rsidR="004F400F" w:rsidRPr="009126D7" w:rsidRDefault="004F400F">
            <w:pPr>
              <w:pStyle w:val="T2"/>
              <w:jc w:val="right"/>
            </w:pPr>
            <w:r>
              <w:t>(</w:t>
            </w:r>
            <w:r w:rsidR="00863360">
              <w:t>9.2</w:t>
            </w:r>
            <w:r>
              <w:t>)</w:t>
            </w:r>
          </w:p>
        </w:tc>
      </w:tr>
      <w:tr w:rsidR="004F400F" w14:paraId="7DB6E578" w14:textId="77777777" w:rsidTr="00E14D65">
        <w:trPr>
          <w:jc w:val="center"/>
        </w:trPr>
        <w:tc>
          <w:tcPr>
            <w:tcW w:w="7795" w:type="dxa"/>
            <w:vAlign w:val="bottom"/>
          </w:tcPr>
          <w:p w14:paraId="6D24E6AF" w14:textId="77777777" w:rsidR="004F400F" w:rsidRDefault="004F400F" w:rsidP="00E44321">
            <w:pPr>
              <w:pStyle w:val="T2"/>
              <w:jc w:val="left"/>
            </w:pPr>
            <w:r w:rsidRPr="0068425A">
              <w:t>Share of profit of associates after tax</w:t>
            </w:r>
            <w:r w:rsidR="002A2B15">
              <w:t xml:space="preserve"> </w:t>
            </w:r>
          </w:p>
        </w:tc>
        <w:tc>
          <w:tcPr>
            <w:tcW w:w="992" w:type="dxa"/>
          </w:tcPr>
          <w:p w14:paraId="3BB2CA1A" w14:textId="77777777" w:rsidR="004F400F" w:rsidRPr="00C025A7" w:rsidRDefault="00E44321" w:rsidP="004F400F">
            <w:pPr>
              <w:pStyle w:val="T2"/>
              <w:jc w:val="right"/>
              <w:rPr>
                <w:b/>
              </w:rPr>
            </w:pPr>
            <w:r w:rsidRPr="00C4732F">
              <w:rPr>
                <w:b/>
              </w:rPr>
              <w:t>–</w:t>
            </w:r>
          </w:p>
        </w:tc>
        <w:tc>
          <w:tcPr>
            <w:tcW w:w="992" w:type="dxa"/>
            <w:vAlign w:val="bottom"/>
          </w:tcPr>
          <w:p w14:paraId="55000B1B" w14:textId="77777777" w:rsidR="004F400F" w:rsidRPr="009126D7" w:rsidRDefault="004F400F" w:rsidP="004F400F">
            <w:pPr>
              <w:pStyle w:val="T2"/>
              <w:jc w:val="right"/>
            </w:pPr>
            <w:r>
              <w:t>0.4</w:t>
            </w:r>
          </w:p>
        </w:tc>
      </w:tr>
      <w:tr w:rsidR="002A2B15" w14:paraId="07964F0C" w14:textId="77777777" w:rsidTr="00E14D65">
        <w:trPr>
          <w:jc w:val="center"/>
        </w:trPr>
        <w:tc>
          <w:tcPr>
            <w:tcW w:w="7795" w:type="dxa"/>
            <w:vAlign w:val="bottom"/>
          </w:tcPr>
          <w:p w14:paraId="6C8E248D" w14:textId="77777777" w:rsidR="002A2B15" w:rsidRPr="0068425A" w:rsidRDefault="002A2B15" w:rsidP="004F400F">
            <w:pPr>
              <w:pStyle w:val="T2"/>
              <w:jc w:val="left"/>
            </w:pPr>
            <w:r>
              <w:t>Exceptional items</w:t>
            </w:r>
          </w:p>
        </w:tc>
        <w:tc>
          <w:tcPr>
            <w:tcW w:w="992" w:type="dxa"/>
          </w:tcPr>
          <w:p w14:paraId="241D2E16" w14:textId="77777777" w:rsidR="002A2B15" w:rsidRDefault="00D206EE" w:rsidP="004F400F">
            <w:pPr>
              <w:pStyle w:val="T2"/>
              <w:jc w:val="right"/>
              <w:rPr>
                <w:b/>
              </w:rPr>
            </w:pPr>
            <w:r>
              <w:rPr>
                <w:b/>
              </w:rPr>
              <w:t>9</w:t>
            </w:r>
            <w:r w:rsidR="002A2B15">
              <w:rPr>
                <w:b/>
              </w:rPr>
              <w:t>.7</w:t>
            </w:r>
          </w:p>
        </w:tc>
        <w:tc>
          <w:tcPr>
            <w:tcW w:w="992" w:type="dxa"/>
            <w:vAlign w:val="bottom"/>
          </w:tcPr>
          <w:p w14:paraId="0E7DB506" w14:textId="77777777" w:rsidR="002A2B15" w:rsidRPr="002A2B15" w:rsidRDefault="002A2B15" w:rsidP="004F400F">
            <w:pPr>
              <w:pStyle w:val="T2"/>
              <w:jc w:val="right"/>
            </w:pPr>
            <w:r w:rsidRPr="002A2B15">
              <w:t>–</w:t>
            </w:r>
          </w:p>
        </w:tc>
      </w:tr>
      <w:tr w:rsidR="004F400F" w14:paraId="362B83BC" w14:textId="77777777" w:rsidTr="001F1616">
        <w:trPr>
          <w:jc w:val="center"/>
        </w:trPr>
        <w:tc>
          <w:tcPr>
            <w:tcW w:w="7795" w:type="dxa"/>
            <w:tcBorders>
              <w:bottom w:val="single" w:sz="2" w:space="0" w:color="auto"/>
            </w:tcBorders>
            <w:vAlign w:val="bottom"/>
          </w:tcPr>
          <w:p w14:paraId="2C6324C0" w14:textId="77777777" w:rsidR="004F400F" w:rsidRDefault="004F400F" w:rsidP="004F400F">
            <w:pPr>
              <w:pStyle w:val="T2"/>
              <w:jc w:val="left"/>
            </w:pPr>
            <w:r w:rsidRPr="0068425A">
              <w:t>Taxation</w:t>
            </w:r>
          </w:p>
        </w:tc>
        <w:tc>
          <w:tcPr>
            <w:tcW w:w="992" w:type="dxa"/>
            <w:tcBorders>
              <w:bottom w:val="single" w:sz="2" w:space="0" w:color="auto"/>
            </w:tcBorders>
          </w:tcPr>
          <w:p w14:paraId="7285A5B9" w14:textId="77777777" w:rsidR="004F400F" w:rsidRPr="00C025A7" w:rsidRDefault="005D3EAC" w:rsidP="0041734A">
            <w:pPr>
              <w:pStyle w:val="T2"/>
              <w:jc w:val="right"/>
              <w:rPr>
                <w:b/>
              </w:rPr>
            </w:pPr>
            <w:r>
              <w:rPr>
                <w:b/>
              </w:rPr>
              <w:t>2.</w:t>
            </w:r>
            <w:r w:rsidR="00D206EE">
              <w:rPr>
                <w:b/>
              </w:rPr>
              <w:t>2</w:t>
            </w:r>
          </w:p>
        </w:tc>
        <w:tc>
          <w:tcPr>
            <w:tcW w:w="992" w:type="dxa"/>
            <w:tcBorders>
              <w:bottom w:val="single" w:sz="2" w:space="0" w:color="auto"/>
            </w:tcBorders>
            <w:vAlign w:val="bottom"/>
          </w:tcPr>
          <w:p w14:paraId="0C33B175" w14:textId="77777777" w:rsidR="004F400F" w:rsidRPr="009126D7" w:rsidRDefault="004F400F" w:rsidP="004F400F">
            <w:pPr>
              <w:pStyle w:val="T2"/>
              <w:jc w:val="right"/>
            </w:pPr>
            <w:r>
              <w:t>(3.1)</w:t>
            </w:r>
          </w:p>
        </w:tc>
      </w:tr>
      <w:tr w:rsidR="004F400F" w14:paraId="32E13CF0" w14:textId="77777777" w:rsidTr="001F1616">
        <w:trPr>
          <w:jc w:val="center"/>
        </w:trPr>
        <w:tc>
          <w:tcPr>
            <w:tcW w:w="7795" w:type="dxa"/>
            <w:tcBorders>
              <w:top w:val="single" w:sz="2" w:space="0" w:color="auto"/>
              <w:bottom w:val="single" w:sz="2" w:space="0" w:color="auto"/>
            </w:tcBorders>
            <w:vAlign w:val="bottom"/>
          </w:tcPr>
          <w:p w14:paraId="3E699FE9" w14:textId="77777777" w:rsidR="004F400F" w:rsidRPr="00484E13" w:rsidRDefault="006316BB" w:rsidP="004F400F">
            <w:pPr>
              <w:pStyle w:val="T2"/>
              <w:jc w:val="left"/>
              <w:rPr>
                <w:b/>
              </w:rPr>
            </w:pPr>
            <w:r>
              <w:rPr>
                <w:b/>
              </w:rPr>
              <w:t>Result</w:t>
            </w:r>
            <w:r w:rsidRPr="00484E13">
              <w:rPr>
                <w:b/>
              </w:rPr>
              <w:t xml:space="preserve"> </w:t>
            </w:r>
            <w:r w:rsidR="004F400F" w:rsidRPr="00484E13">
              <w:rPr>
                <w:b/>
              </w:rPr>
              <w:t>for the period</w:t>
            </w:r>
          </w:p>
        </w:tc>
        <w:tc>
          <w:tcPr>
            <w:tcW w:w="992" w:type="dxa"/>
            <w:tcBorders>
              <w:top w:val="single" w:sz="2" w:space="0" w:color="auto"/>
              <w:bottom w:val="single" w:sz="2" w:space="0" w:color="auto"/>
            </w:tcBorders>
          </w:tcPr>
          <w:p w14:paraId="75287499" w14:textId="77777777" w:rsidR="004F400F" w:rsidRPr="00C025A7" w:rsidRDefault="00E25584" w:rsidP="0041734A">
            <w:pPr>
              <w:pStyle w:val="T2"/>
              <w:jc w:val="right"/>
              <w:rPr>
                <w:b/>
              </w:rPr>
            </w:pPr>
            <w:r>
              <w:rPr>
                <w:b/>
              </w:rPr>
              <w:t>0.</w:t>
            </w:r>
            <w:r w:rsidR="00D206EE">
              <w:rPr>
                <w:b/>
              </w:rPr>
              <w:t>4</w:t>
            </w:r>
          </w:p>
        </w:tc>
        <w:tc>
          <w:tcPr>
            <w:tcW w:w="992" w:type="dxa"/>
            <w:tcBorders>
              <w:top w:val="single" w:sz="2" w:space="0" w:color="auto"/>
              <w:bottom w:val="single" w:sz="2" w:space="0" w:color="auto"/>
            </w:tcBorders>
            <w:vAlign w:val="bottom"/>
          </w:tcPr>
          <w:p w14:paraId="2C0E124F" w14:textId="77777777" w:rsidR="004F400F" w:rsidRPr="009126D7" w:rsidRDefault="004F400F" w:rsidP="004F400F">
            <w:pPr>
              <w:pStyle w:val="T2"/>
              <w:jc w:val="right"/>
            </w:pPr>
            <w:r>
              <w:t>24.2</w:t>
            </w:r>
          </w:p>
        </w:tc>
      </w:tr>
    </w:tbl>
    <w:p w14:paraId="05EB8DAC" w14:textId="77777777" w:rsidR="00773F7B" w:rsidRDefault="00773F7B" w:rsidP="005B3BEE">
      <w:pPr>
        <w:pStyle w:val="Paragraph"/>
        <w:spacing w:before="120" w:after="120"/>
      </w:pPr>
      <w:r>
        <w:t>T</w:t>
      </w:r>
      <w:r w:rsidRPr="00DF6E36">
        <w:t xml:space="preserve">he following table disaggregates revenue by product categories in </w:t>
      </w:r>
      <w:r>
        <w:t xml:space="preserve">the </w:t>
      </w:r>
      <w:r w:rsidRPr="00DF6E36">
        <w:t>Convenience Foods UK and Ireland reporting segment.</w:t>
      </w:r>
    </w:p>
    <w:tbl>
      <w:tblPr>
        <w:tblStyle w:val="TableGrid"/>
        <w:tblW w:w="9779" w:type="dxa"/>
        <w:jc w:val="center"/>
        <w:tblLook w:val="04A0" w:firstRow="1" w:lastRow="0" w:firstColumn="1" w:lastColumn="0" w:noHBand="0" w:noVBand="1"/>
      </w:tblPr>
      <w:tblGrid>
        <w:gridCol w:w="7795"/>
        <w:gridCol w:w="992"/>
        <w:gridCol w:w="992"/>
      </w:tblGrid>
      <w:tr w:rsidR="00773F7B" w14:paraId="3F70DBD8" w14:textId="77777777" w:rsidTr="001F1616">
        <w:trPr>
          <w:jc w:val="center"/>
        </w:trPr>
        <w:tc>
          <w:tcPr>
            <w:tcW w:w="7795" w:type="dxa"/>
            <w:tcBorders>
              <w:top w:val="nil"/>
              <w:left w:val="nil"/>
              <w:bottom w:val="nil"/>
              <w:right w:val="nil"/>
            </w:tcBorders>
            <w:vAlign w:val="bottom"/>
          </w:tcPr>
          <w:p w14:paraId="38A6A1BA" w14:textId="77777777" w:rsidR="00773F7B" w:rsidRPr="00EA414F" w:rsidRDefault="00773F7B" w:rsidP="00773F7B">
            <w:pPr>
              <w:pStyle w:val="T2"/>
              <w:jc w:val="left"/>
            </w:pPr>
          </w:p>
        </w:tc>
        <w:tc>
          <w:tcPr>
            <w:tcW w:w="992" w:type="dxa"/>
            <w:tcBorders>
              <w:top w:val="nil"/>
              <w:left w:val="nil"/>
              <w:bottom w:val="nil"/>
              <w:right w:val="nil"/>
            </w:tcBorders>
            <w:vAlign w:val="bottom"/>
          </w:tcPr>
          <w:p w14:paraId="6B9736C8" w14:textId="77777777" w:rsidR="00773F7B" w:rsidRPr="00EA414F" w:rsidRDefault="00773F7B" w:rsidP="00773F7B">
            <w:pPr>
              <w:pStyle w:val="T2"/>
              <w:jc w:val="right"/>
              <w:rPr>
                <w:b/>
              </w:rPr>
            </w:pPr>
            <w:r w:rsidRPr="00EA414F">
              <w:rPr>
                <w:b/>
              </w:rPr>
              <w:t>Half year 20</w:t>
            </w:r>
            <w:r w:rsidR="004F400F">
              <w:rPr>
                <w:b/>
              </w:rPr>
              <w:t>21</w:t>
            </w:r>
          </w:p>
        </w:tc>
        <w:tc>
          <w:tcPr>
            <w:tcW w:w="992" w:type="dxa"/>
            <w:tcBorders>
              <w:top w:val="nil"/>
              <w:left w:val="nil"/>
              <w:bottom w:val="nil"/>
              <w:right w:val="nil"/>
            </w:tcBorders>
            <w:vAlign w:val="bottom"/>
          </w:tcPr>
          <w:p w14:paraId="231D8B2C" w14:textId="77777777" w:rsidR="00773F7B" w:rsidRPr="006E7430" w:rsidRDefault="00773F7B" w:rsidP="004F400F">
            <w:pPr>
              <w:pStyle w:val="T2"/>
              <w:jc w:val="right"/>
            </w:pPr>
            <w:r w:rsidRPr="006E7430">
              <w:t>Half year 20</w:t>
            </w:r>
            <w:r w:rsidR="004F400F">
              <w:t>20</w:t>
            </w:r>
          </w:p>
        </w:tc>
      </w:tr>
      <w:tr w:rsidR="00773F7B" w14:paraId="686240A3" w14:textId="77777777" w:rsidTr="005B3BEE">
        <w:trPr>
          <w:jc w:val="center"/>
        </w:trPr>
        <w:tc>
          <w:tcPr>
            <w:tcW w:w="7795" w:type="dxa"/>
            <w:tcBorders>
              <w:top w:val="nil"/>
              <w:left w:val="nil"/>
              <w:bottom w:val="single" w:sz="2" w:space="0" w:color="auto"/>
              <w:right w:val="nil"/>
            </w:tcBorders>
            <w:vAlign w:val="bottom"/>
          </w:tcPr>
          <w:p w14:paraId="67AEC489" w14:textId="77777777" w:rsidR="00773F7B" w:rsidRPr="00EA414F" w:rsidRDefault="00773F7B" w:rsidP="00773F7B">
            <w:pPr>
              <w:pStyle w:val="T2"/>
              <w:jc w:val="left"/>
            </w:pPr>
          </w:p>
        </w:tc>
        <w:tc>
          <w:tcPr>
            <w:tcW w:w="992" w:type="dxa"/>
            <w:tcBorders>
              <w:top w:val="nil"/>
              <w:left w:val="nil"/>
              <w:bottom w:val="single" w:sz="2" w:space="0" w:color="auto"/>
              <w:right w:val="nil"/>
            </w:tcBorders>
            <w:vAlign w:val="bottom"/>
          </w:tcPr>
          <w:p w14:paraId="36B69828" w14:textId="77777777" w:rsidR="00773F7B" w:rsidRPr="00EA414F" w:rsidRDefault="00773F7B" w:rsidP="00773F7B">
            <w:pPr>
              <w:pStyle w:val="T2"/>
              <w:jc w:val="right"/>
              <w:rPr>
                <w:b/>
              </w:rPr>
            </w:pPr>
            <w:r w:rsidRPr="00EA414F">
              <w:rPr>
                <w:b/>
              </w:rPr>
              <w:t>£m</w:t>
            </w:r>
          </w:p>
        </w:tc>
        <w:tc>
          <w:tcPr>
            <w:tcW w:w="992" w:type="dxa"/>
            <w:tcBorders>
              <w:top w:val="nil"/>
              <w:left w:val="nil"/>
              <w:bottom w:val="single" w:sz="2" w:space="0" w:color="auto"/>
              <w:right w:val="nil"/>
            </w:tcBorders>
            <w:vAlign w:val="bottom"/>
          </w:tcPr>
          <w:p w14:paraId="15F80EF3" w14:textId="77777777" w:rsidR="00773F7B" w:rsidRPr="006E7430" w:rsidRDefault="00773F7B" w:rsidP="00773F7B">
            <w:pPr>
              <w:pStyle w:val="T2"/>
              <w:jc w:val="right"/>
            </w:pPr>
            <w:r w:rsidRPr="006E7430">
              <w:t>£m</w:t>
            </w:r>
          </w:p>
        </w:tc>
      </w:tr>
      <w:tr w:rsidR="00773F7B" w14:paraId="4003E9BB" w14:textId="77777777" w:rsidTr="005B3BEE">
        <w:trPr>
          <w:jc w:val="center"/>
        </w:trPr>
        <w:tc>
          <w:tcPr>
            <w:tcW w:w="7795" w:type="dxa"/>
            <w:tcBorders>
              <w:top w:val="single" w:sz="2" w:space="0" w:color="auto"/>
              <w:left w:val="nil"/>
              <w:bottom w:val="nil"/>
              <w:right w:val="nil"/>
            </w:tcBorders>
            <w:vAlign w:val="bottom"/>
          </w:tcPr>
          <w:p w14:paraId="1C56AE8B" w14:textId="77777777" w:rsidR="00773F7B" w:rsidRPr="00EA414F" w:rsidRDefault="00773F7B" w:rsidP="00773F7B">
            <w:pPr>
              <w:pStyle w:val="T2"/>
              <w:jc w:val="left"/>
              <w:rPr>
                <w:b/>
              </w:rPr>
            </w:pPr>
            <w:r w:rsidRPr="00EA414F">
              <w:rPr>
                <w:b/>
              </w:rPr>
              <w:t xml:space="preserve">Revenue </w:t>
            </w:r>
          </w:p>
        </w:tc>
        <w:tc>
          <w:tcPr>
            <w:tcW w:w="992" w:type="dxa"/>
            <w:tcBorders>
              <w:top w:val="single" w:sz="2" w:space="0" w:color="auto"/>
              <w:left w:val="nil"/>
              <w:bottom w:val="nil"/>
              <w:right w:val="nil"/>
            </w:tcBorders>
            <w:vAlign w:val="bottom"/>
          </w:tcPr>
          <w:p w14:paraId="4472D19A" w14:textId="77777777" w:rsidR="00773F7B" w:rsidRPr="00EA414F" w:rsidRDefault="00773F7B" w:rsidP="00773F7B">
            <w:pPr>
              <w:pStyle w:val="T2"/>
              <w:jc w:val="right"/>
            </w:pPr>
          </w:p>
        </w:tc>
        <w:tc>
          <w:tcPr>
            <w:tcW w:w="992" w:type="dxa"/>
            <w:tcBorders>
              <w:top w:val="single" w:sz="2" w:space="0" w:color="auto"/>
              <w:left w:val="nil"/>
              <w:bottom w:val="nil"/>
              <w:right w:val="nil"/>
            </w:tcBorders>
            <w:vAlign w:val="bottom"/>
          </w:tcPr>
          <w:p w14:paraId="03DFE940" w14:textId="77777777" w:rsidR="00773F7B" w:rsidRPr="00EA414F" w:rsidRDefault="00773F7B" w:rsidP="00773F7B">
            <w:pPr>
              <w:pStyle w:val="T2"/>
              <w:jc w:val="right"/>
            </w:pPr>
          </w:p>
        </w:tc>
      </w:tr>
      <w:tr w:rsidR="004F400F" w14:paraId="2AFE6DE7" w14:textId="77777777" w:rsidTr="00E14D65">
        <w:trPr>
          <w:jc w:val="center"/>
        </w:trPr>
        <w:tc>
          <w:tcPr>
            <w:tcW w:w="7795" w:type="dxa"/>
            <w:tcBorders>
              <w:top w:val="nil"/>
              <w:left w:val="nil"/>
              <w:bottom w:val="nil"/>
              <w:right w:val="nil"/>
            </w:tcBorders>
            <w:vAlign w:val="bottom"/>
          </w:tcPr>
          <w:p w14:paraId="712A8E96" w14:textId="77777777" w:rsidR="004F400F" w:rsidRPr="00EA414F" w:rsidRDefault="004F400F" w:rsidP="004F400F">
            <w:pPr>
              <w:pStyle w:val="T2"/>
              <w:jc w:val="left"/>
            </w:pPr>
            <w:r w:rsidRPr="00EA414F">
              <w:t>Food to go</w:t>
            </w:r>
            <w:r>
              <w:t xml:space="preserve"> categories</w:t>
            </w:r>
          </w:p>
        </w:tc>
        <w:tc>
          <w:tcPr>
            <w:tcW w:w="992" w:type="dxa"/>
            <w:tcBorders>
              <w:top w:val="nil"/>
              <w:left w:val="nil"/>
              <w:bottom w:val="nil"/>
              <w:right w:val="nil"/>
            </w:tcBorders>
          </w:tcPr>
          <w:p w14:paraId="08AD00AA" w14:textId="77777777" w:rsidR="004F400F" w:rsidRPr="00C025A7" w:rsidRDefault="00E25584">
            <w:pPr>
              <w:pStyle w:val="T2"/>
              <w:jc w:val="right"/>
              <w:rPr>
                <w:b/>
                <w:bCs/>
              </w:rPr>
            </w:pPr>
            <w:r>
              <w:rPr>
                <w:b/>
                <w:bCs/>
              </w:rPr>
              <w:t>3</w:t>
            </w:r>
            <w:r w:rsidR="00863360">
              <w:rPr>
                <w:b/>
                <w:bCs/>
              </w:rPr>
              <w:t>39.2</w:t>
            </w:r>
          </w:p>
        </w:tc>
        <w:tc>
          <w:tcPr>
            <w:tcW w:w="992" w:type="dxa"/>
            <w:tcBorders>
              <w:top w:val="nil"/>
              <w:left w:val="nil"/>
              <w:bottom w:val="nil"/>
              <w:right w:val="nil"/>
            </w:tcBorders>
            <w:vAlign w:val="bottom"/>
          </w:tcPr>
          <w:p w14:paraId="6FFF2A15" w14:textId="77777777" w:rsidR="004F400F" w:rsidRPr="00EA414F" w:rsidRDefault="004F400F" w:rsidP="004F400F">
            <w:pPr>
              <w:pStyle w:val="T2"/>
              <w:jc w:val="right"/>
            </w:pPr>
            <w:r>
              <w:rPr>
                <w:bCs/>
              </w:rPr>
              <w:t>455.8</w:t>
            </w:r>
          </w:p>
        </w:tc>
      </w:tr>
      <w:tr w:rsidR="004F400F" w14:paraId="0BD7AB4D" w14:textId="77777777" w:rsidTr="001F1616">
        <w:trPr>
          <w:jc w:val="center"/>
        </w:trPr>
        <w:tc>
          <w:tcPr>
            <w:tcW w:w="7795" w:type="dxa"/>
            <w:tcBorders>
              <w:top w:val="nil"/>
              <w:left w:val="nil"/>
              <w:bottom w:val="single" w:sz="2" w:space="0" w:color="auto"/>
              <w:right w:val="nil"/>
            </w:tcBorders>
            <w:vAlign w:val="bottom"/>
          </w:tcPr>
          <w:p w14:paraId="7DCAFD92" w14:textId="77777777" w:rsidR="004F400F" w:rsidRPr="00EA414F" w:rsidRDefault="004F400F" w:rsidP="004F400F">
            <w:pPr>
              <w:pStyle w:val="T2"/>
              <w:jc w:val="left"/>
            </w:pPr>
            <w:r>
              <w:t>Other convenience categories</w:t>
            </w:r>
          </w:p>
        </w:tc>
        <w:tc>
          <w:tcPr>
            <w:tcW w:w="992" w:type="dxa"/>
            <w:tcBorders>
              <w:top w:val="nil"/>
              <w:left w:val="nil"/>
              <w:bottom w:val="single" w:sz="2" w:space="0" w:color="auto"/>
              <w:right w:val="nil"/>
            </w:tcBorders>
          </w:tcPr>
          <w:p w14:paraId="6F6ED541" w14:textId="77777777" w:rsidR="004F400F" w:rsidRPr="00C025A7" w:rsidRDefault="00E25584" w:rsidP="004F400F">
            <w:pPr>
              <w:pStyle w:val="T2"/>
              <w:jc w:val="right"/>
              <w:rPr>
                <w:b/>
                <w:bCs/>
              </w:rPr>
            </w:pPr>
            <w:r>
              <w:rPr>
                <w:b/>
              </w:rPr>
              <w:t>237.9</w:t>
            </w:r>
          </w:p>
        </w:tc>
        <w:tc>
          <w:tcPr>
            <w:tcW w:w="992" w:type="dxa"/>
            <w:tcBorders>
              <w:top w:val="nil"/>
              <w:left w:val="nil"/>
              <w:bottom w:val="single" w:sz="2" w:space="0" w:color="auto"/>
              <w:right w:val="nil"/>
            </w:tcBorders>
            <w:vAlign w:val="bottom"/>
          </w:tcPr>
          <w:p w14:paraId="09F80B56" w14:textId="77777777" w:rsidR="004F400F" w:rsidRPr="00EA414F" w:rsidRDefault="004F400F" w:rsidP="004F400F">
            <w:pPr>
              <w:pStyle w:val="T2"/>
              <w:jc w:val="right"/>
            </w:pPr>
            <w:r>
              <w:rPr>
                <w:bCs/>
              </w:rPr>
              <w:t>256.9</w:t>
            </w:r>
          </w:p>
        </w:tc>
      </w:tr>
      <w:tr w:rsidR="004F400F" w14:paraId="5087BC0F" w14:textId="77777777" w:rsidTr="001F1616">
        <w:trPr>
          <w:jc w:val="center"/>
        </w:trPr>
        <w:tc>
          <w:tcPr>
            <w:tcW w:w="7795" w:type="dxa"/>
            <w:tcBorders>
              <w:top w:val="single" w:sz="2" w:space="0" w:color="auto"/>
              <w:left w:val="nil"/>
              <w:bottom w:val="single" w:sz="2" w:space="0" w:color="auto"/>
              <w:right w:val="nil"/>
            </w:tcBorders>
            <w:vAlign w:val="bottom"/>
          </w:tcPr>
          <w:p w14:paraId="6BD36044" w14:textId="77777777" w:rsidR="004F400F" w:rsidRPr="00EA414F" w:rsidRDefault="004F400F" w:rsidP="004F400F">
            <w:pPr>
              <w:pStyle w:val="T2"/>
              <w:jc w:val="left"/>
              <w:rPr>
                <w:b/>
              </w:rPr>
            </w:pPr>
            <w:r w:rsidRPr="00EA414F">
              <w:rPr>
                <w:b/>
              </w:rPr>
              <w:t>Total revenue for Convenience Foods UK &amp; Ireland</w:t>
            </w:r>
          </w:p>
        </w:tc>
        <w:tc>
          <w:tcPr>
            <w:tcW w:w="992" w:type="dxa"/>
            <w:tcBorders>
              <w:top w:val="single" w:sz="2" w:space="0" w:color="auto"/>
              <w:left w:val="nil"/>
              <w:bottom w:val="single" w:sz="2" w:space="0" w:color="auto"/>
              <w:right w:val="nil"/>
            </w:tcBorders>
          </w:tcPr>
          <w:p w14:paraId="272112DB" w14:textId="77777777" w:rsidR="004F400F" w:rsidRPr="00C025A7" w:rsidRDefault="00E25584">
            <w:pPr>
              <w:pStyle w:val="T2"/>
              <w:jc w:val="right"/>
              <w:rPr>
                <w:b/>
                <w:bCs/>
              </w:rPr>
            </w:pPr>
            <w:r>
              <w:rPr>
                <w:b/>
              </w:rPr>
              <w:t>5</w:t>
            </w:r>
            <w:r w:rsidR="00863360">
              <w:rPr>
                <w:b/>
              </w:rPr>
              <w:t>77.1</w:t>
            </w:r>
          </w:p>
        </w:tc>
        <w:tc>
          <w:tcPr>
            <w:tcW w:w="992" w:type="dxa"/>
            <w:tcBorders>
              <w:top w:val="single" w:sz="2" w:space="0" w:color="auto"/>
              <w:left w:val="nil"/>
              <w:bottom w:val="single" w:sz="2" w:space="0" w:color="auto"/>
              <w:right w:val="nil"/>
            </w:tcBorders>
            <w:vAlign w:val="bottom"/>
          </w:tcPr>
          <w:p w14:paraId="3ADD22AB" w14:textId="77777777" w:rsidR="004F400F" w:rsidRPr="00EA414F" w:rsidRDefault="004F400F" w:rsidP="004F400F">
            <w:pPr>
              <w:pStyle w:val="T2"/>
              <w:jc w:val="right"/>
            </w:pPr>
            <w:r w:rsidRPr="0096767F">
              <w:rPr>
                <w:bCs/>
              </w:rPr>
              <w:t>7</w:t>
            </w:r>
            <w:r>
              <w:rPr>
                <w:bCs/>
              </w:rPr>
              <w:t>12.7</w:t>
            </w:r>
          </w:p>
        </w:tc>
      </w:tr>
    </w:tbl>
    <w:p w14:paraId="02465F4C" w14:textId="77777777" w:rsidR="00773F7B" w:rsidRDefault="00773F7B" w:rsidP="005B3BEE">
      <w:pPr>
        <w:pStyle w:val="Paragraph"/>
        <w:spacing w:before="120" w:after="120"/>
        <w:jc w:val="both"/>
      </w:pPr>
      <w:r w:rsidRPr="00386903">
        <w:t xml:space="preserve">Food to go categories include sandwiches, salads, sushi and chilled snacking while the other convenience categories include chilled ready meals, chilled soups and sauces, chilled quiche, ambient sauces and pickles, and frozen Yorkshire Puddings as well as </w:t>
      </w:r>
      <w:r w:rsidR="007905AF">
        <w:t xml:space="preserve">the </w:t>
      </w:r>
      <w:r w:rsidRPr="00386903">
        <w:t>Irish ingredients trading business.</w:t>
      </w:r>
    </w:p>
    <w:p w14:paraId="60C2A3E6" w14:textId="77777777" w:rsidR="00773F7B" w:rsidRDefault="00773F7B" w:rsidP="00773F7B">
      <w:pPr>
        <w:pStyle w:val="Subtitle"/>
        <w:jc w:val="left"/>
      </w:pPr>
    </w:p>
    <w:p w14:paraId="26169EBA" w14:textId="77777777" w:rsidR="00773F7B" w:rsidRDefault="00E126B5" w:rsidP="005B3BEE">
      <w:pPr>
        <w:pStyle w:val="SectionH3"/>
      </w:pPr>
      <w:r>
        <w:t>3</w:t>
      </w:r>
      <w:r w:rsidR="00773F7B">
        <w:t>.</w:t>
      </w:r>
      <w:r w:rsidR="00052704">
        <w:tab/>
      </w:r>
      <w:r w:rsidR="00773F7B" w:rsidRPr="003D355E">
        <w:t>Seasonality</w:t>
      </w:r>
    </w:p>
    <w:p w14:paraId="4CD40CD4" w14:textId="77777777" w:rsidR="00035262" w:rsidRPr="0073636E" w:rsidRDefault="00773F7B" w:rsidP="005B3BEE">
      <w:pPr>
        <w:pStyle w:val="Paragraph"/>
        <w:spacing w:before="0" w:after="120"/>
        <w:jc w:val="both"/>
      </w:pPr>
      <w:r w:rsidRPr="0073636E">
        <w:t xml:space="preserve">The Group's convenience foods </w:t>
      </w:r>
      <w:r w:rsidR="0009243D">
        <w:t xml:space="preserve">sales </w:t>
      </w:r>
      <w:r w:rsidRPr="0073636E">
        <w:t>portfolio has historical</w:t>
      </w:r>
      <w:r w:rsidR="005F0358" w:rsidRPr="0073636E">
        <w:t>ly</w:t>
      </w:r>
      <w:r w:rsidRPr="0073636E">
        <w:t xml:space="preserve"> been second half weighted. This historical weighting has been primarily driven by weather and sea</w:t>
      </w:r>
      <w:r w:rsidR="0073636E">
        <w:t>sonal buying patterns</w:t>
      </w:r>
      <w:r w:rsidRPr="0073636E">
        <w:t xml:space="preserve">. </w:t>
      </w:r>
      <w:r w:rsidR="00035262" w:rsidRPr="0073636E">
        <w:t xml:space="preserve">Over the </w:t>
      </w:r>
      <w:r w:rsidR="00AA30AD" w:rsidRPr="0073636E">
        <w:t>first half of FY21</w:t>
      </w:r>
      <w:r w:rsidR="0073636E" w:rsidRPr="0073636E">
        <w:t xml:space="preserve">, the </w:t>
      </w:r>
      <w:r w:rsidR="001B56E6">
        <w:t xml:space="preserve">extensive restrictions on mobility implemented by the UK Government including two nationwide lockdowns have had a pronounced impact on volumes </w:t>
      </w:r>
      <w:r w:rsidR="00035262" w:rsidRPr="0073636E">
        <w:t xml:space="preserve">particularly in food to go categories. </w:t>
      </w:r>
      <w:r w:rsidR="001B56E6">
        <w:t xml:space="preserve">The UK Government has established a clear roadmap out of lockdown with the first phase commencing on 8 March 2021 and second half volumes are expected to benefit as the restrictions on movement ease. </w:t>
      </w:r>
    </w:p>
    <w:p w14:paraId="7DFCF0E3" w14:textId="77777777" w:rsidR="003A31F8" w:rsidRDefault="003A31F8" w:rsidP="005B3BEE">
      <w:pPr>
        <w:pStyle w:val="Paragraph"/>
        <w:spacing w:before="0" w:after="120"/>
        <w:jc w:val="both"/>
      </w:pPr>
    </w:p>
    <w:p w14:paraId="6BB2266E" w14:textId="77777777" w:rsidR="00773F7B" w:rsidRDefault="00E126B5" w:rsidP="005B3BEE">
      <w:pPr>
        <w:pStyle w:val="SectionH3"/>
      </w:pPr>
      <w:r>
        <w:t>4</w:t>
      </w:r>
      <w:r w:rsidR="00773F7B">
        <w:t>.</w:t>
      </w:r>
      <w:r w:rsidR="00371831">
        <w:tab/>
      </w:r>
      <w:r w:rsidR="00773F7B" w:rsidRPr="003D355E">
        <w:t>Exceptional Items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3"/>
        <w:gridCol w:w="992"/>
        <w:gridCol w:w="992"/>
        <w:gridCol w:w="992"/>
      </w:tblGrid>
      <w:tr w:rsidR="00773F7B" w14:paraId="117C99E0" w14:textId="77777777" w:rsidTr="001F1616">
        <w:trPr>
          <w:jc w:val="center"/>
        </w:trPr>
        <w:tc>
          <w:tcPr>
            <w:tcW w:w="6803" w:type="dxa"/>
            <w:vAlign w:val="bottom"/>
          </w:tcPr>
          <w:p w14:paraId="2C792E71" w14:textId="77777777" w:rsidR="00773F7B" w:rsidRPr="003D355E" w:rsidRDefault="00773F7B" w:rsidP="00773F7B">
            <w:pPr>
              <w:pStyle w:val="T2"/>
              <w:jc w:val="left"/>
            </w:pPr>
          </w:p>
        </w:tc>
        <w:tc>
          <w:tcPr>
            <w:tcW w:w="992" w:type="dxa"/>
            <w:vAlign w:val="bottom"/>
          </w:tcPr>
          <w:p w14:paraId="3FF76EDB" w14:textId="77777777" w:rsidR="00773F7B" w:rsidRPr="003D355E" w:rsidRDefault="00773F7B" w:rsidP="00773F7B">
            <w:pPr>
              <w:pStyle w:val="T2"/>
              <w:jc w:val="right"/>
            </w:pPr>
          </w:p>
        </w:tc>
        <w:tc>
          <w:tcPr>
            <w:tcW w:w="992" w:type="dxa"/>
            <w:vAlign w:val="bottom"/>
          </w:tcPr>
          <w:p w14:paraId="12649E2E" w14:textId="77777777" w:rsidR="00773F7B" w:rsidRPr="003D355E" w:rsidRDefault="004F400F" w:rsidP="00773F7B">
            <w:pPr>
              <w:pStyle w:val="T2"/>
              <w:jc w:val="right"/>
              <w:rPr>
                <w:b/>
              </w:rPr>
            </w:pPr>
            <w:r>
              <w:rPr>
                <w:b/>
              </w:rPr>
              <w:t>Half Year 2021</w:t>
            </w:r>
          </w:p>
        </w:tc>
        <w:tc>
          <w:tcPr>
            <w:tcW w:w="992" w:type="dxa"/>
          </w:tcPr>
          <w:p w14:paraId="3914FD4A" w14:textId="77777777" w:rsidR="00773F7B" w:rsidRPr="005D0EFF" w:rsidRDefault="00773F7B" w:rsidP="00773F7B">
            <w:pPr>
              <w:pStyle w:val="T2"/>
              <w:jc w:val="right"/>
            </w:pPr>
            <w:r w:rsidRPr="005D0EFF">
              <w:t xml:space="preserve">Half Year </w:t>
            </w:r>
          </w:p>
          <w:p w14:paraId="7545CAA9" w14:textId="77777777" w:rsidR="00773F7B" w:rsidRDefault="00773F7B" w:rsidP="004F400F">
            <w:pPr>
              <w:pStyle w:val="T2"/>
              <w:jc w:val="right"/>
              <w:rPr>
                <w:b/>
              </w:rPr>
            </w:pPr>
            <w:r w:rsidRPr="005D0EFF">
              <w:t>20</w:t>
            </w:r>
            <w:r w:rsidR="004F400F">
              <w:t>20</w:t>
            </w:r>
          </w:p>
        </w:tc>
      </w:tr>
      <w:tr w:rsidR="00773F7B" w14:paraId="4CFE93A2" w14:textId="77777777" w:rsidTr="001F1616">
        <w:trPr>
          <w:jc w:val="center"/>
        </w:trPr>
        <w:tc>
          <w:tcPr>
            <w:tcW w:w="6803" w:type="dxa"/>
            <w:tcBorders>
              <w:bottom w:val="single" w:sz="2" w:space="0" w:color="auto"/>
            </w:tcBorders>
            <w:vAlign w:val="bottom"/>
          </w:tcPr>
          <w:p w14:paraId="7427F02D" w14:textId="77777777" w:rsidR="00773F7B" w:rsidRPr="003D355E" w:rsidRDefault="00773F7B" w:rsidP="00773F7B">
            <w:pPr>
              <w:pStyle w:val="T2"/>
              <w:jc w:val="left"/>
            </w:pPr>
          </w:p>
        </w:tc>
        <w:tc>
          <w:tcPr>
            <w:tcW w:w="992" w:type="dxa"/>
            <w:tcBorders>
              <w:bottom w:val="single" w:sz="2" w:space="0" w:color="auto"/>
            </w:tcBorders>
            <w:vAlign w:val="bottom"/>
          </w:tcPr>
          <w:p w14:paraId="3B35EB54" w14:textId="77777777" w:rsidR="00773F7B" w:rsidRPr="003D355E" w:rsidRDefault="00773F7B" w:rsidP="00773F7B">
            <w:pPr>
              <w:pStyle w:val="T2"/>
              <w:jc w:val="right"/>
            </w:pPr>
          </w:p>
        </w:tc>
        <w:tc>
          <w:tcPr>
            <w:tcW w:w="992" w:type="dxa"/>
            <w:tcBorders>
              <w:bottom w:val="single" w:sz="2" w:space="0" w:color="auto"/>
            </w:tcBorders>
            <w:vAlign w:val="bottom"/>
          </w:tcPr>
          <w:p w14:paraId="1E91CE75" w14:textId="77777777" w:rsidR="00773F7B" w:rsidRPr="003D355E" w:rsidRDefault="00773F7B" w:rsidP="00773F7B">
            <w:pPr>
              <w:pStyle w:val="T2"/>
              <w:jc w:val="right"/>
              <w:rPr>
                <w:b/>
              </w:rPr>
            </w:pPr>
            <w:r w:rsidRPr="003D355E">
              <w:rPr>
                <w:b/>
              </w:rPr>
              <w:t>£m</w:t>
            </w:r>
          </w:p>
        </w:tc>
        <w:tc>
          <w:tcPr>
            <w:tcW w:w="992" w:type="dxa"/>
            <w:tcBorders>
              <w:bottom w:val="single" w:sz="2" w:space="0" w:color="auto"/>
            </w:tcBorders>
          </w:tcPr>
          <w:p w14:paraId="5AAA2948" w14:textId="77777777" w:rsidR="00773F7B" w:rsidRPr="005D0EFF" w:rsidRDefault="00773F7B" w:rsidP="00773F7B">
            <w:pPr>
              <w:pStyle w:val="T2"/>
              <w:jc w:val="right"/>
            </w:pPr>
            <w:r w:rsidRPr="005D0EFF">
              <w:t>£m</w:t>
            </w:r>
          </w:p>
        </w:tc>
      </w:tr>
      <w:tr w:rsidR="004F400F" w14:paraId="16A729CC" w14:textId="77777777" w:rsidTr="001F1616">
        <w:trPr>
          <w:jc w:val="center"/>
        </w:trPr>
        <w:tc>
          <w:tcPr>
            <w:tcW w:w="6803" w:type="dxa"/>
            <w:tcBorders>
              <w:top w:val="single" w:sz="2" w:space="0" w:color="auto"/>
            </w:tcBorders>
            <w:vAlign w:val="bottom"/>
          </w:tcPr>
          <w:p w14:paraId="5D729DF1" w14:textId="77777777" w:rsidR="004F400F" w:rsidRDefault="004F400F" w:rsidP="00627968">
            <w:pPr>
              <w:pStyle w:val="T2"/>
              <w:jc w:val="left"/>
            </w:pPr>
            <w:r>
              <w:t>Profit on disposal of Molasses</w:t>
            </w:r>
            <w:r w:rsidR="00627968">
              <w:t xml:space="preserve"> trading</w:t>
            </w:r>
            <w:r>
              <w:t xml:space="preserve"> business</w:t>
            </w:r>
            <w:r w:rsidR="00627968">
              <w:t>es</w:t>
            </w:r>
          </w:p>
        </w:tc>
        <w:tc>
          <w:tcPr>
            <w:tcW w:w="992" w:type="dxa"/>
            <w:tcBorders>
              <w:top w:val="single" w:sz="2" w:space="0" w:color="auto"/>
            </w:tcBorders>
            <w:vAlign w:val="bottom"/>
          </w:tcPr>
          <w:p w14:paraId="11221C91" w14:textId="77777777" w:rsidR="004F400F" w:rsidRPr="003D355E" w:rsidRDefault="004F400F" w:rsidP="004F400F">
            <w:pPr>
              <w:pStyle w:val="T2"/>
              <w:jc w:val="right"/>
            </w:pPr>
            <w:r w:rsidRPr="003D355E">
              <w:t>(a)</w:t>
            </w:r>
          </w:p>
        </w:tc>
        <w:tc>
          <w:tcPr>
            <w:tcW w:w="992" w:type="dxa"/>
            <w:tcBorders>
              <w:top w:val="single" w:sz="2" w:space="0" w:color="auto"/>
            </w:tcBorders>
            <w:vAlign w:val="bottom"/>
          </w:tcPr>
          <w:p w14:paraId="64AE9D5F" w14:textId="77777777" w:rsidR="004F400F" w:rsidRDefault="004F400F" w:rsidP="00D477E0">
            <w:pPr>
              <w:pStyle w:val="T2"/>
              <w:jc w:val="right"/>
              <w:rPr>
                <w:b/>
              </w:rPr>
            </w:pPr>
            <w:r>
              <w:rPr>
                <w:b/>
              </w:rPr>
              <w:t>11.</w:t>
            </w:r>
            <w:r w:rsidR="00E25584">
              <w:rPr>
                <w:b/>
              </w:rPr>
              <w:t>3</w:t>
            </w:r>
          </w:p>
        </w:tc>
        <w:tc>
          <w:tcPr>
            <w:tcW w:w="992" w:type="dxa"/>
            <w:tcBorders>
              <w:top w:val="single" w:sz="2" w:space="0" w:color="auto"/>
            </w:tcBorders>
          </w:tcPr>
          <w:p w14:paraId="19D83648" w14:textId="77777777" w:rsidR="004F400F" w:rsidRDefault="004F400F" w:rsidP="004F400F">
            <w:pPr>
              <w:pStyle w:val="T2"/>
              <w:jc w:val="right"/>
            </w:pPr>
            <w:r w:rsidRPr="004F400F">
              <w:t>–</w:t>
            </w:r>
          </w:p>
        </w:tc>
      </w:tr>
      <w:tr w:rsidR="004F400F" w14:paraId="6BF6E74C" w14:textId="77777777" w:rsidTr="004F400F">
        <w:trPr>
          <w:jc w:val="center"/>
        </w:trPr>
        <w:tc>
          <w:tcPr>
            <w:tcW w:w="6803" w:type="dxa"/>
            <w:vAlign w:val="bottom"/>
          </w:tcPr>
          <w:p w14:paraId="25FB2F15" w14:textId="77777777" w:rsidR="004F400F" w:rsidRDefault="001B56E6">
            <w:pPr>
              <w:pStyle w:val="T2"/>
              <w:jc w:val="left"/>
            </w:pPr>
            <w:r>
              <w:t>D</w:t>
            </w:r>
            <w:r w:rsidR="004F400F">
              <w:t>efined benefit pension schemes</w:t>
            </w:r>
            <w:r>
              <w:t xml:space="preserve"> restructuring</w:t>
            </w:r>
          </w:p>
        </w:tc>
        <w:tc>
          <w:tcPr>
            <w:tcW w:w="992" w:type="dxa"/>
            <w:vAlign w:val="bottom"/>
          </w:tcPr>
          <w:p w14:paraId="304A0668" w14:textId="77777777" w:rsidR="004F400F" w:rsidRPr="003D355E" w:rsidRDefault="004F400F" w:rsidP="004F400F">
            <w:pPr>
              <w:pStyle w:val="T2"/>
              <w:jc w:val="right"/>
            </w:pPr>
            <w:r>
              <w:t>(b)</w:t>
            </w:r>
          </w:p>
        </w:tc>
        <w:tc>
          <w:tcPr>
            <w:tcW w:w="992" w:type="dxa"/>
            <w:vAlign w:val="bottom"/>
          </w:tcPr>
          <w:p w14:paraId="22E48C17" w14:textId="77777777" w:rsidR="004F400F" w:rsidRDefault="008079C7" w:rsidP="004F400F">
            <w:pPr>
              <w:pStyle w:val="T2"/>
              <w:jc w:val="right"/>
              <w:rPr>
                <w:b/>
              </w:rPr>
            </w:pPr>
            <w:r>
              <w:rPr>
                <w:b/>
              </w:rPr>
              <w:t>(</w:t>
            </w:r>
            <w:r w:rsidR="00E25584">
              <w:rPr>
                <w:b/>
              </w:rPr>
              <w:t>2.6</w:t>
            </w:r>
            <w:r>
              <w:rPr>
                <w:b/>
              </w:rPr>
              <w:t>)</w:t>
            </w:r>
          </w:p>
        </w:tc>
        <w:tc>
          <w:tcPr>
            <w:tcW w:w="992" w:type="dxa"/>
          </w:tcPr>
          <w:p w14:paraId="34DF0CB2" w14:textId="77777777" w:rsidR="004F400F" w:rsidRDefault="004F400F" w:rsidP="004F400F">
            <w:pPr>
              <w:pStyle w:val="T2"/>
              <w:jc w:val="right"/>
            </w:pPr>
            <w:r w:rsidRPr="004F400F">
              <w:t>–</w:t>
            </w:r>
          </w:p>
        </w:tc>
      </w:tr>
      <w:tr w:rsidR="00D206EE" w14:paraId="6263069C" w14:textId="77777777" w:rsidTr="00E14D65">
        <w:trPr>
          <w:jc w:val="center"/>
        </w:trPr>
        <w:tc>
          <w:tcPr>
            <w:tcW w:w="6803" w:type="dxa"/>
            <w:vAlign w:val="bottom"/>
          </w:tcPr>
          <w:p w14:paraId="7A143841" w14:textId="77777777" w:rsidR="00D206EE" w:rsidRDefault="00D206EE">
            <w:pPr>
              <w:pStyle w:val="T2"/>
              <w:jc w:val="left"/>
            </w:pPr>
            <w:r>
              <w:t>Legacy</w:t>
            </w:r>
            <w:r w:rsidR="000F294E">
              <w:t xml:space="preserve"> </w:t>
            </w:r>
            <w:r w:rsidR="007A0915">
              <w:t xml:space="preserve">businesses </w:t>
            </w:r>
            <w:r w:rsidR="00250F8D">
              <w:t>provisions</w:t>
            </w:r>
          </w:p>
        </w:tc>
        <w:tc>
          <w:tcPr>
            <w:tcW w:w="992" w:type="dxa"/>
            <w:vAlign w:val="bottom"/>
          </w:tcPr>
          <w:p w14:paraId="74BF1A4F" w14:textId="77777777" w:rsidR="00D206EE" w:rsidRDefault="00D206EE" w:rsidP="00D206EE">
            <w:pPr>
              <w:pStyle w:val="T2"/>
              <w:jc w:val="right"/>
            </w:pPr>
            <w:r>
              <w:t>(c)</w:t>
            </w:r>
          </w:p>
        </w:tc>
        <w:tc>
          <w:tcPr>
            <w:tcW w:w="992" w:type="dxa"/>
          </w:tcPr>
          <w:p w14:paraId="62613CE9" w14:textId="77777777" w:rsidR="00D206EE" w:rsidRPr="00E42E88" w:rsidRDefault="00D206EE">
            <w:pPr>
              <w:pStyle w:val="T2"/>
              <w:jc w:val="right"/>
              <w:rPr>
                <w:b/>
              </w:rPr>
            </w:pPr>
            <w:r>
              <w:rPr>
                <w:b/>
              </w:rPr>
              <w:t>1.</w:t>
            </w:r>
            <w:r w:rsidR="00984C48">
              <w:rPr>
                <w:b/>
              </w:rPr>
              <w:t>0</w:t>
            </w:r>
          </w:p>
        </w:tc>
        <w:tc>
          <w:tcPr>
            <w:tcW w:w="992" w:type="dxa"/>
          </w:tcPr>
          <w:p w14:paraId="476AAC5B" w14:textId="77777777" w:rsidR="00D206EE" w:rsidRDefault="00D206EE" w:rsidP="00D206EE">
            <w:pPr>
              <w:pStyle w:val="T2"/>
              <w:jc w:val="right"/>
            </w:pPr>
            <w:r>
              <w:t>2.2</w:t>
            </w:r>
          </w:p>
        </w:tc>
      </w:tr>
      <w:tr w:rsidR="00D206EE" w14:paraId="75331DCF" w14:textId="77777777" w:rsidTr="001F1616">
        <w:trPr>
          <w:jc w:val="center"/>
        </w:trPr>
        <w:tc>
          <w:tcPr>
            <w:tcW w:w="6803" w:type="dxa"/>
            <w:vAlign w:val="bottom"/>
          </w:tcPr>
          <w:p w14:paraId="0C016990" w14:textId="77777777" w:rsidR="00D206EE" w:rsidRDefault="00D206EE" w:rsidP="00D206EE">
            <w:pPr>
              <w:pStyle w:val="T2"/>
              <w:jc w:val="left"/>
            </w:pPr>
            <w:r>
              <w:t>Impact of COVID-19 pandemic</w:t>
            </w:r>
          </w:p>
        </w:tc>
        <w:tc>
          <w:tcPr>
            <w:tcW w:w="992" w:type="dxa"/>
            <w:vAlign w:val="bottom"/>
          </w:tcPr>
          <w:p w14:paraId="2D3B7974" w14:textId="77777777" w:rsidR="00D206EE" w:rsidRDefault="00D206EE" w:rsidP="00D206EE">
            <w:pPr>
              <w:pStyle w:val="T2"/>
              <w:jc w:val="right"/>
            </w:pPr>
            <w:r>
              <w:t>(</w:t>
            </w:r>
            <w:r w:rsidR="000F294E">
              <w:t>d</w:t>
            </w:r>
            <w:r>
              <w:t>)</w:t>
            </w:r>
          </w:p>
        </w:tc>
        <w:tc>
          <w:tcPr>
            <w:tcW w:w="992" w:type="dxa"/>
          </w:tcPr>
          <w:p w14:paraId="5DAF1D32" w14:textId="77777777" w:rsidR="00D206EE" w:rsidRPr="00E42E88" w:rsidRDefault="00D206EE" w:rsidP="00D206EE">
            <w:pPr>
              <w:pStyle w:val="T2"/>
              <w:jc w:val="right"/>
              <w:rPr>
                <w:b/>
              </w:rPr>
            </w:pPr>
            <w:r w:rsidRPr="00E42E88">
              <w:rPr>
                <w:b/>
              </w:rPr>
              <w:t>–</w:t>
            </w:r>
          </w:p>
        </w:tc>
        <w:tc>
          <w:tcPr>
            <w:tcW w:w="992" w:type="dxa"/>
          </w:tcPr>
          <w:p w14:paraId="22000100" w14:textId="77777777" w:rsidR="00D206EE" w:rsidRDefault="00D206EE" w:rsidP="00D206EE">
            <w:pPr>
              <w:pStyle w:val="T2"/>
              <w:jc w:val="right"/>
            </w:pPr>
            <w:r>
              <w:t>(1.7)</w:t>
            </w:r>
          </w:p>
        </w:tc>
      </w:tr>
      <w:tr w:rsidR="00D206EE" w14:paraId="61C2534B" w14:textId="77777777" w:rsidTr="001F1616">
        <w:trPr>
          <w:jc w:val="center"/>
        </w:trPr>
        <w:tc>
          <w:tcPr>
            <w:tcW w:w="6803" w:type="dxa"/>
            <w:tcBorders>
              <w:bottom w:val="single" w:sz="2" w:space="0" w:color="auto"/>
            </w:tcBorders>
            <w:vAlign w:val="bottom"/>
          </w:tcPr>
          <w:p w14:paraId="450B92F9" w14:textId="77777777" w:rsidR="00D206EE" w:rsidRPr="003D355E" w:rsidRDefault="00D206EE" w:rsidP="00D206EE">
            <w:pPr>
              <w:pStyle w:val="T2"/>
              <w:jc w:val="left"/>
            </w:pPr>
            <w:r>
              <w:t>Integration costs</w:t>
            </w:r>
          </w:p>
        </w:tc>
        <w:tc>
          <w:tcPr>
            <w:tcW w:w="992" w:type="dxa"/>
            <w:tcBorders>
              <w:bottom w:val="single" w:sz="2" w:space="0" w:color="auto"/>
            </w:tcBorders>
            <w:vAlign w:val="bottom"/>
          </w:tcPr>
          <w:p w14:paraId="68122F33" w14:textId="77777777" w:rsidR="00D206EE" w:rsidRPr="003D355E" w:rsidRDefault="00D206EE">
            <w:pPr>
              <w:pStyle w:val="T2"/>
              <w:jc w:val="right"/>
            </w:pPr>
            <w:r>
              <w:t>(</w:t>
            </w:r>
            <w:r w:rsidR="000F294E">
              <w:t>e</w:t>
            </w:r>
            <w:r w:rsidRPr="003D355E">
              <w:t>)</w:t>
            </w:r>
          </w:p>
        </w:tc>
        <w:tc>
          <w:tcPr>
            <w:tcW w:w="992" w:type="dxa"/>
            <w:tcBorders>
              <w:bottom w:val="single" w:sz="2" w:space="0" w:color="auto"/>
            </w:tcBorders>
          </w:tcPr>
          <w:p w14:paraId="1CA9A214" w14:textId="77777777" w:rsidR="00D206EE" w:rsidRPr="00DF6E36" w:rsidRDefault="00D206EE" w:rsidP="00D206EE">
            <w:pPr>
              <w:pStyle w:val="T2"/>
              <w:jc w:val="right"/>
              <w:rPr>
                <w:b/>
              </w:rPr>
            </w:pPr>
            <w:r w:rsidRPr="00E42E88">
              <w:rPr>
                <w:b/>
              </w:rPr>
              <w:t>–</w:t>
            </w:r>
          </w:p>
        </w:tc>
        <w:tc>
          <w:tcPr>
            <w:tcW w:w="992" w:type="dxa"/>
            <w:tcBorders>
              <w:bottom w:val="single" w:sz="2" w:space="0" w:color="auto"/>
            </w:tcBorders>
          </w:tcPr>
          <w:p w14:paraId="32BB97FB" w14:textId="77777777" w:rsidR="00D206EE" w:rsidRPr="00FC568F" w:rsidDel="00AA34C5" w:rsidRDefault="00D206EE" w:rsidP="00D206EE">
            <w:pPr>
              <w:pStyle w:val="T2"/>
              <w:jc w:val="right"/>
            </w:pPr>
            <w:r>
              <w:t>(0.5)</w:t>
            </w:r>
          </w:p>
        </w:tc>
      </w:tr>
      <w:tr w:rsidR="00D206EE" w14:paraId="03E991C1" w14:textId="77777777" w:rsidTr="001F1616">
        <w:trPr>
          <w:jc w:val="center"/>
        </w:trPr>
        <w:tc>
          <w:tcPr>
            <w:tcW w:w="6803" w:type="dxa"/>
            <w:tcBorders>
              <w:top w:val="single" w:sz="2" w:space="0" w:color="auto"/>
            </w:tcBorders>
            <w:vAlign w:val="bottom"/>
          </w:tcPr>
          <w:p w14:paraId="77025FA6" w14:textId="77777777" w:rsidR="00D206EE" w:rsidRPr="003D355E" w:rsidRDefault="00D206EE" w:rsidP="00D206EE">
            <w:pPr>
              <w:pStyle w:val="T2"/>
              <w:jc w:val="left"/>
            </w:pPr>
          </w:p>
        </w:tc>
        <w:tc>
          <w:tcPr>
            <w:tcW w:w="992" w:type="dxa"/>
            <w:tcBorders>
              <w:top w:val="single" w:sz="2" w:space="0" w:color="auto"/>
            </w:tcBorders>
            <w:vAlign w:val="bottom"/>
          </w:tcPr>
          <w:p w14:paraId="311C69BA" w14:textId="77777777" w:rsidR="00D206EE" w:rsidRPr="003D355E" w:rsidRDefault="00D206EE" w:rsidP="00D206EE">
            <w:pPr>
              <w:pStyle w:val="T2"/>
              <w:jc w:val="right"/>
            </w:pPr>
          </w:p>
        </w:tc>
        <w:tc>
          <w:tcPr>
            <w:tcW w:w="992" w:type="dxa"/>
            <w:tcBorders>
              <w:top w:val="single" w:sz="2" w:space="0" w:color="auto"/>
            </w:tcBorders>
            <w:vAlign w:val="bottom"/>
          </w:tcPr>
          <w:p w14:paraId="2A10D951" w14:textId="77777777" w:rsidR="00D206EE" w:rsidRPr="00DF6E36" w:rsidRDefault="00D206EE" w:rsidP="00D206EE">
            <w:pPr>
              <w:pStyle w:val="T2"/>
              <w:jc w:val="right"/>
              <w:rPr>
                <w:b/>
              </w:rPr>
            </w:pPr>
            <w:r>
              <w:rPr>
                <w:b/>
              </w:rPr>
              <w:t>9.7</w:t>
            </w:r>
          </w:p>
        </w:tc>
        <w:tc>
          <w:tcPr>
            <w:tcW w:w="992" w:type="dxa"/>
            <w:tcBorders>
              <w:top w:val="single" w:sz="2" w:space="0" w:color="auto"/>
            </w:tcBorders>
            <w:vAlign w:val="bottom"/>
          </w:tcPr>
          <w:p w14:paraId="636DBC9C" w14:textId="77777777" w:rsidR="00D206EE" w:rsidRPr="00DF6E36" w:rsidDel="00AA34C5" w:rsidRDefault="00D206EE" w:rsidP="00D206EE">
            <w:pPr>
              <w:pStyle w:val="T2"/>
              <w:jc w:val="right"/>
              <w:rPr>
                <w:b/>
              </w:rPr>
            </w:pPr>
            <w:r w:rsidRPr="004F400F">
              <w:t>–</w:t>
            </w:r>
          </w:p>
        </w:tc>
      </w:tr>
      <w:tr w:rsidR="00D206EE" w14:paraId="174AE440" w14:textId="77777777" w:rsidTr="001F1616">
        <w:trPr>
          <w:jc w:val="center"/>
        </w:trPr>
        <w:tc>
          <w:tcPr>
            <w:tcW w:w="6803" w:type="dxa"/>
            <w:tcBorders>
              <w:bottom w:val="single" w:sz="2" w:space="0" w:color="auto"/>
            </w:tcBorders>
            <w:vAlign w:val="bottom"/>
          </w:tcPr>
          <w:p w14:paraId="32894DDD" w14:textId="77777777" w:rsidR="00D206EE" w:rsidRPr="003D355E" w:rsidRDefault="00D206EE" w:rsidP="00D206EE">
            <w:pPr>
              <w:pStyle w:val="T2"/>
              <w:jc w:val="left"/>
            </w:pPr>
            <w:r w:rsidRPr="003D355E">
              <w:t>Tax credit on exceptional items</w:t>
            </w:r>
          </w:p>
        </w:tc>
        <w:tc>
          <w:tcPr>
            <w:tcW w:w="992" w:type="dxa"/>
            <w:tcBorders>
              <w:bottom w:val="single" w:sz="2" w:space="0" w:color="auto"/>
            </w:tcBorders>
            <w:vAlign w:val="bottom"/>
          </w:tcPr>
          <w:p w14:paraId="587CEC54" w14:textId="77777777" w:rsidR="00D206EE" w:rsidRPr="003D355E" w:rsidRDefault="00D206EE" w:rsidP="00D206EE">
            <w:pPr>
              <w:pStyle w:val="T2"/>
              <w:jc w:val="right"/>
            </w:pPr>
          </w:p>
        </w:tc>
        <w:tc>
          <w:tcPr>
            <w:tcW w:w="992" w:type="dxa"/>
            <w:tcBorders>
              <w:bottom w:val="single" w:sz="2" w:space="0" w:color="auto"/>
            </w:tcBorders>
            <w:vAlign w:val="bottom"/>
          </w:tcPr>
          <w:p w14:paraId="4B833293" w14:textId="77777777" w:rsidR="00D206EE" w:rsidRPr="00DF6E36" w:rsidRDefault="00D206EE" w:rsidP="00D206EE">
            <w:pPr>
              <w:pStyle w:val="T2"/>
              <w:jc w:val="right"/>
              <w:rPr>
                <w:b/>
              </w:rPr>
            </w:pPr>
            <w:r>
              <w:rPr>
                <w:b/>
              </w:rPr>
              <w:t>0.2</w:t>
            </w:r>
          </w:p>
        </w:tc>
        <w:tc>
          <w:tcPr>
            <w:tcW w:w="992" w:type="dxa"/>
            <w:tcBorders>
              <w:bottom w:val="single" w:sz="2" w:space="0" w:color="auto"/>
            </w:tcBorders>
            <w:vAlign w:val="bottom"/>
          </w:tcPr>
          <w:p w14:paraId="03380600" w14:textId="77777777" w:rsidR="00D206EE" w:rsidRPr="00DF6E36" w:rsidDel="00AA34C5" w:rsidRDefault="00D206EE" w:rsidP="00D206EE">
            <w:pPr>
              <w:pStyle w:val="T2"/>
              <w:jc w:val="right"/>
              <w:rPr>
                <w:b/>
              </w:rPr>
            </w:pPr>
            <w:r w:rsidRPr="006215CC">
              <w:rPr>
                <w:bCs/>
              </w:rPr>
              <w:t>0.</w:t>
            </w:r>
            <w:r>
              <w:rPr>
                <w:bCs/>
              </w:rPr>
              <w:t>4</w:t>
            </w:r>
          </w:p>
        </w:tc>
      </w:tr>
      <w:tr w:rsidR="00D206EE" w14:paraId="117C24BE" w14:textId="77777777" w:rsidTr="001F1616">
        <w:trPr>
          <w:jc w:val="center"/>
        </w:trPr>
        <w:tc>
          <w:tcPr>
            <w:tcW w:w="6803" w:type="dxa"/>
            <w:tcBorders>
              <w:top w:val="single" w:sz="2" w:space="0" w:color="auto"/>
              <w:bottom w:val="single" w:sz="2" w:space="0" w:color="auto"/>
            </w:tcBorders>
            <w:vAlign w:val="bottom"/>
          </w:tcPr>
          <w:p w14:paraId="2F233236" w14:textId="77777777" w:rsidR="00D206EE" w:rsidRPr="003D355E" w:rsidRDefault="00D206EE" w:rsidP="00D206EE">
            <w:pPr>
              <w:pStyle w:val="T2"/>
              <w:jc w:val="left"/>
              <w:rPr>
                <w:b/>
              </w:rPr>
            </w:pPr>
            <w:r w:rsidRPr="003D355E">
              <w:rPr>
                <w:b/>
              </w:rPr>
              <w:t>Total exceptional</w:t>
            </w:r>
            <w:r>
              <w:rPr>
                <w:b/>
              </w:rPr>
              <w:t xml:space="preserve"> items</w:t>
            </w:r>
          </w:p>
        </w:tc>
        <w:tc>
          <w:tcPr>
            <w:tcW w:w="992" w:type="dxa"/>
            <w:tcBorders>
              <w:top w:val="single" w:sz="2" w:space="0" w:color="auto"/>
              <w:bottom w:val="single" w:sz="2" w:space="0" w:color="auto"/>
            </w:tcBorders>
            <w:vAlign w:val="bottom"/>
          </w:tcPr>
          <w:p w14:paraId="744A0C9E" w14:textId="77777777" w:rsidR="00D206EE" w:rsidRPr="003D355E" w:rsidRDefault="00D206EE" w:rsidP="00D206EE">
            <w:pPr>
              <w:pStyle w:val="T2"/>
              <w:jc w:val="right"/>
            </w:pPr>
          </w:p>
        </w:tc>
        <w:tc>
          <w:tcPr>
            <w:tcW w:w="992" w:type="dxa"/>
            <w:tcBorders>
              <w:top w:val="single" w:sz="2" w:space="0" w:color="auto"/>
              <w:bottom w:val="single" w:sz="2" w:space="0" w:color="auto"/>
            </w:tcBorders>
            <w:vAlign w:val="bottom"/>
          </w:tcPr>
          <w:p w14:paraId="57D302C8" w14:textId="77777777" w:rsidR="00D206EE" w:rsidRPr="00DF6E36" w:rsidRDefault="00D206EE" w:rsidP="00D206EE">
            <w:pPr>
              <w:pStyle w:val="T2"/>
              <w:jc w:val="right"/>
              <w:rPr>
                <w:b/>
              </w:rPr>
            </w:pPr>
            <w:r>
              <w:rPr>
                <w:b/>
              </w:rPr>
              <w:t>9.9</w:t>
            </w:r>
          </w:p>
        </w:tc>
        <w:tc>
          <w:tcPr>
            <w:tcW w:w="992" w:type="dxa"/>
            <w:tcBorders>
              <w:top w:val="single" w:sz="2" w:space="0" w:color="auto"/>
              <w:bottom w:val="single" w:sz="2" w:space="0" w:color="auto"/>
            </w:tcBorders>
            <w:vAlign w:val="bottom"/>
          </w:tcPr>
          <w:p w14:paraId="551E9663" w14:textId="77777777" w:rsidR="00D206EE" w:rsidDel="00AA34C5" w:rsidRDefault="00D206EE" w:rsidP="00D206EE">
            <w:pPr>
              <w:pStyle w:val="T2"/>
              <w:jc w:val="right"/>
              <w:rPr>
                <w:b/>
              </w:rPr>
            </w:pPr>
            <w:r>
              <w:rPr>
                <w:bCs/>
              </w:rPr>
              <w:t>0.4</w:t>
            </w:r>
          </w:p>
        </w:tc>
      </w:tr>
    </w:tbl>
    <w:p w14:paraId="629A3928" w14:textId="77777777" w:rsidR="007645C9" w:rsidRDefault="007645C9" w:rsidP="005B3BEE">
      <w:pPr>
        <w:pStyle w:val="SectionH3"/>
      </w:pPr>
    </w:p>
    <w:p w14:paraId="518F8CD8" w14:textId="77777777" w:rsidR="004F400F" w:rsidRDefault="004F400F" w:rsidP="00F55D04">
      <w:pPr>
        <w:pStyle w:val="SectionH3"/>
        <w:numPr>
          <w:ilvl w:val="0"/>
          <w:numId w:val="9"/>
        </w:numPr>
        <w:ind w:left="426"/>
      </w:pPr>
      <w:r>
        <w:lastRenderedPageBreak/>
        <w:t xml:space="preserve">Profit on disposal of Molasses </w:t>
      </w:r>
      <w:r w:rsidR="006B4300">
        <w:t xml:space="preserve">trading </w:t>
      </w:r>
      <w:r>
        <w:t>business</w:t>
      </w:r>
      <w:r w:rsidR="006B4300">
        <w:t>es</w:t>
      </w:r>
    </w:p>
    <w:p w14:paraId="0B1B2818" w14:textId="35CEC0E4" w:rsidR="004F400F" w:rsidRPr="009D092A" w:rsidRDefault="00EE311E" w:rsidP="009D092A">
      <w:pPr>
        <w:pStyle w:val="SectionH3"/>
        <w:ind w:left="426"/>
        <w:rPr>
          <w:b w:val="0"/>
        </w:rPr>
      </w:pPr>
      <w:r>
        <w:rPr>
          <w:b w:val="0"/>
        </w:rPr>
        <w:t>On 2 December 2020,</w:t>
      </w:r>
      <w:r w:rsidR="009D092A">
        <w:rPr>
          <w:b w:val="0"/>
        </w:rPr>
        <w:t xml:space="preserve"> the Group </w:t>
      </w:r>
      <w:r w:rsidR="00005E77">
        <w:rPr>
          <w:b w:val="0"/>
        </w:rPr>
        <w:t>complet</w:t>
      </w:r>
      <w:r w:rsidR="002A2B15">
        <w:rPr>
          <w:b w:val="0"/>
        </w:rPr>
        <w:t>ed</w:t>
      </w:r>
      <w:r w:rsidR="00005E77">
        <w:rPr>
          <w:b w:val="0"/>
        </w:rPr>
        <w:t xml:space="preserve"> the </w:t>
      </w:r>
      <w:r w:rsidR="009D092A">
        <w:rPr>
          <w:b w:val="0"/>
        </w:rPr>
        <w:t xml:space="preserve">disposal of </w:t>
      </w:r>
      <w:r w:rsidR="00005E77">
        <w:rPr>
          <w:b w:val="0"/>
        </w:rPr>
        <w:t>its interest</w:t>
      </w:r>
      <w:r w:rsidR="002A2B15">
        <w:rPr>
          <w:b w:val="0"/>
        </w:rPr>
        <w:t xml:space="preserve"> in</w:t>
      </w:r>
      <w:r w:rsidR="00005E77">
        <w:rPr>
          <w:b w:val="0"/>
        </w:rPr>
        <w:t xml:space="preserve"> </w:t>
      </w:r>
      <w:r>
        <w:rPr>
          <w:b w:val="0"/>
        </w:rPr>
        <w:t xml:space="preserve">the </w:t>
      </w:r>
      <w:r w:rsidR="009D092A">
        <w:rPr>
          <w:b w:val="0"/>
        </w:rPr>
        <w:t>Molasses</w:t>
      </w:r>
      <w:r w:rsidR="00005E77">
        <w:rPr>
          <w:b w:val="0"/>
        </w:rPr>
        <w:t xml:space="preserve"> trading businesses recognis</w:t>
      </w:r>
      <w:r w:rsidR="00D477E0">
        <w:rPr>
          <w:b w:val="0"/>
        </w:rPr>
        <w:t>ing a profit on disposal of £7.</w:t>
      </w:r>
      <w:r w:rsidR="00E25584">
        <w:rPr>
          <w:b w:val="0"/>
        </w:rPr>
        <w:t>3</w:t>
      </w:r>
      <w:r w:rsidR="009D092A">
        <w:rPr>
          <w:b w:val="0"/>
        </w:rPr>
        <w:t xml:space="preserve">m </w:t>
      </w:r>
      <w:r w:rsidR="002A2B15">
        <w:rPr>
          <w:b w:val="0"/>
        </w:rPr>
        <w:t>for</w:t>
      </w:r>
      <w:r w:rsidR="008079C7">
        <w:rPr>
          <w:b w:val="0"/>
        </w:rPr>
        <w:t xml:space="preserve"> Premier Molasses Company Limited</w:t>
      </w:r>
      <w:r w:rsidR="000F1E1E">
        <w:rPr>
          <w:b w:val="0"/>
        </w:rPr>
        <w:t xml:space="preserve"> within operating profit,</w:t>
      </w:r>
      <w:r w:rsidR="008079C7">
        <w:rPr>
          <w:b w:val="0"/>
        </w:rPr>
        <w:t xml:space="preserve"> and £4.0m </w:t>
      </w:r>
      <w:r w:rsidR="002A2B15">
        <w:rPr>
          <w:b w:val="0"/>
        </w:rPr>
        <w:t>for</w:t>
      </w:r>
      <w:r w:rsidR="008079C7">
        <w:rPr>
          <w:b w:val="0"/>
        </w:rPr>
        <w:t xml:space="preserve"> United Molasses (Ireland) Limited</w:t>
      </w:r>
      <w:r w:rsidR="000F1E1E">
        <w:rPr>
          <w:b w:val="0"/>
        </w:rPr>
        <w:t>, which has been recognised within profit on disposal of associates</w:t>
      </w:r>
      <w:r w:rsidR="009D092A">
        <w:rPr>
          <w:b w:val="0"/>
        </w:rPr>
        <w:t>.</w:t>
      </w:r>
      <w:r w:rsidR="008079C7">
        <w:rPr>
          <w:b w:val="0"/>
        </w:rPr>
        <w:t xml:space="preserve"> </w:t>
      </w:r>
      <w:r w:rsidR="006B4300">
        <w:rPr>
          <w:b w:val="0"/>
        </w:rPr>
        <w:t>Details of the</w:t>
      </w:r>
      <w:r w:rsidR="008079C7">
        <w:rPr>
          <w:b w:val="0"/>
        </w:rPr>
        <w:t xml:space="preserve"> disposal </w:t>
      </w:r>
      <w:r w:rsidR="006B4300">
        <w:rPr>
          <w:b w:val="0"/>
        </w:rPr>
        <w:t xml:space="preserve">are </w:t>
      </w:r>
      <w:r w:rsidR="008079C7">
        <w:rPr>
          <w:b w:val="0"/>
        </w:rPr>
        <w:t xml:space="preserve">set out </w:t>
      </w:r>
      <w:r w:rsidR="008079C7" w:rsidRPr="00F250D9">
        <w:rPr>
          <w:b w:val="0"/>
        </w:rPr>
        <w:t xml:space="preserve">at Note </w:t>
      </w:r>
      <w:r w:rsidR="00F250D9" w:rsidRPr="00F250D9">
        <w:rPr>
          <w:b w:val="0"/>
        </w:rPr>
        <w:t>1</w:t>
      </w:r>
      <w:r w:rsidR="007A0915">
        <w:rPr>
          <w:b w:val="0"/>
        </w:rPr>
        <w:t>4</w:t>
      </w:r>
      <w:r w:rsidR="008079C7">
        <w:rPr>
          <w:b w:val="0"/>
        </w:rPr>
        <w:t>.</w:t>
      </w:r>
      <w:r w:rsidR="009D092A">
        <w:rPr>
          <w:b w:val="0"/>
        </w:rPr>
        <w:t xml:space="preserve"> </w:t>
      </w:r>
    </w:p>
    <w:p w14:paraId="2BDDCA3B" w14:textId="77777777" w:rsidR="004F400F" w:rsidRDefault="001B56E6">
      <w:pPr>
        <w:pStyle w:val="SectionH3"/>
        <w:numPr>
          <w:ilvl w:val="0"/>
          <w:numId w:val="9"/>
        </w:numPr>
        <w:ind w:left="426"/>
      </w:pPr>
      <w:r>
        <w:t>D</w:t>
      </w:r>
      <w:r w:rsidR="004F400F">
        <w:t>efined benefit pension schemes</w:t>
      </w:r>
      <w:r>
        <w:t xml:space="preserve"> restructuring</w:t>
      </w:r>
    </w:p>
    <w:p w14:paraId="76A40509" w14:textId="77777777" w:rsidR="004F400F" w:rsidRPr="009D092A" w:rsidRDefault="00E02AF3">
      <w:pPr>
        <w:pStyle w:val="SectionH3"/>
        <w:ind w:left="426"/>
        <w:rPr>
          <w:b w:val="0"/>
        </w:rPr>
      </w:pPr>
      <w:r>
        <w:rPr>
          <w:b w:val="0"/>
        </w:rPr>
        <w:t>During the period</w:t>
      </w:r>
      <w:r w:rsidR="00BB2658" w:rsidRPr="00BB2658">
        <w:rPr>
          <w:b w:val="0"/>
        </w:rPr>
        <w:t xml:space="preserve">, the Group reached agreement </w:t>
      </w:r>
      <w:r>
        <w:rPr>
          <w:b w:val="0"/>
        </w:rPr>
        <w:t xml:space="preserve">with the Trustees of </w:t>
      </w:r>
      <w:r w:rsidR="001B56E6">
        <w:rPr>
          <w:b w:val="0"/>
        </w:rPr>
        <w:t xml:space="preserve">its three </w:t>
      </w:r>
      <w:r>
        <w:rPr>
          <w:b w:val="0"/>
        </w:rPr>
        <w:t xml:space="preserve">Irish legacy defined benefit pension schemes </w:t>
      </w:r>
      <w:r w:rsidR="00BB2658" w:rsidRPr="00BB2658">
        <w:rPr>
          <w:b w:val="0"/>
        </w:rPr>
        <w:t xml:space="preserve">to wind up the two smaller schemes and transfer </w:t>
      </w:r>
      <w:r w:rsidR="007A0915">
        <w:rPr>
          <w:b w:val="0"/>
        </w:rPr>
        <w:t xml:space="preserve">deferred beneficiaries </w:t>
      </w:r>
      <w:r w:rsidR="00BB2658" w:rsidRPr="00BB2658">
        <w:rPr>
          <w:b w:val="0"/>
        </w:rPr>
        <w:t xml:space="preserve">to the larger scheme. The execution of the agreement triggered a settlement in the period, as </w:t>
      </w:r>
      <w:r w:rsidR="007A0915">
        <w:rPr>
          <w:b w:val="0"/>
        </w:rPr>
        <w:t xml:space="preserve">deferred beneficiaries </w:t>
      </w:r>
      <w:r w:rsidR="00BB2658" w:rsidRPr="00BB2658">
        <w:rPr>
          <w:b w:val="0"/>
        </w:rPr>
        <w:t xml:space="preserve">can </w:t>
      </w:r>
      <w:r w:rsidR="007A0915">
        <w:rPr>
          <w:b w:val="0"/>
        </w:rPr>
        <w:t>either transfer</w:t>
      </w:r>
      <w:r w:rsidR="007905AF">
        <w:rPr>
          <w:b w:val="0"/>
        </w:rPr>
        <w:t xml:space="preserve"> out of the</w:t>
      </w:r>
      <w:r w:rsidR="007A0915">
        <w:rPr>
          <w:b w:val="0"/>
        </w:rPr>
        <w:t xml:space="preserve"> scheme or avail of a cash </w:t>
      </w:r>
      <w:r w:rsidR="00BB2658" w:rsidRPr="00BB2658">
        <w:rPr>
          <w:b w:val="0"/>
        </w:rPr>
        <w:t xml:space="preserve">transfer value </w:t>
      </w:r>
      <w:r w:rsidR="007A0915">
        <w:rPr>
          <w:b w:val="0"/>
        </w:rPr>
        <w:t>which would settle and extinguish all further obligation</w:t>
      </w:r>
      <w:r w:rsidR="007905AF">
        <w:rPr>
          <w:b w:val="0"/>
        </w:rPr>
        <w:t>s</w:t>
      </w:r>
      <w:r w:rsidR="007A0915">
        <w:rPr>
          <w:b w:val="0"/>
        </w:rPr>
        <w:t xml:space="preserve"> of the scheme to those members</w:t>
      </w:r>
      <w:r w:rsidR="00BB2658" w:rsidRPr="00BB2658">
        <w:rPr>
          <w:b w:val="0"/>
        </w:rPr>
        <w:t xml:space="preserve">. At 26 March 2021, </w:t>
      </w:r>
      <w:r>
        <w:rPr>
          <w:b w:val="0"/>
        </w:rPr>
        <w:t>the wind up process had</w:t>
      </w:r>
      <w:r w:rsidR="00BB2658" w:rsidRPr="00BB2658">
        <w:rPr>
          <w:b w:val="0"/>
        </w:rPr>
        <w:t xml:space="preserve"> not yet </w:t>
      </w:r>
      <w:r>
        <w:rPr>
          <w:b w:val="0"/>
        </w:rPr>
        <w:t xml:space="preserve">been </w:t>
      </w:r>
      <w:r w:rsidR="00BB2658" w:rsidRPr="00BB2658">
        <w:rPr>
          <w:b w:val="0"/>
        </w:rPr>
        <w:t xml:space="preserve">completed and therefore the Group </w:t>
      </w:r>
      <w:r w:rsidR="007905AF" w:rsidRPr="00BB2658">
        <w:rPr>
          <w:b w:val="0"/>
        </w:rPr>
        <w:t>ha</w:t>
      </w:r>
      <w:r w:rsidR="007905AF">
        <w:rPr>
          <w:b w:val="0"/>
        </w:rPr>
        <w:t>s</w:t>
      </w:r>
      <w:r w:rsidR="007905AF" w:rsidRPr="00BB2658">
        <w:rPr>
          <w:b w:val="0"/>
        </w:rPr>
        <w:t xml:space="preserve"> </w:t>
      </w:r>
      <w:r w:rsidR="00BB2658" w:rsidRPr="00BB2658">
        <w:rPr>
          <w:b w:val="0"/>
        </w:rPr>
        <w:t xml:space="preserve">estimated </w:t>
      </w:r>
      <w:r w:rsidR="007A0915">
        <w:rPr>
          <w:b w:val="0"/>
        </w:rPr>
        <w:t>a</w:t>
      </w:r>
      <w:r w:rsidR="007A0915" w:rsidRPr="00BB2658">
        <w:rPr>
          <w:b w:val="0"/>
        </w:rPr>
        <w:t xml:space="preserve"> </w:t>
      </w:r>
      <w:r w:rsidR="00BB2658" w:rsidRPr="00BB2658">
        <w:rPr>
          <w:b w:val="0"/>
        </w:rPr>
        <w:t>settlement charge of £1.4m based on the expected number of members that will transfer out of the scheme.</w:t>
      </w:r>
      <w:r w:rsidR="006B4300" w:rsidRPr="00BB2658">
        <w:rPr>
          <w:b w:val="0"/>
        </w:rPr>
        <w:t xml:space="preserve"> </w:t>
      </w:r>
      <w:r w:rsidR="007905AF">
        <w:rPr>
          <w:b w:val="0"/>
        </w:rPr>
        <w:t xml:space="preserve">The Group also incurred </w:t>
      </w:r>
      <w:r w:rsidR="006B4300" w:rsidRPr="00BB2658">
        <w:rPr>
          <w:b w:val="0"/>
        </w:rPr>
        <w:t>£1.</w:t>
      </w:r>
      <w:r w:rsidR="00E25584" w:rsidRPr="00BB2658">
        <w:rPr>
          <w:b w:val="0"/>
        </w:rPr>
        <w:t>2</w:t>
      </w:r>
      <w:r w:rsidR="009D092A" w:rsidRPr="00BB2658">
        <w:rPr>
          <w:b w:val="0"/>
        </w:rPr>
        <w:t xml:space="preserve">m of </w:t>
      </w:r>
      <w:r w:rsidR="009D092A">
        <w:rPr>
          <w:b w:val="0"/>
        </w:rPr>
        <w:t>costs</w:t>
      </w:r>
      <w:r w:rsidR="00AA30AD">
        <w:rPr>
          <w:b w:val="0"/>
        </w:rPr>
        <w:t xml:space="preserve"> associated with the restructure</w:t>
      </w:r>
      <w:r w:rsidR="009D092A">
        <w:rPr>
          <w:b w:val="0"/>
        </w:rPr>
        <w:t xml:space="preserve">. </w:t>
      </w:r>
      <w:r w:rsidR="009D092A" w:rsidRPr="009D092A">
        <w:rPr>
          <w:b w:val="0"/>
        </w:rPr>
        <w:t xml:space="preserve"> </w:t>
      </w:r>
      <w:r w:rsidR="006B4300">
        <w:rPr>
          <w:b w:val="0"/>
        </w:rPr>
        <w:t xml:space="preserve">Details of the restructure are set out </w:t>
      </w:r>
      <w:r w:rsidR="006B4300" w:rsidRPr="00F250D9">
        <w:rPr>
          <w:b w:val="0"/>
        </w:rPr>
        <w:t xml:space="preserve">at Note </w:t>
      </w:r>
      <w:r w:rsidR="00F250D9" w:rsidRPr="00F250D9">
        <w:rPr>
          <w:b w:val="0"/>
        </w:rPr>
        <w:t>1</w:t>
      </w:r>
      <w:r w:rsidR="007905AF">
        <w:rPr>
          <w:b w:val="0"/>
        </w:rPr>
        <w:t>3</w:t>
      </w:r>
      <w:r w:rsidR="006B4300">
        <w:rPr>
          <w:b w:val="0"/>
        </w:rPr>
        <w:t xml:space="preserve">. </w:t>
      </w:r>
    </w:p>
    <w:p w14:paraId="0D620EAD" w14:textId="77777777" w:rsidR="00D206EE" w:rsidRPr="00C52111" w:rsidRDefault="000F294E" w:rsidP="001F1616">
      <w:pPr>
        <w:pStyle w:val="Style1"/>
        <w:spacing w:after="120" w:line="240" w:lineRule="auto"/>
        <w:ind w:left="425" w:hanging="425"/>
        <w:contextualSpacing w:val="0"/>
        <w:rPr>
          <w:b w:val="0"/>
        </w:rPr>
      </w:pPr>
      <w:r>
        <w:t xml:space="preserve">Legacy </w:t>
      </w:r>
      <w:r w:rsidR="007A0915">
        <w:t xml:space="preserve">businesses </w:t>
      </w:r>
      <w:r w:rsidR="00250F8D">
        <w:t>provisions</w:t>
      </w:r>
    </w:p>
    <w:p w14:paraId="05D9C59D" w14:textId="77777777" w:rsidR="00D206EE" w:rsidRDefault="00D206EE" w:rsidP="001F1616">
      <w:pPr>
        <w:pStyle w:val="Style1"/>
        <w:numPr>
          <w:ilvl w:val="0"/>
          <w:numId w:val="0"/>
        </w:numPr>
        <w:spacing w:after="120" w:line="240" w:lineRule="auto"/>
        <w:ind w:left="425"/>
        <w:contextualSpacing w:val="0"/>
        <w:jc w:val="both"/>
        <w:rPr>
          <w:b w:val="0"/>
        </w:rPr>
      </w:pPr>
      <w:r>
        <w:rPr>
          <w:b w:val="0"/>
        </w:rPr>
        <w:t xml:space="preserve">In the </w:t>
      </w:r>
      <w:r w:rsidR="0041734A">
        <w:rPr>
          <w:b w:val="0"/>
        </w:rPr>
        <w:t>current</w:t>
      </w:r>
      <w:r>
        <w:rPr>
          <w:b w:val="0"/>
        </w:rPr>
        <w:t xml:space="preserve"> period, the Group recognised a </w:t>
      </w:r>
      <w:r w:rsidR="000F294E">
        <w:rPr>
          <w:b w:val="0"/>
        </w:rPr>
        <w:t xml:space="preserve">net </w:t>
      </w:r>
      <w:r>
        <w:rPr>
          <w:b w:val="0"/>
        </w:rPr>
        <w:t>credit of £</w:t>
      </w:r>
      <w:r w:rsidR="000F294E">
        <w:rPr>
          <w:b w:val="0"/>
        </w:rPr>
        <w:t>1.0</w:t>
      </w:r>
      <w:r>
        <w:rPr>
          <w:b w:val="0"/>
        </w:rPr>
        <w:t xml:space="preserve">m </w:t>
      </w:r>
      <w:r w:rsidR="000F294E">
        <w:rPr>
          <w:b w:val="0"/>
        </w:rPr>
        <w:t xml:space="preserve">relating to </w:t>
      </w:r>
      <w:r w:rsidR="007A0915">
        <w:rPr>
          <w:b w:val="0"/>
        </w:rPr>
        <w:t>legacy provisions on discontinued operations</w:t>
      </w:r>
      <w:r w:rsidR="000F294E">
        <w:rPr>
          <w:b w:val="0"/>
        </w:rPr>
        <w:t xml:space="preserve">. This related to a </w:t>
      </w:r>
      <w:r>
        <w:rPr>
          <w:b w:val="0"/>
        </w:rPr>
        <w:t>legacy US legal case</w:t>
      </w:r>
      <w:r w:rsidR="000F294E">
        <w:rPr>
          <w:b w:val="0"/>
        </w:rPr>
        <w:t xml:space="preserve"> which settled in the period resulting in a provision release. In addition the Group recognised charges for legacy legal matters and remediation costs relating to non-core properties</w:t>
      </w:r>
      <w:r w:rsidR="0041734A">
        <w:rPr>
          <w:b w:val="0"/>
        </w:rPr>
        <w:t xml:space="preserve">. </w:t>
      </w:r>
    </w:p>
    <w:p w14:paraId="0E7EC572" w14:textId="77777777" w:rsidR="00D206EE" w:rsidRDefault="00D206EE" w:rsidP="001F1616">
      <w:pPr>
        <w:pStyle w:val="Style1"/>
        <w:numPr>
          <w:ilvl w:val="0"/>
          <w:numId w:val="0"/>
        </w:numPr>
        <w:spacing w:after="120" w:line="240" w:lineRule="auto"/>
        <w:ind w:left="425"/>
        <w:contextualSpacing w:val="0"/>
        <w:jc w:val="both"/>
        <w:rPr>
          <w:b w:val="0"/>
        </w:rPr>
      </w:pPr>
      <w:r>
        <w:rPr>
          <w:b w:val="0"/>
        </w:rPr>
        <w:t>In the prior period, the Group recognised a credit of £2.2m on the settlement of a legacy US legal case</w:t>
      </w:r>
      <w:r w:rsidR="007A0915">
        <w:rPr>
          <w:b w:val="0"/>
        </w:rPr>
        <w:t>.</w:t>
      </w:r>
    </w:p>
    <w:p w14:paraId="30695CBD" w14:textId="77777777" w:rsidR="00773F7B" w:rsidRPr="00E26FEA" w:rsidRDefault="00C45ED6" w:rsidP="001F1616">
      <w:pPr>
        <w:pStyle w:val="Style1"/>
        <w:spacing w:after="120" w:line="240" w:lineRule="auto"/>
        <w:ind w:left="426"/>
        <w:contextualSpacing w:val="0"/>
      </w:pPr>
      <w:r>
        <w:t>Impact of COVID-19 pandemic</w:t>
      </w:r>
    </w:p>
    <w:p w14:paraId="55178C96" w14:textId="77777777" w:rsidR="00C45ED6" w:rsidRPr="00450D1E" w:rsidRDefault="003A31F8" w:rsidP="001F1616">
      <w:pPr>
        <w:pStyle w:val="Style1"/>
        <w:numPr>
          <w:ilvl w:val="0"/>
          <w:numId w:val="0"/>
        </w:numPr>
        <w:spacing w:after="120" w:line="240" w:lineRule="auto"/>
        <w:ind w:left="425"/>
        <w:contextualSpacing w:val="0"/>
        <w:jc w:val="both"/>
        <w:rPr>
          <w:b w:val="0"/>
        </w:rPr>
      </w:pPr>
      <w:r>
        <w:rPr>
          <w:b w:val="0"/>
        </w:rPr>
        <w:t xml:space="preserve">In the prior period, </w:t>
      </w:r>
      <w:r w:rsidR="00773F7B">
        <w:rPr>
          <w:b w:val="0"/>
        </w:rPr>
        <w:t xml:space="preserve">the Group </w:t>
      </w:r>
      <w:r>
        <w:rPr>
          <w:b w:val="0"/>
        </w:rPr>
        <w:t xml:space="preserve">recognised </w:t>
      </w:r>
      <w:r w:rsidR="007A0915">
        <w:rPr>
          <w:b w:val="0"/>
        </w:rPr>
        <w:t xml:space="preserve">a </w:t>
      </w:r>
      <w:r>
        <w:rPr>
          <w:b w:val="0"/>
        </w:rPr>
        <w:t>charge of £1.</w:t>
      </w:r>
      <w:r w:rsidR="007A0915">
        <w:rPr>
          <w:b w:val="0"/>
        </w:rPr>
        <w:t xml:space="preserve">7m </w:t>
      </w:r>
      <w:r>
        <w:rPr>
          <w:b w:val="0"/>
        </w:rPr>
        <w:t>relating to inventory</w:t>
      </w:r>
      <w:r w:rsidR="007A0915">
        <w:rPr>
          <w:b w:val="0"/>
        </w:rPr>
        <w:t xml:space="preserve"> impairment and costs relating to the COVID-19 pandemic following the introduction by the UK Government of a nationwide lockdown in March 2020.</w:t>
      </w:r>
    </w:p>
    <w:p w14:paraId="03792CBD" w14:textId="77777777" w:rsidR="00773F7B" w:rsidRDefault="00773F7B" w:rsidP="001F1616">
      <w:pPr>
        <w:pStyle w:val="Style1"/>
        <w:spacing w:after="120" w:line="240" w:lineRule="auto"/>
        <w:ind w:left="425" w:hanging="425"/>
        <w:contextualSpacing w:val="0"/>
      </w:pPr>
      <w:r>
        <w:t>Integration costs</w:t>
      </w:r>
    </w:p>
    <w:p w14:paraId="5AB604C2" w14:textId="77777777" w:rsidR="00773F7B" w:rsidRPr="00827864" w:rsidRDefault="00773F7B" w:rsidP="001F1616">
      <w:pPr>
        <w:pStyle w:val="Style1"/>
        <w:numPr>
          <w:ilvl w:val="0"/>
          <w:numId w:val="0"/>
        </w:numPr>
        <w:spacing w:after="120" w:line="240" w:lineRule="auto"/>
        <w:ind w:left="425"/>
        <w:contextualSpacing w:val="0"/>
        <w:jc w:val="both"/>
        <w:rPr>
          <w:b w:val="0"/>
        </w:rPr>
      </w:pPr>
      <w:r>
        <w:rPr>
          <w:b w:val="0"/>
        </w:rPr>
        <w:t xml:space="preserve">In the </w:t>
      </w:r>
      <w:r w:rsidR="0042447C">
        <w:rPr>
          <w:b w:val="0"/>
        </w:rPr>
        <w:t xml:space="preserve">prior </w:t>
      </w:r>
      <w:r>
        <w:rPr>
          <w:b w:val="0"/>
        </w:rPr>
        <w:t>period</w:t>
      </w:r>
      <w:r w:rsidRPr="00827864">
        <w:rPr>
          <w:b w:val="0"/>
        </w:rPr>
        <w:t>, the G</w:t>
      </w:r>
      <w:r>
        <w:rPr>
          <w:b w:val="0"/>
        </w:rPr>
        <w:t>roup recognised a charge of £0.5m, comprising integration</w:t>
      </w:r>
      <w:r w:rsidRPr="00827864">
        <w:rPr>
          <w:b w:val="0"/>
        </w:rPr>
        <w:t xml:space="preserve"> costs in relation to the acquisition of Freshtime UK Limited</w:t>
      </w:r>
      <w:r w:rsidR="00124466">
        <w:rPr>
          <w:b w:val="0"/>
        </w:rPr>
        <w:t xml:space="preserve"> in</w:t>
      </w:r>
      <w:r w:rsidR="0042447C">
        <w:rPr>
          <w:b w:val="0"/>
        </w:rPr>
        <w:t xml:space="preserve"> September</w:t>
      </w:r>
      <w:r w:rsidR="00124466">
        <w:rPr>
          <w:b w:val="0"/>
        </w:rPr>
        <w:t xml:space="preserve"> 2019</w:t>
      </w:r>
      <w:r w:rsidRPr="00827864">
        <w:rPr>
          <w:b w:val="0"/>
        </w:rPr>
        <w:t xml:space="preserve">. </w:t>
      </w:r>
    </w:p>
    <w:p w14:paraId="13E165DD" w14:textId="77777777" w:rsidR="0042447C" w:rsidRDefault="0042447C" w:rsidP="005B3BEE">
      <w:pPr>
        <w:pStyle w:val="SectionH3"/>
      </w:pPr>
    </w:p>
    <w:p w14:paraId="490D8B87" w14:textId="77777777" w:rsidR="00773F7B" w:rsidRPr="00FB1D28" w:rsidRDefault="00773F7B" w:rsidP="005B3BEE">
      <w:pPr>
        <w:pStyle w:val="SectionH3"/>
      </w:pPr>
      <w:r w:rsidRPr="00FB1D28">
        <w:t>Cash Flow on Exceptional Items</w:t>
      </w:r>
    </w:p>
    <w:p w14:paraId="27AE9562" w14:textId="77777777" w:rsidR="00773F7B" w:rsidRDefault="00773F7B" w:rsidP="005B3BEE">
      <w:pPr>
        <w:pStyle w:val="Paragraph"/>
        <w:spacing w:before="0" w:after="120"/>
        <w:jc w:val="both"/>
      </w:pPr>
      <w:r>
        <w:t>The total net cash outflow during the period</w:t>
      </w:r>
      <w:r w:rsidR="006316BB">
        <w:t xml:space="preserve"> </w:t>
      </w:r>
      <w:r>
        <w:t xml:space="preserve">in respect of </w:t>
      </w:r>
      <w:r w:rsidR="006316BB">
        <w:t xml:space="preserve">operating activities </w:t>
      </w:r>
      <w:r>
        <w:t xml:space="preserve">exceptional </w:t>
      </w:r>
      <w:r w:rsidRPr="00E25584">
        <w:t>items was £</w:t>
      </w:r>
      <w:r w:rsidR="00E25584" w:rsidRPr="00E25584">
        <w:t>2.4</w:t>
      </w:r>
      <w:r w:rsidRPr="00E25584">
        <w:t>m (H1 FY</w:t>
      </w:r>
      <w:r w:rsidR="009D092A" w:rsidRPr="00E25584">
        <w:t>20</w:t>
      </w:r>
      <w:r w:rsidRPr="00E25584">
        <w:t>: £</w:t>
      </w:r>
      <w:r w:rsidR="009D092A" w:rsidRPr="00E25584">
        <w:t>2.6</w:t>
      </w:r>
      <w:r w:rsidRPr="00E25584">
        <w:t>m), of which £</w:t>
      </w:r>
      <w:r w:rsidR="00E25584" w:rsidRPr="00E25584">
        <w:t>2.</w:t>
      </w:r>
      <w:r w:rsidR="000F294E">
        <w:t>1</w:t>
      </w:r>
      <w:r w:rsidRPr="00E25584">
        <w:t>m was in respect of prior year exceptional charges.</w:t>
      </w:r>
      <w:r>
        <w:t xml:space="preserve"> </w:t>
      </w:r>
      <w:r w:rsidR="006316BB">
        <w:t>The net proceeds from the disposal of the Molasses trading businesses of £16.3m have</w:t>
      </w:r>
      <w:r w:rsidR="00572438">
        <w:t xml:space="preserve"> been</w:t>
      </w:r>
      <w:r w:rsidR="006316BB">
        <w:t xml:space="preserve"> recognised separately on the Group Condensed Statement of Cash Flows within investing activities. </w:t>
      </w:r>
    </w:p>
    <w:p w14:paraId="6FA5942F" w14:textId="77777777" w:rsidR="0041734A" w:rsidRDefault="0041734A" w:rsidP="005B3BEE">
      <w:pPr>
        <w:pStyle w:val="Paragraph"/>
        <w:spacing w:before="0" w:after="120"/>
        <w:jc w:val="both"/>
      </w:pPr>
    </w:p>
    <w:p w14:paraId="3E32C922" w14:textId="77777777" w:rsidR="00773F7B" w:rsidRDefault="00E126B5" w:rsidP="005B3BEE">
      <w:pPr>
        <w:pStyle w:val="SectionH3"/>
      </w:pPr>
      <w:r>
        <w:t>5</w:t>
      </w:r>
      <w:r w:rsidR="00773F7B" w:rsidRPr="00083EA3">
        <w:t>.</w:t>
      </w:r>
      <w:r w:rsidR="00413B31" w:rsidRPr="00083EA3">
        <w:tab/>
      </w:r>
      <w:r w:rsidR="007905AF" w:rsidRPr="006D1798">
        <w:t>Finance income and finance</w:t>
      </w:r>
      <w:r w:rsidR="007905AF" w:rsidRPr="005B3BEE" w:rsidDel="007905AF">
        <w:rPr>
          <w:rStyle w:val="ParagraphChar"/>
        </w:rPr>
        <w:t xml:space="preserve"> </w:t>
      </w:r>
      <w:r w:rsidR="00773F7B" w:rsidRPr="005B3BEE">
        <w:rPr>
          <w:rStyle w:val="ParagraphChar"/>
        </w:rPr>
        <w:t>costs</w:t>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gridCol w:w="992"/>
        <w:gridCol w:w="992"/>
      </w:tblGrid>
      <w:tr w:rsidR="00773F7B" w14:paraId="715C6C9B" w14:textId="77777777" w:rsidTr="001F1616">
        <w:tc>
          <w:tcPr>
            <w:tcW w:w="7795" w:type="dxa"/>
            <w:vAlign w:val="bottom"/>
          </w:tcPr>
          <w:p w14:paraId="3D5AF325" w14:textId="77777777" w:rsidR="00773F7B" w:rsidRPr="006D1798" w:rsidRDefault="00773F7B" w:rsidP="00773F7B">
            <w:pPr>
              <w:pStyle w:val="T2"/>
              <w:jc w:val="left"/>
            </w:pPr>
          </w:p>
        </w:tc>
        <w:tc>
          <w:tcPr>
            <w:tcW w:w="992" w:type="dxa"/>
            <w:vAlign w:val="bottom"/>
          </w:tcPr>
          <w:p w14:paraId="652EAB74" w14:textId="77777777" w:rsidR="00773F7B" w:rsidRPr="006D1798" w:rsidRDefault="00773F7B" w:rsidP="009D092A">
            <w:pPr>
              <w:pStyle w:val="T2"/>
              <w:jc w:val="right"/>
              <w:rPr>
                <w:b/>
              </w:rPr>
            </w:pPr>
            <w:r w:rsidRPr="006D1798">
              <w:rPr>
                <w:b/>
              </w:rPr>
              <w:t>Half year</w:t>
            </w:r>
            <w:r w:rsidRPr="006D1798">
              <w:rPr>
                <w:b/>
              </w:rPr>
              <w:br/>
              <w:t>20</w:t>
            </w:r>
            <w:r>
              <w:rPr>
                <w:b/>
              </w:rPr>
              <w:t>2</w:t>
            </w:r>
            <w:r w:rsidR="009D092A">
              <w:rPr>
                <w:b/>
              </w:rPr>
              <w:t>1</w:t>
            </w:r>
          </w:p>
        </w:tc>
        <w:tc>
          <w:tcPr>
            <w:tcW w:w="992" w:type="dxa"/>
            <w:vAlign w:val="bottom"/>
          </w:tcPr>
          <w:p w14:paraId="4A747940" w14:textId="77777777" w:rsidR="00773F7B" w:rsidRPr="006D1798" w:rsidRDefault="00773F7B" w:rsidP="009D092A">
            <w:pPr>
              <w:pStyle w:val="T2"/>
              <w:jc w:val="right"/>
            </w:pPr>
            <w:r w:rsidRPr="006D1798">
              <w:t>Half year</w:t>
            </w:r>
            <w:r w:rsidRPr="006D1798">
              <w:br/>
              <w:t>20</w:t>
            </w:r>
            <w:r w:rsidR="009D092A">
              <w:t>20</w:t>
            </w:r>
          </w:p>
        </w:tc>
      </w:tr>
      <w:tr w:rsidR="00773F7B" w14:paraId="7F269A78" w14:textId="77777777" w:rsidTr="001F1616">
        <w:tc>
          <w:tcPr>
            <w:tcW w:w="7795" w:type="dxa"/>
            <w:tcBorders>
              <w:bottom w:val="single" w:sz="2" w:space="0" w:color="auto"/>
            </w:tcBorders>
            <w:vAlign w:val="bottom"/>
          </w:tcPr>
          <w:p w14:paraId="01BF66C8" w14:textId="77777777" w:rsidR="00773F7B" w:rsidRPr="006D1798" w:rsidRDefault="00773F7B" w:rsidP="00773F7B">
            <w:pPr>
              <w:pStyle w:val="T2"/>
              <w:jc w:val="left"/>
            </w:pPr>
          </w:p>
        </w:tc>
        <w:tc>
          <w:tcPr>
            <w:tcW w:w="992" w:type="dxa"/>
            <w:tcBorders>
              <w:bottom w:val="single" w:sz="2" w:space="0" w:color="auto"/>
            </w:tcBorders>
            <w:vAlign w:val="bottom"/>
          </w:tcPr>
          <w:p w14:paraId="26D6AC7F" w14:textId="77777777" w:rsidR="00773F7B" w:rsidRPr="006D1798" w:rsidRDefault="00773F7B" w:rsidP="00773F7B">
            <w:pPr>
              <w:pStyle w:val="T2"/>
              <w:jc w:val="right"/>
              <w:rPr>
                <w:b/>
              </w:rPr>
            </w:pPr>
            <w:r w:rsidRPr="006D1798">
              <w:rPr>
                <w:b/>
              </w:rPr>
              <w:t>£m</w:t>
            </w:r>
          </w:p>
        </w:tc>
        <w:tc>
          <w:tcPr>
            <w:tcW w:w="992" w:type="dxa"/>
            <w:tcBorders>
              <w:bottom w:val="single" w:sz="2" w:space="0" w:color="auto"/>
            </w:tcBorders>
            <w:vAlign w:val="bottom"/>
          </w:tcPr>
          <w:p w14:paraId="14A45391" w14:textId="77777777" w:rsidR="00773F7B" w:rsidRPr="006D1798" w:rsidRDefault="00773F7B" w:rsidP="00773F7B">
            <w:pPr>
              <w:pStyle w:val="T2"/>
              <w:jc w:val="right"/>
            </w:pPr>
            <w:r w:rsidRPr="006D1798">
              <w:t>£m</w:t>
            </w:r>
          </w:p>
        </w:tc>
      </w:tr>
      <w:tr w:rsidR="00773F7B" w14:paraId="1A18E9A1" w14:textId="77777777" w:rsidTr="001F1616">
        <w:tc>
          <w:tcPr>
            <w:tcW w:w="7795" w:type="dxa"/>
            <w:tcBorders>
              <w:top w:val="single" w:sz="2" w:space="0" w:color="auto"/>
            </w:tcBorders>
            <w:vAlign w:val="bottom"/>
          </w:tcPr>
          <w:p w14:paraId="0700E1A9" w14:textId="77777777" w:rsidR="00773F7B" w:rsidRPr="006D1798" w:rsidRDefault="00773F7B" w:rsidP="00773F7B">
            <w:pPr>
              <w:pStyle w:val="T2"/>
              <w:jc w:val="left"/>
              <w:rPr>
                <w:rFonts w:ascii="Calibri" w:hAnsi="Calibri" w:cs="Arial"/>
                <w:b/>
                <w:bCs/>
              </w:rPr>
            </w:pPr>
            <w:r w:rsidRPr="006D1798">
              <w:rPr>
                <w:rFonts w:ascii="Calibri" w:hAnsi="Calibri" w:cs="Arial"/>
                <w:b/>
                <w:bCs/>
              </w:rPr>
              <w:t>Finance income</w:t>
            </w:r>
            <w:r>
              <w:rPr>
                <w:rFonts w:ascii="Calibri" w:hAnsi="Calibri" w:cs="Arial"/>
                <w:b/>
                <w:bCs/>
              </w:rPr>
              <w:t xml:space="preserve"> </w:t>
            </w:r>
          </w:p>
        </w:tc>
        <w:tc>
          <w:tcPr>
            <w:tcW w:w="992" w:type="dxa"/>
            <w:tcBorders>
              <w:top w:val="single" w:sz="2" w:space="0" w:color="auto"/>
            </w:tcBorders>
            <w:vAlign w:val="bottom"/>
          </w:tcPr>
          <w:p w14:paraId="47DDD1CF" w14:textId="77777777" w:rsidR="00773F7B" w:rsidRPr="00FE3B9D" w:rsidRDefault="00773F7B" w:rsidP="00773F7B">
            <w:pPr>
              <w:pStyle w:val="T2"/>
              <w:jc w:val="right"/>
              <w:rPr>
                <w:b/>
              </w:rPr>
            </w:pPr>
          </w:p>
        </w:tc>
        <w:tc>
          <w:tcPr>
            <w:tcW w:w="992" w:type="dxa"/>
            <w:tcBorders>
              <w:top w:val="single" w:sz="2" w:space="0" w:color="auto"/>
            </w:tcBorders>
            <w:vAlign w:val="bottom"/>
          </w:tcPr>
          <w:p w14:paraId="23C6BBA2" w14:textId="77777777" w:rsidR="00773F7B" w:rsidRPr="00B074E8" w:rsidRDefault="00773F7B" w:rsidP="00773F7B">
            <w:pPr>
              <w:pStyle w:val="T2"/>
              <w:jc w:val="right"/>
            </w:pPr>
          </w:p>
        </w:tc>
      </w:tr>
      <w:tr w:rsidR="009D092A" w14:paraId="438EF5C1" w14:textId="77777777" w:rsidTr="00F55D04">
        <w:tc>
          <w:tcPr>
            <w:tcW w:w="7795" w:type="dxa"/>
            <w:vAlign w:val="bottom"/>
          </w:tcPr>
          <w:p w14:paraId="48C78CAC" w14:textId="77777777" w:rsidR="009D092A" w:rsidRPr="006D1798" w:rsidRDefault="009D092A" w:rsidP="009D092A">
            <w:pPr>
              <w:pStyle w:val="T2"/>
              <w:jc w:val="left"/>
              <w:rPr>
                <w:rFonts w:ascii="Calibri" w:hAnsi="Calibri" w:cs="Arial"/>
              </w:rPr>
            </w:pPr>
            <w:r w:rsidRPr="006D1798">
              <w:rPr>
                <w:rFonts w:ascii="Calibri" w:hAnsi="Calibri" w:cs="Arial"/>
              </w:rPr>
              <w:t>Interest on bank deposits</w:t>
            </w:r>
          </w:p>
        </w:tc>
        <w:tc>
          <w:tcPr>
            <w:tcW w:w="992" w:type="dxa"/>
          </w:tcPr>
          <w:p w14:paraId="2A6C6B64" w14:textId="77777777" w:rsidR="009D092A" w:rsidRPr="00FE3B9D" w:rsidRDefault="009D092A" w:rsidP="009D092A">
            <w:pPr>
              <w:pStyle w:val="T2"/>
              <w:jc w:val="right"/>
              <w:rPr>
                <w:rFonts w:ascii="Calibri" w:hAnsi="Calibri" w:cs="Arial"/>
                <w:b/>
                <w:bCs/>
              </w:rPr>
            </w:pPr>
            <w:r w:rsidRPr="0078672D">
              <w:rPr>
                <w:b/>
              </w:rPr>
              <w:t>–</w:t>
            </w:r>
          </w:p>
        </w:tc>
        <w:tc>
          <w:tcPr>
            <w:tcW w:w="992" w:type="dxa"/>
            <w:vAlign w:val="bottom"/>
          </w:tcPr>
          <w:p w14:paraId="1C60AB0E" w14:textId="77777777" w:rsidR="009D092A" w:rsidRPr="00B074E8" w:rsidRDefault="009D092A" w:rsidP="009D092A">
            <w:pPr>
              <w:pStyle w:val="T2"/>
              <w:jc w:val="right"/>
              <w:rPr>
                <w:rFonts w:ascii="Calibri" w:hAnsi="Calibri" w:cs="Arial"/>
              </w:rPr>
            </w:pPr>
            <w:r>
              <w:rPr>
                <w:rFonts w:ascii="Calibri" w:hAnsi="Calibri" w:cs="Arial"/>
              </w:rPr>
              <w:t>0.1</w:t>
            </w:r>
          </w:p>
        </w:tc>
      </w:tr>
      <w:tr w:rsidR="005726F7" w14:paraId="083BF973" w14:textId="77777777" w:rsidTr="00F55D04">
        <w:tc>
          <w:tcPr>
            <w:tcW w:w="7795" w:type="dxa"/>
            <w:vAlign w:val="bottom"/>
          </w:tcPr>
          <w:p w14:paraId="5E76B365" w14:textId="77777777" w:rsidR="005726F7" w:rsidRPr="00DE2BFE" w:rsidRDefault="005726F7" w:rsidP="005726F7">
            <w:pPr>
              <w:pStyle w:val="T2"/>
              <w:jc w:val="left"/>
              <w:rPr>
                <w:rFonts w:ascii="Calibri" w:hAnsi="Calibri" w:cs="Arial"/>
                <w:b/>
              </w:rPr>
            </w:pPr>
            <w:r w:rsidRPr="006D1798">
              <w:rPr>
                <w:rFonts w:ascii="Calibri" w:hAnsi="Calibri" w:cs="Arial"/>
              </w:rPr>
              <w:t>Change in fair value of derivatives and related debt adjustments</w:t>
            </w:r>
          </w:p>
        </w:tc>
        <w:tc>
          <w:tcPr>
            <w:tcW w:w="992" w:type="dxa"/>
          </w:tcPr>
          <w:p w14:paraId="0ACD1212" w14:textId="77777777" w:rsidR="005726F7" w:rsidRPr="0078672D" w:rsidRDefault="005726F7" w:rsidP="005726F7">
            <w:pPr>
              <w:pStyle w:val="T2"/>
              <w:jc w:val="right"/>
              <w:rPr>
                <w:b/>
              </w:rPr>
            </w:pPr>
            <w:r w:rsidRPr="0078672D">
              <w:rPr>
                <w:b/>
              </w:rPr>
              <w:t>–</w:t>
            </w:r>
          </w:p>
        </w:tc>
        <w:tc>
          <w:tcPr>
            <w:tcW w:w="992" w:type="dxa"/>
            <w:vAlign w:val="bottom"/>
          </w:tcPr>
          <w:p w14:paraId="783AF0FC" w14:textId="77777777" w:rsidR="005726F7" w:rsidRPr="005726F7" w:rsidRDefault="005726F7" w:rsidP="005726F7">
            <w:pPr>
              <w:pStyle w:val="T2"/>
              <w:jc w:val="right"/>
              <w:rPr>
                <w:rFonts w:ascii="Calibri" w:hAnsi="Calibri" w:cs="Arial"/>
              </w:rPr>
            </w:pPr>
            <w:r>
              <w:t>0.4</w:t>
            </w:r>
          </w:p>
        </w:tc>
      </w:tr>
      <w:tr w:rsidR="005726F7" w14:paraId="4B6A8E6F" w14:textId="77777777" w:rsidTr="001F1616">
        <w:tc>
          <w:tcPr>
            <w:tcW w:w="7795" w:type="dxa"/>
            <w:tcBorders>
              <w:bottom w:val="single" w:sz="2" w:space="0" w:color="auto"/>
            </w:tcBorders>
            <w:vAlign w:val="bottom"/>
          </w:tcPr>
          <w:p w14:paraId="7FDD54AA" w14:textId="77777777" w:rsidR="005726F7" w:rsidRPr="00DE2BFE" w:rsidRDefault="005726F7" w:rsidP="005726F7">
            <w:pPr>
              <w:pStyle w:val="T2"/>
              <w:jc w:val="left"/>
              <w:rPr>
                <w:rFonts w:ascii="Calibri" w:hAnsi="Calibri" w:cs="Arial"/>
                <w:b/>
              </w:rPr>
            </w:pPr>
            <w:r w:rsidRPr="006D1798">
              <w:rPr>
                <w:rFonts w:ascii="Calibri" w:hAnsi="Calibri" w:cs="Arial"/>
              </w:rPr>
              <w:t>Foreign exchange on inter</w:t>
            </w:r>
            <w:r>
              <w:rPr>
                <w:rFonts w:ascii="Calibri" w:hAnsi="Calibri" w:cs="Arial"/>
              </w:rPr>
              <w:t>–</w:t>
            </w:r>
            <w:r w:rsidRPr="006D1798">
              <w:rPr>
                <w:rFonts w:ascii="Calibri" w:hAnsi="Calibri" w:cs="Arial"/>
              </w:rPr>
              <w:t>company and external balances where hedge accounting is not applied</w:t>
            </w:r>
          </w:p>
        </w:tc>
        <w:tc>
          <w:tcPr>
            <w:tcW w:w="992" w:type="dxa"/>
            <w:tcBorders>
              <w:bottom w:val="single" w:sz="2" w:space="0" w:color="auto"/>
            </w:tcBorders>
          </w:tcPr>
          <w:p w14:paraId="6905FE2F" w14:textId="77777777" w:rsidR="005726F7" w:rsidRPr="0078672D" w:rsidRDefault="005726F7" w:rsidP="005726F7">
            <w:pPr>
              <w:pStyle w:val="T2"/>
              <w:jc w:val="right"/>
              <w:rPr>
                <w:b/>
              </w:rPr>
            </w:pPr>
            <w:r>
              <w:rPr>
                <w:b/>
              </w:rPr>
              <w:t>0.4</w:t>
            </w:r>
          </w:p>
        </w:tc>
        <w:tc>
          <w:tcPr>
            <w:tcW w:w="992" w:type="dxa"/>
            <w:tcBorders>
              <w:bottom w:val="single" w:sz="2" w:space="0" w:color="auto"/>
            </w:tcBorders>
            <w:vAlign w:val="bottom"/>
          </w:tcPr>
          <w:p w14:paraId="25F537CE" w14:textId="77777777" w:rsidR="005726F7" w:rsidRDefault="005726F7" w:rsidP="005726F7">
            <w:pPr>
              <w:pStyle w:val="T2"/>
              <w:jc w:val="right"/>
              <w:rPr>
                <w:rFonts w:ascii="Calibri" w:hAnsi="Calibri" w:cs="Arial"/>
              </w:rPr>
            </w:pPr>
            <w:r w:rsidRPr="00254525">
              <w:t>–</w:t>
            </w:r>
          </w:p>
        </w:tc>
      </w:tr>
      <w:tr w:rsidR="005726F7" w14:paraId="46997B8C" w14:textId="77777777" w:rsidTr="001F1616">
        <w:tc>
          <w:tcPr>
            <w:tcW w:w="7795" w:type="dxa"/>
            <w:tcBorders>
              <w:top w:val="single" w:sz="2" w:space="0" w:color="auto"/>
              <w:bottom w:val="single" w:sz="2" w:space="0" w:color="auto"/>
            </w:tcBorders>
            <w:vAlign w:val="bottom"/>
          </w:tcPr>
          <w:p w14:paraId="51E725CB" w14:textId="77777777" w:rsidR="005726F7" w:rsidRPr="00DE2BFE" w:rsidRDefault="005726F7" w:rsidP="005726F7">
            <w:pPr>
              <w:pStyle w:val="T2"/>
              <w:jc w:val="left"/>
              <w:rPr>
                <w:rFonts w:ascii="Calibri" w:hAnsi="Calibri" w:cs="Arial"/>
                <w:b/>
              </w:rPr>
            </w:pPr>
            <w:r w:rsidRPr="00DE2BFE">
              <w:rPr>
                <w:rFonts w:ascii="Calibri" w:hAnsi="Calibri" w:cs="Arial"/>
                <w:b/>
              </w:rPr>
              <w:t>Total finance income recognised in the Income Statement</w:t>
            </w:r>
          </w:p>
        </w:tc>
        <w:tc>
          <w:tcPr>
            <w:tcW w:w="992" w:type="dxa"/>
            <w:tcBorders>
              <w:top w:val="single" w:sz="2" w:space="0" w:color="auto"/>
              <w:bottom w:val="single" w:sz="2" w:space="0" w:color="auto"/>
            </w:tcBorders>
          </w:tcPr>
          <w:p w14:paraId="2BA1C50C" w14:textId="77777777" w:rsidR="005726F7" w:rsidRPr="00FE3B9D" w:rsidRDefault="005726F7" w:rsidP="005726F7">
            <w:pPr>
              <w:pStyle w:val="T2"/>
              <w:jc w:val="right"/>
              <w:rPr>
                <w:rFonts w:ascii="Calibri" w:hAnsi="Calibri" w:cs="Arial"/>
                <w:b/>
                <w:bCs/>
              </w:rPr>
            </w:pPr>
            <w:r>
              <w:rPr>
                <w:b/>
              </w:rPr>
              <w:t>0.4</w:t>
            </w:r>
          </w:p>
        </w:tc>
        <w:tc>
          <w:tcPr>
            <w:tcW w:w="992" w:type="dxa"/>
            <w:tcBorders>
              <w:top w:val="single" w:sz="2" w:space="0" w:color="auto"/>
              <w:bottom w:val="single" w:sz="2" w:space="0" w:color="auto"/>
            </w:tcBorders>
            <w:vAlign w:val="bottom"/>
          </w:tcPr>
          <w:p w14:paraId="78113133" w14:textId="77777777" w:rsidR="005726F7" w:rsidRPr="00B074E8" w:rsidRDefault="005726F7">
            <w:pPr>
              <w:pStyle w:val="T2"/>
              <w:jc w:val="right"/>
              <w:rPr>
                <w:rFonts w:ascii="Calibri" w:hAnsi="Calibri" w:cs="Arial"/>
              </w:rPr>
            </w:pPr>
            <w:r>
              <w:rPr>
                <w:rFonts w:ascii="Calibri" w:hAnsi="Calibri" w:cs="Arial"/>
              </w:rPr>
              <w:t>0.5</w:t>
            </w:r>
          </w:p>
        </w:tc>
      </w:tr>
      <w:tr w:rsidR="005726F7" w14:paraId="08233B30" w14:textId="77777777" w:rsidTr="001F1616">
        <w:tc>
          <w:tcPr>
            <w:tcW w:w="7795" w:type="dxa"/>
            <w:tcBorders>
              <w:top w:val="single" w:sz="2" w:space="0" w:color="auto"/>
            </w:tcBorders>
            <w:vAlign w:val="bottom"/>
          </w:tcPr>
          <w:p w14:paraId="092573D1" w14:textId="77777777" w:rsidR="005726F7" w:rsidRPr="006D1798" w:rsidRDefault="005726F7" w:rsidP="005726F7">
            <w:pPr>
              <w:pStyle w:val="T2"/>
              <w:jc w:val="left"/>
              <w:rPr>
                <w:rFonts w:ascii="Calibri" w:hAnsi="Calibri" w:cs="Arial"/>
                <w:b/>
                <w:bCs/>
              </w:rPr>
            </w:pPr>
          </w:p>
        </w:tc>
        <w:tc>
          <w:tcPr>
            <w:tcW w:w="992" w:type="dxa"/>
            <w:tcBorders>
              <w:top w:val="single" w:sz="2" w:space="0" w:color="auto"/>
            </w:tcBorders>
            <w:vAlign w:val="bottom"/>
          </w:tcPr>
          <w:p w14:paraId="7CD8D71D" w14:textId="77777777" w:rsidR="005726F7" w:rsidRPr="00FE3B9D" w:rsidRDefault="005726F7" w:rsidP="005726F7">
            <w:pPr>
              <w:pStyle w:val="T2"/>
              <w:jc w:val="right"/>
              <w:rPr>
                <w:rFonts w:ascii="Calibri" w:hAnsi="Calibri" w:cs="Arial"/>
                <w:b/>
              </w:rPr>
            </w:pPr>
          </w:p>
        </w:tc>
        <w:tc>
          <w:tcPr>
            <w:tcW w:w="992" w:type="dxa"/>
            <w:tcBorders>
              <w:top w:val="single" w:sz="2" w:space="0" w:color="auto"/>
            </w:tcBorders>
            <w:vAlign w:val="bottom"/>
          </w:tcPr>
          <w:p w14:paraId="25C16A99" w14:textId="77777777" w:rsidR="005726F7" w:rsidRPr="006D1798" w:rsidRDefault="005726F7" w:rsidP="005726F7">
            <w:pPr>
              <w:pStyle w:val="T2"/>
              <w:jc w:val="right"/>
            </w:pPr>
          </w:p>
        </w:tc>
      </w:tr>
      <w:tr w:rsidR="005726F7" w14:paraId="0FCDDBC4" w14:textId="77777777" w:rsidTr="005B3BEE">
        <w:tc>
          <w:tcPr>
            <w:tcW w:w="7795" w:type="dxa"/>
            <w:vAlign w:val="bottom"/>
          </w:tcPr>
          <w:p w14:paraId="4AA25E7A" w14:textId="77777777" w:rsidR="005726F7" w:rsidRPr="006D1798" w:rsidRDefault="005726F7" w:rsidP="005726F7">
            <w:pPr>
              <w:pStyle w:val="T2"/>
              <w:jc w:val="left"/>
              <w:rPr>
                <w:rFonts w:ascii="Calibri" w:hAnsi="Calibri" w:cs="Arial"/>
                <w:b/>
                <w:bCs/>
              </w:rPr>
            </w:pPr>
            <w:r w:rsidRPr="006D1798">
              <w:rPr>
                <w:rFonts w:ascii="Calibri" w:hAnsi="Calibri" w:cs="Arial"/>
                <w:b/>
                <w:bCs/>
              </w:rPr>
              <w:t>Finance costs</w:t>
            </w:r>
          </w:p>
        </w:tc>
        <w:tc>
          <w:tcPr>
            <w:tcW w:w="992" w:type="dxa"/>
            <w:vAlign w:val="bottom"/>
          </w:tcPr>
          <w:p w14:paraId="520F5772" w14:textId="77777777" w:rsidR="005726F7" w:rsidRPr="00FE3B9D" w:rsidRDefault="005726F7" w:rsidP="005726F7">
            <w:pPr>
              <w:pStyle w:val="T2"/>
              <w:jc w:val="right"/>
              <w:rPr>
                <w:b/>
              </w:rPr>
            </w:pPr>
          </w:p>
        </w:tc>
        <w:tc>
          <w:tcPr>
            <w:tcW w:w="992" w:type="dxa"/>
            <w:vAlign w:val="bottom"/>
          </w:tcPr>
          <w:p w14:paraId="319A842F" w14:textId="77777777" w:rsidR="005726F7" w:rsidRPr="006D1798" w:rsidRDefault="005726F7" w:rsidP="005726F7">
            <w:pPr>
              <w:pStyle w:val="T2"/>
              <w:jc w:val="right"/>
            </w:pPr>
          </w:p>
        </w:tc>
      </w:tr>
      <w:tr w:rsidR="005726F7" w14:paraId="57C883E8" w14:textId="77777777" w:rsidTr="00E14D65">
        <w:tc>
          <w:tcPr>
            <w:tcW w:w="7795" w:type="dxa"/>
            <w:vAlign w:val="bottom"/>
          </w:tcPr>
          <w:p w14:paraId="677495C3" w14:textId="77777777" w:rsidR="005726F7" w:rsidRPr="006D1798" w:rsidRDefault="005726F7" w:rsidP="005726F7">
            <w:pPr>
              <w:pStyle w:val="T2"/>
              <w:jc w:val="left"/>
              <w:rPr>
                <w:rFonts w:ascii="Calibri" w:hAnsi="Calibri" w:cs="Arial"/>
              </w:rPr>
            </w:pPr>
            <w:r w:rsidRPr="006D1798">
              <w:rPr>
                <w:rFonts w:ascii="Calibri" w:hAnsi="Calibri" w:cs="Arial"/>
              </w:rPr>
              <w:t>Net finance costs on interest bearing cash and cash equivalents, borrowings and other financing costs</w:t>
            </w:r>
          </w:p>
        </w:tc>
        <w:tc>
          <w:tcPr>
            <w:tcW w:w="992" w:type="dxa"/>
          </w:tcPr>
          <w:p w14:paraId="7EA25671" w14:textId="77777777" w:rsidR="005726F7" w:rsidRPr="00197130" w:rsidRDefault="005726F7" w:rsidP="005726F7">
            <w:pPr>
              <w:pStyle w:val="T2"/>
              <w:jc w:val="right"/>
              <w:rPr>
                <w:rFonts w:ascii="Calibri" w:hAnsi="Calibri" w:cs="Arial"/>
                <w:b/>
              </w:rPr>
            </w:pPr>
            <w:r>
              <w:rPr>
                <w:rFonts w:ascii="Calibri" w:hAnsi="Calibri" w:cs="Arial"/>
                <w:b/>
              </w:rPr>
              <w:t>(7.4)</w:t>
            </w:r>
          </w:p>
        </w:tc>
        <w:tc>
          <w:tcPr>
            <w:tcW w:w="992" w:type="dxa"/>
            <w:vAlign w:val="bottom"/>
          </w:tcPr>
          <w:p w14:paraId="34DB2FE0" w14:textId="77777777" w:rsidR="005726F7" w:rsidRPr="006D1798" w:rsidRDefault="005726F7" w:rsidP="005726F7">
            <w:pPr>
              <w:pStyle w:val="T2"/>
              <w:jc w:val="right"/>
              <w:rPr>
                <w:rFonts w:ascii="Calibri" w:hAnsi="Calibri" w:cs="Arial"/>
              </w:rPr>
            </w:pPr>
            <w:r w:rsidRPr="0096767F">
              <w:rPr>
                <w:rFonts w:ascii="Calibri" w:hAnsi="Calibri" w:cs="Arial"/>
              </w:rPr>
              <w:t>(</w:t>
            </w:r>
            <w:r>
              <w:rPr>
                <w:rFonts w:ascii="Calibri" w:hAnsi="Calibri" w:cs="Arial"/>
              </w:rPr>
              <w:t>7.3</w:t>
            </w:r>
            <w:r w:rsidRPr="0096767F">
              <w:rPr>
                <w:rFonts w:ascii="Calibri" w:hAnsi="Calibri" w:cs="Arial"/>
              </w:rPr>
              <w:t>)</w:t>
            </w:r>
          </w:p>
        </w:tc>
      </w:tr>
      <w:tr w:rsidR="005726F7" w14:paraId="77EB6AA4" w14:textId="77777777" w:rsidTr="00E14D65">
        <w:tc>
          <w:tcPr>
            <w:tcW w:w="7795" w:type="dxa"/>
            <w:vAlign w:val="bottom"/>
          </w:tcPr>
          <w:p w14:paraId="42794BD3" w14:textId="77777777" w:rsidR="005726F7" w:rsidRPr="006D1798" w:rsidRDefault="005726F7" w:rsidP="005726F7">
            <w:pPr>
              <w:pStyle w:val="T2"/>
              <w:jc w:val="left"/>
              <w:rPr>
                <w:rFonts w:ascii="Calibri" w:hAnsi="Calibri" w:cs="Arial"/>
              </w:rPr>
            </w:pPr>
            <w:r w:rsidRPr="006D1798">
              <w:rPr>
                <w:rFonts w:ascii="Calibri" w:hAnsi="Calibri" w:cs="Arial"/>
              </w:rPr>
              <w:t>Net pension financing charge</w:t>
            </w:r>
          </w:p>
        </w:tc>
        <w:tc>
          <w:tcPr>
            <w:tcW w:w="992" w:type="dxa"/>
          </w:tcPr>
          <w:p w14:paraId="425EB0BF" w14:textId="77777777" w:rsidR="005726F7" w:rsidRPr="00197130" w:rsidRDefault="005726F7" w:rsidP="005726F7">
            <w:pPr>
              <w:pStyle w:val="T2"/>
              <w:jc w:val="right"/>
              <w:rPr>
                <w:rFonts w:ascii="Calibri" w:hAnsi="Calibri" w:cs="Arial"/>
                <w:b/>
              </w:rPr>
            </w:pPr>
            <w:r>
              <w:rPr>
                <w:b/>
              </w:rPr>
              <w:t>(0.9)</w:t>
            </w:r>
          </w:p>
        </w:tc>
        <w:tc>
          <w:tcPr>
            <w:tcW w:w="992" w:type="dxa"/>
            <w:vAlign w:val="bottom"/>
          </w:tcPr>
          <w:p w14:paraId="45AF7A16" w14:textId="77777777" w:rsidR="005726F7" w:rsidRPr="006D1798" w:rsidRDefault="005726F7" w:rsidP="005726F7">
            <w:pPr>
              <w:pStyle w:val="T2"/>
              <w:jc w:val="right"/>
              <w:rPr>
                <w:rFonts w:ascii="Calibri" w:hAnsi="Calibri" w:cs="Arial"/>
              </w:rPr>
            </w:pPr>
            <w:r w:rsidRPr="0096767F">
              <w:rPr>
                <w:rFonts w:ascii="Calibri" w:hAnsi="Calibri" w:cs="Arial"/>
              </w:rPr>
              <w:t>(1.</w:t>
            </w:r>
            <w:r>
              <w:rPr>
                <w:rFonts w:ascii="Calibri" w:hAnsi="Calibri" w:cs="Arial"/>
              </w:rPr>
              <w:t>0</w:t>
            </w:r>
            <w:r w:rsidRPr="0096767F">
              <w:rPr>
                <w:rFonts w:ascii="Calibri" w:hAnsi="Calibri" w:cs="Arial"/>
              </w:rPr>
              <w:t>)</w:t>
            </w:r>
          </w:p>
        </w:tc>
      </w:tr>
      <w:tr w:rsidR="005726F7" w14:paraId="6FE0996E" w14:textId="77777777" w:rsidTr="00E14D65">
        <w:tc>
          <w:tcPr>
            <w:tcW w:w="7795" w:type="dxa"/>
            <w:vAlign w:val="bottom"/>
          </w:tcPr>
          <w:p w14:paraId="1D670ED1" w14:textId="77777777" w:rsidR="005726F7" w:rsidRPr="006D1798" w:rsidRDefault="005726F7" w:rsidP="005726F7">
            <w:pPr>
              <w:pStyle w:val="T2"/>
              <w:jc w:val="left"/>
              <w:rPr>
                <w:rFonts w:ascii="Calibri" w:hAnsi="Calibri" w:cs="Arial"/>
              </w:rPr>
            </w:pPr>
            <w:r w:rsidRPr="006D1798">
              <w:rPr>
                <w:rFonts w:ascii="Calibri" w:hAnsi="Calibri" w:cs="Arial"/>
              </w:rPr>
              <w:t>Change in fair value of derivatives and related debt adjustments</w:t>
            </w:r>
          </w:p>
        </w:tc>
        <w:tc>
          <w:tcPr>
            <w:tcW w:w="992" w:type="dxa"/>
          </w:tcPr>
          <w:p w14:paraId="15B01782" w14:textId="77777777" w:rsidR="005726F7" w:rsidRPr="00197130" w:rsidRDefault="005726F7" w:rsidP="005726F7">
            <w:pPr>
              <w:pStyle w:val="T2"/>
              <w:jc w:val="right"/>
              <w:rPr>
                <w:rFonts w:ascii="Calibri" w:hAnsi="Calibri" w:cs="Arial"/>
                <w:b/>
              </w:rPr>
            </w:pPr>
            <w:r>
              <w:rPr>
                <w:b/>
              </w:rPr>
              <w:t>(1.1)</w:t>
            </w:r>
          </w:p>
        </w:tc>
        <w:tc>
          <w:tcPr>
            <w:tcW w:w="992" w:type="dxa"/>
            <w:vAlign w:val="bottom"/>
          </w:tcPr>
          <w:p w14:paraId="1F8296D1" w14:textId="77777777" w:rsidR="005726F7" w:rsidRPr="006D1798" w:rsidRDefault="005726F7" w:rsidP="005726F7">
            <w:pPr>
              <w:pStyle w:val="T2"/>
              <w:jc w:val="right"/>
              <w:rPr>
                <w:rFonts w:ascii="Calibri" w:hAnsi="Calibri" w:cs="Arial"/>
              </w:rPr>
            </w:pPr>
            <w:r w:rsidRPr="00254525">
              <w:t>–</w:t>
            </w:r>
          </w:p>
        </w:tc>
      </w:tr>
      <w:tr w:rsidR="005726F7" w14:paraId="30955D46" w14:textId="77777777" w:rsidTr="00E14D65">
        <w:tc>
          <w:tcPr>
            <w:tcW w:w="7795" w:type="dxa"/>
            <w:vAlign w:val="bottom"/>
          </w:tcPr>
          <w:p w14:paraId="166AF212" w14:textId="77777777" w:rsidR="005726F7" w:rsidRPr="006D1798" w:rsidRDefault="005726F7" w:rsidP="005726F7">
            <w:pPr>
              <w:pStyle w:val="T2"/>
              <w:jc w:val="left"/>
              <w:rPr>
                <w:rFonts w:ascii="Calibri" w:hAnsi="Calibri" w:cs="Arial"/>
              </w:rPr>
            </w:pPr>
            <w:r w:rsidRPr="006D1798">
              <w:rPr>
                <w:rFonts w:ascii="Calibri" w:hAnsi="Calibri" w:cs="Arial"/>
              </w:rPr>
              <w:t>Foreign exchange on inter</w:t>
            </w:r>
            <w:r>
              <w:rPr>
                <w:rFonts w:ascii="Calibri" w:hAnsi="Calibri" w:cs="Arial"/>
              </w:rPr>
              <w:t>–</w:t>
            </w:r>
            <w:r w:rsidRPr="006D1798">
              <w:rPr>
                <w:rFonts w:ascii="Calibri" w:hAnsi="Calibri" w:cs="Arial"/>
              </w:rPr>
              <w:t>company and external balances where hedge accounting is not applied</w:t>
            </w:r>
          </w:p>
        </w:tc>
        <w:tc>
          <w:tcPr>
            <w:tcW w:w="992" w:type="dxa"/>
          </w:tcPr>
          <w:p w14:paraId="1FD55F9A" w14:textId="77777777" w:rsidR="005726F7" w:rsidRPr="00197130" w:rsidRDefault="005726F7" w:rsidP="005726F7">
            <w:pPr>
              <w:pStyle w:val="T2"/>
              <w:jc w:val="right"/>
              <w:rPr>
                <w:rFonts w:ascii="Calibri" w:hAnsi="Calibri" w:cs="Arial"/>
                <w:b/>
              </w:rPr>
            </w:pPr>
            <w:r w:rsidRPr="0078672D">
              <w:rPr>
                <w:b/>
              </w:rPr>
              <w:t>–</w:t>
            </w:r>
          </w:p>
        </w:tc>
        <w:tc>
          <w:tcPr>
            <w:tcW w:w="992" w:type="dxa"/>
            <w:vAlign w:val="bottom"/>
          </w:tcPr>
          <w:p w14:paraId="57C16039" w14:textId="77777777" w:rsidR="005726F7" w:rsidRPr="006D1798" w:rsidRDefault="005726F7" w:rsidP="005726F7">
            <w:pPr>
              <w:pStyle w:val="T2"/>
              <w:jc w:val="right"/>
              <w:rPr>
                <w:rFonts w:ascii="Calibri" w:hAnsi="Calibri" w:cs="Arial"/>
              </w:rPr>
            </w:pPr>
            <w:r w:rsidRPr="0096767F">
              <w:rPr>
                <w:rFonts w:ascii="Calibri" w:hAnsi="Calibri" w:cs="Arial"/>
              </w:rPr>
              <w:t>(</w:t>
            </w:r>
            <w:r>
              <w:rPr>
                <w:rFonts w:ascii="Calibri" w:hAnsi="Calibri" w:cs="Arial"/>
              </w:rPr>
              <w:t>0.4</w:t>
            </w:r>
            <w:r w:rsidRPr="0096767F">
              <w:rPr>
                <w:rFonts w:ascii="Calibri" w:hAnsi="Calibri" w:cs="Arial"/>
              </w:rPr>
              <w:t>)</w:t>
            </w:r>
          </w:p>
        </w:tc>
      </w:tr>
      <w:tr w:rsidR="005726F7" w14:paraId="5B9E18A2" w14:textId="77777777" w:rsidTr="001F1616">
        <w:trPr>
          <w:trHeight w:val="60"/>
        </w:trPr>
        <w:tc>
          <w:tcPr>
            <w:tcW w:w="7795" w:type="dxa"/>
            <w:vAlign w:val="bottom"/>
          </w:tcPr>
          <w:p w14:paraId="6D2815DA" w14:textId="77777777" w:rsidR="005726F7" w:rsidRDefault="005726F7" w:rsidP="005726F7">
            <w:pPr>
              <w:pStyle w:val="T2"/>
              <w:jc w:val="left"/>
              <w:rPr>
                <w:rFonts w:ascii="Calibri" w:hAnsi="Calibri" w:cs="Arial"/>
              </w:rPr>
            </w:pPr>
            <w:r>
              <w:rPr>
                <w:rFonts w:ascii="Calibri" w:hAnsi="Calibri" w:cs="Arial"/>
              </w:rPr>
              <w:t>Interest on lease obligations</w:t>
            </w:r>
          </w:p>
        </w:tc>
        <w:tc>
          <w:tcPr>
            <w:tcW w:w="992" w:type="dxa"/>
          </w:tcPr>
          <w:p w14:paraId="35DB3AB7" w14:textId="77777777" w:rsidR="005726F7" w:rsidRPr="00197130" w:rsidRDefault="005726F7" w:rsidP="005726F7">
            <w:pPr>
              <w:pStyle w:val="T2"/>
              <w:jc w:val="right"/>
              <w:rPr>
                <w:rFonts w:ascii="Calibri" w:hAnsi="Calibri" w:cs="Arial"/>
                <w:b/>
              </w:rPr>
            </w:pPr>
            <w:r>
              <w:rPr>
                <w:b/>
              </w:rPr>
              <w:t>(0.7)</w:t>
            </w:r>
          </w:p>
        </w:tc>
        <w:tc>
          <w:tcPr>
            <w:tcW w:w="992" w:type="dxa"/>
            <w:vAlign w:val="bottom"/>
          </w:tcPr>
          <w:p w14:paraId="36685553" w14:textId="77777777" w:rsidR="005726F7" w:rsidRDefault="005726F7" w:rsidP="005726F7">
            <w:pPr>
              <w:pStyle w:val="T2"/>
              <w:jc w:val="right"/>
              <w:rPr>
                <w:rFonts w:ascii="Calibri" w:hAnsi="Calibri" w:cs="Arial"/>
              </w:rPr>
            </w:pPr>
            <w:r>
              <w:rPr>
                <w:rFonts w:ascii="Calibri" w:hAnsi="Calibri" w:cs="Arial"/>
              </w:rPr>
              <w:t>(0.5)</w:t>
            </w:r>
          </w:p>
        </w:tc>
      </w:tr>
      <w:tr w:rsidR="005726F7" w14:paraId="66937CA9" w14:textId="77777777" w:rsidTr="00E14D65">
        <w:tc>
          <w:tcPr>
            <w:tcW w:w="7795" w:type="dxa"/>
            <w:tcBorders>
              <w:top w:val="single" w:sz="2" w:space="0" w:color="auto"/>
              <w:bottom w:val="single" w:sz="4" w:space="0" w:color="auto"/>
            </w:tcBorders>
            <w:vAlign w:val="bottom"/>
          </w:tcPr>
          <w:p w14:paraId="5B23E3A1" w14:textId="77777777" w:rsidR="005726F7" w:rsidRPr="004921F9" w:rsidRDefault="005726F7" w:rsidP="005726F7">
            <w:pPr>
              <w:pStyle w:val="T2"/>
              <w:jc w:val="left"/>
              <w:rPr>
                <w:rFonts w:ascii="Calibri" w:hAnsi="Calibri" w:cs="Arial"/>
                <w:b/>
              </w:rPr>
            </w:pPr>
            <w:r w:rsidRPr="004921F9">
              <w:rPr>
                <w:rFonts w:ascii="Calibri" w:hAnsi="Calibri" w:cs="Arial"/>
                <w:b/>
              </w:rPr>
              <w:t>Total finance expense recognised in the Income Statement</w:t>
            </w:r>
          </w:p>
        </w:tc>
        <w:tc>
          <w:tcPr>
            <w:tcW w:w="992" w:type="dxa"/>
            <w:tcBorders>
              <w:top w:val="single" w:sz="2" w:space="0" w:color="auto"/>
              <w:bottom w:val="single" w:sz="4" w:space="0" w:color="auto"/>
            </w:tcBorders>
          </w:tcPr>
          <w:p w14:paraId="0AE07D18" w14:textId="0F86FA09" w:rsidR="005726F7" w:rsidRPr="004921F9" w:rsidRDefault="005726F7">
            <w:pPr>
              <w:pStyle w:val="T2"/>
              <w:tabs>
                <w:tab w:val="center" w:pos="388"/>
                <w:tab w:val="right" w:pos="776"/>
              </w:tabs>
              <w:jc w:val="right"/>
              <w:rPr>
                <w:rFonts w:ascii="Calibri" w:hAnsi="Calibri" w:cs="Arial"/>
                <w:b/>
              </w:rPr>
            </w:pPr>
            <w:r>
              <w:rPr>
                <w:b/>
              </w:rPr>
              <w:t>(10.1)</w:t>
            </w:r>
          </w:p>
        </w:tc>
        <w:tc>
          <w:tcPr>
            <w:tcW w:w="992" w:type="dxa"/>
            <w:tcBorders>
              <w:top w:val="single" w:sz="2" w:space="0" w:color="auto"/>
              <w:bottom w:val="single" w:sz="4" w:space="0" w:color="auto"/>
            </w:tcBorders>
            <w:vAlign w:val="bottom"/>
          </w:tcPr>
          <w:p w14:paraId="612BC0E2" w14:textId="77777777" w:rsidR="005726F7" w:rsidRPr="004921F9" w:rsidRDefault="005726F7">
            <w:pPr>
              <w:pStyle w:val="T2"/>
              <w:jc w:val="right"/>
              <w:rPr>
                <w:rFonts w:ascii="Calibri" w:hAnsi="Calibri" w:cs="Arial"/>
              </w:rPr>
            </w:pPr>
            <w:r w:rsidRPr="004921F9">
              <w:rPr>
                <w:rFonts w:ascii="Calibri" w:hAnsi="Calibri" w:cs="Arial"/>
              </w:rPr>
              <w:t>(</w:t>
            </w:r>
            <w:r>
              <w:rPr>
                <w:rFonts w:ascii="Calibri" w:hAnsi="Calibri" w:cs="Arial"/>
              </w:rPr>
              <w:t>9.2</w:t>
            </w:r>
            <w:r w:rsidRPr="004921F9">
              <w:rPr>
                <w:rFonts w:ascii="Calibri" w:hAnsi="Calibri" w:cs="Arial"/>
              </w:rPr>
              <w:t>)</w:t>
            </w:r>
          </w:p>
        </w:tc>
      </w:tr>
      <w:tr w:rsidR="005726F7" w14:paraId="643031B2" w14:textId="77777777" w:rsidTr="005B3BEE">
        <w:tc>
          <w:tcPr>
            <w:tcW w:w="7795" w:type="dxa"/>
            <w:tcBorders>
              <w:top w:val="single" w:sz="4" w:space="0" w:color="auto"/>
            </w:tcBorders>
            <w:vAlign w:val="bottom"/>
          </w:tcPr>
          <w:p w14:paraId="43224213" w14:textId="77777777" w:rsidR="005726F7" w:rsidRPr="006D1798" w:rsidRDefault="005726F7" w:rsidP="005726F7">
            <w:pPr>
              <w:pStyle w:val="T2"/>
              <w:jc w:val="left"/>
              <w:rPr>
                <w:rFonts w:ascii="Calibri" w:hAnsi="Calibri" w:cs="Arial"/>
                <w:b/>
                <w:bCs/>
              </w:rPr>
            </w:pPr>
          </w:p>
        </w:tc>
        <w:tc>
          <w:tcPr>
            <w:tcW w:w="992" w:type="dxa"/>
            <w:tcBorders>
              <w:top w:val="single" w:sz="4" w:space="0" w:color="auto"/>
            </w:tcBorders>
            <w:vAlign w:val="bottom"/>
          </w:tcPr>
          <w:p w14:paraId="144DB536" w14:textId="77777777" w:rsidR="005726F7" w:rsidRPr="005D0EFF" w:rsidRDefault="005726F7" w:rsidP="005726F7">
            <w:pPr>
              <w:pStyle w:val="T2"/>
              <w:jc w:val="right"/>
              <w:rPr>
                <w:rFonts w:ascii="Calibri" w:hAnsi="Calibri" w:cs="Arial"/>
              </w:rPr>
            </w:pPr>
          </w:p>
        </w:tc>
        <w:tc>
          <w:tcPr>
            <w:tcW w:w="992" w:type="dxa"/>
            <w:tcBorders>
              <w:top w:val="single" w:sz="4" w:space="0" w:color="auto"/>
            </w:tcBorders>
            <w:vAlign w:val="bottom"/>
          </w:tcPr>
          <w:p w14:paraId="042D9816" w14:textId="77777777" w:rsidR="005726F7" w:rsidRPr="006D1798" w:rsidRDefault="005726F7" w:rsidP="005726F7">
            <w:pPr>
              <w:pStyle w:val="T2"/>
              <w:jc w:val="right"/>
              <w:rPr>
                <w:rFonts w:ascii="Calibri" w:hAnsi="Calibri" w:cs="Arial"/>
              </w:rPr>
            </w:pPr>
          </w:p>
        </w:tc>
      </w:tr>
    </w:tbl>
    <w:p w14:paraId="27EF723A" w14:textId="77777777" w:rsidR="008D2B54" w:rsidRDefault="008D2B54" w:rsidP="00773F7B">
      <w:pPr>
        <w:spacing w:after="0" w:line="240" w:lineRule="auto"/>
        <w:rPr>
          <w:b/>
          <w:sz w:val="18"/>
          <w:szCs w:val="18"/>
        </w:rPr>
      </w:pPr>
    </w:p>
    <w:p w14:paraId="27FDD883" w14:textId="77777777" w:rsidR="00773F7B" w:rsidRPr="003232EE" w:rsidRDefault="00E126B5" w:rsidP="005B3BEE">
      <w:pPr>
        <w:pStyle w:val="SectionH3"/>
      </w:pPr>
      <w:r>
        <w:t>6</w:t>
      </w:r>
      <w:r w:rsidR="00773F7B" w:rsidRPr="003232EE">
        <w:t>.</w:t>
      </w:r>
      <w:r w:rsidR="00773F7B" w:rsidRPr="003232EE">
        <w:tab/>
      </w:r>
      <w:r w:rsidR="00773F7B" w:rsidRPr="00480A32">
        <w:t>Taxation</w:t>
      </w:r>
    </w:p>
    <w:p w14:paraId="5067F155" w14:textId="77777777" w:rsidR="00AE01B3" w:rsidRDefault="00AE01B3" w:rsidP="005B3BEE">
      <w:pPr>
        <w:spacing w:after="120" w:line="240" w:lineRule="auto"/>
        <w:jc w:val="both"/>
        <w:rPr>
          <w:sz w:val="18"/>
          <w:szCs w:val="18"/>
          <w:highlight w:val="yellow"/>
        </w:rPr>
      </w:pPr>
      <w:r>
        <w:rPr>
          <w:sz w:val="18"/>
          <w:szCs w:val="18"/>
        </w:rPr>
        <w:t>Interim period tax is accrued using the tax rate that is estimated to be applicable to expected total annual earnings in the financial year based on tax rates that were enacted or substantively enacted for the period ended 26 March 2021.</w:t>
      </w:r>
    </w:p>
    <w:p w14:paraId="3EA21841" w14:textId="77777777" w:rsidR="00F75453" w:rsidRPr="001F1616" w:rsidRDefault="00745132" w:rsidP="005B3BEE">
      <w:pPr>
        <w:spacing w:after="120" w:line="240" w:lineRule="auto"/>
        <w:jc w:val="both"/>
        <w:rPr>
          <w:sz w:val="18"/>
          <w:szCs w:val="18"/>
        </w:rPr>
      </w:pPr>
      <w:r>
        <w:rPr>
          <w:sz w:val="18"/>
          <w:szCs w:val="18"/>
        </w:rPr>
        <w:lastRenderedPageBreak/>
        <w:t xml:space="preserve">In March 2021, the UK Government announced a change to the corporation tax rate which is set to increase to 25% from </w:t>
      </w:r>
      <w:r w:rsidR="007E1F93">
        <w:rPr>
          <w:sz w:val="18"/>
          <w:szCs w:val="18"/>
        </w:rPr>
        <w:t>1 April 2023</w:t>
      </w:r>
      <w:r w:rsidR="00AE01B3">
        <w:rPr>
          <w:sz w:val="18"/>
          <w:szCs w:val="18"/>
        </w:rPr>
        <w:t xml:space="preserve"> </w:t>
      </w:r>
      <w:r w:rsidR="007A0915">
        <w:rPr>
          <w:sz w:val="18"/>
          <w:szCs w:val="18"/>
        </w:rPr>
        <w:t xml:space="preserve">however </w:t>
      </w:r>
      <w:r w:rsidR="00AE01B3">
        <w:rPr>
          <w:sz w:val="18"/>
          <w:szCs w:val="18"/>
        </w:rPr>
        <w:t xml:space="preserve">as this is not substantively enacted by 26 March 2021, this </w:t>
      </w:r>
      <w:r w:rsidR="007A0915">
        <w:rPr>
          <w:sz w:val="18"/>
          <w:szCs w:val="18"/>
        </w:rPr>
        <w:t xml:space="preserve">has had </w:t>
      </w:r>
      <w:r w:rsidR="007E1F93">
        <w:rPr>
          <w:sz w:val="18"/>
          <w:szCs w:val="18"/>
        </w:rPr>
        <w:t>no</w:t>
      </w:r>
      <w:r w:rsidR="00AE01B3">
        <w:rPr>
          <w:sz w:val="18"/>
          <w:szCs w:val="18"/>
        </w:rPr>
        <w:t xml:space="preserve"> impact on the half year charge.</w:t>
      </w:r>
      <w:r w:rsidR="00B93D76" w:rsidRPr="001F1616">
        <w:rPr>
          <w:sz w:val="18"/>
          <w:szCs w:val="18"/>
        </w:rPr>
        <w:t xml:space="preserve"> </w:t>
      </w:r>
      <w:r w:rsidR="0009243D" w:rsidRPr="001F1616">
        <w:rPr>
          <w:sz w:val="18"/>
          <w:szCs w:val="18"/>
        </w:rPr>
        <w:t>The ta</w:t>
      </w:r>
      <w:r w:rsidR="0009243D">
        <w:rPr>
          <w:sz w:val="18"/>
          <w:szCs w:val="18"/>
        </w:rPr>
        <w:t xml:space="preserve">x rate applicable for the period ended 26 March 2021 is 18%. </w:t>
      </w:r>
    </w:p>
    <w:p w14:paraId="6B894F4D" w14:textId="77777777" w:rsidR="00450D1E" w:rsidRDefault="00450D1E" w:rsidP="005B3BEE">
      <w:pPr>
        <w:pStyle w:val="SectionH3"/>
      </w:pPr>
    </w:p>
    <w:p w14:paraId="0DB42713" w14:textId="77777777" w:rsidR="00773F7B" w:rsidRPr="00480A32" w:rsidRDefault="00E126B5" w:rsidP="005B3BEE">
      <w:pPr>
        <w:pStyle w:val="SectionH3"/>
      </w:pPr>
      <w:r>
        <w:t>7</w:t>
      </w:r>
      <w:r w:rsidR="00773F7B" w:rsidRPr="003232EE">
        <w:t>.</w:t>
      </w:r>
      <w:r w:rsidR="00773F7B" w:rsidRPr="003232EE">
        <w:tab/>
      </w:r>
      <w:r w:rsidR="00773F7B" w:rsidRPr="00480A32">
        <w:t>Dividends Paid and Proposed</w:t>
      </w:r>
    </w:p>
    <w:p w14:paraId="534BBF2B" w14:textId="77777777" w:rsidR="00773F7B" w:rsidRDefault="009D092A" w:rsidP="005B3BEE">
      <w:pPr>
        <w:spacing w:after="120" w:line="240" w:lineRule="auto"/>
        <w:jc w:val="both"/>
        <w:rPr>
          <w:sz w:val="18"/>
          <w:szCs w:val="18"/>
        </w:rPr>
      </w:pPr>
      <w:r>
        <w:rPr>
          <w:sz w:val="18"/>
          <w:szCs w:val="18"/>
        </w:rPr>
        <w:t xml:space="preserve">The Group </w:t>
      </w:r>
      <w:r w:rsidR="007A0915">
        <w:rPr>
          <w:sz w:val="18"/>
          <w:szCs w:val="18"/>
        </w:rPr>
        <w:t xml:space="preserve">will </w:t>
      </w:r>
      <w:r>
        <w:rPr>
          <w:sz w:val="18"/>
          <w:szCs w:val="18"/>
        </w:rPr>
        <w:t xml:space="preserve">not </w:t>
      </w:r>
      <w:r w:rsidR="007A0915">
        <w:rPr>
          <w:sz w:val="18"/>
          <w:szCs w:val="18"/>
        </w:rPr>
        <w:t xml:space="preserve">be </w:t>
      </w:r>
      <w:r>
        <w:rPr>
          <w:sz w:val="18"/>
          <w:szCs w:val="18"/>
        </w:rPr>
        <w:t>proceeding with a final FY20 dividend o</w:t>
      </w:r>
      <w:r w:rsidR="00EA2BB4">
        <w:rPr>
          <w:sz w:val="18"/>
          <w:szCs w:val="18"/>
        </w:rPr>
        <w:t>r</w:t>
      </w:r>
      <w:r>
        <w:rPr>
          <w:sz w:val="18"/>
          <w:szCs w:val="18"/>
        </w:rPr>
        <w:t xml:space="preserve"> an interim FY21 dividend payment</w:t>
      </w:r>
      <w:r w:rsidR="007A0915">
        <w:rPr>
          <w:sz w:val="18"/>
          <w:szCs w:val="18"/>
        </w:rPr>
        <w:t xml:space="preserve"> as announced in FY20</w:t>
      </w:r>
      <w:r>
        <w:rPr>
          <w:sz w:val="18"/>
          <w:szCs w:val="18"/>
        </w:rPr>
        <w:t>.</w:t>
      </w:r>
    </w:p>
    <w:p w14:paraId="1BF1C876" w14:textId="77777777" w:rsidR="00E126B5" w:rsidRDefault="00E126B5" w:rsidP="005B3BEE">
      <w:pPr>
        <w:pStyle w:val="SectionH3"/>
      </w:pPr>
    </w:p>
    <w:p w14:paraId="25A429AA" w14:textId="77777777" w:rsidR="00773F7B" w:rsidRDefault="00E126B5" w:rsidP="005B3BEE">
      <w:pPr>
        <w:pStyle w:val="SectionH3"/>
      </w:pPr>
      <w:r>
        <w:t>8</w:t>
      </w:r>
      <w:r w:rsidR="00773F7B" w:rsidRPr="003232EE">
        <w:t>.</w:t>
      </w:r>
      <w:r w:rsidR="00815E85">
        <w:tab/>
      </w:r>
      <w:r w:rsidR="00773F7B" w:rsidRPr="00FE22BA">
        <w:t>Earnings per Ordinary Share</w:t>
      </w:r>
    </w:p>
    <w:p w14:paraId="25DF2D96" w14:textId="77777777" w:rsidR="00450D1E" w:rsidRDefault="00510F44" w:rsidP="005B3BEE">
      <w:pPr>
        <w:pStyle w:val="SectionH3"/>
      </w:pPr>
      <w:r w:rsidRPr="00510F44">
        <w:rPr>
          <w:b w:val="0"/>
        </w:rPr>
        <w:t xml:space="preserve">The Group </w:t>
      </w:r>
      <w:r>
        <w:rPr>
          <w:b w:val="0"/>
        </w:rPr>
        <w:t xml:space="preserve">raised £90.0m by way </w:t>
      </w:r>
      <w:r w:rsidRPr="00BB2658">
        <w:rPr>
          <w:b w:val="0"/>
        </w:rPr>
        <w:t xml:space="preserve">of an equity placing </w:t>
      </w:r>
      <w:r w:rsidR="00BB2658" w:rsidRPr="00BB2658">
        <w:rPr>
          <w:b w:val="0"/>
        </w:rPr>
        <w:t>completed</w:t>
      </w:r>
      <w:r w:rsidRPr="00BB2658">
        <w:rPr>
          <w:b w:val="0"/>
        </w:rPr>
        <w:t xml:space="preserve"> on 26 November 2020. The</w:t>
      </w:r>
      <w:r>
        <w:rPr>
          <w:b w:val="0"/>
        </w:rPr>
        <w:t xml:space="preserve"> Group issued 80,357,142 Ordinary Shares in the Company on the London Stock Exchange, at </w:t>
      </w:r>
      <w:r w:rsidR="007A0915">
        <w:rPr>
          <w:b w:val="0"/>
        </w:rPr>
        <w:t xml:space="preserve">a </w:t>
      </w:r>
      <w:r>
        <w:rPr>
          <w:b w:val="0"/>
        </w:rPr>
        <w:t xml:space="preserve">placing price of </w:t>
      </w:r>
      <w:r w:rsidR="007A0915">
        <w:rPr>
          <w:b w:val="0"/>
        </w:rPr>
        <w:t>112 pence</w:t>
      </w:r>
      <w:r>
        <w:rPr>
          <w:b w:val="0"/>
        </w:rPr>
        <w:t xml:space="preserve"> per Ordinary Share. </w:t>
      </w:r>
      <w:r w:rsidR="00F10AF9">
        <w:rPr>
          <w:b w:val="0"/>
        </w:rPr>
        <w:t xml:space="preserve">The effect of this on the half year weighted average number of ordinary shares was an increase of 53,132,318 shares. </w:t>
      </w:r>
      <w:r>
        <w:rPr>
          <w:b w:val="0"/>
        </w:rPr>
        <w:t xml:space="preserve">The total </w:t>
      </w:r>
      <w:r w:rsidR="007A0915">
        <w:rPr>
          <w:b w:val="0"/>
        </w:rPr>
        <w:t xml:space="preserve">number of </w:t>
      </w:r>
      <w:r>
        <w:rPr>
          <w:b w:val="0"/>
        </w:rPr>
        <w:t>Ordinary Sha</w:t>
      </w:r>
      <w:r w:rsidR="00AE01B3">
        <w:rPr>
          <w:b w:val="0"/>
        </w:rPr>
        <w:t>res in issue as at 26 March 2021</w:t>
      </w:r>
      <w:r>
        <w:rPr>
          <w:b w:val="0"/>
        </w:rPr>
        <w:t xml:space="preserve"> was </w:t>
      </w:r>
      <w:r w:rsidR="00F10AF9">
        <w:rPr>
          <w:b w:val="0"/>
        </w:rPr>
        <w:t>526,537,891</w:t>
      </w:r>
      <w:r>
        <w:rPr>
          <w:b w:val="0"/>
        </w:rPr>
        <w:t xml:space="preserve">. </w:t>
      </w:r>
    </w:p>
    <w:p w14:paraId="7DE48A43" w14:textId="77777777" w:rsidR="00773F7B" w:rsidRDefault="00773F7B" w:rsidP="005B3BEE">
      <w:pPr>
        <w:pStyle w:val="SectionH3"/>
      </w:pPr>
      <w:r w:rsidRPr="005C4A6C">
        <w:t>Numerator</w:t>
      </w:r>
      <w:r>
        <w:t xml:space="preserve"> </w:t>
      </w:r>
      <w:r w:rsidRPr="00CC7F8E">
        <w:t>for earnings per share calculation</w:t>
      </w:r>
      <w:r>
        <w:t>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140AC" w14:paraId="75661F2E" w14:textId="77777777" w:rsidTr="00E14D65">
        <w:trPr>
          <w:jc w:val="center"/>
        </w:trPr>
        <w:tc>
          <w:tcPr>
            <w:tcW w:w="7795" w:type="dxa"/>
            <w:vAlign w:val="bottom"/>
          </w:tcPr>
          <w:p w14:paraId="43992413" w14:textId="77777777" w:rsidR="007140AC" w:rsidRPr="00CC7F8E" w:rsidRDefault="007140AC" w:rsidP="00E14D65">
            <w:pPr>
              <w:pStyle w:val="T2"/>
              <w:jc w:val="left"/>
            </w:pPr>
          </w:p>
        </w:tc>
        <w:tc>
          <w:tcPr>
            <w:tcW w:w="992" w:type="dxa"/>
            <w:vAlign w:val="bottom"/>
          </w:tcPr>
          <w:p w14:paraId="6509D0EE" w14:textId="77777777" w:rsidR="007140AC" w:rsidRPr="00CC7F8E" w:rsidRDefault="007140AC" w:rsidP="007140AC">
            <w:pPr>
              <w:pStyle w:val="T2"/>
              <w:jc w:val="right"/>
              <w:rPr>
                <w:b/>
              </w:rPr>
            </w:pPr>
            <w:r w:rsidRPr="00CC7F8E">
              <w:rPr>
                <w:b/>
              </w:rPr>
              <w:t>Half year</w:t>
            </w:r>
            <w:r w:rsidRPr="00CC7F8E">
              <w:rPr>
                <w:b/>
              </w:rPr>
              <w:br/>
              <w:t>20</w:t>
            </w:r>
            <w:r>
              <w:rPr>
                <w:b/>
              </w:rPr>
              <w:t>21</w:t>
            </w:r>
          </w:p>
        </w:tc>
        <w:tc>
          <w:tcPr>
            <w:tcW w:w="992" w:type="dxa"/>
            <w:vAlign w:val="bottom"/>
          </w:tcPr>
          <w:p w14:paraId="44A1271B" w14:textId="77777777" w:rsidR="007140AC" w:rsidRPr="00CC7F8E" w:rsidRDefault="007140AC" w:rsidP="007140AC">
            <w:pPr>
              <w:pStyle w:val="T2"/>
              <w:jc w:val="right"/>
            </w:pPr>
            <w:r w:rsidRPr="00CC7F8E">
              <w:t>Half year</w:t>
            </w:r>
            <w:r w:rsidRPr="00CC7F8E">
              <w:br/>
              <w:t>20</w:t>
            </w:r>
            <w:r>
              <w:t>20</w:t>
            </w:r>
          </w:p>
        </w:tc>
      </w:tr>
      <w:tr w:rsidR="007140AC" w14:paraId="06FDE5CF" w14:textId="77777777" w:rsidTr="001F1616">
        <w:trPr>
          <w:jc w:val="center"/>
        </w:trPr>
        <w:tc>
          <w:tcPr>
            <w:tcW w:w="7795" w:type="dxa"/>
            <w:tcBorders>
              <w:bottom w:val="single" w:sz="2" w:space="0" w:color="auto"/>
            </w:tcBorders>
            <w:vAlign w:val="bottom"/>
          </w:tcPr>
          <w:p w14:paraId="69C728E3" w14:textId="77777777" w:rsidR="007140AC" w:rsidRPr="00CC7F8E" w:rsidRDefault="007140AC" w:rsidP="00E14D65">
            <w:pPr>
              <w:pStyle w:val="T2"/>
              <w:jc w:val="left"/>
            </w:pPr>
          </w:p>
        </w:tc>
        <w:tc>
          <w:tcPr>
            <w:tcW w:w="992" w:type="dxa"/>
            <w:tcBorders>
              <w:bottom w:val="single" w:sz="2" w:space="0" w:color="auto"/>
            </w:tcBorders>
            <w:vAlign w:val="bottom"/>
          </w:tcPr>
          <w:p w14:paraId="18786C00" w14:textId="77777777" w:rsidR="007140AC" w:rsidRPr="00CC7F8E" w:rsidRDefault="007140AC" w:rsidP="00E14D65">
            <w:pPr>
              <w:pStyle w:val="T2"/>
              <w:jc w:val="right"/>
              <w:rPr>
                <w:b/>
              </w:rPr>
            </w:pPr>
            <w:r>
              <w:rPr>
                <w:b/>
              </w:rPr>
              <w:t>£m</w:t>
            </w:r>
          </w:p>
        </w:tc>
        <w:tc>
          <w:tcPr>
            <w:tcW w:w="992" w:type="dxa"/>
            <w:tcBorders>
              <w:bottom w:val="single" w:sz="2" w:space="0" w:color="auto"/>
            </w:tcBorders>
            <w:vAlign w:val="bottom"/>
          </w:tcPr>
          <w:p w14:paraId="5ED4062D" w14:textId="77777777" w:rsidR="007140AC" w:rsidRPr="00CC7F8E" w:rsidRDefault="007140AC" w:rsidP="00E14D65">
            <w:pPr>
              <w:pStyle w:val="T2"/>
              <w:jc w:val="right"/>
            </w:pPr>
            <w:r>
              <w:t>£m</w:t>
            </w:r>
          </w:p>
        </w:tc>
      </w:tr>
      <w:tr w:rsidR="007140AC" w14:paraId="3B63719A" w14:textId="77777777" w:rsidTr="00F00317">
        <w:trPr>
          <w:jc w:val="center"/>
        </w:trPr>
        <w:tc>
          <w:tcPr>
            <w:tcW w:w="7795" w:type="dxa"/>
            <w:tcBorders>
              <w:top w:val="single" w:sz="2" w:space="0" w:color="auto"/>
              <w:bottom w:val="single" w:sz="2" w:space="0" w:color="auto"/>
            </w:tcBorders>
            <w:vAlign w:val="bottom"/>
          </w:tcPr>
          <w:p w14:paraId="5565FA88" w14:textId="77777777" w:rsidR="007140AC" w:rsidRPr="00CC7F8E" w:rsidRDefault="000123F9">
            <w:pPr>
              <w:pStyle w:val="T2"/>
              <w:jc w:val="left"/>
            </w:pPr>
            <w:r>
              <w:rPr>
                <w:rFonts w:cs="Arial"/>
                <w:b/>
                <w:bCs/>
              </w:rPr>
              <w:t>P</w:t>
            </w:r>
            <w:r w:rsidR="005D3EAC">
              <w:rPr>
                <w:rFonts w:cs="Arial"/>
                <w:b/>
                <w:bCs/>
              </w:rPr>
              <w:t>rofit</w:t>
            </w:r>
            <w:r w:rsidR="007140AC" w:rsidRPr="005C4A6C">
              <w:rPr>
                <w:rFonts w:cs="Arial"/>
                <w:b/>
                <w:bCs/>
              </w:rPr>
              <w:t xml:space="preserve"> attributable to equity holders</w:t>
            </w:r>
            <w:r w:rsidR="005D3EAC">
              <w:rPr>
                <w:rFonts w:cs="Arial"/>
                <w:b/>
                <w:bCs/>
              </w:rPr>
              <w:t xml:space="preserve"> </w:t>
            </w:r>
            <w:r w:rsidR="007140AC" w:rsidRPr="005C4A6C">
              <w:rPr>
                <w:rFonts w:cs="Arial"/>
                <w:b/>
                <w:bCs/>
              </w:rPr>
              <w:t>of the Company</w:t>
            </w:r>
          </w:p>
        </w:tc>
        <w:tc>
          <w:tcPr>
            <w:tcW w:w="992" w:type="dxa"/>
            <w:tcBorders>
              <w:top w:val="single" w:sz="2" w:space="0" w:color="auto"/>
              <w:bottom w:val="single" w:sz="2" w:space="0" w:color="auto"/>
            </w:tcBorders>
            <w:vAlign w:val="bottom"/>
          </w:tcPr>
          <w:p w14:paraId="4449266C" w14:textId="77777777" w:rsidR="007140AC" w:rsidRPr="00D62949" w:rsidRDefault="005D3EAC">
            <w:pPr>
              <w:pStyle w:val="T2"/>
              <w:jc w:val="right"/>
              <w:rPr>
                <w:b/>
                <w:bCs/>
              </w:rPr>
            </w:pPr>
            <w:r>
              <w:rPr>
                <w:rFonts w:cs="Arial"/>
                <w:b/>
              </w:rPr>
              <w:t>0.1</w:t>
            </w:r>
          </w:p>
        </w:tc>
        <w:tc>
          <w:tcPr>
            <w:tcW w:w="992" w:type="dxa"/>
            <w:tcBorders>
              <w:top w:val="single" w:sz="2" w:space="0" w:color="auto"/>
              <w:bottom w:val="single" w:sz="2" w:space="0" w:color="auto"/>
            </w:tcBorders>
            <w:vAlign w:val="bottom"/>
          </w:tcPr>
          <w:p w14:paraId="4553D01B" w14:textId="77777777" w:rsidR="007140AC" w:rsidRPr="00CC7F8E" w:rsidRDefault="00F00317" w:rsidP="00E14D65">
            <w:pPr>
              <w:pStyle w:val="T2"/>
              <w:jc w:val="right"/>
            </w:pPr>
            <w:r>
              <w:rPr>
                <w:bCs/>
              </w:rPr>
              <w:t>23.3</w:t>
            </w:r>
          </w:p>
        </w:tc>
      </w:tr>
    </w:tbl>
    <w:p w14:paraId="7109F9F5" w14:textId="77777777" w:rsidR="007140AC" w:rsidRDefault="007140AC" w:rsidP="005B3BEE">
      <w:pPr>
        <w:pStyle w:val="SectionH3"/>
      </w:pPr>
    </w:p>
    <w:p w14:paraId="26C7241E" w14:textId="77777777" w:rsidR="00773F7B" w:rsidRDefault="00773F7B" w:rsidP="005B3BEE">
      <w:pPr>
        <w:pStyle w:val="Paragraph"/>
        <w:spacing w:after="120"/>
        <w:rPr>
          <w:b/>
        </w:rPr>
      </w:pPr>
      <w:r w:rsidRPr="00CC7F8E">
        <w:rPr>
          <w:b/>
        </w:rPr>
        <w:t xml:space="preserve">Denominator for </w:t>
      </w:r>
      <w:r>
        <w:rPr>
          <w:b/>
        </w:rPr>
        <w:t xml:space="preserve">earnings </w:t>
      </w:r>
      <w:r w:rsidRPr="00CC7F8E">
        <w:rPr>
          <w:b/>
        </w:rPr>
        <w:t>per share calculation</w:t>
      </w:r>
      <w:r>
        <w:rPr>
          <w:b/>
        </w:rPr>
        <w:t>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73F7B" w14:paraId="3C4A2D52" w14:textId="77777777" w:rsidTr="005B3BEE">
        <w:trPr>
          <w:jc w:val="center"/>
        </w:trPr>
        <w:tc>
          <w:tcPr>
            <w:tcW w:w="7795" w:type="dxa"/>
            <w:vAlign w:val="bottom"/>
          </w:tcPr>
          <w:p w14:paraId="40C14CF8" w14:textId="77777777" w:rsidR="00773F7B" w:rsidRPr="00CC7F8E" w:rsidRDefault="00773F7B" w:rsidP="00773F7B">
            <w:pPr>
              <w:pStyle w:val="T2"/>
              <w:jc w:val="left"/>
            </w:pPr>
          </w:p>
        </w:tc>
        <w:tc>
          <w:tcPr>
            <w:tcW w:w="992" w:type="dxa"/>
            <w:vAlign w:val="bottom"/>
          </w:tcPr>
          <w:p w14:paraId="52B2972A" w14:textId="77777777" w:rsidR="00773F7B" w:rsidRPr="00CC7F8E" w:rsidRDefault="00773F7B" w:rsidP="00F00317">
            <w:pPr>
              <w:pStyle w:val="T2"/>
              <w:jc w:val="right"/>
              <w:rPr>
                <w:b/>
              </w:rPr>
            </w:pPr>
            <w:r w:rsidRPr="00CC7F8E">
              <w:rPr>
                <w:b/>
              </w:rPr>
              <w:t>Half year</w:t>
            </w:r>
            <w:r w:rsidRPr="00CC7F8E">
              <w:rPr>
                <w:b/>
              </w:rPr>
              <w:br/>
              <w:t>20</w:t>
            </w:r>
            <w:r w:rsidR="00F00317">
              <w:rPr>
                <w:b/>
              </w:rPr>
              <w:t>21</w:t>
            </w:r>
          </w:p>
        </w:tc>
        <w:tc>
          <w:tcPr>
            <w:tcW w:w="992" w:type="dxa"/>
            <w:vAlign w:val="bottom"/>
          </w:tcPr>
          <w:p w14:paraId="285E14A1" w14:textId="77777777" w:rsidR="00773F7B" w:rsidRPr="00CB212C" w:rsidRDefault="00773F7B" w:rsidP="00F00317">
            <w:pPr>
              <w:pStyle w:val="T2"/>
              <w:jc w:val="right"/>
            </w:pPr>
            <w:r w:rsidRPr="00CB212C">
              <w:t>Half year</w:t>
            </w:r>
            <w:r w:rsidRPr="00CB212C">
              <w:br/>
              <w:t>20</w:t>
            </w:r>
            <w:r w:rsidR="00F00317" w:rsidRPr="00CB212C">
              <w:t>20</w:t>
            </w:r>
          </w:p>
        </w:tc>
      </w:tr>
      <w:tr w:rsidR="00773F7B" w14:paraId="2BE60484" w14:textId="77777777" w:rsidTr="005B3BEE">
        <w:trPr>
          <w:jc w:val="center"/>
        </w:trPr>
        <w:tc>
          <w:tcPr>
            <w:tcW w:w="7795" w:type="dxa"/>
            <w:tcBorders>
              <w:bottom w:val="single" w:sz="2" w:space="0" w:color="auto"/>
            </w:tcBorders>
            <w:vAlign w:val="bottom"/>
          </w:tcPr>
          <w:p w14:paraId="04B96B8C" w14:textId="77777777" w:rsidR="00773F7B" w:rsidRPr="00CC7F8E" w:rsidRDefault="00773F7B" w:rsidP="00773F7B">
            <w:pPr>
              <w:pStyle w:val="T2"/>
              <w:jc w:val="left"/>
            </w:pPr>
          </w:p>
        </w:tc>
        <w:tc>
          <w:tcPr>
            <w:tcW w:w="992" w:type="dxa"/>
            <w:tcBorders>
              <w:bottom w:val="single" w:sz="2" w:space="0" w:color="auto"/>
            </w:tcBorders>
            <w:vAlign w:val="bottom"/>
          </w:tcPr>
          <w:p w14:paraId="585F9BA5" w14:textId="77777777" w:rsidR="00773F7B" w:rsidRPr="00CC7F8E" w:rsidRDefault="00773F7B" w:rsidP="00773F7B">
            <w:pPr>
              <w:pStyle w:val="T2"/>
              <w:jc w:val="right"/>
              <w:rPr>
                <w:b/>
              </w:rPr>
            </w:pPr>
            <w:r w:rsidRPr="00CC7F8E">
              <w:rPr>
                <w:b/>
              </w:rPr>
              <w:t>‘000</w:t>
            </w:r>
          </w:p>
        </w:tc>
        <w:tc>
          <w:tcPr>
            <w:tcW w:w="992" w:type="dxa"/>
            <w:tcBorders>
              <w:bottom w:val="single" w:sz="2" w:space="0" w:color="auto"/>
            </w:tcBorders>
            <w:vAlign w:val="bottom"/>
          </w:tcPr>
          <w:p w14:paraId="66E2F536" w14:textId="77777777" w:rsidR="00773F7B" w:rsidRPr="00CB212C" w:rsidRDefault="00773F7B" w:rsidP="00773F7B">
            <w:pPr>
              <w:pStyle w:val="T2"/>
              <w:jc w:val="right"/>
            </w:pPr>
            <w:r w:rsidRPr="00CB212C">
              <w:t>‘000</w:t>
            </w:r>
          </w:p>
        </w:tc>
      </w:tr>
      <w:tr w:rsidR="00F00317" w14:paraId="3A271325" w14:textId="77777777" w:rsidTr="00E14D65">
        <w:trPr>
          <w:jc w:val="center"/>
        </w:trPr>
        <w:tc>
          <w:tcPr>
            <w:tcW w:w="7795" w:type="dxa"/>
            <w:tcBorders>
              <w:top w:val="single" w:sz="2" w:space="0" w:color="auto"/>
            </w:tcBorders>
            <w:vAlign w:val="bottom"/>
          </w:tcPr>
          <w:p w14:paraId="32480502" w14:textId="77777777" w:rsidR="00F00317" w:rsidRPr="00CC7F8E" w:rsidRDefault="00F00317" w:rsidP="00F00317">
            <w:pPr>
              <w:pStyle w:val="T2"/>
              <w:jc w:val="left"/>
            </w:pPr>
            <w:r w:rsidRPr="00CC7F8E">
              <w:t xml:space="preserve">Shares in issue at the beginning of the period </w:t>
            </w:r>
          </w:p>
        </w:tc>
        <w:tc>
          <w:tcPr>
            <w:tcW w:w="992" w:type="dxa"/>
            <w:tcBorders>
              <w:top w:val="single" w:sz="2" w:space="0" w:color="auto"/>
            </w:tcBorders>
          </w:tcPr>
          <w:p w14:paraId="0FF4FB64" w14:textId="77777777" w:rsidR="00F00317" w:rsidRPr="00D62949" w:rsidRDefault="00E25584" w:rsidP="00F00317">
            <w:pPr>
              <w:pStyle w:val="T2"/>
              <w:jc w:val="right"/>
              <w:rPr>
                <w:b/>
                <w:bCs/>
              </w:rPr>
            </w:pPr>
            <w:r>
              <w:rPr>
                <w:b/>
                <w:bCs/>
              </w:rPr>
              <w:t>446,157</w:t>
            </w:r>
          </w:p>
        </w:tc>
        <w:tc>
          <w:tcPr>
            <w:tcW w:w="992" w:type="dxa"/>
            <w:tcBorders>
              <w:top w:val="single" w:sz="2" w:space="0" w:color="auto"/>
            </w:tcBorders>
            <w:vAlign w:val="bottom"/>
          </w:tcPr>
          <w:p w14:paraId="445CE0C1" w14:textId="77777777" w:rsidR="00F00317" w:rsidRPr="00CB212C" w:rsidRDefault="00F00317" w:rsidP="00F00317">
            <w:pPr>
              <w:pStyle w:val="T2"/>
              <w:jc w:val="right"/>
            </w:pPr>
            <w:r w:rsidRPr="00CB212C">
              <w:rPr>
                <w:bCs/>
              </w:rPr>
              <w:t>446,007</w:t>
            </w:r>
          </w:p>
        </w:tc>
      </w:tr>
      <w:tr w:rsidR="00F00317" w14:paraId="735C4D48" w14:textId="77777777" w:rsidTr="00E14D65">
        <w:trPr>
          <w:jc w:val="center"/>
        </w:trPr>
        <w:tc>
          <w:tcPr>
            <w:tcW w:w="7795" w:type="dxa"/>
            <w:vAlign w:val="bottom"/>
          </w:tcPr>
          <w:p w14:paraId="081653C7" w14:textId="77777777" w:rsidR="00F00317" w:rsidRPr="00CC7F8E" w:rsidRDefault="00F00317" w:rsidP="00F00317">
            <w:pPr>
              <w:pStyle w:val="T2"/>
              <w:jc w:val="left"/>
            </w:pPr>
            <w:r w:rsidRPr="00CC7F8E">
              <w:t xml:space="preserve">Effect of shares held by Employee Benefit Trust </w:t>
            </w:r>
          </w:p>
        </w:tc>
        <w:tc>
          <w:tcPr>
            <w:tcW w:w="992" w:type="dxa"/>
          </w:tcPr>
          <w:p w14:paraId="5B98AAE5" w14:textId="77777777" w:rsidR="00F00317" w:rsidRPr="00D62949" w:rsidRDefault="00E25584" w:rsidP="00F00317">
            <w:pPr>
              <w:pStyle w:val="T2"/>
              <w:jc w:val="right"/>
              <w:rPr>
                <w:b/>
                <w:bCs/>
              </w:rPr>
            </w:pPr>
            <w:r>
              <w:rPr>
                <w:rFonts w:cs="Arial"/>
                <w:b/>
              </w:rPr>
              <w:t>(1,243)</w:t>
            </w:r>
          </w:p>
        </w:tc>
        <w:tc>
          <w:tcPr>
            <w:tcW w:w="992" w:type="dxa"/>
            <w:vAlign w:val="bottom"/>
          </w:tcPr>
          <w:p w14:paraId="0AE0F67A" w14:textId="77777777" w:rsidR="00F00317" w:rsidRPr="00CB212C" w:rsidRDefault="00F00317" w:rsidP="00F00317">
            <w:pPr>
              <w:pStyle w:val="T2"/>
              <w:jc w:val="right"/>
            </w:pPr>
            <w:r w:rsidRPr="00CB212C">
              <w:rPr>
                <w:bCs/>
              </w:rPr>
              <w:t>(2,779)</w:t>
            </w:r>
          </w:p>
        </w:tc>
      </w:tr>
      <w:tr w:rsidR="00E25584" w14:paraId="51B49D83" w14:textId="77777777" w:rsidTr="00E14D65">
        <w:trPr>
          <w:jc w:val="center"/>
        </w:trPr>
        <w:tc>
          <w:tcPr>
            <w:tcW w:w="7795" w:type="dxa"/>
            <w:vAlign w:val="bottom"/>
          </w:tcPr>
          <w:p w14:paraId="370DAE61" w14:textId="77777777" w:rsidR="00E25584" w:rsidRPr="00CC7F8E" w:rsidRDefault="00E25584" w:rsidP="00F00317">
            <w:pPr>
              <w:pStyle w:val="T2"/>
              <w:jc w:val="left"/>
            </w:pPr>
            <w:r>
              <w:t>Effect of shares issued in equity raising in the period</w:t>
            </w:r>
          </w:p>
        </w:tc>
        <w:tc>
          <w:tcPr>
            <w:tcW w:w="992" w:type="dxa"/>
          </w:tcPr>
          <w:p w14:paraId="22E79662" w14:textId="77777777" w:rsidR="00E25584" w:rsidRPr="007940F8" w:rsidRDefault="00E25584" w:rsidP="00F00317">
            <w:pPr>
              <w:pStyle w:val="T2"/>
              <w:jc w:val="right"/>
              <w:rPr>
                <w:rFonts w:cs="Arial"/>
                <w:b/>
              </w:rPr>
            </w:pPr>
            <w:r>
              <w:rPr>
                <w:rFonts w:cs="Arial"/>
                <w:b/>
              </w:rPr>
              <w:t>53,132</w:t>
            </w:r>
          </w:p>
        </w:tc>
        <w:tc>
          <w:tcPr>
            <w:tcW w:w="992" w:type="dxa"/>
            <w:vAlign w:val="bottom"/>
          </w:tcPr>
          <w:p w14:paraId="2980EA98" w14:textId="77777777" w:rsidR="00E25584" w:rsidRPr="00CB212C" w:rsidRDefault="00CB212C" w:rsidP="00F00317">
            <w:pPr>
              <w:pStyle w:val="T2"/>
              <w:jc w:val="right"/>
              <w:rPr>
                <w:bCs/>
              </w:rPr>
            </w:pPr>
            <w:r w:rsidRPr="00CB212C">
              <w:rPr>
                <w:bCs/>
              </w:rPr>
              <w:t>–</w:t>
            </w:r>
          </w:p>
        </w:tc>
      </w:tr>
      <w:tr w:rsidR="00F00317" w14:paraId="694A35C9" w14:textId="77777777" w:rsidTr="001F1616">
        <w:trPr>
          <w:jc w:val="center"/>
        </w:trPr>
        <w:tc>
          <w:tcPr>
            <w:tcW w:w="7795" w:type="dxa"/>
            <w:tcBorders>
              <w:bottom w:val="single" w:sz="2" w:space="0" w:color="auto"/>
            </w:tcBorders>
            <w:vAlign w:val="bottom"/>
          </w:tcPr>
          <w:p w14:paraId="190B91B2" w14:textId="77777777" w:rsidR="00F00317" w:rsidRPr="00CC7F8E" w:rsidRDefault="00F00317" w:rsidP="00F00317">
            <w:pPr>
              <w:pStyle w:val="T2"/>
              <w:jc w:val="left"/>
            </w:pPr>
            <w:r w:rsidRPr="00CC7F8E">
              <w:t xml:space="preserve">Effect of shares issued in the period </w:t>
            </w:r>
          </w:p>
        </w:tc>
        <w:tc>
          <w:tcPr>
            <w:tcW w:w="992" w:type="dxa"/>
            <w:tcBorders>
              <w:bottom w:val="single" w:sz="2" w:space="0" w:color="auto"/>
            </w:tcBorders>
          </w:tcPr>
          <w:p w14:paraId="6BE10ABD" w14:textId="77777777" w:rsidR="00F00317" w:rsidRPr="00D62949" w:rsidRDefault="00E25584" w:rsidP="00F00317">
            <w:pPr>
              <w:pStyle w:val="T2"/>
              <w:jc w:val="right"/>
              <w:rPr>
                <w:b/>
                <w:bCs/>
              </w:rPr>
            </w:pPr>
            <w:r>
              <w:rPr>
                <w:rFonts w:cs="Arial"/>
                <w:b/>
              </w:rPr>
              <w:t>2</w:t>
            </w:r>
          </w:p>
        </w:tc>
        <w:tc>
          <w:tcPr>
            <w:tcW w:w="992" w:type="dxa"/>
            <w:tcBorders>
              <w:bottom w:val="single" w:sz="2" w:space="0" w:color="auto"/>
            </w:tcBorders>
            <w:vAlign w:val="bottom"/>
          </w:tcPr>
          <w:p w14:paraId="3365F3E4" w14:textId="77777777" w:rsidR="00F00317" w:rsidRPr="00CB212C" w:rsidRDefault="00F00317" w:rsidP="00F00317">
            <w:pPr>
              <w:pStyle w:val="T2"/>
              <w:jc w:val="right"/>
            </w:pPr>
            <w:r w:rsidRPr="00CB212C">
              <w:rPr>
                <w:bCs/>
              </w:rPr>
              <w:t>76</w:t>
            </w:r>
          </w:p>
        </w:tc>
      </w:tr>
      <w:tr w:rsidR="00F00317" w14:paraId="3DD83A8F" w14:textId="77777777" w:rsidTr="001F1616">
        <w:trPr>
          <w:jc w:val="center"/>
        </w:trPr>
        <w:tc>
          <w:tcPr>
            <w:tcW w:w="7795" w:type="dxa"/>
            <w:tcBorders>
              <w:top w:val="single" w:sz="2" w:space="0" w:color="auto"/>
              <w:bottom w:val="single" w:sz="2" w:space="0" w:color="auto"/>
            </w:tcBorders>
            <w:vAlign w:val="bottom"/>
          </w:tcPr>
          <w:p w14:paraId="5EFE568E" w14:textId="77777777" w:rsidR="00F00317" w:rsidRPr="00D63898" w:rsidRDefault="00F00317" w:rsidP="00F00317">
            <w:pPr>
              <w:pStyle w:val="T2"/>
              <w:jc w:val="left"/>
              <w:rPr>
                <w:b/>
              </w:rPr>
            </w:pPr>
            <w:r w:rsidRPr="00D63898">
              <w:rPr>
                <w:b/>
              </w:rPr>
              <w:t xml:space="preserve">Weighted average number of </w:t>
            </w:r>
            <w:r>
              <w:rPr>
                <w:b/>
              </w:rPr>
              <w:t>O</w:t>
            </w:r>
            <w:r w:rsidRPr="00D63898">
              <w:rPr>
                <w:b/>
              </w:rPr>
              <w:t xml:space="preserve">rdinary </w:t>
            </w:r>
            <w:r>
              <w:rPr>
                <w:b/>
              </w:rPr>
              <w:t>S</w:t>
            </w:r>
            <w:r w:rsidRPr="00D63898">
              <w:rPr>
                <w:b/>
              </w:rPr>
              <w:t xml:space="preserve">hares in issue during the period </w:t>
            </w:r>
          </w:p>
        </w:tc>
        <w:tc>
          <w:tcPr>
            <w:tcW w:w="992" w:type="dxa"/>
            <w:tcBorders>
              <w:top w:val="single" w:sz="2" w:space="0" w:color="auto"/>
              <w:bottom w:val="single" w:sz="2" w:space="0" w:color="auto"/>
            </w:tcBorders>
          </w:tcPr>
          <w:p w14:paraId="5E4B6D0F" w14:textId="77777777" w:rsidR="00F00317" w:rsidRPr="00D62949" w:rsidRDefault="00E25584" w:rsidP="00F00317">
            <w:pPr>
              <w:pStyle w:val="T2"/>
              <w:jc w:val="right"/>
              <w:rPr>
                <w:b/>
                <w:bCs/>
              </w:rPr>
            </w:pPr>
            <w:r>
              <w:rPr>
                <w:rFonts w:cs="Arial"/>
                <w:b/>
              </w:rPr>
              <w:t>498,048</w:t>
            </w:r>
          </w:p>
        </w:tc>
        <w:tc>
          <w:tcPr>
            <w:tcW w:w="992" w:type="dxa"/>
            <w:tcBorders>
              <w:top w:val="single" w:sz="2" w:space="0" w:color="auto"/>
              <w:bottom w:val="single" w:sz="2" w:space="0" w:color="auto"/>
            </w:tcBorders>
            <w:vAlign w:val="bottom"/>
          </w:tcPr>
          <w:p w14:paraId="0EA3D2BC" w14:textId="77777777" w:rsidR="00F00317" w:rsidRPr="00CB212C" w:rsidRDefault="00F00317" w:rsidP="00F00317">
            <w:pPr>
              <w:pStyle w:val="T2"/>
              <w:jc w:val="right"/>
            </w:pPr>
            <w:r w:rsidRPr="00CB212C">
              <w:rPr>
                <w:bCs/>
              </w:rPr>
              <w:t>443,304</w:t>
            </w:r>
          </w:p>
        </w:tc>
      </w:tr>
      <w:tr w:rsidR="00F00317" w14:paraId="0F198602" w14:textId="77777777" w:rsidTr="001F1616">
        <w:trPr>
          <w:jc w:val="center"/>
        </w:trPr>
        <w:tc>
          <w:tcPr>
            <w:tcW w:w="7795" w:type="dxa"/>
            <w:tcBorders>
              <w:top w:val="single" w:sz="2" w:space="0" w:color="auto"/>
              <w:bottom w:val="single" w:sz="2" w:space="0" w:color="auto"/>
            </w:tcBorders>
            <w:vAlign w:val="bottom"/>
          </w:tcPr>
          <w:p w14:paraId="2B4B45A2" w14:textId="77777777" w:rsidR="00F00317" w:rsidRPr="00D63898" w:rsidRDefault="00F00317" w:rsidP="00F00317">
            <w:pPr>
              <w:pStyle w:val="T2"/>
              <w:jc w:val="left"/>
              <w:rPr>
                <w:b/>
              </w:rPr>
            </w:pPr>
            <w:r w:rsidRPr="00AA249A">
              <w:t>Dilutive effect of share schemes</w:t>
            </w:r>
          </w:p>
        </w:tc>
        <w:tc>
          <w:tcPr>
            <w:tcW w:w="992" w:type="dxa"/>
            <w:tcBorders>
              <w:top w:val="single" w:sz="2" w:space="0" w:color="auto"/>
              <w:bottom w:val="single" w:sz="2" w:space="0" w:color="auto"/>
            </w:tcBorders>
          </w:tcPr>
          <w:p w14:paraId="01BB2ED9" w14:textId="77777777" w:rsidR="00F00317" w:rsidRPr="00D62949" w:rsidRDefault="001674BC" w:rsidP="001674BC">
            <w:pPr>
              <w:pStyle w:val="T2"/>
              <w:tabs>
                <w:tab w:val="center" w:pos="388"/>
                <w:tab w:val="right" w:pos="776"/>
              </w:tabs>
              <w:jc w:val="left"/>
              <w:rPr>
                <w:b/>
                <w:bCs/>
              </w:rPr>
            </w:pPr>
            <w:r>
              <w:rPr>
                <w:rFonts w:cs="Arial"/>
                <w:b/>
              </w:rPr>
              <w:tab/>
            </w:r>
            <w:r>
              <w:rPr>
                <w:rFonts w:cs="Arial"/>
                <w:b/>
              </w:rPr>
              <w:tab/>
              <w:t>152</w:t>
            </w:r>
          </w:p>
        </w:tc>
        <w:tc>
          <w:tcPr>
            <w:tcW w:w="992" w:type="dxa"/>
            <w:tcBorders>
              <w:top w:val="single" w:sz="2" w:space="0" w:color="auto"/>
              <w:bottom w:val="single" w:sz="2" w:space="0" w:color="auto"/>
            </w:tcBorders>
            <w:vAlign w:val="bottom"/>
          </w:tcPr>
          <w:p w14:paraId="0500E9E4" w14:textId="77777777" w:rsidR="00F00317" w:rsidRPr="00CB212C" w:rsidRDefault="00F00317" w:rsidP="00F00317">
            <w:pPr>
              <w:pStyle w:val="T2"/>
              <w:jc w:val="right"/>
              <w:rPr>
                <w:bCs/>
              </w:rPr>
            </w:pPr>
            <w:r w:rsidRPr="00CB212C">
              <w:rPr>
                <w:bCs/>
              </w:rPr>
              <w:t>1,752</w:t>
            </w:r>
          </w:p>
        </w:tc>
      </w:tr>
      <w:tr w:rsidR="00F00317" w14:paraId="39400E0F" w14:textId="77777777" w:rsidTr="005D3EAC">
        <w:trPr>
          <w:jc w:val="center"/>
        </w:trPr>
        <w:tc>
          <w:tcPr>
            <w:tcW w:w="7795" w:type="dxa"/>
            <w:tcBorders>
              <w:top w:val="single" w:sz="2" w:space="0" w:color="auto"/>
              <w:bottom w:val="single" w:sz="2" w:space="0" w:color="auto"/>
            </w:tcBorders>
            <w:vAlign w:val="bottom"/>
          </w:tcPr>
          <w:p w14:paraId="6136AB58" w14:textId="77777777" w:rsidR="00F00317" w:rsidRPr="00D63898" w:rsidRDefault="00F00317" w:rsidP="00F00317">
            <w:pPr>
              <w:pStyle w:val="T2"/>
              <w:jc w:val="left"/>
              <w:rPr>
                <w:b/>
              </w:rPr>
            </w:pPr>
            <w:r w:rsidRPr="00377178">
              <w:rPr>
                <w:b/>
              </w:rPr>
              <w:t xml:space="preserve">Weighted average number of </w:t>
            </w:r>
            <w:r>
              <w:rPr>
                <w:b/>
              </w:rPr>
              <w:t>O</w:t>
            </w:r>
            <w:r w:rsidRPr="00377178">
              <w:rPr>
                <w:b/>
              </w:rPr>
              <w:t xml:space="preserve">rdinary </w:t>
            </w:r>
            <w:r>
              <w:rPr>
                <w:b/>
              </w:rPr>
              <w:t>S</w:t>
            </w:r>
            <w:r w:rsidRPr="00377178">
              <w:rPr>
                <w:b/>
              </w:rPr>
              <w:t>hares for diluted earnings per share</w:t>
            </w:r>
          </w:p>
        </w:tc>
        <w:tc>
          <w:tcPr>
            <w:tcW w:w="992" w:type="dxa"/>
            <w:tcBorders>
              <w:top w:val="single" w:sz="2" w:space="0" w:color="auto"/>
              <w:bottom w:val="single" w:sz="2" w:space="0" w:color="auto"/>
            </w:tcBorders>
          </w:tcPr>
          <w:p w14:paraId="09583B82" w14:textId="77777777" w:rsidR="00F00317" w:rsidRPr="00D62949" w:rsidRDefault="001674BC" w:rsidP="001674BC">
            <w:pPr>
              <w:pStyle w:val="T2"/>
              <w:jc w:val="right"/>
              <w:rPr>
                <w:b/>
                <w:bCs/>
              </w:rPr>
            </w:pPr>
            <w:r>
              <w:rPr>
                <w:rFonts w:cs="Arial"/>
                <w:b/>
              </w:rPr>
              <w:t>498,200</w:t>
            </w:r>
          </w:p>
        </w:tc>
        <w:tc>
          <w:tcPr>
            <w:tcW w:w="992" w:type="dxa"/>
            <w:tcBorders>
              <w:top w:val="single" w:sz="2" w:space="0" w:color="auto"/>
              <w:bottom w:val="single" w:sz="2" w:space="0" w:color="auto"/>
            </w:tcBorders>
            <w:vAlign w:val="bottom"/>
          </w:tcPr>
          <w:p w14:paraId="18EF8EA5" w14:textId="77777777" w:rsidR="00F00317" w:rsidRPr="00CB212C" w:rsidRDefault="00F00317" w:rsidP="00F00317">
            <w:pPr>
              <w:pStyle w:val="T2"/>
              <w:jc w:val="right"/>
              <w:rPr>
                <w:bCs/>
              </w:rPr>
            </w:pPr>
            <w:r w:rsidRPr="00CB212C">
              <w:rPr>
                <w:bCs/>
              </w:rPr>
              <w:t>445,056</w:t>
            </w:r>
          </w:p>
        </w:tc>
      </w:tr>
      <w:tr w:rsidR="00E25584" w14:paraId="770E9C73" w14:textId="77777777" w:rsidTr="005D3EAC">
        <w:trPr>
          <w:jc w:val="center"/>
        </w:trPr>
        <w:tc>
          <w:tcPr>
            <w:tcW w:w="7795" w:type="dxa"/>
            <w:tcBorders>
              <w:top w:val="single" w:sz="2" w:space="0" w:color="auto"/>
            </w:tcBorders>
            <w:vAlign w:val="bottom"/>
          </w:tcPr>
          <w:p w14:paraId="69681F2D" w14:textId="77777777" w:rsidR="00E25584" w:rsidRPr="00377178" w:rsidRDefault="00E25584" w:rsidP="00F00317">
            <w:pPr>
              <w:pStyle w:val="T2"/>
              <w:jc w:val="left"/>
              <w:rPr>
                <w:b/>
              </w:rPr>
            </w:pPr>
          </w:p>
        </w:tc>
        <w:tc>
          <w:tcPr>
            <w:tcW w:w="992" w:type="dxa"/>
            <w:tcBorders>
              <w:top w:val="single" w:sz="2" w:space="0" w:color="auto"/>
            </w:tcBorders>
          </w:tcPr>
          <w:p w14:paraId="5A80F75C" w14:textId="77777777" w:rsidR="00E25584" w:rsidRDefault="00E25584" w:rsidP="00F00317">
            <w:pPr>
              <w:pStyle w:val="T2"/>
              <w:jc w:val="right"/>
              <w:rPr>
                <w:rFonts w:cs="Arial"/>
                <w:b/>
              </w:rPr>
            </w:pPr>
          </w:p>
        </w:tc>
        <w:tc>
          <w:tcPr>
            <w:tcW w:w="992" w:type="dxa"/>
            <w:tcBorders>
              <w:top w:val="single" w:sz="2" w:space="0" w:color="auto"/>
            </w:tcBorders>
            <w:vAlign w:val="bottom"/>
          </w:tcPr>
          <w:p w14:paraId="209E617C" w14:textId="77777777" w:rsidR="00E25584" w:rsidRDefault="00E25584" w:rsidP="00F00317">
            <w:pPr>
              <w:pStyle w:val="T2"/>
              <w:jc w:val="right"/>
              <w:rPr>
                <w:bCs/>
              </w:rPr>
            </w:pPr>
          </w:p>
        </w:tc>
      </w:tr>
    </w:tbl>
    <w:p w14:paraId="0694CFC8" w14:textId="77777777" w:rsidR="0030031A" w:rsidRPr="00F55D04" w:rsidRDefault="0030031A" w:rsidP="00450D1E">
      <w:pPr>
        <w:pStyle w:val="SectionH3"/>
        <w:rPr>
          <w:b w:val="0"/>
        </w:rPr>
      </w:pPr>
      <w:r>
        <w:rPr>
          <w:b w:val="0"/>
        </w:rPr>
        <w:t xml:space="preserve">A total of 19,394,264 ( 2020: </w:t>
      </w:r>
      <w:r w:rsidR="00442114">
        <w:rPr>
          <w:b w:val="0"/>
        </w:rPr>
        <w:t>6,022,833</w:t>
      </w:r>
      <w:r>
        <w:rPr>
          <w:b w:val="0"/>
        </w:rPr>
        <w:t>) unvested shares were excluded from the diluted earnings per share calculation as they were either antidilutive or contingently issuable Ordinary Shares which had not satisfied the performance conditions attaching at 26 March 2021.</w:t>
      </w:r>
    </w:p>
    <w:p w14:paraId="15F3E3A1" w14:textId="77777777" w:rsidR="007A0915" w:rsidRDefault="007A0915" w:rsidP="005B3BEE">
      <w:pPr>
        <w:pStyle w:val="SectionH3"/>
      </w:pPr>
    </w:p>
    <w:p w14:paraId="48706543" w14:textId="77777777" w:rsidR="00773F7B" w:rsidRDefault="00773F7B" w:rsidP="005B3BEE">
      <w:pPr>
        <w:pStyle w:val="SectionH3"/>
      </w:pPr>
      <w:r>
        <w:t>Earnings per Share Calculations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F00317" w14:paraId="0B122DDF" w14:textId="77777777" w:rsidTr="00E14D65">
        <w:trPr>
          <w:jc w:val="center"/>
        </w:trPr>
        <w:tc>
          <w:tcPr>
            <w:tcW w:w="7795" w:type="dxa"/>
            <w:vAlign w:val="bottom"/>
          </w:tcPr>
          <w:p w14:paraId="1AE9AA03" w14:textId="77777777" w:rsidR="00F00317" w:rsidRPr="00CC7F8E" w:rsidRDefault="00F00317" w:rsidP="00E14D65">
            <w:pPr>
              <w:pStyle w:val="T2"/>
              <w:jc w:val="left"/>
            </w:pPr>
          </w:p>
        </w:tc>
        <w:tc>
          <w:tcPr>
            <w:tcW w:w="992" w:type="dxa"/>
            <w:vAlign w:val="bottom"/>
          </w:tcPr>
          <w:p w14:paraId="112BF36F" w14:textId="77777777" w:rsidR="00F00317" w:rsidRPr="00CC7F8E" w:rsidRDefault="00F00317" w:rsidP="00E14D65">
            <w:pPr>
              <w:pStyle w:val="T2"/>
              <w:jc w:val="right"/>
              <w:rPr>
                <w:b/>
              </w:rPr>
            </w:pPr>
            <w:r w:rsidRPr="00CC7F8E">
              <w:rPr>
                <w:b/>
              </w:rPr>
              <w:t>Half year</w:t>
            </w:r>
            <w:r w:rsidRPr="00CC7F8E">
              <w:rPr>
                <w:b/>
              </w:rPr>
              <w:br/>
              <w:t>20</w:t>
            </w:r>
            <w:r>
              <w:rPr>
                <w:b/>
              </w:rPr>
              <w:t>21</w:t>
            </w:r>
          </w:p>
        </w:tc>
        <w:tc>
          <w:tcPr>
            <w:tcW w:w="992" w:type="dxa"/>
            <w:vAlign w:val="bottom"/>
          </w:tcPr>
          <w:p w14:paraId="5E26A198" w14:textId="77777777" w:rsidR="00F00317" w:rsidRPr="00CC7F8E" w:rsidRDefault="00F00317" w:rsidP="00E14D65">
            <w:pPr>
              <w:pStyle w:val="T2"/>
              <w:jc w:val="right"/>
            </w:pPr>
            <w:r w:rsidRPr="00CC7F8E">
              <w:t>Half year</w:t>
            </w:r>
            <w:r w:rsidRPr="00CC7F8E">
              <w:br/>
              <w:t>20</w:t>
            </w:r>
            <w:r>
              <w:t>20</w:t>
            </w:r>
          </w:p>
        </w:tc>
      </w:tr>
      <w:tr w:rsidR="00F00317" w14:paraId="1C2864CE" w14:textId="77777777" w:rsidTr="001F1616">
        <w:trPr>
          <w:jc w:val="center"/>
        </w:trPr>
        <w:tc>
          <w:tcPr>
            <w:tcW w:w="7795" w:type="dxa"/>
            <w:tcBorders>
              <w:bottom w:val="single" w:sz="2" w:space="0" w:color="auto"/>
            </w:tcBorders>
            <w:vAlign w:val="bottom"/>
          </w:tcPr>
          <w:p w14:paraId="53767BD5" w14:textId="77777777" w:rsidR="00F00317" w:rsidRPr="00CC7F8E" w:rsidRDefault="00F00317" w:rsidP="00E14D65">
            <w:pPr>
              <w:pStyle w:val="T2"/>
              <w:jc w:val="left"/>
            </w:pPr>
          </w:p>
        </w:tc>
        <w:tc>
          <w:tcPr>
            <w:tcW w:w="992" w:type="dxa"/>
            <w:tcBorders>
              <w:bottom w:val="single" w:sz="2" w:space="0" w:color="auto"/>
            </w:tcBorders>
            <w:vAlign w:val="bottom"/>
          </w:tcPr>
          <w:p w14:paraId="03798096" w14:textId="77777777" w:rsidR="00F00317" w:rsidRPr="00CC7F8E" w:rsidRDefault="007A0915" w:rsidP="00E14D65">
            <w:pPr>
              <w:pStyle w:val="T2"/>
              <w:jc w:val="right"/>
              <w:rPr>
                <w:b/>
              </w:rPr>
            </w:pPr>
            <w:r>
              <w:rPr>
                <w:b/>
              </w:rPr>
              <w:t>pence</w:t>
            </w:r>
          </w:p>
        </w:tc>
        <w:tc>
          <w:tcPr>
            <w:tcW w:w="992" w:type="dxa"/>
            <w:tcBorders>
              <w:bottom w:val="single" w:sz="2" w:space="0" w:color="auto"/>
            </w:tcBorders>
            <w:vAlign w:val="bottom"/>
          </w:tcPr>
          <w:p w14:paraId="6746A4AD" w14:textId="77777777" w:rsidR="00F00317" w:rsidRPr="00CC7F8E" w:rsidRDefault="007A0915" w:rsidP="00E14D65">
            <w:pPr>
              <w:pStyle w:val="T2"/>
              <w:jc w:val="right"/>
            </w:pPr>
            <w:r>
              <w:t>pence</w:t>
            </w:r>
          </w:p>
        </w:tc>
      </w:tr>
      <w:tr w:rsidR="00F00317" w14:paraId="0694BB47" w14:textId="77777777" w:rsidTr="001F1616">
        <w:trPr>
          <w:jc w:val="center"/>
        </w:trPr>
        <w:tc>
          <w:tcPr>
            <w:tcW w:w="7795" w:type="dxa"/>
            <w:tcBorders>
              <w:top w:val="single" w:sz="2" w:space="0" w:color="auto"/>
              <w:bottom w:val="single" w:sz="2" w:space="0" w:color="auto"/>
            </w:tcBorders>
            <w:vAlign w:val="bottom"/>
          </w:tcPr>
          <w:p w14:paraId="54AFF226" w14:textId="77777777" w:rsidR="00F00317" w:rsidRPr="00CC7F8E" w:rsidRDefault="00F00317" w:rsidP="00E14D65">
            <w:pPr>
              <w:pStyle w:val="T2"/>
              <w:jc w:val="left"/>
            </w:pPr>
            <w:r>
              <w:rPr>
                <w:rFonts w:cs="Arial"/>
                <w:b/>
                <w:bCs/>
              </w:rPr>
              <w:t>Basic earnings per Ordinary Share</w:t>
            </w:r>
          </w:p>
        </w:tc>
        <w:tc>
          <w:tcPr>
            <w:tcW w:w="992" w:type="dxa"/>
            <w:tcBorders>
              <w:top w:val="single" w:sz="2" w:space="0" w:color="auto"/>
              <w:bottom w:val="single" w:sz="2" w:space="0" w:color="auto"/>
            </w:tcBorders>
            <w:vAlign w:val="bottom"/>
          </w:tcPr>
          <w:p w14:paraId="7CE9884C" w14:textId="77777777" w:rsidR="00F00317" w:rsidRPr="00D62949" w:rsidRDefault="00E25584">
            <w:pPr>
              <w:pStyle w:val="T2"/>
              <w:jc w:val="right"/>
              <w:rPr>
                <w:b/>
                <w:bCs/>
              </w:rPr>
            </w:pPr>
            <w:r>
              <w:rPr>
                <w:rFonts w:cs="Arial"/>
                <w:b/>
              </w:rPr>
              <w:t>0.0</w:t>
            </w:r>
          </w:p>
        </w:tc>
        <w:tc>
          <w:tcPr>
            <w:tcW w:w="992" w:type="dxa"/>
            <w:tcBorders>
              <w:top w:val="single" w:sz="2" w:space="0" w:color="auto"/>
              <w:bottom w:val="single" w:sz="2" w:space="0" w:color="auto"/>
            </w:tcBorders>
            <w:vAlign w:val="bottom"/>
          </w:tcPr>
          <w:p w14:paraId="261ECC6A" w14:textId="77777777" w:rsidR="00F00317" w:rsidRPr="00CC7F8E" w:rsidRDefault="00F00317" w:rsidP="00E14D65">
            <w:pPr>
              <w:pStyle w:val="T2"/>
              <w:jc w:val="right"/>
            </w:pPr>
            <w:r>
              <w:rPr>
                <w:bCs/>
              </w:rPr>
              <w:t>5.3</w:t>
            </w:r>
          </w:p>
        </w:tc>
      </w:tr>
      <w:tr w:rsidR="00F00317" w14:paraId="66BE5330" w14:textId="77777777" w:rsidTr="00F00317">
        <w:trPr>
          <w:jc w:val="center"/>
        </w:trPr>
        <w:tc>
          <w:tcPr>
            <w:tcW w:w="7795" w:type="dxa"/>
            <w:tcBorders>
              <w:bottom w:val="single" w:sz="2" w:space="0" w:color="auto"/>
            </w:tcBorders>
            <w:vAlign w:val="bottom"/>
          </w:tcPr>
          <w:p w14:paraId="12E1522F" w14:textId="77777777" w:rsidR="00F00317" w:rsidRPr="005C4A6C" w:rsidRDefault="00F00317" w:rsidP="00E14D65">
            <w:pPr>
              <w:pStyle w:val="T2"/>
              <w:jc w:val="left"/>
              <w:rPr>
                <w:rFonts w:cs="Arial"/>
                <w:b/>
                <w:bCs/>
              </w:rPr>
            </w:pPr>
            <w:r>
              <w:rPr>
                <w:rFonts w:cs="Arial"/>
                <w:b/>
                <w:bCs/>
              </w:rPr>
              <w:t>Diluted earnings per Ordinary Share</w:t>
            </w:r>
          </w:p>
        </w:tc>
        <w:tc>
          <w:tcPr>
            <w:tcW w:w="992" w:type="dxa"/>
            <w:tcBorders>
              <w:bottom w:val="single" w:sz="2" w:space="0" w:color="auto"/>
            </w:tcBorders>
            <w:vAlign w:val="bottom"/>
          </w:tcPr>
          <w:p w14:paraId="691AA22C" w14:textId="77777777" w:rsidR="00F00317" w:rsidRPr="005C4A6C" w:rsidRDefault="00E25584">
            <w:pPr>
              <w:pStyle w:val="T2"/>
              <w:jc w:val="right"/>
              <w:rPr>
                <w:rFonts w:cs="Arial"/>
                <w:b/>
              </w:rPr>
            </w:pPr>
            <w:r>
              <w:rPr>
                <w:rFonts w:cs="Arial"/>
                <w:b/>
              </w:rPr>
              <w:t>0.0</w:t>
            </w:r>
          </w:p>
        </w:tc>
        <w:tc>
          <w:tcPr>
            <w:tcW w:w="992" w:type="dxa"/>
            <w:tcBorders>
              <w:bottom w:val="single" w:sz="2" w:space="0" w:color="auto"/>
            </w:tcBorders>
            <w:vAlign w:val="bottom"/>
          </w:tcPr>
          <w:p w14:paraId="3DCC6EAA" w14:textId="77777777" w:rsidR="00F00317" w:rsidRDefault="00F00317" w:rsidP="00E14D65">
            <w:pPr>
              <w:pStyle w:val="T2"/>
              <w:jc w:val="right"/>
              <w:rPr>
                <w:bCs/>
              </w:rPr>
            </w:pPr>
            <w:r>
              <w:rPr>
                <w:bCs/>
              </w:rPr>
              <w:t>5.2</w:t>
            </w:r>
          </w:p>
        </w:tc>
      </w:tr>
    </w:tbl>
    <w:p w14:paraId="2E8A33B4" w14:textId="77777777" w:rsidR="000B5EC4" w:rsidRDefault="000B5EC4" w:rsidP="005B3BEE">
      <w:pPr>
        <w:pStyle w:val="SectionH3"/>
      </w:pPr>
    </w:p>
    <w:p w14:paraId="06EE3D03" w14:textId="77777777" w:rsidR="00773F7B" w:rsidRPr="003232EE" w:rsidRDefault="00E126B5" w:rsidP="00AA12F9">
      <w:pPr>
        <w:pStyle w:val="SectionH3"/>
        <w:ind w:left="709" w:hanging="709"/>
      </w:pPr>
      <w:r>
        <w:t>9</w:t>
      </w:r>
      <w:r w:rsidR="00773F7B" w:rsidRPr="003232EE">
        <w:t>.</w:t>
      </w:r>
      <w:r w:rsidR="00C233E1">
        <w:tab/>
      </w:r>
      <w:r w:rsidR="00773F7B" w:rsidRPr="00664FA2">
        <w:t xml:space="preserve">Intangible Assets, Property, Plant and </w:t>
      </w:r>
      <w:r w:rsidR="00773F7B" w:rsidRPr="00E25584">
        <w:t xml:space="preserve">Equipment, </w:t>
      </w:r>
      <w:r w:rsidR="002515EC" w:rsidRPr="00E25584">
        <w:t>Right-of-use assets,</w:t>
      </w:r>
      <w:r w:rsidR="002515EC">
        <w:t xml:space="preserve"> </w:t>
      </w:r>
      <w:r w:rsidR="00773F7B">
        <w:t xml:space="preserve">Investment Property, Capital </w:t>
      </w:r>
      <w:r w:rsidR="00773F7B" w:rsidRPr="00664FA2">
        <w:t>Expenditure and Commitments</w:t>
      </w:r>
    </w:p>
    <w:p w14:paraId="7CA74D8A" w14:textId="77777777" w:rsidR="00773F7B" w:rsidRPr="007E56B6" w:rsidRDefault="00773F7B" w:rsidP="00BE7FD5">
      <w:pPr>
        <w:spacing w:after="120" w:line="240" w:lineRule="auto"/>
        <w:jc w:val="both"/>
        <w:rPr>
          <w:sz w:val="18"/>
          <w:szCs w:val="18"/>
        </w:rPr>
      </w:pPr>
      <w:r w:rsidRPr="00AA3589">
        <w:rPr>
          <w:sz w:val="18"/>
          <w:szCs w:val="18"/>
        </w:rPr>
        <w:t xml:space="preserve">During the </w:t>
      </w:r>
      <w:r w:rsidR="00A91DFC" w:rsidRPr="00AA3589">
        <w:rPr>
          <w:sz w:val="18"/>
          <w:szCs w:val="18"/>
        </w:rPr>
        <w:t>six-month</w:t>
      </w:r>
      <w:r w:rsidRPr="007E56B6">
        <w:rPr>
          <w:sz w:val="18"/>
          <w:szCs w:val="18"/>
        </w:rPr>
        <w:t xml:space="preserve"> period to </w:t>
      </w:r>
      <w:r w:rsidR="00946079">
        <w:rPr>
          <w:sz w:val="18"/>
          <w:szCs w:val="18"/>
        </w:rPr>
        <w:t>26 March 2021</w:t>
      </w:r>
      <w:r>
        <w:rPr>
          <w:sz w:val="18"/>
          <w:szCs w:val="18"/>
        </w:rPr>
        <w:t xml:space="preserve">, the </w:t>
      </w:r>
      <w:r w:rsidRPr="007E56B6">
        <w:rPr>
          <w:sz w:val="18"/>
          <w:szCs w:val="18"/>
        </w:rPr>
        <w:t xml:space="preserve">operations of the Group made </w:t>
      </w:r>
      <w:r w:rsidRPr="00F250D9">
        <w:rPr>
          <w:sz w:val="18"/>
          <w:szCs w:val="18"/>
        </w:rPr>
        <w:t>£</w:t>
      </w:r>
      <w:r w:rsidR="00442114">
        <w:rPr>
          <w:sz w:val="18"/>
          <w:szCs w:val="18"/>
        </w:rPr>
        <w:t>15.8</w:t>
      </w:r>
      <w:r w:rsidRPr="00F250D9">
        <w:rPr>
          <w:sz w:val="18"/>
          <w:szCs w:val="18"/>
        </w:rPr>
        <w:t>m of additions to property, plant and equipment and intangible assets through ongoing capital expenditure. A total depreciation and amortisation charge of £</w:t>
      </w:r>
      <w:r w:rsidR="00442114">
        <w:rPr>
          <w:sz w:val="18"/>
          <w:szCs w:val="18"/>
        </w:rPr>
        <w:t>21.1</w:t>
      </w:r>
      <w:r w:rsidRPr="00F250D9">
        <w:rPr>
          <w:sz w:val="18"/>
          <w:szCs w:val="18"/>
        </w:rPr>
        <w:t>m was recognised, £</w:t>
      </w:r>
      <w:r w:rsidR="00F250D9" w:rsidRPr="00F250D9">
        <w:rPr>
          <w:sz w:val="18"/>
          <w:szCs w:val="18"/>
        </w:rPr>
        <w:t>0.</w:t>
      </w:r>
      <w:r w:rsidR="00442114">
        <w:rPr>
          <w:sz w:val="18"/>
          <w:szCs w:val="18"/>
        </w:rPr>
        <w:t>1</w:t>
      </w:r>
      <w:r w:rsidRPr="00F250D9">
        <w:rPr>
          <w:sz w:val="18"/>
          <w:szCs w:val="18"/>
        </w:rPr>
        <w:t>m of assets were disposed of</w:t>
      </w:r>
      <w:r w:rsidR="00F250D9" w:rsidRPr="00F250D9">
        <w:rPr>
          <w:sz w:val="18"/>
          <w:szCs w:val="18"/>
        </w:rPr>
        <w:t>, £0.4m of assets were impaired</w:t>
      </w:r>
      <w:r w:rsidRPr="00F250D9">
        <w:rPr>
          <w:sz w:val="18"/>
          <w:szCs w:val="18"/>
        </w:rPr>
        <w:t xml:space="preserve"> and an FX </w:t>
      </w:r>
      <w:r w:rsidR="00F250D9" w:rsidRPr="00F250D9">
        <w:rPr>
          <w:sz w:val="18"/>
          <w:szCs w:val="18"/>
        </w:rPr>
        <w:t>loss</w:t>
      </w:r>
      <w:r w:rsidRPr="00F250D9">
        <w:rPr>
          <w:sz w:val="18"/>
          <w:szCs w:val="18"/>
        </w:rPr>
        <w:t xml:space="preserve"> of £</w:t>
      </w:r>
      <w:r w:rsidR="00F250D9" w:rsidRPr="00F250D9">
        <w:rPr>
          <w:sz w:val="18"/>
          <w:szCs w:val="18"/>
        </w:rPr>
        <w:t>0</w:t>
      </w:r>
      <w:r w:rsidR="000121FE">
        <w:rPr>
          <w:sz w:val="18"/>
          <w:szCs w:val="18"/>
        </w:rPr>
        <w:t>.</w:t>
      </w:r>
      <w:r w:rsidR="006D6777">
        <w:rPr>
          <w:sz w:val="18"/>
          <w:szCs w:val="18"/>
        </w:rPr>
        <w:t>4</w:t>
      </w:r>
      <w:r w:rsidRPr="00F250D9">
        <w:rPr>
          <w:sz w:val="18"/>
          <w:szCs w:val="18"/>
        </w:rPr>
        <w:t>m was incurred</w:t>
      </w:r>
      <w:r w:rsidR="0043104C">
        <w:rPr>
          <w:sz w:val="18"/>
          <w:szCs w:val="18"/>
        </w:rPr>
        <w:t>, including £0.2m FX loss on investment property</w:t>
      </w:r>
      <w:r w:rsidRPr="00F250D9">
        <w:rPr>
          <w:sz w:val="18"/>
          <w:szCs w:val="18"/>
        </w:rPr>
        <w:t>.</w:t>
      </w:r>
      <w:r w:rsidRPr="007E56B6">
        <w:rPr>
          <w:sz w:val="18"/>
          <w:szCs w:val="18"/>
        </w:rPr>
        <w:t xml:space="preserve"> </w:t>
      </w:r>
      <w:r w:rsidR="006D6777">
        <w:rPr>
          <w:sz w:val="18"/>
          <w:szCs w:val="18"/>
        </w:rPr>
        <w:t xml:space="preserve">In addition, the Group made £8.8m of additions to right-of-use assets and £0.6m of assets were disposed of. A depreciation charge of £7.2m was recognised on right-of-use assets in the period. </w:t>
      </w:r>
    </w:p>
    <w:p w14:paraId="3956A2D7" w14:textId="77777777" w:rsidR="006D6777" w:rsidRPr="007E56B6" w:rsidRDefault="00773F7B" w:rsidP="006D6777">
      <w:pPr>
        <w:spacing w:after="120" w:line="240" w:lineRule="auto"/>
        <w:jc w:val="both"/>
        <w:rPr>
          <w:sz w:val="18"/>
          <w:szCs w:val="18"/>
        </w:rPr>
      </w:pPr>
      <w:r w:rsidRPr="00710EBC">
        <w:rPr>
          <w:sz w:val="18"/>
          <w:szCs w:val="18"/>
        </w:rPr>
        <w:t xml:space="preserve">During the prior </w:t>
      </w:r>
      <w:r w:rsidR="004379BF" w:rsidRPr="00710EBC">
        <w:rPr>
          <w:sz w:val="18"/>
          <w:szCs w:val="18"/>
        </w:rPr>
        <w:t>six-month</w:t>
      </w:r>
      <w:r w:rsidRPr="00710EBC">
        <w:rPr>
          <w:sz w:val="18"/>
          <w:szCs w:val="18"/>
        </w:rPr>
        <w:t xml:space="preserve"> period to </w:t>
      </w:r>
      <w:r w:rsidR="00946079">
        <w:rPr>
          <w:sz w:val="18"/>
          <w:szCs w:val="18"/>
        </w:rPr>
        <w:t>27 March 2020</w:t>
      </w:r>
      <w:r w:rsidRPr="00710EBC">
        <w:rPr>
          <w:sz w:val="18"/>
          <w:szCs w:val="18"/>
        </w:rPr>
        <w:t>, the Group made £</w:t>
      </w:r>
      <w:r w:rsidR="00F00317">
        <w:rPr>
          <w:sz w:val="18"/>
          <w:szCs w:val="18"/>
        </w:rPr>
        <w:t>21.1</w:t>
      </w:r>
      <w:r w:rsidRPr="00710EBC">
        <w:rPr>
          <w:sz w:val="18"/>
          <w:szCs w:val="18"/>
        </w:rPr>
        <w:t>m of additions to property, plant and equipment, investment property and intangible assets through ongoing capital expenditure. A total depreciation and amortisation charge of £</w:t>
      </w:r>
      <w:r w:rsidR="00F00317">
        <w:rPr>
          <w:sz w:val="18"/>
          <w:szCs w:val="18"/>
        </w:rPr>
        <w:t>22.2</w:t>
      </w:r>
      <w:r w:rsidRPr="00710EBC">
        <w:rPr>
          <w:sz w:val="18"/>
          <w:szCs w:val="18"/>
        </w:rPr>
        <w:t>m was recognised</w:t>
      </w:r>
      <w:r w:rsidR="00F00317">
        <w:rPr>
          <w:sz w:val="18"/>
          <w:szCs w:val="18"/>
        </w:rPr>
        <w:t xml:space="preserve">, £0.2m of assets were disposed of </w:t>
      </w:r>
      <w:r w:rsidRPr="00710EBC">
        <w:rPr>
          <w:sz w:val="18"/>
          <w:szCs w:val="18"/>
        </w:rPr>
        <w:t xml:space="preserve">and an FX </w:t>
      </w:r>
      <w:r w:rsidR="00F00317">
        <w:rPr>
          <w:sz w:val="18"/>
          <w:szCs w:val="18"/>
        </w:rPr>
        <w:t>gain</w:t>
      </w:r>
      <w:r w:rsidRPr="00710EBC">
        <w:rPr>
          <w:sz w:val="18"/>
          <w:szCs w:val="18"/>
        </w:rPr>
        <w:t xml:space="preserve"> of £</w:t>
      </w:r>
      <w:r>
        <w:rPr>
          <w:sz w:val="18"/>
          <w:szCs w:val="18"/>
        </w:rPr>
        <w:t>0.</w:t>
      </w:r>
      <w:r w:rsidR="00F00317">
        <w:rPr>
          <w:sz w:val="18"/>
          <w:szCs w:val="18"/>
        </w:rPr>
        <w:t>1</w:t>
      </w:r>
      <w:r w:rsidRPr="00710EBC">
        <w:rPr>
          <w:sz w:val="18"/>
          <w:szCs w:val="18"/>
        </w:rPr>
        <w:t>m was incurred.</w:t>
      </w:r>
      <w:r w:rsidR="006D6777">
        <w:rPr>
          <w:sz w:val="18"/>
          <w:szCs w:val="18"/>
        </w:rPr>
        <w:t xml:space="preserve"> In addition, the Group made £13.1m of additions to right-of-use assets and £0.1m of assets were disposed of. A depreciation charge for right-of-use assets of £6.0m was recognised in the period. </w:t>
      </w:r>
    </w:p>
    <w:p w14:paraId="4BB1E7C0" w14:textId="77777777" w:rsidR="00EA2BB4" w:rsidRDefault="00EA2BB4" w:rsidP="00EA2BB4">
      <w:pPr>
        <w:spacing w:after="120" w:line="240" w:lineRule="auto"/>
        <w:jc w:val="both"/>
        <w:rPr>
          <w:sz w:val="18"/>
          <w:szCs w:val="18"/>
        </w:rPr>
      </w:pPr>
      <w:r w:rsidRPr="007E56B6">
        <w:rPr>
          <w:sz w:val="18"/>
          <w:szCs w:val="18"/>
        </w:rPr>
        <w:lastRenderedPageBreak/>
        <w:t xml:space="preserve">At </w:t>
      </w:r>
      <w:r>
        <w:rPr>
          <w:sz w:val="18"/>
          <w:szCs w:val="18"/>
        </w:rPr>
        <w:t>26 March 2021</w:t>
      </w:r>
      <w:r w:rsidRPr="007E56B6">
        <w:rPr>
          <w:sz w:val="18"/>
          <w:szCs w:val="18"/>
        </w:rPr>
        <w:t xml:space="preserve">, the Group had </w:t>
      </w:r>
      <w:r>
        <w:rPr>
          <w:sz w:val="18"/>
          <w:szCs w:val="18"/>
        </w:rPr>
        <w:t xml:space="preserve">capital expenditure commitments that had been contracted but not yet provided for </w:t>
      </w:r>
      <w:r w:rsidRPr="00D655D6">
        <w:rPr>
          <w:sz w:val="18"/>
          <w:szCs w:val="18"/>
        </w:rPr>
        <w:t>amounting to £13.8m (H1 20: £10</w:t>
      </w:r>
      <w:r>
        <w:rPr>
          <w:sz w:val="18"/>
          <w:szCs w:val="18"/>
        </w:rPr>
        <w:t>.0</w:t>
      </w:r>
      <w:r w:rsidRPr="007E56B6">
        <w:rPr>
          <w:sz w:val="18"/>
          <w:szCs w:val="18"/>
        </w:rPr>
        <w:t>m).</w:t>
      </w:r>
    </w:p>
    <w:p w14:paraId="03147BD5" w14:textId="77777777" w:rsidR="0041734A" w:rsidRDefault="0041734A" w:rsidP="00B52070">
      <w:pPr>
        <w:spacing w:after="120" w:line="240" w:lineRule="auto"/>
        <w:jc w:val="both"/>
        <w:rPr>
          <w:sz w:val="18"/>
          <w:szCs w:val="18"/>
        </w:rPr>
      </w:pPr>
    </w:p>
    <w:p w14:paraId="43DF4E01" w14:textId="77777777" w:rsidR="00B10F27" w:rsidRDefault="00E126B5" w:rsidP="00773F7B">
      <w:pPr>
        <w:spacing w:after="0" w:line="240" w:lineRule="auto"/>
        <w:rPr>
          <w:rStyle w:val="ParagraphChar"/>
          <w:b/>
        </w:rPr>
      </w:pPr>
      <w:r>
        <w:rPr>
          <w:rStyle w:val="ParagraphChar"/>
          <w:b/>
        </w:rPr>
        <w:t>10</w:t>
      </w:r>
      <w:r w:rsidR="00072DB2">
        <w:rPr>
          <w:rStyle w:val="ParagraphChar"/>
          <w:b/>
        </w:rPr>
        <w:t xml:space="preserve">. </w:t>
      </w:r>
      <w:r w:rsidR="00072DB2">
        <w:rPr>
          <w:rStyle w:val="ParagraphChar"/>
          <w:b/>
        </w:rPr>
        <w:tab/>
        <w:t>Cash and cash equivalents and bank overdrafts</w:t>
      </w:r>
    </w:p>
    <w:p w14:paraId="68C05BF9" w14:textId="77777777" w:rsidR="00072DB2" w:rsidRDefault="00072DB2" w:rsidP="00773F7B">
      <w:pPr>
        <w:spacing w:after="0" w:line="240" w:lineRule="auto"/>
        <w:rPr>
          <w:rStyle w:val="ParagraphChar"/>
          <w:b/>
        </w:rPr>
      </w:pP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072DB2" w14:paraId="76F7609A" w14:textId="77777777" w:rsidTr="00874753">
        <w:trPr>
          <w:trHeight w:val="284"/>
          <w:jc w:val="center"/>
        </w:trPr>
        <w:tc>
          <w:tcPr>
            <w:tcW w:w="6576" w:type="dxa"/>
            <w:vAlign w:val="bottom"/>
          </w:tcPr>
          <w:p w14:paraId="3695479C" w14:textId="77777777" w:rsidR="00072DB2" w:rsidRPr="006D1798" w:rsidRDefault="00072DB2" w:rsidP="00D71289">
            <w:pPr>
              <w:pStyle w:val="T2"/>
              <w:jc w:val="left"/>
            </w:pPr>
          </w:p>
        </w:tc>
        <w:tc>
          <w:tcPr>
            <w:tcW w:w="992" w:type="dxa"/>
            <w:vAlign w:val="bottom"/>
          </w:tcPr>
          <w:p w14:paraId="17E8F195" w14:textId="77777777" w:rsidR="00072DB2" w:rsidRPr="005C7C70" w:rsidRDefault="00072DB2" w:rsidP="00874753">
            <w:pPr>
              <w:pStyle w:val="T2"/>
              <w:jc w:val="right"/>
              <w:rPr>
                <w:b/>
              </w:rPr>
            </w:pPr>
            <w:r w:rsidRPr="005C7C70">
              <w:rPr>
                <w:b/>
              </w:rPr>
              <w:t>March</w:t>
            </w:r>
          </w:p>
          <w:p w14:paraId="5E88A6A9" w14:textId="77777777" w:rsidR="00072DB2" w:rsidRPr="006910FB" w:rsidRDefault="00072DB2" w:rsidP="00874753">
            <w:pPr>
              <w:pStyle w:val="T2"/>
              <w:jc w:val="right"/>
              <w:rPr>
                <w:b/>
              </w:rPr>
            </w:pPr>
            <w:r w:rsidRPr="005C7C70">
              <w:rPr>
                <w:b/>
              </w:rPr>
              <w:t>20</w:t>
            </w:r>
            <w:r>
              <w:rPr>
                <w:b/>
              </w:rPr>
              <w:t>21</w:t>
            </w:r>
          </w:p>
        </w:tc>
        <w:tc>
          <w:tcPr>
            <w:tcW w:w="1134" w:type="dxa"/>
            <w:vAlign w:val="bottom"/>
          </w:tcPr>
          <w:p w14:paraId="1BB6593A" w14:textId="77777777" w:rsidR="00072DB2" w:rsidRPr="00405D63" w:rsidRDefault="00072DB2" w:rsidP="00874753">
            <w:pPr>
              <w:pStyle w:val="T2"/>
              <w:jc w:val="right"/>
            </w:pPr>
            <w:r>
              <w:t>September 2020</w:t>
            </w:r>
          </w:p>
        </w:tc>
        <w:tc>
          <w:tcPr>
            <w:tcW w:w="1076" w:type="dxa"/>
            <w:vAlign w:val="bottom"/>
          </w:tcPr>
          <w:p w14:paraId="3D89BB7F" w14:textId="77777777" w:rsidR="00072DB2" w:rsidRPr="00405D63" w:rsidRDefault="00072DB2" w:rsidP="00874753">
            <w:pPr>
              <w:pStyle w:val="T2"/>
              <w:jc w:val="right"/>
            </w:pPr>
            <w:r w:rsidRPr="00405D63">
              <w:t xml:space="preserve"> March </w:t>
            </w:r>
          </w:p>
          <w:p w14:paraId="67EABE2B" w14:textId="77777777" w:rsidR="00072DB2" w:rsidRDefault="00072DB2" w:rsidP="00874753">
            <w:pPr>
              <w:pStyle w:val="T2"/>
              <w:jc w:val="right"/>
            </w:pPr>
            <w:r>
              <w:t>2020</w:t>
            </w:r>
          </w:p>
          <w:p w14:paraId="338E58F4" w14:textId="77777777" w:rsidR="00072DB2" w:rsidRPr="00405D63" w:rsidRDefault="00072DB2" w:rsidP="00874753">
            <w:pPr>
              <w:pStyle w:val="T2"/>
              <w:jc w:val="right"/>
            </w:pPr>
            <w:r>
              <w:t>(restated)</w:t>
            </w:r>
          </w:p>
        </w:tc>
      </w:tr>
      <w:tr w:rsidR="00072DB2" w14:paraId="489E3C6B" w14:textId="77777777" w:rsidTr="00AE207A">
        <w:trPr>
          <w:trHeight w:val="211"/>
          <w:jc w:val="center"/>
        </w:trPr>
        <w:tc>
          <w:tcPr>
            <w:tcW w:w="6576" w:type="dxa"/>
            <w:tcBorders>
              <w:bottom w:val="single" w:sz="2" w:space="0" w:color="auto"/>
            </w:tcBorders>
            <w:vAlign w:val="bottom"/>
          </w:tcPr>
          <w:p w14:paraId="0B41FD98" w14:textId="77777777" w:rsidR="00072DB2" w:rsidRPr="006D1798" w:rsidRDefault="00072DB2" w:rsidP="00D71289">
            <w:pPr>
              <w:pStyle w:val="T2"/>
              <w:jc w:val="left"/>
            </w:pPr>
          </w:p>
        </w:tc>
        <w:tc>
          <w:tcPr>
            <w:tcW w:w="992" w:type="dxa"/>
            <w:tcBorders>
              <w:bottom w:val="single" w:sz="2" w:space="0" w:color="auto"/>
            </w:tcBorders>
            <w:vAlign w:val="bottom"/>
          </w:tcPr>
          <w:p w14:paraId="7DAA5741" w14:textId="77777777" w:rsidR="00072DB2" w:rsidRDefault="00072DB2" w:rsidP="00D71289">
            <w:pPr>
              <w:pStyle w:val="T2"/>
              <w:jc w:val="right"/>
              <w:rPr>
                <w:b/>
              </w:rPr>
            </w:pPr>
            <w:r w:rsidRPr="005C7C70">
              <w:rPr>
                <w:b/>
              </w:rPr>
              <w:t>£m</w:t>
            </w:r>
          </w:p>
        </w:tc>
        <w:tc>
          <w:tcPr>
            <w:tcW w:w="1134" w:type="dxa"/>
            <w:tcBorders>
              <w:bottom w:val="single" w:sz="2" w:space="0" w:color="auto"/>
            </w:tcBorders>
          </w:tcPr>
          <w:p w14:paraId="0AE24ACF" w14:textId="77777777" w:rsidR="00072DB2" w:rsidRPr="00405D63" w:rsidRDefault="00072DB2" w:rsidP="00D71289">
            <w:pPr>
              <w:pStyle w:val="T2"/>
              <w:jc w:val="right"/>
            </w:pPr>
            <w:r w:rsidRPr="00405D63">
              <w:t>£m</w:t>
            </w:r>
          </w:p>
        </w:tc>
        <w:tc>
          <w:tcPr>
            <w:tcW w:w="1076" w:type="dxa"/>
            <w:tcBorders>
              <w:bottom w:val="single" w:sz="2" w:space="0" w:color="auto"/>
            </w:tcBorders>
            <w:vAlign w:val="bottom"/>
          </w:tcPr>
          <w:p w14:paraId="265C93C9" w14:textId="77777777" w:rsidR="00072DB2" w:rsidRPr="00405D63" w:rsidRDefault="00072DB2" w:rsidP="00D71289">
            <w:pPr>
              <w:pStyle w:val="T2"/>
              <w:jc w:val="right"/>
            </w:pPr>
            <w:r w:rsidRPr="00405D63">
              <w:t>£m</w:t>
            </w:r>
          </w:p>
        </w:tc>
      </w:tr>
      <w:tr w:rsidR="00072DB2" w14:paraId="24F6A4EF" w14:textId="77777777" w:rsidTr="00AE207A">
        <w:trPr>
          <w:trHeight w:val="211"/>
          <w:jc w:val="center"/>
        </w:trPr>
        <w:tc>
          <w:tcPr>
            <w:tcW w:w="6576" w:type="dxa"/>
            <w:tcBorders>
              <w:top w:val="single" w:sz="2" w:space="0" w:color="auto"/>
              <w:bottom w:val="single" w:sz="2" w:space="0" w:color="auto"/>
            </w:tcBorders>
            <w:vAlign w:val="bottom"/>
          </w:tcPr>
          <w:p w14:paraId="7980A9C3" w14:textId="77777777" w:rsidR="00072DB2" w:rsidRPr="00B80931" w:rsidRDefault="00072DB2" w:rsidP="00D71289">
            <w:pPr>
              <w:pStyle w:val="T2"/>
              <w:jc w:val="left"/>
              <w:rPr>
                <w:b/>
              </w:rPr>
            </w:pPr>
            <w:r>
              <w:rPr>
                <w:b/>
              </w:rPr>
              <w:t>Cash at bank and in hand</w:t>
            </w:r>
          </w:p>
        </w:tc>
        <w:tc>
          <w:tcPr>
            <w:tcW w:w="992" w:type="dxa"/>
            <w:tcBorders>
              <w:top w:val="single" w:sz="2" w:space="0" w:color="auto"/>
              <w:bottom w:val="single" w:sz="2" w:space="0" w:color="auto"/>
            </w:tcBorders>
          </w:tcPr>
          <w:p w14:paraId="57FD9653" w14:textId="77777777" w:rsidR="00072DB2" w:rsidRPr="00072DB2" w:rsidRDefault="00E25584" w:rsidP="00D71289">
            <w:pPr>
              <w:pStyle w:val="T2"/>
              <w:jc w:val="right"/>
              <w:rPr>
                <w:b/>
                <w:bCs/>
              </w:rPr>
            </w:pPr>
            <w:r>
              <w:rPr>
                <w:b/>
                <w:bCs/>
              </w:rPr>
              <w:t>48.4</w:t>
            </w:r>
          </w:p>
        </w:tc>
        <w:tc>
          <w:tcPr>
            <w:tcW w:w="1134" w:type="dxa"/>
            <w:tcBorders>
              <w:top w:val="single" w:sz="2" w:space="0" w:color="auto"/>
              <w:bottom w:val="single" w:sz="2" w:space="0" w:color="auto"/>
            </w:tcBorders>
          </w:tcPr>
          <w:p w14:paraId="367CCAFD" w14:textId="77777777" w:rsidR="00072DB2" w:rsidRPr="00072DB2" w:rsidRDefault="00072DB2" w:rsidP="00D71289">
            <w:pPr>
              <w:pStyle w:val="T2"/>
              <w:jc w:val="right"/>
              <w:rPr>
                <w:bCs/>
              </w:rPr>
            </w:pPr>
            <w:r w:rsidRPr="00072DB2">
              <w:rPr>
                <w:bCs/>
              </w:rPr>
              <w:t>267.0</w:t>
            </w:r>
          </w:p>
        </w:tc>
        <w:tc>
          <w:tcPr>
            <w:tcW w:w="1076" w:type="dxa"/>
            <w:tcBorders>
              <w:top w:val="single" w:sz="2" w:space="0" w:color="auto"/>
              <w:bottom w:val="single" w:sz="2" w:space="0" w:color="auto"/>
            </w:tcBorders>
            <w:vAlign w:val="bottom"/>
          </w:tcPr>
          <w:p w14:paraId="6C8427C5" w14:textId="77777777" w:rsidR="00072DB2" w:rsidRPr="00072DB2" w:rsidRDefault="00072DB2" w:rsidP="00072DB2">
            <w:pPr>
              <w:pStyle w:val="T2"/>
              <w:jc w:val="right"/>
              <w:rPr>
                <w:bCs/>
              </w:rPr>
            </w:pPr>
            <w:r w:rsidRPr="00072DB2">
              <w:rPr>
                <w:bCs/>
              </w:rPr>
              <w:t>272.6</w:t>
            </w:r>
          </w:p>
        </w:tc>
      </w:tr>
    </w:tbl>
    <w:p w14:paraId="25221BC0" w14:textId="77777777" w:rsidR="00072DB2" w:rsidRDefault="00072DB2" w:rsidP="00773F7B">
      <w:pPr>
        <w:spacing w:after="0" w:line="240" w:lineRule="auto"/>
        <w:rPr>
          <w:rStyle w:val="ParagraphChar"/>
          <w:b/>
        </w:rPr>
      </w:pPr>
    </w:p>
    <w:p w14:paraId="288F4DB2" w14:textId="77777777" w:rsidR="00072DB2" w:rsidRDefault="00072DB2" w:rsidP="00AE207A">
      <w:pPr>
        <w:spacing w:after="0" w:line="240" w:lineRule="auto"/>
        <w:jc w:val="both"/>
        <w:rPr>
          <w:rStyle w:val="ParagraphChar"/>
        </w:rPr>
      </w:pPr>
      <w:r w:rsidRPr="00072DB2">
        <w:rPr>
          <w:rStyle w:val="ParagraphChar"/>
        </w:rPr>
        <w:t xml:space="preserve">As </w:t>
      </w:r>
      <w:r>
        <w:rPr>
          <w:rStyle w:val="ParagraphChar"/>
        </w:rPr>
        <w:t xml:space="preserve">disclosed in Note 1, the Group’s cash and cash equivalents have been </w:t>
      </w:r>
      <w:r w:rsidR="002515EC">
        <w:rPr>
          <w:rStyle w:val="ParagraphChar"/>
        </w:rPr>
        <w:t>re</w:t>
      </w:r>
      <w:r w:rsidR="00CA563B">
        <w:rPr>
          <w:rStyle w:val="ParagraphChar"/>
        </w:rPr>
        <w:t>-</w:t>
      </w:r>
      <w:r w:rsidR="002515EC">
        <w:rPr>
          <w:rStyle w:val="ParagraphChar"/>
        </w:rPr>
        <w:t>presented</w:t>
      </w:r>
      <w:r w:rsidR="00D81311">
        <w:rPr>
          <w:rStyle w:val="ParagraphChar"/>
        </w:rPr>
        <w:t xml:space="preserve"> and c</w:t>
      </w:r>
      <w:r>
        <w:rPr>
          <w:rStyle w:val="ParagraphChar"/>
        </w:rPr>
        <w:t>omparative information for the period ended 27</w:t>
      </w:r>
      <w:r>
        <w:rPr>
          <w:rStyle w:val="ParagraphChar"/>
          <w:vertAlign w:val="superscript"/>
        </w:rPr>
        <w:t xml:space="preserve"> </w:t>
      </w:r>
      <w:r>
        <w:rPr>
          <w:rStyle w:val="ParagraphChar"/>
        </w:rPr>
        <w:t xml:space="preserve">March 2020 has increased cash at bank and in hand from £34.5m </w:t>
      </w:r>
      <w:r w:rsidRPr="00072DB2">
        <w:rPr>
          <w:rStyle w:val="ParagraphChar"/>
        </w:rPr>
        <w:t>to £272.6m and</w:t>
      </w:r>
      <w:r>
        <w:rPr>
          <w:rStyle w:val="ParagraphChar"/>
        </w:rPr>
        <w:t xml:space="preserve"> bank overdraft from £nil </w:t>
      </w:r>
      <w:r w:rsidRPr="00072DB2">
        <w:rPr>
          <w:rStyle w:val="ParagraphChar"/>
        </w:rPr>
        <w:t>to £238.1m. This</w:t>
      </w:r>
      <w:r>
        <w:rPr>
          <w:rStyle w:val="ParagraphChar"/>
        </w:rPr>
        <w:t xml:space="preserve"> has no impact on the Group’s net ass</w:t>
      </w:r>
      <w:r w:rsidR="000B5EC4">
        <w:rPr>
          <w:rStyle w:val="ParagraphChar"/>
        </w:rPr>
        <w:t>e</w:t>
      </w:r>
      <w:r>
        <w:rPr>
          <w:rStyle w:val="ParagraphChar"/>
        </w:rPr>
        <w:t>ts.</w:t>
      </w:r>
    </w:p>
    <w:p w14:paraId="1CA4814E" w14:textId="77777777" w:rsidR="00072DB2" w:rsidRDefault="00072DB2" w:rsidP="00773F7B">
      <w:pPr>
        <w:spacing w:after="0" w:line="240" w:lineRule="auto"/>
        <w:rPr>
          <w:rStyle w:val="ParagraphChar"/>
        </w:rPr>
      </w:pPr>
    </w:p>
    <w:p w14:paraId="6E01466E" w14:textId="77777777" w:rsidR="00072DB2" w:rsidRDefault="00072DB2" w:rsidP="00773F7B">
      <w:pPr>
        <w:spacing w:after="0" w:line="240" w:lineRule="auto"/>
        <w:rPr>
          <w:rStyle w:val="ParagraphChar"/>
        </w:rPr>
      </w:pPr>
      <w:r>
        <w:rPr>
          <w:rStyle w:val="ParagraphChar"/>
        </w:rPr>
        <w:t xml:space="preserve">For the purposes of the </w:t>
      </w:r>
      <w:r w:rsidR="00F15D5E">
        <w:rPr>
          <w:rStyle w:val="ParagraphChar"/>
        </w:rPr>
        <w:t xml:space="preserve">Condensed </w:t>
      </w:r>
      <w:r>
        <w:rPr>
          <w:rStyle w:val="ParagraphChar"/>
        </w:rPr>
        <w:t>Group Cash Flow Statement, cash and cash equivalents and bank overdrafts are presented net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992"/>
        <w:gridCol w:w="1134"/>
        <w:gridCol w:w="1134"/>
      </w:tblGrid>
      <w:tr w:rsidR="00EA2BB4" w14:paraId="70607F82" w14:textId="77777777" w:rsidTr="00AE207A">
        <w:trPr>
          <w:jc w:val="center"/>
        </w:trPr>
        <w:tc>
          <w:tcPr>
            <w:tcW w:w="6521" w:type="dxa"/>
            <w:vAlign w:val="bottom"/>
          </w:tcPr>
          <w:p w14:paraId="41F7D389" w14:textId="77777777" w:rsidR="00EA2BB4" w:rsidRPr="00CC7F8E" w:rsidRDefault="00EA2BB4" w:rsidP="0088383C">
            <w:pPr>
              <w:pStyle w:val="T2"/>
              <w:jc w:val="left"/>
            </w:pPr>
          </w:p>
        </w:tc>
        <w:tc>
          <w:tcPr>
            <w:tcW w:w="992" w:type="dxa"/>
            <w:vAlign w:val="bottom"/>
          </w:tcPr>
          <w:p w14:paraId="5B7B060F" w14:textId="77777777" w:rsidR="00EA2BB4" w:rsidRDefault="00EA2BB4" w:rsidP="0088383C">
            <w:pPr>
              <w:pStyle w:val="T2"/>
              <w:jc w:val="right"/>
              <w:rPr>
                <w:b/>
              </w:rPr>
            </w:pPr>
            <w:r>
              <w:rPr>
                <w:b/>
              </w:rPr>
              <w:t>March</w:t>
            </w:r>
            <w:r w:rsidRPr="00CC7F8E">
              <w:rPr>
                <w:b/>
              </w:rPr>
              <w:br/>
              <w:t>20</w:t>
            </w:r>
            <w:r>
              <w:rPr>
                <w:b/>
              </w:rPr>
              <w:t>21</w:t>
            </w:r>
          </w:p>
        </w:tc>
        <w:tc>
          <w:tcPr>
            <w:tcW w:w="1134" w:type="dxa"/>
            <w:vAlign w:val="bottom"/>
          </w:tcPr>
          <w:p w14:paraId="19A45EBE" w14:textId="77777777" w:rsidR="00EA2BB4" w:rsidRDefault="00EA2BB4" w:rsidP="00A774AF">
            <w:pPr>
              <w:pStyle w:val="T2"/>
              <w:jc w:val="right"/>
            </w:pPr>
            <w:r>
              <w:t>September 2020</w:t>
            </w:r>
          </w:p>
        </w:tc>
        <w:tc>
          <w:tcPr>
            <w:tcW w:w="1134" w:type="dxa"/>
            <w:vAlign w:val="bottom"/>
          </w:tcPr>
          <w:p w14:paraId="51D36B13" w14:textId="77777777" w:rsidR="00EA2BB4" w:rsidRDefault="00EA2BB4" w:rsidP="0088383C">
            <w:pPr>
              <w:pStyle w:val="T2"/>
              <w:jc w:val="right"/>
            </w:pPr>
            <w:r>
              <w:t>March</w:t>
            </w:r>
            <w:r w:rsidRPr="00CC7F8E">
              <w:br/>
              <w:t>20</w:t>
            </w:r>
            <w:r>
              <w:t>20</w:t>
            </w:r>
          </w:p>
          <w:p w14:paraId="36BF9FC1" w14:textId="77777777" w:rsidR="00EA2BB4" w:rsidRPr="00CC7F8E" w:rsidRDefault="00EA2BB4" w:rsidP="0088383C">
            <w:pPr>
              <w:pStyle w:val="T2"/>
              <w:jc w:val="right"/>
            </w:pPr>
            <w:r>
              <w:t>(restated)</w:t>
            </w:r>
          </w:p>
        </w:tc>
      </w:tr>
      <w:tr w:rsidR="00EA2BB4" w14:paraId="32D117B0" w14:textId="77777777" w:rsidTr="00AE207A">
        <w:trPr>
          <w:jc w:val="center"/>
        </w:trPr>
        <w:tc>
          <w:tcPr>
            <w:tcW w:w="6521" w:type="dxa"/>
            <w:tcBorders>
              <w:bottom w:val="single" w:sz="2" w:space="0" w:color="auto"/>
            </w:tcBorders>
            <w:vAlign w:val="bottom"/>
          </w:tcPr>
          <w:p w14:paraId="41089A9C" w14:textId="77777777" w:rsidR="00EA2BB4" w:rsidRPr="00CC7F8E" w:rsidRDefault="00EA2BB4" w:rsidP="0088383C">
            <w:pPr>
              <w:pStyle w:val="T2"/>
              <w:jc w:val="left"/>
            </w:pPr>
          </w:p>
        </w:tc>
        <w:tc>
          <w:tcPr>
            <w:tcW w:w="992" w:type="dxa"/>
            <w:tcBorders>
              <w:bottom w:val="single" w:sz="2" w:space="0" w:color="auto"/>
            </w:tcBorders>
            <w:vAlign w:val="bottom"/>
          </w:tcPr>
          <w:p w14:paraId="02201A3C" w14:textId="77777777" w:rsidR="00EA2BB4" w:rsidRDefault="00EA2BB4" w:rsidP="0088383C">
            <w:pPr>
              <w:pStyle w:val="T2"/>
              <w:jc w:val="right"/>
              <w:rPr>
                <w:b/>
              </w:rPr>
            </w:pPr>
            <w:r>
              <w:rPr>
                <w:b/>
              </w:rPr>
              <w:t>£m</w:t>
            </w:r>
          </w:p>
        </w:tc>
        <w:tc>
          <w:tcPr>
            <w:tcW w:w="1134" w:type="dxa"/>
            <w:tcBorders>
              <w:bottom w:val="single" w:sz="2" w:space="0" w:color="auto"/>
            </w:tcBorders>
          </w:tcPr>
          <w:p w14:paraId="249B0ED2" w14:textId="77777777" w:rsidR="00EA2BB4" w:rsidRDefault="00EA2BB4" w:rsidP="0088383C">
            <w:pPr>
              <w:pStyle w:val="T2"/>
              <w:jc w:val="right"/>
            </w:pPr>
            <w:r>
              <w:t>£m</w:t>
            </w:r>
          </w:p>
        </w:tc>
        <w:tc>
          <w:tcPr>
            <w:tcW w:w="1134" w:type="dxa"/>
            <w:tcBorders>
              <w:bottom w:val="single" w:sz="2" w:space="0" w:color="auto"/>
            </w:tcBorders>
            <w:vAlign w:val="bottom"/>
          </w:tcPr>
          <w:p w14:paraId="6B944968" w14:textId="77777777" w:rsidR="00EA2BB4" w:rsidRPr="00CC7F8E" w:rsidRDefault="00EA2BB4" w:rsidP="0088383C">
            <w:pPr>
              <w:pStyle w:val="T2"/>
              <w:jc w:val="right"/>
            </w:pPr>
            <w:r>
              <w:t>£m</w:t>
            </w:r>
          </w:p>
        </w:tc>
      </w:tr>
      <w:tr w:rsidR="00EA2BB4" w14:paraId="611857C9" w14:textId="77777777" w:rsidTr="00AE207A">
        <w:trPr>
          <w:jc w:val="center"/>
        </w:trPr>
        <w:tc>
          <w:tcPr>
            <w:tcW w:w="6521" w:type="dxa"/>
            <w:tcBorders>
              <w:top w:val="single" w:sz="2" w:space="0" w:color="auto"/>
            </w:tcBorders>
            <w:vAlign w:val="bottom"/>
          </w:tcPr>
          <w:p w14:paraId="1A868CFD" w14:textId="77777777" w:rsidR="00EA2BB4" w:rsidRPr="00CC7F8E" w:rsidRDefault="00EA2BB4" w:rsidP="0088383C">
            <w:pPr>
              <w:pStyle w:val="T2"/>
              <w:jc w:val="left"/>
            </w:pPr>
            <w:r>
              <w:t>Cash at bank and in hand</w:t>
            </w:r>
            <w:r w:rsidRPr="00CC7F8E">
              <w:t xml:space="preserve"> </w:t>
            </w:r>
          </w:p>
        </w:tc>
        <w:tc>
          <w:tcPr>
            <w:tcW w:w="992" w:type="dxa"/>
            <w:tcBorders>
              <w:top w:val="single" w:sz="2" w:space="0" w:color="auto"/>
            </w:tcBorders>
          </w:tcPr>
          <w:p w14:paraId="36DB756A" w14:textId="77777777" w:rsidR="00EA2BB4" w:rsidRDefault="00EA2BB4" w:rsidP="0088383C">
            <w:pPr>
              <w:pStyle w:val="T2"/>
              <w:jc w:val="right"/>
              <w:rPr>
                <w:rFonts w:cs="Arial"/>
                <w:b/>
              </w:rPr>
            </w:pPr>
            <w:r>
              <w:rPr>
                <w:rFonts w:cs="Arial"/>
                <w:b/>
              </w:rPr>
              <w:t>48.4</w:t>
            </w:r>
          </w:p>
        </w:tc>
        <w:tc>
          <w:tcPr>
            <w:tcW w:w="1134" w:type="dxa"/>
            <w:tcBorders>
              <w:top w:val="single" w:sz="2" w:space="0" w:color="auto"/>
            </w:tcBorders>
          </w:tcPr>
          <w:p w14:paraId="1C34437E" w14:textId="77777777" w:rsidR="00EA2BB4" w:rsidRDefault="00EA2BB4" w:rsidP="0088383C">
            <w:pPr>
              <w:pStyle w:val="T2"/>
              <w:jc w:val="right"/>
            </w:pPr>
            <w:r>
              <w:t>267.0</w:t>
            </w:r>
          </w:p>
        </w:tc>
        <w:tc>
          <w:tcPr>
            <w:tcW w:w="1134" w:type="dxa"/>
            <w:tcBorders>
              <w:top w:val="single" w:sz="2" w:space="0" w:color="auto"/>
            </w:tcBorders>
            <w:vAlign w:val="bottom"/>
          </w:tcPr>
          <w:p w14:paraId="1C0E0667" w14:textId="77777777" w:rsidR="00EA2BB4" w:rsidRPr="00CC7F8E" w:rsidRDefault="00EA2BB4" w:rsidP="0088383C">
            <w:pPr>
              <w:pStyle w:val="T2"/>
              <w:jc w:val="right"/>
            </w:pPr>
            <w:r>
              <w:t>272.6</w:t>
            </w:r>
          </w:p>
        </w:tc>
      </w:tr>
      <w:tr w:rsidR="00EA2BB4" w14:paraId="2FF65A2A" w14:textId="77777777" w:rsidTr="00AE207A">
        <w:trPr>
          <w:jc w:val="center"/>
        </w:trPr>
        <w:tc>
          <w:tcPr>
            <w:tcW w:w="6521" w:type="dxa"/>
            <w:tcBorders>
              <w:bottom w:val="single" w:sz="2" w:space="0" w:color="auto"/>
            </w:tcBorders>
            <w:vAlign w:val="bottom"/>
          </w:tcPr>
          <w:p w14:paraId="7DECA6F6" w14:textId="77777777" w:rsidR="00EA2BB4" w:rsidRPr="00CC7F8E" w:rsidRDefault="00EA2BB4" w:rsidP="0088383C">
            <w:pPr>
              <w:pStyle w:val="T2"/>
              <w:jc w:val="left"/>
            </w:pPr>
            <w:r>
              <w:t>Bank overdraft (Note 11)</w:t>
            </w:r>
          </w:p>
        </w:tc>
        <w:tc>
          <w:tcPr>
            <w:tcW w:w="992" w:type="dxa"/>
            <w:tcBorders>
              <w:bottom w:val="single" w:sz="2" w:space="0" w:color="auto"/>
            </w:tcBorders>
          </w:tcPr>
          <w:p w14:paraId="7ACE2F9D" w14:textId="77777777" w:rsidR="00EA2BB4" w:rsidRDefault="00EA2BB4" w:rsidP="0088383C">
            <w:pPr>
              <w:pStyle w:val="T2"/>
              <w:jc w:val="right"/>
              <w:rPr>
                <w:rFonts w:cs="Arial"/>
                <w:b/>
              </w:rPr>
            </w:pPr>
            <w:r>
              <w:rPr>
                <w:rFonts w:cs="Arial"/>
                <w:b/>
              </w:rPr>
              <w:t>(31.4)</w:t>
            </w:r>
          </w:p>
        </w:tc>
        <w:tc>
          <w:tcPr>
            <w:tcW w:w="1134" w:type="dxa"/>
            <w:tcBorders>
              <w:bottom w:val="single" w:sz="2" w:space="0" w:color="auto"/>
            </w:tcBorders>
          </w:tcPr>
          <w:p w14:paraId="53058ACD" w14:textId="77777777" w:rsidR="00EA2BB4" w:rsidRDefault="00EA2BB4" w:rsidP="0088383C">
            <w:pPr>
              <w:pStyle w:val="T2"/>
              <w:jc w:val="right"/>
            </w:pPr>
            <w:r>
              <w:t>(220.0)</w:t>
            </w:r>
          </w:p>
        </w:tc>
        <w:tc>
          <w:tcPr>
            <w:tcW w:w="1134" w:type="dxa"/>
            <w:tcBorders>
              <w:bottom w:val="single" w:sz="2" w:space="0" w:color="auto"/>
            </w:tcBorders>
            <w:vAlign w:val="bottom"/>
          </w:tcPr>
          <w:p w14:paraId="16AAC28D" w14:textId="77777777" w:rsidR="00EA2BB4" w:rsidRPr="00CC7F8E" w:rsidRDefault="00EA2BB4" w:rsidP="0088383C">
            <w:pPr>
              <w:pStyle w:val="T2"/>
              <w:jc w:val="right"/>
            </w:pPr>
            <w:r>
              <w:t>(238.1)</w:t>
            </w:r>
          </w:p>
        </w:tc>
      </w:tr>
      <w:tr w:rsidR="00EA2BB4" w14:paraId="5BF92159" w14:textId="77777777" w:rsidTr="00AE207A">
        <w:trPr>
          <w:jc w:val="center"/>
        </w:trPr>
        <w:tc>
          <w:tcPr>
            <w:tcW w:w="6521" w:type="dxa"/>
            <w:tcBorders>
              <w:top w:val="single" w:sz="2" w:space="0" w:color="auto"/>
              <w:bottom w:val="single" w:sz="2" w:space="0" w:color="auto"/>
            </w:tcBorders>
            <w:vAlign w:val="bottom"/>
          </w:tcPr>
          <w:p w14:paraId="18EDC6EA" w14:textId="77777777" w:rsidR="00EA2BB4" w:rsidRPr="00D63898" w:rsidRDefault="00EA2BB4" w:rsidP="0088383C">
            <w:pPr>
              <w:pStyle w:val="T2"/>
              <w:jc w:val="left"/>
              <w:rPr>
                <w:b/>
              </w:rPr>
            </w:pPr>
            <w:r>
              <w:rPr>
                <w:b/>
              </w:rPr>
              <w:t>Total cash and cash equivalents and bank overdrafts</w:t>
            </w:r>
            <w:r w:rsidRPr="00D63898">
              <w:rPr>
                <w:b/>
              </w:rPr>
              <w:t xml:space="preserve"> </w:t>
            </w:r>
          </w:p>
        </w:tc>
        <w:tc>
          <w:tcPr>
            <w:tcW w:w="992" w:type="dxa"/>
            <w:tcBorders>
              <w:top w:val="single" w:sz="2" w:space="0" w:color="auto"/>
              <w:bottom w:val="single" w:sz="2" w:space="0" w:color="auto"/>
            </w:tcBorders>
          </w:tcPr>
          <w:p w14:paraId="74F4C7AF" w14:textId="77777777" w:rsidR="00EA2BB4" w:rsidRDefault="00EA2BB4" w:rsidP="0088383C">
            <w:pPr>
              <w:pStyle w:val="T2"/>
              <w:jc w:val="right"/>
              <w:rPr>
                <w:rFonts w:cs="Arial"/>
                <w:b/>
              </w:rPr>
            </w:pPr>
            <w:r>
              <w:rPr>
                <w:rFonts w:cs="Arial"/>
                <w:b/>
              </w:rPr>
              <w:t>17.0</w:t>
            </w:r>
          </w:p>
        </w:tc>
        <w:tc>
          <w:tcPr>
            <w:tcW w:w="1134" w:type="dxa"/>
            <w:tcBorders>
              <w:top w:val="single" w:sz="2" w:space="0" w:color="auto"/>
              <w:bottom w:val="single" w:sz="2" w:space="0" w:color="auto"/>
            </w:tcBorders>
          </w:tcPr>
          <w:p w14:paraId="6D9D8C1E" w14:textId="77777777" w:rsidR="00EA2BB4" w:rsidRDefault="00EA2BB4" w:rsidP="0088383C">
            <w:pPr>
              <w:pStyle w:val="T2"/>
              <w:jc w:val="right"/>
              <w:rPr>
                <w:bCs/>
              </w:rPr>
            </w:pPr>
            <w:r>
              <w:rPr>
                <w:bCs/>
              </w:rPr>
              <w:t>47.0</w:t>
            </w:r>
          </w:p>
        </w:tc>
        <w:tc>
          <w:tcPr>
            <w:tcW w:w="1134" w:type="dxa"/>
            <w:tcBorders>
              <w:top w:val="single" w:sz="2" w:space="0" w:color="auto"/>
              <w:bottom w:val="single" w:sz="2" w:space="0" w:color="auto"/>
            </w:tcBorders>
            <w:vAlign w:val="bottom"/>
          </w:tcPr>
          <w:p w14:paraId="50154B5D" w14:textId="77777777" w:rsidR="00EA2BB4" w:rsidRPr="00CC7F8E" w:rsidRDefault="00EA2BB4" w:rsidP="0088383C">
            <w:pPr>
              <w:pStyle w:val="T2"/>
              <w:jc w:val="right"/>
            </w:pPr>
            <w:r>
              <w:rPr>
                <w:bCs/>
              </w:rPr>
              <w:t>34.5</w:t>
            </w:r>
          </w:p>
        </w:tc>
      </w:tr>
    </w:tbl>
    <w:p w14:paraId="7F81491E" w14:textId="77777777" w:rsidR="00072DB2" w:rsidRDefault="00072DB2" w:rsidP="00773F7B">
      <w:pPr>
        <w:spacing w:after="0" w:line="240" w:lineRule="auto"/>
        <w:rPr>
          <w:rStyle w:val="ParagraphChar"/>
        </w:rPr>
      </w:pPr>
    </w:p>
    <w:p w14:paraId="1DDEF26C" w14:textId="77777777" w:rsidR="0041734A" w:rsidRDefault="0063084C" w:rsidP="00F55D04">
      <w:pPr>
        <w:tabs>
          <w:tab w:val="left" w:pos="1284"/>
        </w:tabs>
        <w:spacing w:after="0" w:line="240" w:lineRule="auto"/>
        <w:rPr>
          <w:rStyle w:val="ParagraphChar"/>
        </w:rPr>
      </w:pPr>
      <w:r>
        <w:rPr>
          <w:rStyle w:val="ParagraphChar"/>
        </w:rPr>
        <w:tab/>
      </w:r>
    </w:p>
    <w:p w14:paraId="0D06C9B7" w14:textId="77777777" w:rsidR="00773F7B" w:rsidRPr="00EE7CDD" w:rsidRDefault="00773F7B" w:rsidP="005B3BEE">
      <w:pPr>
        <w:pStyle w:val="SectionH3"/>
        <w:rPr>
          <w:rStyle w:val="ParagraphChar"/>
        </w:rPr>
      </w:pPr>
      <w:r w:rsidRPr="00EE7CDD">
        <w:rPr>
          <w:rStyle w:val="ParagraphChar"/>
        </w:rPr>
        <w:t>1</w:t>
      </w:r>
      <w:r w:rsidR="00E126B5">
        <w:rPr>
          <w:rStyle w:val="ParagraphChar"/>
        </w:rPr>
        <w:t>1</w:t>
      </w:r>
      <w:r w:rsidRPr="00EE7CDD">
        <w:rPr>
          <w:rStyle w:val="ParagraphChar"/>
        </w:rPr>
        <w:t>.</w:t>
      </w:r>
      <w:r w:rsidR="00EE7CDD">
        <w:rPr>
          <w:rStyle w:val="ParagraphChar"/>
        </w:rPr>
        <w:tab/>
      </w:r>
      <w:r w:rsidRPr="00EE7CDD">
        <w:rPr>
          <w:rStyle w:val="ParagraphChar"/>
        </w:rPr>
        <w:t xml:space="preserve">Borrowings and </w:t>
      </w:r>
      <w:r w:rsidR="00F035CB" w:rsidRPr="00EE7CDD">
        <w:rPr>
          <w:rStyle w:val="ParagraphChar"/>
        </w:rPr>
        <w:t>D</w:t>
      </w:r>
      <w:r w:rsidRPr="00EE7CDD">
        <w:rPr>
          <w:rStyle w:val="ParagraphChar"/>
        </w:rPr>
        <w:t>erivatives</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773F7B" w14:paraId="1F5CDEA0" w14:textId="77777777" w:rsidTr="00072DB2">
        <w:trPr>
          <w:trHeight w:val="440"/>
          <w:jc w:val="center"/>
        </w:trPr>
        <w:tc>
          <w:tcPr>
            <w:tcW w:w="6576" w:type="dxa"/>
            <w:vAlign w:val="bottom"/>
          </w:tcPr>
          <w:p w14:paraId="587538F6" w14:textId="77777777" w:rsidR="00773F7B" w:rsidRPr="006D1798" w:rsidRDefault="00773F7B" w:rsidP="00773F7B">
            <w:pPr>
              <w:pStyle w:val="T2"/>
              <w:jc w:val="left"/>
            </w:pPr>
          </w:p>
        </w:tc>
        <w:tc>
          <w:tcPr>
            <w:tcW w:w="992" w:type="dxa"/>
            <w:vAlign w:val="bottom"/>
          </w:tcPr>
          <w:p w14:paraId="24171A26" w14:textId="77777777" w:rsidR="00773F7B" w:rsidRPr="005C7C70" w:rsidRDefault="00773F7B" w:rsidP="00072DB2">
            <w:pPr>
              <w:pStyle w:val="T2"/>
              <w:jc w:val="right"/>
              <w:rPr>
                <w:b/>
              </w:rPr>
            </w:pPr>
            <w:r w:rsidRPr="005C7C70">
              <w:rPr>
                <w:b/>
              </w:rPr>
              <w:t>March</w:t>
            </w:r>
          </w:p>
          <w:p w14:paraId="2552E30C" w14:textId="77777777" w:rsidR="00773F7B" w:rsidRPr="006910FB" w:rsidRDefault="00773F7B" w:rsidP="00072DB2">
            <w:pPr>
              <w:pStyle w:val="T2"/>
              <w:jc w:val="right"/>
              <w:rPr>
                <w:b/>
              </w:rPr>
            </w:pPr>
            <w:r w:rsidRPr="005C7C70">
              <w:rPr>
                <w:b/>
              </w:rPr>
              <w:t>20</w:t>
            </w:r>
            <w:r w:rsidR="00B80931">
              <w:rPr>
                <w:b/>
              </w:rPr>
              <w:t>21</w:t>
            </w:r>
          </w:p>
        </w:tc>
        <w:tc>
          <w:tcPr>
            <w:tcW w:w="1134" w:type="dxa"/>
            <w:vAlign w:val="bottom"/>
          </w:tcPr>
          <w:p w14:paraId="77DD0285" w14:textId="77777777" w:rsidR="00773F7B" w:rsidRPr="00405D63" w:rsidRDefault="00B80931" w:rsidP="00072DB2">
            <w:pPr>
              <w:pStyle w:val="T2"/>
              <w:jc w:val="right"/>
            </w:pPr>
            <w:r>
              <w:t>September 2020</w:t>
            </w:r>
          </w:p>
        </w:tc>
        <w:tc>
          <w:tcPr>
            <w:tcW w:w="1076" w:type="dxa"/>
            <w:vAlign w:val="bottom"/>
          </w:tcPr>
          <w:p w14:paraId="74B6AD3C" w14:textId="77777777" w:rsidR="00773F7B" w:rsidRPr="00405D63" w:rsidRDefault="00773F7B" w:rsidP="00072DB2">
            <w:pPr>
              <w:pStyle w:val="T2"/>
              <w:jc w:val="right"/>
            </w:pPr>
            <w:r w:rsidRPr="00405D63">
              <w:t xml:space="preserve"> March </w:t>
            </w:r>
          </w:p>
          <w:p w14:paraId="1F20DFFE" w14:textId="77777777" w:rsidR="00773F7B" w:rsidRDefault="00072DB2" w:rsidP="00072DB2">
            <w:pPr>
              <w:pStyle w:val="T2"/>
              <w:jc w:val="right"/>
            </w:pPr>
            <w:r>
              <w:t>2020</w:t>
            </w:r>
          </w:p>
          <w:p w14:paraId="4B3DDD3A" w14:textId="77777777" w:rsidR="00072DB2" w:rsidRPr="00405D63" w:rsidRDefault="00072DB2" w:rsidP="00072DB2">
            <w:pPr>
              <w:pStyle w:val="T2"/>
              <w:jc w:val="right"/>
            </w:pPr>
            <w:r>
              <w:t>(restated)</w:t>
            </w:r>
          </w:p>
        </w:tc>
      </w:tr>
      <w:tr w:rsidR="00773F7B" w14:paraId="34689F55" w14:textId="77777777" w:rsidTr="00AE207A">
        <w:trPr>
          <w:trHeight w:val="211"/>
          <w:jc w:val="center"/>
        </w:trPr>
        <w:tc>
          <w:tcPr>
            <w:tcW w:w="6576" w:type="dxa"/>
            <w:tcBorders>
              <w:bottom w:val="single" w:sz="2" w:space="0" w:color="auto"/>
            </w:tcBorders>
            <w:vAlign w:val="bottom"/>
          </w:tcPr>
          <w:p w14:paraId="48D570D3" w14:textId="77777777" w:rsidR="00773F7B" w:rsidRPr="006D1798" w:rsidRDefault="00773F7B" w:rsidP="00773F7B">
            <w:pPr>
              <w:pStyle w:val="T2"/>
              <w:jc w:val="left"/>
            </w:pPr>
          </w:p>
        </w:tc>
        <w:tc>
          <w:tcPr>
            <w:tcW w:w="992" w:type="dxa"/>
            <w:tcBorders>
              <w:bottom w:val="single" w:sz="2" w:space="0" w:color="auto"/>
            </w:tcBorders>
            <w:vAlign w:val="bottom"/>
          </w:tcPr>
          <w:p w14:paraId="3F561A2E" w14:textId="77777777" w:rsidR="00773F7B" w:rsidRDefault="00773F7B" w:rsidP="00773F7B">
            <w:pPr>
              <w:pStyle w:val="T2"/>
              <w:jc w:val="right"/>
              <w:rPr>
                <w:b/>
              </w:rPr>
            </w:pPr>
            <w:r w:rsidRPr="005C7C70">
              <w:rPr>
                <w:b/>
              </w:rPr>
              <w:t>£m</w:t>
            </w:r>
          </w:p>
        </w:tc>
        <w:tc>
          <w:tcPr>
            <w:tcW w:w="1134" w:type="dxa"/>
            <w:tcBorders>
              <w:bottom w:val="single" w:sz="2" w:space="0" w:color="auto"/>
            </w:tcBorders>
          </w:tcPr>
          <w:p w14:paraId="65373425" w14:textId="77777777" w:rsidR="00773F7B" w:rsidRPr="00405D63" w:rsidRDefault="00773F7B" w:rsidP="00773F7B">
            <w:pPr>
              <w:pStyle w:val="T2"/>
              <w:jc w:val="right"/>
            </w:pPr>
            <w:r w:rsidRPr="00405D63">
              <w:t>£m</w:t>
            </w:r>
          </w:p>
        </w:tc>
        <w:tc>
          <w:tcPr>
            <w:tcW w:w="1076" w:type="dxa"/>
            <w:tcBorders>
              <w:bottom w:val="single" w:sz="2" w:space="0" w:color="auto"/>
            </w:tcBorders>
            <w:vAlign w:val="bottom"/>
          </w:tcPr>
          <w:p w14:paraId="11D85CB1" w14:textId="77777777" w:rsidR="00773F7B" w:rsidRPr="00405D63" w:rsidRDefault="00773F7B" w:rsidP="00773F7B">
            <w:pPr>
              <w:pStyle w:val="T2"/>
              <w:jc w:val="right"/>
            </w:pPr>
            <w:r w:rsidRPr="00405D63">
              <w:t>£m</w:t>
            </w:r>
          </w:p>
        </w:tc>
      </w:tr>
      <w:tr w:rsidR="00B80931" w14:paraId="1DE3185C" w14:textId="77777777" w:rsidTr="00AE207A">
        <w:trPr>
          <w:trHeight w:val="211"/>
          <w:jc w:val="center"/>
        </w:trPr>
        <w:tc>
          <w:tcPr>
            <w:tcW w:w="6576" w:type="dxa"/>
            <w:tcBorders>
              <w:top w:val="single" w:sz="2" w:space="0" w:color="auto"/>
            </w:tcBorders>
            <w:vAlign w:val="bottom"/>
          </w:tcPr>
          <w:p w14:paraId="2CB56017" w14:textId="77777777" w:rsidR="00B80931" w:rsidRPr="00B80931" w:rsidRDefault="00B80931" w:rsidP="00773F7B">
            <w:pPr>
              <w:pStyle w:val="T2"/>
              <w:jc w:val="left"/>
              <w:rPr>
                <w:b/>
              </w:rPr>
            </w:pPr>
            <w:r w:rsidRPr="00B80931">
              <w:rPr>
                <w:b/>
              </w:rPr>
              <w:t xml:space="preserve">Current </w:t>
            </w:r>
          </w:p>
        </w:tc>
        <w:tc>
          <w:tcPr>
            <w:tcW w:w="992" w:type="dxa"/>
            <w:tcBorders>
              <w:top w:val="single" w:sz="2" w:space="0" w:color="auto"/>
            </w:tcBorders>
          </w:tcPr>
          <w:p w14:paraId="45340E86" w14:textId="77777777" w:rsidR="00B80931" w:rsidRDefault="00B80931" w:rsidP="00773F7B">
            <w:pPr>
              <w:pStyle w:val="T2"/>
              <w:jc w:val="right"/>
              <w:rPr>
                <w:b/>
                <w:bCs/>
              </w:rPr>
            </w:pPr>
          </w:p>
        </w:tc>
        <w:tc>
          <w:tcPr>
            <w:tcW w:w="1134" w:type="dxa"/>
            <w:tcBorders>
              <w:top w:val="single" w:sz="2" w:space="0" w:color="auto"/>
            </w:tcBorders>
          </w:tcPr>
          <w:p w14:paraId="791DFF0C" w14:textId="77777777" w:rsidR="00B80931" w:rsidRPr="00405D63" w:rsidRDefault="00B80931" w:rsidP="00773F7B">
            <w:pPr>
              <w:pStyle w:val="T2"/>
              <w:jc w:val="right"/>
              <w:rPr>
                <w:bCs/>
              </w:rPr>
            </w:pPr>
          </w:p>
        </w:tc>
        <w:tc>
          <w:tcPr>
            <w:tcW w:w="1076" w:type="dxa"/>
            <w:tcBorders>
              <w:top w:val="single" w:sz="2" w:space="0" w:color="auto"/>
            </w:tcBorders>
            <w:vAlign w:val="bottom"/>
          </w:tcPr>
          <w:p w14:paraId="0ECE5D6F" w14:textId="77777777" w:rsidR="00B80931" w:rsidRDefault="00B80931" w:rsidP="00773F7B">
            <w:pPr>
              <w:pStyle w:val="T2"/>
              <w:jc w:val="right"/>
              <w:rPr>
                <w:bCs/>
              </w:rPr>
            </w:pPr>
          </w:p>
        </w:tc>
      </w:tr>
      <w:tr w:rsidR="00B80931" w14:paraId="7D3F4A93" w14:textId="77777777" w:rsidTr="00AE207A">
        <w:trPr>
          <w:trHeight w:val="211"/>
          <w:jc w:val="center"/>
        </w:trPr>
        <w:tc>
          <w:tcPr>
            <w:tcW w:w="6576" w:type="dxa"/>
            <w:vAlign w:val="bottom"/>
          </w:tcPr>
          <w:p w14:paraId="2C2A3B45" w14:textId="77777777" w:rsidR="00B80931" w:rsidRPr="006D1798" w:rsidRDefault="00F15D5E" w:rsidP="00773F7B">
            <w:pPr>
              <w:pStyle w:val="T2"/>
              <w:jc w:val="left"/>
            </w:pPr>
            <w:r>
              <w:t>Bank overdrafts</w:t>
            </w:r>
          </w:p>
        </w:tc>
        <w:tc>
          <w:tcPr>
            <w:tcW w:w="992" w:type="dxa"/>
          </w:tcPr>
          <w:p w14:paraId="6B30823B" w14:textId="77777777" w:rsidR="00B80931" w:rsidRPr="00B80931" w:rsidRDefault="00E25584" w:rsidP="00773F7B">
            <w:pPr>
              <w:pStyle w:val="T2"/>
              <w:jc w:val="right"/>
              <w:rPr>
                <w:b/>
                <w:bCs/>
              </w:rPr>
            </w:pPr>
            <w:r>
              <w:rPr>
                <w:b/>
                <w:bCs/>
              </w:rPr>
              <w:t>(31.4)</w:t>
            </w:r>
          </w:p>
        </w:tc>
        <w:tc>
          <w:tcPr>
            <w:tcW w:w="1134" w:type="dxa"/>
          </w:tcPr>
          <w:p w14:paraId="3F010C2B" w14:textId="77777777" w:rsidR="00B80931" w:rsidRPr="00405D63" w:rsidRDefault="00B80931" w:rsidP="00773F7B">
            <w:pPr>
              <w:pStyle w:val="T2"/>
              <w:jc w:val="right"/>
              <w:rPr>
                <w:bCs/>
              </w:rPr>
            </w:pPr>
            <w:r>
              <w:rPr>
                <w:bCs/>
              </w:rPr>
              <w:t>(220.0)</w:t>
            </w:r>
          </w:p>
        </w:tc>
        <w:tc>
          <w:tcPr>
            <w:tcW w:w="1076" w:type="dxa"/>
            <w:vAlign w:val="bottom"/>
          </w:tcPr>
          <w:p w14:paraId="263C957B" w14:textId="77777777" w:rsidR="00B80931" w:rsidRDefault="00B80931" w:rsidP="00773F7B">
            <w:pPr>
              <w:pStyle w:val="T2"/>
              <w:jc w:val="right"/>
              <w:rPr>
                <w:bCs/>
              </w:rPr>
            </w:pPr>
            <w:r>
              <w:rPr>
                <w:bCs/>
              </w:rPr>
              <w:t>(238.1)</w:t>
            </w:r>
          </w:p>
        </w:tc>
      </w:tr>
      <w:tr w:rsidR="00E25584" w14:paraId="5A1D5512" w14:textId="77777777" w:rsidTr="00AE207A">
        <w:trPr>
          <w:trHeight w:val="211"/>
          <w:jc w:val="center"/>
        </w:trPr>
        <w:tc>
          <w:tcPr>
            <w:tcW w:w="6576" w:type="dxa"/>
            <w:tcBorders>
              <w:bottom w:val="single" w:sz="2" w:space="0" w:color="auto"/>
            </w:tcBorders>
            <w:vAlign w:val="bottom"/>
          </w:tcPr>
          <w:p w14:paraId="001CE0C4" w14:textId="77777777" w:rsidR="00E25584" w:rsidRPr="00E25584" w:rsidRDefault="00E25584" w:rsidP="00773F7B">
            <w:pPr>
              <w:pStyle w:val="T2"/>
              <w:jc w:val="left"/>
            </w:pPr>
            <w:r w:rsidRPr="00E25584">
              <w:t>Private placement notes</w:t>
            </w:r>
          </w:p>
        </w:tc>
        <w:tc>
          <w:tcPr>
            <w:tcW w:w="992" w:type="dxa"/>
            <w:tcBorders>
              <w:bottom w:val="single" w:sz="2" w:space="0" w:color="auto"/>
            </w:tcBorders>
          </w:tcPr>
          <w:p w14:paraId="6EE78050" w14:textId="77777777" w:rsidR="00E25584" w:rsidRPr="00E25584" w:rsidRDefault="00E25584" w:rsidP="00F10AF9">
            <w:pPr>
              <w:pStyle w:val="T2"/>
              <w:jc w:val="right"/>
              <w:rPr>
                <w:b/>
                <w:bCs/>
              </w:rPr>
            </w:pPr>
            <w:r w:rsidRPr="00E25584">
              <w:rPr>
                <w:b/>
                <w:bCs/>
              </w:rPr>
              <w:t>(47.</w:t>
            </w:r>
            <w:r w:rsidR="00F10AF9">
              <w:rPr>
                <w:b/>
                <w:bCs/>
              </w:rPr>
              <w:t>6</w:t>
            </w:r>
            <w:r w:rsidRPr="00E25584">
              <w:rPr>
                <w:b/>
                <w:bCs/>
              </w:rPr>
              <w:t>)</w:t>
            </w:r>
          </w:p>
        </w:tc>
        <w:tc>
          <w:tcPr>
            <w:tcW w:w="1134" w:type="dxa"/>
            <w:tcBorders>
              <w:bottom w:val="single" w:sz="2" w:space="0" w:color="auto"/>
            </w:tcBorders>
          </w:tcPr>
          <w:p w14:paraId="42327759" w14:textId="77777777" w:rsidR="00E25584" w:rsidRPr="00E25584" w:rsidRDefault="00E25584" w:rsidP="00773F7B">
            <w:pPr>
              <w:pStyle w:val="T2"/>
              <w:jc w:val="right"/>
              <w:rPr>
                <w:bCs/>
              </w:rPr>
            </w:pPr>
            <w:r w:rsidRPr="00E25584">
              <w:rPr>
                <w:bCs/>
              </w:rPr>
              <w:t>–</w:t>
            </w:r>
          </w:p>
        </w:tc>
        <w:tc>
          <w:tcPr>
            <w:tcW w:w="1076" w:type="dxa"/>
            <w:tcBorders>
              <w:bottom w:val="single" w:sz="2" w:space="0" w:color="auto"/>
            </w:tcBorders>
            <w:vAlign w:val="bottom"/>
          </w:tcPr>
          <w:p w14:paraId="251963FB" w14:textId="77777777" w:rsidR="00E25584" w:rsidRPr="00E25584" w:rsidRDefault="00E25584" w:rsidP="00773F7B">
            <w:pPr>
              <w:pStyle w:val="T2"/>
              <w:jc w:val="right"/>
              <w:rPr>
                <w:bCs/>
              </w:rPr>
            </w:pPr>
            <w:r w:rsidRPr="00E25584">
              <w:rPr>
                <w:bCs/>
              </w:rPr>
              <w:t>–</w:t>
            </w:r>
          </w:p>
        </w:tc>
      </w:tr>
      <w:tr w:rsidR="00B80931" w14:paraId="087630B8" w14:textId="77777777" w:rsidTr="00AE207A">
        <w:trPr>
          <w:trHeight w:val="211"/>
          <w:jc w:val="center"/>
        </w:trPr>
        <w:tc>
          <w:tcPr>
            <w:tcW w:w="6576" w:type="dxa"/>
            <w:tcBorders>
              <w:top w:val="single" w:sz="2" w:space="0" w:color="auto"/>
              <w:bottom w:val="single" w:sz="2" w:space="0" w:color="auto"/>
            </w:tcBorders>
            <w:vAlign w:val="bottom"/>
          </w:tcPr>
          <w:p w14:paraId="325578EB" w14:textId="77777777" w:rsidR="00B80931" w:rsidRPr="00B80931" w:rsidRDefault="00B80931" w:rsidP="00773F7B">
            <w:pPr>
              <w:pStyle w:val="T2"/>
              <w:jc w:val="left"/>
              <w:rPr>
                <w:b/>
              </w:rPr>
            </w:pPr>
            <w:r w:rsidRPr="00B80931">
              <w:rPr>
                <w:b/>
              </w:rPr>
              <w:t>Total current borrowings</w:t>
            </w:r>
          </w:p>
        </w:tc>
        <w:tc>
          <w:tcPr>
            <w:tcW w:w="992" w:type="dxa"/>
            <w:tcBorders>
              <w:top w:val="single" w:sz="2" w:space="0" w:color="auto"/>
              <w:bottom w:val="single" w:sz="2" w:space="0" w:color="auto"/>
            </w:tcBorders>
          </w:tcPr>
          <w:p w14:paraId="140C9FFF" w14:textId="77777777" w:rsidR="00B80931" w:rsidRDefault="00E25584" w:rsidP="00F10AF9">
            <w:pPr>
              <w:pStyle w:val="T2"/>
              <w:jc w:val="right"/>
              <w:rPr>
                <w:b/>
                <w:bCs/>
              </w:rPr>
            </w:pPr>
            <w:r>
              <w:rPr>
                <w:b/>
                <w:bCs/>
              </w:rPr>
              <w:t>(7</w:t>
            </w:r>
            <w:r w:rsidR="00F10AF9">
              <w:rPr>
                <w:b/>
                <w:bCs/>
              </w:rPr>
              <w:t>9.0</w:t>
            </w:r>
            <w:r>
              <w:rPr>
                <w:b/>
                <w:bCs/>
              </w:rPr>
              <w:t>)</w:t>
            </w:r>
          </w:p>
        </w:tc>
        <w:tc>
          <w:tcPr>
            <w:tcW w:w="1134" w:type="dxa"/>
            <w:tcBorders>
              <w:top w:val="single" w:sz="2" w:space="0" w:color="auto"/>
              <w:bottom w:val="single" w:sz="2" w:space="0" w:color="auto"/>
            </w:tcBorders>
          </w:tcPr>
          <w:p w14:paraId="4362BE32" w14:textId="77777777" w:rsidR="00B80931" w:rsidRPr="00405D63" w:rsidRDefault="00B80931" w:rsidP="00773F7B">
            <w:pPr>
              <w:pStyle w:val="T2"/>
              <w:jc w:val="right"/>
              <w:rPr>
                <w:bCs/>
              </w:rPr>
            </w:pPr>
            <w:r>
              <w:rPr>
                <w:bCs/>
              </w:rPr>
              <w:t>(220.0)</w:t>
            </w:r>
          </w:p>
        </w:tc>
        <w:tc>
          <w:tcPr>
            <w:tcW w:w="1076" w:type="dxa"/>
            <w:tcBorders>
              <w:top w:val="single" w:sz="2" w:space="0" w:color="auto"/>
              <w:bottom w:val="single" w:sz="2" w:space="0" w:color="auto"/>
            </w:tcBorders>
            <w:vAlign w:val="bottom"/>
          </w:tcPr>
          <w:p w14:paraId="3E2765B9" w14:textId="77777777" w:rsidR="00B80931" w:rsidRDefault="00B80931" w:rsidP="00773F7B">
            <w:pPr>
              <w:pStyle w:val="T2"/>
              <w:jc w:val="right"/>
              <w:rPr>
                <w:bCs/>
              </w:rPr>
            </w:pPr>
            <w:r>
              <w:rPr>
                <w:bCs/>
              </w:rPr>
              <w:t>(238.1)</w:t>
            </w:r>
          </w:p>
        </w:tc>
      </w:tr>
      <w:tr w:rsidR="00B80931" w14:paraId="61EA5640" w14:textId="77777777" w:rsidTr="00AE207A">
        <w:trPr>
          <w:trHeight w:val="211"/>
          <w:jc w:val="center"/>
        </w:trPr>
        <w:tc>
          <w:tcPr>
            <w:tcW w:w="6576" w:type="dxa"/>
            <w:tcBorders>
              <w:top w:val="single" w:sz="2" w:space="0" w:color="auto"/>
            </w:tcBorders>
            <w:vAlign w:val="bottom"/>
          </w:tcPr>
          <w:p w14:paraId="3937B366" w14:textId="77777777" w:rsidR="00B80931" w:rsidRPr="00B80931" w:rsidRDefault="00CF12F0" w:rsidP="00CF12F0">
            <w:pPr>
              <w:pStyle w:val="T2"/>
              <w:jc w:val="left"/>
              <w:rPr>
                <w:b/>
              </w:rPr>
            </w:pPr>
            <w:r>
              <w:rPr>
                <w:b/>
              </w:rPr>
              <w:t>Non-current</w:t>
            </w:r>
          </w:p>
        </w:tc>
        <w:tc>
          <w:tcPr>
            <w:tcW w:w="992" w:type="dxa"/>
            <w:tcBorders>
              <w:top w:val="single" w:sz="2" w:space="0" w:color="auto"/>
            </w:tcBorders>
          </w:tcPr>
          <w:p w14:paraId="28EA1E82" w14:textId="77777777" w:rsidR="00B80931" w:rsidRDefault="00B80931" w:rsidP="00773F7B">
            <w:pPr>
              <w:pStyle w:val="T2"/>
              <w:jc w:val="right"/>
              <w:rPr>
                <w:b/>
                <w:bCs/>
              </w:rPr>
            </w:pPr>
          </w:p>
        </w:tc>
        <w:tc>
          <w:tcPr>
            <w:tcW w:w="1134" w:type="dxa"/>
            <w:tcBorders>
              <w:top w:val="single" w:sz="2" w:space="0" w:color="auto"/>
            </w:tcBorders>
          </w:tcPr>
          <w:p w14:paraId="38A11B86" w14:textId="77777777" w:rsidR="00B80931" w:rsidRPr="00405D63" w:rsidRDefault="00B80931" w:rsidP="00773F7B">
            <w:pPr>
              <w:pStyle w:val="T2"/>
              <w:jc w:val="right"/>
              <w:rPr>
                <w:bCs/>
              </w:rPr>
            </w:pPr>
          </w:p>
        </w:tc>
        <w:tc>
          <w:tcPr>
            <w:tcW w:w="1076" w:type="dxa"/>
            <w:tcBorders>
              <w:top w:val="single" w:sz="2" w:space="0" w:color="auto"/>
            </w:tcBorders>
            <w:vAlign w:val="bottom"/>
          </w:tcPr>
          <w:p w14:paraId="17A9A34C" w14:textId="77777777" w:rsidR="00B80931" w:rsidRDefault="00B80931" w:rsidP="00773F7B">
            <w:pPr>
              <w:pStyle w:val="T2"/>
              <w:jc w:val="right"/>
              <w:rPr>
                <w:bCs/>
              </w:rPr>
            </w:pPr>
          </w:p>
        </w:tc>
      </w:tr>
      <w:tr w:rsidR="00B80931" w14:paraId="6DA9B7F4" w14:textId="77777777" w:rsidTr="00AE207A">
        <w:trPr>
          <w:trHeight w:val="211"/>
          <w:jc w:val="center"/>
        </w:trPr>
        <w:tc>
          <w:tcPr>
            <w:tcW w:w="6576" w:type="dxa"/>
            <w:vAlign w:val="bottom"/>
          </w:tcPr>
          <w:p w14:paraId="75FBC591" w14:textId="77777777" w:rsidR="00B80931" w:rsidRPr="006D1798" w:rsidRDefault="00B80931" w:rsidP="00B80931">
            <w:pPr>
              <w:pStyle w:val="T2"/>
              <w:jc w:val="left"/>
            </w:pPr>
            <w:r w:rsidRPr="006D1798">
              <w:t>Bank borrowings</w:t>
            </w:r>
          </w:p>
        </w:tc>
        <w:tc>
          <w:tcPr>
            <w:tcW w:w="992" w:type="dxa"/>
          </w:tcPr>
          <w:p w14:paraId="56D7303A" w14:textId="77777777" w:rsidR="00B80931" w:rsidRPr="005D0EFF" w:rsidRDefault="00E25584" w:rsidP="00B80931">
            <w:pPr>
              <w:pStyle w:val="T2"/>
              <w:jc w:val="right"/>
              <w:rPr>
                <w:b/>
                <w:bCs/>
              </w:rPr>
            </w:pPr>
            <w:r>
              <w:rPr>
                <w:b/>
                <w:bCs/>
              </w:rPr>
              <w:t>(181.7)</w:t>
            </w:r>
          </w:p>
        </w:tc>
        <w:tc>
          <w:tcPr>
            <w:tcW w:w="1134" w:type="dxa"/>
          </w:tcPr>
          <w:p w14:paraId="18621849" w14:textId="77777777" w:rsidR="00B80931" w:rsidRPr="00405D63" w:rsidRDefault="00B80931" w:rsidP="00B80931">
            <w:pPr>
              <w:pStyle w:val="T2"/>
              <w:jc w:val="right"/>
              <w:rPr>
                <w:bCs/>
              </w:rPr>
            </w:pPr>
            <w:r w:rsidRPr="00405D63">
              <w:rPr>
                <w:bCs/>
              </w:rPr>
              <w:t>(</w:t>
            </w:r>
            <w:r>
              <w:rPr>
                <w:bCs/>
              </w:rPr>
              <w:t>283.5</w:t>
            </w:r>
            <w:r w:rsidRPr="00405D63">
              <w:rPr>
                <w:bCs/>
              </w:rPr>
              <w:t>)</w:t>
            </w:r>
          </w:p>
        </w:tc>
        <w:tc>
          <w:tcPr>
            <w:tcW w:w="1076" w:type="dxa"/>
            <w:vAlign w:val="bottom"/>
          </w:tcPr>
          <w:p w14:paraId="064A5BA0" w14:textId="77777777" w:rsidR="00B80931" w:rsidRPr="005D0EFF" w:rsidRDefault="00B80931" w:rsidP="00B80931">
            <w:pPr>
              <w:pStyle w:val="T2"/>
              <w:jc w:val="right"/>
              <w:rPr>
                <w:bCs/>
              </w:rPr>
            </w:pPr>
            <w:r>
              <w:rPr>
                <w:bCs/>
              </w:rPr>
              <w:t>(230.7)</w:t>
            </w:r>
          </w:p>
        </w:tc>
      </w:tr>
      <w:tr w:rsidR="00B80931" w14:paraId="4BE87373" w14:textId="77777777" w:rsidTr="00AE207A">
        <w:trPr>
          <w:trHeight w:val="211"/>
          <w:jc w:val="center"/>
        </w:trPr>
        <w:tc>
          <w:tcPr>
            <w:tcW w:w="6576" w:type="dxa"/>
            <w:tcBorders>
              <w:bottom w:val="single" w:sz="2" w:space="0" w:color="auto"/>
            </w:tcBorders>
            <w:vAlign w:val="bottom"/>
          </w:tcPr>
          <w:p w14:paraId="2302F9A3" w14:textId="77777777" w:rsidR="00B80931" w:rsidRPr="006D1798" w:rsidRDefault="00B80931" w:rsidP="00B80931">
            <w:pPr>
              <w:pStyle w:val="T2"/>
              <w:jc w:val="left"/>
            </w:pPr>
            <w:r w:rsidRPr="006D1798">
              <w:t xml:space="preserve">Private </w:t>
            </w:r>
            <w:r>
              <w:t>p</w:t>
            </w:r>
            <w:r w:rsidRPr="006D1798">
              <w:t xml:space="preserve">lacement </w:t>
            </w:r>
            <w:r>
              <w:t>n</w:t>
            </w:r>
            <w:r w:rsidRPr="006D1798">
              <w:t>otes</w:t>
            </w:r>
          </w:p>
        </w:tc>
        <w:tc>
          <w:tcPr>
            <w:tcW w:w="992" w:type="dxa"/>
            <w:tcBorders>
              <w:bottom w:val="single" w:sz="2" w:space="0" w:color="auto"/>
            </w:tcBorders>
          </w:tcPr>
          <w:p w14:paraId="442FAE91" w14:textId="77777777" w:rsidR="00B80931" w:rsidRPr="005D0EFF" w:rsidRDefault="00E25584" w:rsidP="00F10AF9">
            <w:pPr>
              <w:pStyle w:val="T2"/>
              <w:jc w:val="right"/>
              <w:rPr>
                <w:b/>
                <w:bCs/>
              </w:rPr>
            </w:pPr>
            <w:r>
              <w:rPr>
                <w:b/>
                <w:bCs/>
              </w:rPr>
              <w:t>(59.</w:t>
            </w:r>
            <w:r w:rsidR="00F10AF9">
              <w:rPr>
                <w:b/>
                <w:bCs/>
              </w:rPr>
              <w:t>0</w:t>
            </w:r>
            <w:r>
              <w:rPr>
                <w:b/>
                <w:bCs/>
              </w:rPr>
              <w:t>)</w:t>
            </w:r>
          </w:p>
        </w:tc>
        <w:tc>
          <w:tcPr>
            <w:tcW w:w="1134" w:type="dxa"/>
            <w:tcBorders>
              <w:bottom w:val="single" w:sz="2" w:space="0" w:color="auto"/>
            </w:tcBorders>
          </w:tcPr>
          <w:p w14:paraId="7448CE09" w14:textId="77777777" w:rsidR="00B80931" w:rsidRPr="00405D63" w:rsidRDefault="00B80931" w:rsidP="00B80931">
            <w:pPr>
              <w:pStyle w:val="T2"/>
              <w:jc w:val="right"/>
              <w:rPr>
                <w:bCs/>
              </w:rPr>
            </w:pPr>
            <w:r>
              <w:rPr>
                <w:bCs/>
              </w:rPr>
              <w:t>(114.0</w:t>
            </w:r>
            <w:r w:rsidRPr="00405D63">
              <w:rPr>
                <w:bCs/>
              </w:rPr>
              <w:t>)</w:t>
            </w:r>
          </w:p>
        </w:tc>
        <w:tc>
          <w:tcPr>
            <w:tcW w:w="1076" w:type="dxa"/>
            <w:tcBorders>
              <w:bottom w:val="single" w:sz="2" w:space="0" w:color="auto"/>
            </w:tcBorders>
            <w:vAlign w:val="bottom"/>
          </w:tcPr>
          <w:p w14:paraId="2815158C" w14:textId="77777777" w:rsidR="00B80931" w:rsidRPr="005D0EFF" w:rsidRDefault="00B80931" w:rsidP="00B80931">
            <w:pPr>
              <w:pStyle w:val="T2"/>
              <w:jc w:val="right"/>
              <w:rPr>
                <w:bCs/>
              </w:rPr>
            </w:pPr>
            <w:r>
              <w:rPr>
                <w:bCs/>
              </w:rPr>
              <w:t>(114.9)</w:t>
            </w:r>
          </w:p>
        </w:tc>
      </w:tr>
      <w:tr w:rsidR="00B80931" w14:paraId="50B44858" w14:textId="77777777" w:rsidTr="00AE207A">
        <w:trPr>
          <w:trHeight w:val="211"/>
          <w:jc w:val="center"/>
        </w:trPr>
        <w:tc>
          <w:tcPr>
            <w:tcW w:w="6576" w:type="dxa"/>
            <w:tcBorders>
              <w:top w:val="single" w:sz="2" w:space="0" w:color="auto"/>
              <w:bottom w:val="single" w:sz="2" w:space="0" w:color="auto"/>
            </w:tcBorders>
            <w:vAlign w:val="bottom"/>
          </w:tcPr>
          <w:p w14:paraId="2FA1E995" w14:textId="77777777" w:rsidR="00B80931" w:rsidRDefault="00B80931" w:rsidP="00B80931">
            <w:pPr>
              <w:pStyle w:val="T2"/>
              <w:jc w:val="left"/>
              <w:rPr>
                <w:b/>
              </w:rPr>
            </w:pPr>
            <w:r>
              <w:rPr>
                <w:b/>
              </w:rPr>
              <w:t>Total non-current borrowings</w:t>
            </w:r>
          </w:p>
        </w:tc>
        <w:tc>
          <w:tcPr>
            <w:tcW w:w="992" w:type="dxa"/>
            <w:tcBorders>
              <w:top w:val="single" w:sz="2" w:space="0" w:color="auto"/>
              <w:bottom w:val="single" w:sz="2" w:space="0" w:color="auto"/>
            </w:tcBorders>
          </w:tcPr>
          <w:p w14:paraId="718AB4B2" w14:textId="77777777" w:rsidR="00B80931" w:rsidRDefault="00E25584" w:rsidP="00F10AF9">
            <w:pPr>
              <w:pStyle w:val="T2"/>
              <w:jc w:val="right"/>
              <w:rPr>
                <w:b/>
                <w:bCs/>
              </w:rPr>
            </w:pPr>
            <w:r>
              <w:rPr>
                <w:b/>
                <w:bCs/>
              </w:rPr>
              <w:t>(24</w:t>
            </w:r>
            <w:r w:rsidR="00F10AF9">
              <w:rPr>
                <w:b/>
                <w:bCs/>
              </w:rPr>
              <w:t>0</w:t>
            </w:r>
            <w:r>
              <w:rPr>
                <w:b/>
                <w:bCs/>
              </w:rPr>
              <w:t>.</w:t>
            </w:r>
            <w:r w:rsidR="00F10AF9">
              <w:rPr>
                <w:b/>
                <w:bCs/>
              </w:rPr>
              <w:t>7</w:t>
            </w:r>
            <w:r>
              <w:rPr>
                <w:b/>
                <w:bCs/>
              </w:rPr>
              <w:t>)</w:t>
            </w:r>
          </w:p>
        </w:tc>
        <w:tc>
          <w:tcPr>
            <w:tcW w:w="1134" w:type="dxa"/>
            <w:tcBorders>
              <w:top w:val="single" w:sz="2" w:space="0" w:color="auto"/>
              <w:bottom w:val="single" w:sz="2" w:space="0" w:color="auto"/>
            </w:tcBorders>
          </w:tcPr>
          <w:p w14:paraId="7142FA03" w14:textId="77777777" w:rsidR="00B80931" w:rsidRPr="001E1407" w:rsidRDefault="00B80931" w:rsidP="00B80931">
            <w:pPr>
              <w:pStyle w:val="T2"/>
              <w:jc w:val="right"/>
              <w:rPr>
                <w:bCs/>
              </w:rPr>
            </w:pPr>
            <w:r>
              <w:rPr>
                <w:bCs/>
              </w:rPr>
              <w:t>(397.5)</w:t>
            </w:r>
          </w:p>
        </w:tc>
        <w:tc>
          <w:tcPr>
            <w:tcW w:w="1076" w:type="dxa"/>
            <w:tcBorders>
              <w:top w:val="single" w:sz="2" w:space="0" w:color="auto"/>
              <w:bottom w:val="single" w:sz="2" w:space="0" w:color="auto"/>
            </w:tcBorders>
            <w:vAlign w:val="bottom"/>
          </w:tcPr>
          <w:p w14:paraId="317E2DEA" w14:textId="77777777" w:rsidR="00B80931" w:rsidRPr="001E1407" w:rsidRDefault="00B80931" w:rsidP="00B80931">
            <w:pPr>
              <w:pStyle w:val="T2"/>
              <w:jc w:val="right"/>
              <w:rPr>
                <w:bCs/>
              </w:rPr>
            </w:pPr>
            <w:r>
              <w:rPr>
                <w:bCs/>
              </w:rPr>
              <w:t>(345.6)</w:t>
            </w:r>
          </w:p>
        </w:tc>
      </w:tr>
      <w:tr w:rsidR="00B80931" w14:paraId="2487CF4A" w14:textId="77777777" w:rsidTr="00AE207A">
        <w:trPr>
          <w:trHeight w:val="211"/>
          <w:jc w:val="center"/>
        </w:trPr>
        <w:tc>
          <w:tcPr>
            <w:tcW w:w="6576" w:type="dxa"/>
            <w:tcBorders>
              <w:top w:val="single" w:sz="2" w:space="0" w:color="auto"/>
              <w:bottom w:val="single" w:sz="2" w:space="0" w:color="auto"/>
            </w:tcBorders>
            <w:vAlign w:val="bottom"/>
          </w:tcPr>
          <w:p w14:paraId="2F4825BF" w14:textId="77777777" w:rsidR="00B80931" w:rsidRPr="0026155F" w:rsidRDefault="00B80931" w:rsidP="00B80931">
            <w:pPr>
              <w:pStyle w:val="T2"/>
              <w:jc w:val="left"/>
              <w:rPr>
                <w:b/>
              </w:rPr>
            </w:pPr>
            <w:r>
              <w:rPr>
                <w:b/>
              </w:rPr>
              <w:t>Total borrowings</w:t>
            </w:r>
          </w:p>
        </w:tc>
        <w:tc>
          <w:tcPr>
            <w:tcW w:w="992" w:type="dxa"/>
            <w:tcBorders>
              <w:top w:val="single" w:sz="2" w:space="0" w:color="auto"/>
              <w:bottom w:val="single" w:sz="2" w:space="0" w:color="auto"/>
            </w:tcBorders>
          </w:tcPr>
          <w:p w14:paraId="7DDCD8B0" w14:textId="77777777" w:rsidR="00B80931" w:rsidRPr="0026155F" w:rsidRDefault="00E25584" w:rsidP="00F10AF9">
            <w:pPr>
              <w:pStyle w:val="T2"/>
              <w:jc w:val="right"/>
              <w:rPr>
                <w:b/>
                <w:bCs/>
              </w:rPr>
            </w:pPr>
            <w:r>
              <w:rPr>
                <w:b/>
                <w:bCs/>
              </w:rPr>
              <w:t>(319.</w:t>
            </w:r>
            <w:r w:rsidR="00F10AF9">
              <w:rPr>
                <w:b/>
                <w:bCs/>
              </w:rPr>
              <w:t>7</w:t>
            </w:r>
            <w:r>
              <w:rPr>
                <w:b/>
                <w:bCs/>
              </w:rPr>
              <w:t>)</w:t>
            </w:r>
          </w:p>
        </w:tc>
        <w:tc>
          <w:tcPr>
            <w:tcW w:w="1134" w:type="dxa"/>
            <w:tcBorders>
              <w:top w:val="single" w:sz="2" w:space="0" w:color="auto"/>
              <w:bottom w:val="single" w:sz="2" w:space="0" w:color="auto"/>
            </w:tcBorders>
          </w:tcPr>
          <w:p w14:paraId="1C71E302" w14:textId="77777777" w:rsidR="00B80931" w:rsidRPr="001E1407" w:rsidRDefault="00B80931" w:rsidP="00B80931">
            <w:pPr>
              <w:pStyle w:val="T2"/>
              <w:jc w:val="right"/>
              <w:rPr>
                <w:bCs/>
              </w:rPr>
            </w:pPr>
            <w:r w:rsidRPr="001E1407">
              <w:rPr>
                <w:bCs/>
              </w:rPr>
              <w:t>(</w:t>
            </w:r>
            <w:r>
              <w:rPr>
                <w:bCs/>
              </w:rPr>
              <w:t>617.5</w:t>
            </w:r>
            <w:r w:rsidRPr="001E1407">
              <w:rPr>
                <w:bCs/>
              </w:rPr>
              <w:t>)</w:t>
            </w:r>
          </w:p>
        </w:tc>
        <w:tc>
          <w:tcPr>
            <w:tcW w:w="1076" w:type="dxa"/>
            <w:tcBorders>
              <w:top w:val="single" w:sz="2" w:space="0" w:color="auto"/>
              <w:bottom w:val="single" w:sz="2" w:space="0" w:color="auto"/>
            </w:tcBorders>
            <w:vAlign w:val="bottom"/>
          </w:tcPr>
          <w:p w14:paraId="581E7BFF" w14:textId="77777777" w:rsidR="00B80931" w:rsidRPr="001E1407" w:rsidRDefault="00B80931" w:rsidP="00B80931">
            <w:pPr>
              <w:pStyle w:val="T2"/>
              <w:jc w:val="right"/>
              <w:rPr>
                <w:bCs/>
              </w:rPr>
            </w:pPr>
            <w:r w:rsidRPr="001E1407">
              <w:rPr>
                <w:bCs/>
              </w:rPr>
              <w:t>(</w:t>
            </w:r>
            <w:r>
              <w:rPr>
                <w:bCs/>
              </w:rPr>
              <w:t>583.7</w:t>
            </w:r>
            <w:r w:rsidRPr="001E1407">
              <w:rPr>
                <w:bCs/>
              </w:rPr>
              <w:t>)</w:t>
            </w:r>
          </w:p>
        </w:tc>
      </w:tr>
    </w:tbl>
    <w:p w14:paraId="092801B5" w14:textId="77777777" w:rsidR="00773F7B" w:rsidRPr="00A47449" w:rsidRDefault="00773F7B" w:rsidP="005B3BEE">
      <w:pPr>
        <w:pStyle w:val="Paragraph"/>
        <w:spacing w:after="120"/>
      </w:pPr>
      <w:r w:rsidRPr="00A47449">
        <w:t>The maturity profile of the Group’s borrowings is as follows:</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773F7B" w:rsidRPr="00A47449" w14:paraId="2BFECB8F" w14:textId="77777777" w:rsidTr="00072DB2">
        <w:trPr>
          <w:trHeight w:val="440"/>
          <w:jc w:val="center"/>
        </w:trPr>
        <w:tc>
          <w:tcPr>
            <w:tcW w:w="6576" w:type="dxa"/>
            <w:vAlign w:val="bottom"/>
          </w:tcPr>
          <w:p w14:paraId="5ED63C97" w14:textId="77777777" w:rsidR="00773F7B" w:rsidRPr="00A47449" w:rsidRDefault="00773F7B" w:rsidP="00773F7B">
            <w:pPr>
              <w:pStyle w:val="T2"/>
              <w:jc w:val="left"/>
            </w:pPr>
          </w:p>
        </w:tc>
        <w:tc>
          <w:tcPr>
            <w:tcW w:w="992" w:type="dxa"/>
            <w:vAlign w:val="bottom"/>
          </w:tcPr>
          <w:p w14:paraId="5BDF63C4" w14:textId="77777777" w:rsidR="00773F7B" w:rsidRPr="00A47449" w:rsidRDefault="00773F7B" w:rsidP="00072DB2">
            <w:pPr>
              <w:pStyle w:val="T2"/>
              <w:jc w:val="right"/>
              <w:rPr>
                <w:b/>
              </w:rPr>
            </w:pPr>
            <w:r w:rsidRPr="00A47449">
              <w:rPr>
                <w:b/>
              </w:rPr>
              <w:t>March</w:t>
            </w:r>
          </w:p>
          <w:p w14:paraId="24033A29" w14:textId="77777777" w:rsidR="00773F7B" w:rsidRPr="00A47449" w:rsidRDefault="00773F7B" w:rsidP="00072DB2">
            <w:pPr>
              <w:pStyle w:val="T2"/>
              <w:jc w:val="right"/>
              <w:rPr>
                <w:b/>
              </w:rPr>
            </w:pPr>
            <w:r w:rsidRPr="00A47449">
              <w:rPr>
                <w:b/>
              </w:rPr>
              <w:t>20</w:t>
            </w:r>
            <w:r w:rsidR="00B80931" w:rsidRPr="00A47449">
              <w:rPr>
                <w:b/>
              </w:rPr>
              <w:t>21</w:t>
            </w:r>
          </w:p>
        </w:tc>
        <w:tc>
          <w:tcPr>
            <w:tcW w:w="1134" w:type="dxa"/>
            <w:vAlign w:val="bottom"/>
          </w:tcPr>
          <w:p w14:paraId="2ADAF636" w14:textId="77777777" w:rsidR="00773F7B" w:rsidRPr="00A47449" w:rsidRDefault="00B80931" w:rsidP="00072DB2">
            <w:pPr>
              <w:pStyle w:val="T2"/>
              <w:jc w:val="right"/>
            </w:pPr>
            <w:r w:rsidRPr="00A47449">
              <w:t>September 2020</w:t>
            </w:r>
          </w:p>
        </w:tc>
        <w:tc>
          <w:tcPr>
            <w:tcW w:w="1076" w:type="dxa"/>
            <w:vAlign w:val="bottom"/>
          </w:tcPr>
          <w:p w14:paraId="2D243BC0" w14:textId="77777777" w:rsidR="00773F7B" w:rsidRPr="00A47449" w:rsidRDefault="00773F7B" w:rsidP="00072DB2">
            <w:pPr>
              <w:pStyle w:val="T2"/>
              <w:jc w:val="right"/>
            </w:pPr>
            <w:r w:rsidRPr="00A47449">
              <w:t xml:space="preserve"> March </w:t>
            </w:r>
          </w:p>
          <w:p w14:paraId="62150F30" w14:textId="77777777" w:rsidR="00773F7B" w:rsidRPr="00A47449" w:rsidRDefault="00072DB2" w:rsidP="00072DB2">
            <w:pPr>
              <w:pStyle w:val="T2"/>
              <w:jc w:val="right"/>
            </w:pPr>
            <w:r w:rsidRPr="00A47449">
              <w:t>2020</w:t>
            </w:r>
          </w:p>
          <w:p w14:paraId="5CF4877E" w14:textId="77777777" w:rsidR="00072DB2" w:rsidRPr="00A47449" w:rsidRDefault="00072DB2" w:rsidP="00072DB2">
            <w:pPr>
              <w:pStyle w:val="T2"/>
              <w:jc w:val="right"/>
            </w:pPr>
            <w:r w:rsidRPr="00A47449">
              <w:t>(restated)</w:t>
            </w:r>
          </w:p>
        </w:tc>
      </w:tr>
      <w:tr w:rsidR="00773F7B" w:rsidRPr="00A47449" w14:paraId="3828602E" w14:textId="77777777" w:rsidTr="00CF12F0">
        <w:trPr>
          <w:trHeight w:val="211"/>
          <w:jc w:val="center"/>
        </w:trPr>
        <w:tc>
          <w:tcPr>
            <w:tcW w:w="6576" w:type="dxa"/>
            <w:tcBorders>
              <w:bottom w:val="single" w:sz="2" w:space="0" w:color="auto"/>
            </w:tcBorders>
            <w:vAlign w:val="bottom"/>
          </w:tcPr>
          <w:p w14:paraId="68D3FE2B" w14:textId="77777777" w:rsidR="00773F7B" w:rsidRPr="00A47449" w:rsidRDefault="00773F7B" w:rsidP="00773F7B">
            <w:pPr>
              <w:pStyle w:val="T2"/>
              <w:jc w:val="left"/>
            </w:pPr>
          </w:p>
        </w:tc>
        <w:tc>
          <w:tcPr>
            <w:tcW w:w="992" w:type="dxa"/>
            <w:tcBorders>
              <w:bottom w:val="single" w:sz="2" w:space="0" w:color="auto"/>
            </w:tcBorders>
            <w:vAlign w:val="bottom"/>
          </w:tcPr>
          <w:p w14:paraId="27CAB3EE" w14:textId="77777777" w:rsidR="00773F7B" w:rsidRPr="00A47449" w:rsidRDefault="00773F7B" w:rsidP="00773F7B">
            <w:pPr>
              <w:pStyle w:val="T2"/>
              <w:jc w:val="right"/>
              <w:rPr>
                <w:b/>
              </w:rPr>
            </w:pPr>
            <w:r w:rsidRPr="00A47449">
              <w:rPr>
                <w:b/>
              </w:rPr>
              <w:t>£m</w:t>
            </w:r>
          </w:p>
        </w:tc>
        <w:tc>
          <w:tcPr>
            <w:tcW w:w="1134" w:type="dxa"/>
            <w:tcBorders>
              <w:bottom w:val="single" w:sz="2" w:space="0" w:color="auto"/>
            </w:tcBorders>
          </w:tcPr>
          <w:p w14:paraId="2665720D" w14:textId="77777777" w:rsidR="00773F7B" w:rsidRPr="00A47449" w:rsidRDefault="00773F7B" w:rsidP="00773F7B">
            <w:pPr>
              <w:pStyle w:val="T2"/>
              <w:jc w:val="right"/>
            </w:pPr>
            <w:r w:rsidRPr="00A47449">
              <w:t>£m</w:t>
            </w:r>
          </w:p>
        </w:tc>
        <w:tc>
          <w:tcPr>
            <w:tcW w:w="1076" w:type="dxa"/>
            <w:tcBorders>
              <w:bottom w:val="single" w:sz="2" w:space="0" w:color="auto"/>
            </w:tcBorders>
            <w:vAlign w:val="bottom"/>
          </w:tcPr>
          <w:p w14:paraId="1CD5263B" w14:textId="77777777" w:rsidR="00773F7B" w:rsidRPr="00A47449" w:rsidRDefault="00773F7B" w:rsidP="00773F7B">
            <w:pPr>
              <w:pStyle w:val="T2"/>
              <w:jc w:val="right"/>
            </w:pPr>
            <w:r w:rsidRPr="00A47449">
              <w:t>£m</w:t>
            </w:r>
          </w:p>
        </w:tc>
      </w:tr>
      <w:tr w:rsidR="00CF12F0" w:rsidRPr="00A47449" w14:paraId="5EAB8E6B" w14:textId="77777777" w:rsidTr="005B3BEE">
        <w:trPr>
          <w:trHeight w:val="202"/>
          <w:jc w:val="center"/>
        </w:trPr>
        <w:tc>
          <w:tcPr>
            <w:tcW w:w="6576" w:type="dxa"/>
            <w:tcBorders>
              <w:top w:val="single" w:sz="2" w:space="0" w:color="auto"/>
            </w:tcBorders>
            <w:vAlign w:val="bottom"/>
          </w:tcPr>
          <w:p w14:paraId="7FFE87C5" w14:textId="77777777" w:rsidR="00CF12F0" w:rsidRPr="00A47449" w:rsidRDefault="00CF12F0" w:rsidP="00B80931">
            <w:pPr>
              <w:pStyle w:val="T2"/>
              <w:jc w:val="left"/>
              <w:rPr>
                <w:b/>
              </w:rPr>
            </w:pPr>
            <w:r w:rsidRPr="00A47449">
              <w:rPr>
                <w:b/>
              </w:rPr>
              <w:t xml:space="preserve">Borrowings </w:t>
            </w:r>
          </w:p>
        </w:tc>
        <w:tc>
          <w:tcPr>
            <w:tcW w:w="992" w:type="dxa"/>
            <w:tcBorders>
              <w:top w:val="single" w:sz="2" w:space="0" w:color="auto"/>
            </w:tcBorders>
          </w:tcPr>
          <w:p w14:paraId="62AB8035" w14:textId="77777777" w:rsidR="00CF12F0" w:rsidRPr="00A47449" w:rsidRDefault="00CF12F0" w:rsidP="00F10AF9">
            <w:pPr>
              <w:pStyle w:val="T2"/>
              <w:jc w:val="right"/>
              <w:rPr>
                <w:b/>
                <w:bCs/>
              </w:rPr>
            </w:pPr>
          </w:p>
        </w:tc>
        <w:tc>
          <w:tcPr>
            <w:tcW w:w="1134" w:type="dxa"/>
            <w:tcBorders>
              <w:top w:val="single" w:sz="2" w:space="0" w:color="auto"/>
            </w:tcBorders>
          </w:tcPr>
          <w:p w14:paraId="686263F8" w14:textId="77777777" w:rsidR="00CF12F0" w:rsidRPr="00A47449" w:rsidRDefault="00CF12F0" w:rsidP="00B80931">
            <w:pPr>
              <w:pStyle w:val="T2"/>
              <w:jc w:val="right"/>
              <w:rPr>
                <w:bCs/>
              </w:rPr>
            </w:pPr>
          </w:p>
        </w:tc>
        <w:tc>
          <w:tcPr>
            <w:tcW w:w="1076" w:type="dxa"/>
            <w:tcBorders>
              <w:top w:val="single" w:sz="2" w:space="0" w:color="auto"/>
            </w:tcBorders>
            <w:vAlign w:val="bottom"/>
          </w:tcPr>
          <w:p w14:paraId="21A1FE75" w14:textId="77777777" w:rsidR="00CF12F0" w:rsidRPr="00A47449" w:rsidRDefault="00CF12F0" w:rsidP="00B80931">
            <w:pPr>
              <w:pStyle w:val="T2"/>
              <w:jc w:val="right"/>
              <w:rPr>
                <w:bCs/>
              </w:rPr>
            </w:pPr>
          </w:p>
        </w:tc>
      </w:tr>
      <w:tr w:rsidR="00B80931" w:rsidRPr="00A47449" w14:paraId="69C76ABC" w14:textId="77777777" w:rsidTr="00CF12F0">
        <w:trPr>
          <w:trHeight w:val="202"/>
          <w:jc w:val="center"/>
        </w:trPr>
        <w:tc>
          <w:tcPr>
            <w:tcW w:w="6576" w:type="dxa"/>
            <w:vAlign w:val="bottom"/>
          </w:tcPr>
          <w:p w14:paraId="76837662" w14:textId="77777777" w:rsidR="00B80931" w:rsidRPr="00A47449" w:rsidRDefault="00B80931" w:rsidP="00B80931">
            <w:pPr>
              <w:pStyle w:val="T2"/>
              <w:jc w:val="left"/>
            </w:pPr>
            <w:r w:rsidRPr="00A47449">
              <w:t>Less than one year</w:t>
            </w:r>
          </w:p>
        </w:tc>
        <w:tc>
          <w:tcPr>
            <w:tcW w:w="992" w:type="dxa"/>
          </w:tcPr>
          <w:p w14:paraId="2C6193CD" w14:textId="77777777" w:rsidR="00B80931" w:rsidRPr="00A47449" w:rsidRDefault="00E25584" w:rsidP="00CF12F0">
            <w:pPr>
              <w:pStyle w:val="T2"/>
              <w:jc w:val="right"/>
              <w:rPr>
                <w:b/>
                <w:bCs/>
              </w:rPr>
            </w:pPr>
            <w:r w:rsidRPr="00A47449">
              <w:rPr>
                <w:b/>
                <w:bCs/>
              </w:rPr>
              <w:t>(</w:t>
            </w:r>
            <w:r w:rsidR="00CF12F0" w:rsidRPr="00A47449">
              <w:rPr>
                <w:b/>
                <w:bCs/>
              </w:rPr>
              <w:t>47.6</w:t>
            </w:r>
            <w:r w:rsidRPr="00A47449">
              <w:rPr>
                <w:b/>
                <w:bCs/>
              </w:rPr>
              <w:t>)</w:t>
            </w:r>
          </w:p>
        </w:tc>
        <w:tc>
          <w:tcPr>
            <w:tcW w:w="1134" w:type="dxa"/>
          </w:tcPr>
          <w:p w14:paraId="366FDF3D" w14:textId="77777777" w:rsidR="00B80931" w:rsidRPr="00A47449" w:rsidRDefault="00CF12F0" w:rsidP="00B80931">
            <w:pPr>
              <w:pStyle w:val="T2"/>
              <w:jc w:val="right"/>
              <w:rPr>
                <w:bCs/>
              </w:rPr>
            </w:pPr>
            <w:r w:rsidRPr="00A47449">
              <w:rPr>
                <w:bCs/>
              </w:rPr>
              <w:t>–</w:t>
            </w:r>
          </w:p>
        </w:tc>
        <w:tc>
          <w:tcPr>
            <w:tcW w:w="1076" w:type="dxa"/>
            <w:vAlign w:val="bottom"/>
          </w:tcPr>
          <w:p w14:paraId="7CD3F0BD" w14:textId="77777777" w:rsidR="00B80931" w:rsidRPr="00A47449" w:rsidRDefault="00CF12F0" w:rsidP="00B80931">
            <w:pPr>
              <w:pStyle w:val="T2"/>
              <w:jc w:val="right"/>
              <w:rPr>
                <w:bCs/>
              </w:rPr>
            </w:pPr>
            <w:r w:rsidRPr="00A47449">
              <w:rPr>
                <w:bCs/>
              </w:rPr>
              <w:t>–</w:t>
            </w:r>
          </w:p>
        </w:tc>
      </w:tr>
      <w:tr w:rsidR="00B80931" w:rsidRPr="00A47449" w14:paraId="5463F6F8" w14:textId="77777777" w:rsidTr="00B80931">
        <w:trPr>
          <w:trHeight w:val="202"/>
          <w:jc w:val="center"/>
        </w:trPr>
        <w:tc>
          <w:tcPr>
            <w:tcW w:w="6576" w:type="dxa"/>
            <w:vAlign w:val="bottom"/>
          </w:tcPr>
          <w:p w14:paraId="225693AD" w14:textId="77777777" w:rsidR="00B80931" w:rsidRPr="00A47449" w:rsidRDefault="00B80931" w:rsidP="00B80931">
            <w:pPr>
              <w:pStyle w:val="T2"/>
              <w:jc w:val="left"/>
            </w:pPr>
            <w:r w:rsidRPr="00A47449">
              <w:t>Between one and two years</w:t>
            </w:r>
          </w:p>
        </w:tc>
        <w:tc>
          <w:tcPr>
            <w:tcW w:w="992" w:type="dxa"/>
          </w:tcPr>
          <w:p w14:paraId="6E6C2478" w14:textId="77777777" w:rsidR="00B80931" w:rsidRPr="00A47449" w:rsidRDefault="00B80931" w:rsidP="00B80931">
            <w:pPr>
              <w:pStyle w:val="T2"/>
              <w:jc w:val="right"/>
              <w:rPr>
                <w:b/>
                <w:bCs/>
              </w:rPr>
            </w:pPr>
            <w:r w:rsidRPr="00A47449">
              <w:rPr>
                <w:b/>
                <w:bCs/>
              </w:rPr>
              <w:t>–</w:t>
            </w:r>
          </w:p>
        </w:tc>
        <w:tc>
          <w:tcPr>
            <w:tcW w:w="1134" w:type="dxa"/>
          </w:tcPr>
          <w:p w14:paraId="45BFFA84" w14:textId="77777777" w:rsidR="00B80931" w:rsidRPr="00A47449" w:rsidRDefault="00B80931" w:rsidP="00B80931">
            <w:pPr>
              <w:pStyle w:val="T2"/>
              <w:jc w:val="right"/>
              <w:rPr>
                <w:bCs/>
              </w:rPr>
            </w:pPr>
            <w:r w:rsidRPr="00A47449">
              <w:rPr>
                <w:bCs/>
              </w:rPr>
              <w:t>(101.7)</w:t>
            </w:r>
          </w:p>
        </w:tc>
        <w:tc>
          <w:tcPr>
            <w:tcW w:w="1076" w:type="dxa"/>
            <w:vAlign w:val="bottom"/>
          </w:tcPr>
          <w:p w14:paraId="70FA7B95" w14:textId="77777777" w:rsidR="00B80931" w:rsidRPr="00A47449" w:rsidRDefault="00B80931" w:rsidP="00B80931">
            <w:pPr>
              <w:pStyle w:val="T2"/>
              <w:jc w:val="right"/>
              <w:rPr>
                <w:bCs/>
              </w:rPr>
            </w:pPr>
            <w:r w:rsidRPr="00A47449">
              <w:rPr>
                <w:bCs/>
              </w:rPr>
              <w:t>(102.1)</w:t>
            </w:r>
          </w:p>
        </w:tc>
      </w:tr>
      <w:tr w:rsidR="00B80931" w:rsidRPr="00A47449" w14:paraId="2C841160" w14:textId="77777777" w:rsidTr="005B3BEE">
        <w:trPr>
          <w:trHeight w:val="211"/>
          <w:jc w:val="center"/>
        </w:trPr>
        <w:tc>
          <w:tcPr>
            <w:tcW w:w="6576" w:type="dxa"/>
            <w:vAlign w:val="bottom"/>
          </w:tcPr>
          <w:p w14:paraId="1A065B0B" w14:textId="77777777" w:rsidR="00B80931" w:rsidRPr="00A47449" w:rsidRDefault="00B80931" w:rsidP="00B80931">
            <w:pPr>
              <w:pStyle w:val="T2"/>
              <w:jc w:val="left"/>
            </w:pPr>
            <w:r w:rsidRPr="00A47449">
              <w:t>Between two and five years</w:t>
            </w:r>
          </w:p>
        </w:tc>
        <w:tc>
          <w:tcPr>
            <w:tcW w:w="992" w:type="dxa"/>
          </w:tcPr>
          <w:p w14:paraId="00DF6B66" w14:textId="77777777" w:rsidR="00B80931" w:rsidRPr="00A47449" w:rsidRDefault="00E25584" w:rsidP="00B80931">
            <w:pPr>
              <w:pStyle w:val="T2"/>
              <w:jc w:val="right"/>
              <w:rPr>
                <w:b/>
                <w:bCs/>
              </w:rPr>
            </w:pPr>
            <w:r w:rsidRPr="00A47449">
              <w:rPr>
                <w:b/>
                <w:bCs/>
              </w:rPr>
              <w:t>(226.1)</w:t>
            </w:r>
          </w:p>
        </w:tc>
        <w:tc>
          <w:tcPr>
            <w:tcW w:w="1134" w:type="dxa"/>
          </w:tcPr>
          <w:p w14:paraId="1627D697" w14:textId="77777777" w:rsidR="00B80931" w:rsidRPr="00A47449" w:rsidRDefault="00B80931" w:rsidP="00B80931">
            <w:pPr>
              <w:pStyle w:val="T2"/>
              <w:jc w:val="right"/>
              <w:rPr>
                <w:bCs/>
              </w:rPr>
            </w:pPr>
            <w:r w:rsidRPr="00A47449">
              <w:rPr>
                <w:bCs/>
              </w:rPr>
              <w:t>(280.2)</w:t>
            </w:r>
          </w:p>
        </w:tc>
        <w:tc>
          <w:tcPr>
            <w:tcW w:w="1076" w:type="dxa"/>
            <w:vAlign w:val="bottom"/>
          </w:tcPr>
          <w:p w14:paraId="11600A9E" w14:textId="77777777" w:rsidR="00B80931" w:rsidRPr="00A47449" w:rsidRDefault="00B80931" w:rsidP="00B80931">
            <w:pPr>
              <w:pStyle w:val="T2"/>
              <w:jc w:val="right"/>
              <w:rPr>
                <w:bCs/>
              </w:rPr>
            </w:pPr>
            <w:r w:rsidRPr="00A47449">
              <w:rPr>
                <w:bCs/>
              </w:rPr>
              <w:t>(212.1)</w:t>
            </w:r>
          </w:p>
        </w:tc>
      </w:tr>
      <w:tr w:rsidR="00B80931" w:rsidRPr="00A47449" w14:paraId="4A5DE5CC" w14:textId="77777777" w:rsidTr="005B3BEE">
        <w:trPr>
          <w:trHeight w:val="211"/>
          <w:jc w:val="center"/>
        </w:trPr>
        <w:tc>
          <w:tcPr>
            <w:tcW w:w="6576" w:type="dxa"/>
            <w:tcBorders>
              <w:bottom w:val="single" w:sz="4" w:space="0" w:color="auto"/>
            </w:tcBorders>
            <w:vAlign w:val="bottom"/>
          </w:tcPr>
          <w:p w14:paraId="619B5405" w14:textId="77777777" w:rsidR="00B80931" w:rsidRPr="00A47449" w:rsidRDefault="00B80931" w:rsidP="00B80931">
            <w:pPr>
              <w:pStyle w:val="T2"/>
              <w:jc w:val="left"/>
            </w:pPr>
            <w:r w:rsidRPr="00A47449">
              <w:t>Over five years</w:t>
            </w:r>
          </w:p>
        </w:tc>
        <w:tc>
          <w:tcPr>
            <w:tcW w:w="992" w:type="dxa"/>
            <w:tcBorders>
              <w:bottom w:val="single" w:sz="4" w:space="0" w:color="auto"/>
            </w:tcBorders>
          </w:tcPr>
          <w:p w14:paraId="1EF33898" w14:textId="77777777" w:rsidR="00B80931" w:rsidRPr="00A47449" w:rsidRDefault="00E25584" w:rsidP="00B80931">
            <w:pPr>
              <w:pStyle w:val="T2"/>
              <w:jc w:val="right"/>
              <w:rPr>
                <w:b/>
                <w:bCs/>
              </w:rPr>
            </w:pPr>
            <w:r w:rsidRPr="00A47449">
              <w:rPr>
                <w:b/>
                <w:bCs/>
              </w:rPr>
              <w:t>(14.6)</w:t>
            </w:r>
          </w:p>
        </w:tc>
        <w:tc>
          <w:tcPr>
            <w:tcW w:w="1134" w:type="dxa"/>
            <w:tcBorders>
              <w:bottom w:val="single" w:sz="4" w:space="0" w:color="auto"/>
            </w:tcBorders>
          </w:tcPr>
          <w:p w14:paraId="73CEE93F" w14:textId="77777777" w:rsidR="00B80931" w:rsidRPr="00A47449" w:rsidRDefault="00B80931" w:rsidP="00B80931">
            <w:pPr>
              <w:pStyle w:val="T2"/>
              <w:jc w:val="right"/>
              <w:rPr>
                <w:bCs/>
              </w:rPr>
            </w:pPr>
            <w:r w:rsidRPr="00A47449">
              <w:rPr>
                <w:bCs/>
              </w:rPr>
              <w:t>(15.6)</w:t>
            </w:r>
          </w:p>
        </w:tc>
        <w:tc>
          <w:tcPr>
            <w:tcW w:w="1076" w:type="dxa"/>
            <w:tcBorders>
              <w:bottom w:val="single" w:sz="4" w:space="0" w:color="auto"/>
            </w:tcBorders>
            <w:vAlign w:val="bottom"/>
          </w:tcPr>
          <w:p w14:paraId="63D70168" w14:textId="77777777" w:rsidR="00B80931" w:rsidRPr="00A47449" w:rsidRDefault="00B80931" w:rsidP="00B80931">
            <w:pPr>
              <w:pStyle w:val="T2"/>
              <w:jc w:val="right"/>
              <w:rPr>
                <w:bCs/>
              </w:rPr>
            </w:pPr>
            <w:r w:rsidRPr="00A47449">
              <w:rPr>
                <w:bCs/>
              </w:rPr>
              <w:t>(31.4)</w:t>
            </w:r>
          </w:p>
        </w:tc>
      </w:tr>
      <w:tr w:rsidR="00B80931" w:rsidRPr="00A47449" w14:paraId="11C0F8C6" w14:textId="77777777" w:rsidTr="00CF12F0">
        <w:trPr>
          <w:trHeight w:val="211"/>
          <w:jc w:val="center"/>
        </w:trPr>
        <w:tc>
          <w:tcPr>
            <w:tcW w:w="6576" w:type="dxa"/>
            <w:tcBorders>
              <w:top w:val="single" w:sz="4" w:space="0" w:color="auto"/>
              <w:bottom w:val="single" w:sz="4" w:space="0" w:color="auto"/>
            </w:tcBorders>
            <w:vAlign w:val="bottom"/>
          </w:tcPr>
          <w:p w14:paraId="0F4595FC" w14:textId="77777777" w:rsidR="00B80931" w:rsidRPr="00A47449" w:rsidRDefault="00CF12F0" w:rsidP="00B80931">
            <w:pPr>
              <w:pStyle w:val="T2"/>
              <w:jc w:val="left"/>
              <w:rPr>
                <w:b/>
              </w:rPr>
            </w:pPr>
            <w:r w:rsidRPr="00A47449">
              <w:rPr>
                <w:b/>
              </w:rPr>
              <w:t>Total borrowings</w:t>
            </w:r>
          </w:p>
        </w:tc>
        <w:tc>
          <w:tcPr>
            <w:tcW w:w="992" w:type="dxa"/>
            <w:tcBorders>
              <w:top w:val="single" w:sz="4" w:space="0" w:color="auto"/>
              <w:bottom w:val="single" w:sz="4" w:space="0" w:color="auto"/>
            </w:tcBorders>
          </w:tcPr>
          <w:p w14:paraId="7B9793F9" w14:textId="77777777" w:rsidR="00B80931" w:rsidRPr="00A47449" w:rsidRDefault="00E25584" w:rsidP="00CF12F0">
            <w:pPr>
              <w:pStyle w:val="T2"/>
              <w:jc w:val="right"/>
              <w:rPr>
                <w:b/>
                <w:bCs/>
              </w:rPr>
            </w:pPr>
            <w:r w:rsidRPr="00A47449">
              <w:rPr>
                <w:b/>
                <w:bCs/>
              </w:rPr>
              <w:t>(</w:t>
            </w:r>
            <w:r w:rsidR="00CF12F0" w:rsidRPr="00A47449">
              <w:rPr>
                <w:b/>
                <w:bCs/>
              </w:rPr>
              <w:t>288.3</w:t>
            </w:r>
            <w:r w:rsidRPr="00A47449">
              <w:rPr>
                <w:b/>
                <w:bCs/>
              </w:rPr>
              <w:t>)</w:t>
            </w:r>
          </w:p>
        </w:tc>
        <w:tc>
          <w:tcPr>
            <w:tcW w:w="1134" w:type="dxa"/>
            <w:tcBorders>
              <w:top w:val="single" w:sz="4" w:space="0" w:color="auto"/>
              <w:bottom w:val="single" w:sz="4" w:space="0" w:color="auto"/>
            </w:tcBorders>
          </w:tcPr>
          <w:p w14:paraId="0114B6D7" w14:textId="77777777" w:rsidR="00B80931" w:rsidRPr="00A47449" w:rsidRDefault="00B80931" w:rsidP="002E745E">
            <w:pPr>
              <w:pStyle w:val="T2"/>
              <w:jc w:val="right"/>
              <w:rPr>
                <w:bCs/>
              </w:rPr>
            </w:pPr>
            <w:r w:rsidRPr="00A47449">
              <w:rPr>
                <w:bCs/>
              </w:rPr>
              <w:t>(</w:t>
            </w:r>
            <w:r w:rsidR="002E745E" w:rsidRPr="00A47449">
              <w:rPr>
                <w:bCs/>
              </w:rPr>
              <w:t>397.5</w:t>
            </w:r>
            <w:r w:rsidRPr="00A47449">
              <w:rPr>
                <w:bCs/>
              </w:rPr>
              <w:t>)</w:t>
            </w:r>
          </w:p>
        </w:tc>
        <w:tc>
          <w:tcPr>
            <w:tcW w:w="1076" w:type="dxa"/>
            <w:tcBorders>
              <w:top w:val="single" w:sz="4" w:space="0" w:color="auto"/>
              <w:bottom w:val="single" w:sz="4" w:space="0" w:color="auto"/>
            </w:tcBorders>
            <w:vAlign w:val="bottom"/>
          </w:tcPr>
          <w:p w14:paraId="12B7017E" w14:textId="77777777" w:rsidR="00B80931" w:rsidRPr="00A47449" w:rsidRDefault="00B80931" w:rsidP="002E745E">
            <w:pPr>
              <w:pStyle w:val="T2"/>
              <w:jc w:val="right"/>
              <w:rPr>
                <w:bCs/>
              </w:rPr>
            </w:pPr>
            <w:r w:rsidRPr="00A47449">
              <w:rPr>
                <w:bCs/>
              </w:rPr>
              <w:t>(</w:t>
            </w:r>
            <w:r w:rsidR="002E745E" w:rsidRPr="00A47449">
              <w:rPr>
                <w:bCs/>
              </w:rPr>
              <w:t>345.6</w:t>
            </w:r>
            <w:r w:rsidRPr="00A47449">
              <w:rPr>
                <w:bCs/>
              </w:rPr>
              <w:t>)</w:t>
            </w:r>
          </w:p>
        </w:tc>
      </w:tr>
      <w:tr w:rsidR="00CF12F0" w:rsidRPr="00A47449" w14:paraId="7A951A37" w14:textId="77777777" w:rsidTr="00CF12F0">
        <w:trPr>
          <w:trHeight w:val="211"/>
          <w:jc w:val="center"/>
        </w:trPr>
        <w:tc>
          <w:tcPr>
            <w:tcW w:w="6576" w:type="dxa"/>
            <w:tcBorders>
              <w:top w:val="single" w:sz="4" w:space="0" w:color="auto"/>
            </w:tcBorders>
            <w:vAlign w:val="bottom"/>
          </w:tcPr>
          <w:p w14:paraId="3314732C" w14:textId="77777777" w:rsidR="00CF12F0" w:rsidRPr="00A47449" w:rsidRDefault="00CF12F0" w:rsidP="00B80931">
            <w:pPr>
              <w:pStyle w:val="T2"/>
              <w:jc w:val="left"/>
              <w:rPr>
                <w:b/>
              </w:rPr>
            </w:pPr>
            <w:r w:rsidRPr="00A47449">
              <w:rPr>
                <w:b/>
              </w:rPr>
              <w:t>Bank overdrafts</w:t>
            </w:r>
          </w:p>
        </w:tc>
        <w:tc>
          <w:tcPr>
            <w:tcW w:w="992" w:type="dxa"/>
            <w:tcBorders>
              <w:top w:val="single" w:sz="4" w:space="0" w:color="auto"/>
            </w:tcBorders>
          </w:tcPr>
          <w:p w14:paraId="329339C3" w14:textId="77777777" w:rsidR="00CF12F0" w:rsidRPr="00A47449" w:rsidRDefault="00CF12F0" w:rsidP="00CF12F0">
            <w:pPr>
              <w:pStyle w:val="T2"/>
              <w:jc w:val="right"/>
              <w:rPr>
                <w:b/>
                <w:bCs/>
              </w:rPr>
            </w:pPr>
          </w:p>
        </w:tc>
        <w:tc>
          <w:tcPr>
            <w:tcW w:w="1134" w:type="dxa"/>
            <w:tcBorders>
              <w:top w:val="single" w:sz="4" w:space="0" w:color="auto"/>
            </w:tcBorders>
          </w:tcPr>
          <w:p w14:paraId="551BB6B5" w14:textId="77777777" w:rsidR="00CF12F0" w:rsidRPr="00A47449" w:rsidRDefault="00CF12F0" w:rsidP="00B80931">
            <w:pPr>
              <w:pStyle w:val="T2"/>
              <w:jc w:val="right"/>
              <w:rPr>
                <w:bCs/>
              </w:rPr>
            </w:pPr>
          </w:p>
        </w:tc>
        <w:tc>
          <w:tcPr>
            <w:tcW w:w="1076" w:type="dxa"/>
            <w:tcBorders>
              <w:top w:val="single" w:sz="4" w:space="0" w:color="auto"/>
            </w:tcBorders>
            <w:vAlign w:val="bottom"/>
          </w:tcPr>
          <w:p w14:paraId="233D1D2D" w14:textId="77777777" w:rsidR="00CF12F0" w:rsidRPr="00A47449" w:rsidRDefault="00CF12F0" w:rsidP="00B80931">
            <w:pPr>
              <w:pStyle w:val="T2"/>
              <w:jc w:val="right"/>
              <w:rPr>
                <w:bCs/>
              </w:rPr>
            </w:pPr>
          </w:p>
        </w:tc>
      </w:tr>
      <w:tr w:rsidR="00CF12F0" w:rsidRPr="00A47449" w14:paraId="5290F058" w14:textId="77777777" w:rsidTr="00CF12F0">
        <w:trPr>
          <w:trHeight w:val="211"/>
          <w:jc w:val="center"/>
        </w:trPr>
        <w:tc>
          <w:tcPr>
            <w:tcW w:w="6576" w:type="dxa"/>
            <w:tcBorders>
              <w:bottom w:val="single" w:sz="4" w:space="0" w:color="auto"/>
            </w:tcBorders>
            <w:vAlign w:val="bottom"/>
          </w:tcPr>
          <w:p w14:paraId="451BAC23" w14:textId="77777777" w:rsidR="00CF12F0" w:rsidRPr="00A47449" w:rsidRDefault="00CF12F0" w:rsidP="00CF12F0">
            <w:pPr>
              <w:pStyle w:val="T2"/>
              <w:jc w:val="left"/>
              <w:rPr>
                <w:b/>
              </w:rPr>
            </w:pPr>
            <w:r w:rsidRPr="00A47449">
              <w:t>Less than one year</w:t>
            </w:r>
          </w:p>
        </w:tc>
        <w:tc>
          <w:tcPr>
            <w:tcW w:w="992" w:type="dxa"/>
            <w:tcBorders>
              <w:bottom w:val="single" w:sz="4" w:space="0" w:color="auto"/>
            </w:tcBorders>
          </w:tcPr>
          <w:p w14:paraId="51A793CE" w14:textId="77777777" w:rsidR="00CF12F0" w:rsidRPr="00A47449" w:rsidRDefault="00CF12F0" w:rsidP="00CF12F0">
            <w:pPr>
              <w:pStyle w:val="T2"/>
              <w:jc w:val="right"/>
              <w:rPr>
                <w:b/>
                <w:bCs/>
              </w:rPr>
            </w:pPr>
            <w:r w:rsidRPr="00A47449">
              <w:rPr>
                <w:b/>
                <w:bCs/>
              </w:rPr>
              <w:t>(31.4)</w:t>
            </w:r>
          </w:p>
        </w:tc>
        <w:tc>
          <w:tcPr>
            <w:tcW w:w="1134" w:type="dxa"/>
            <w:tcBorders>
              <w:bottom w:val="single" w:sz="4" w:space="0" w:color="auto"/>
            </w:tcBorders>
          </w:tcPr>
          <w:p w14:paraId="24DE1E8E" w14:textId="77777777" w:rsidR="00CF12F0" w:rsidRPr="00A47449" w:rsidRDefault="00CF12F0" w:rsidP="00CF12F0">
            <w:pPr>
              <w:pStyle w:val="T2"/>
              <w:jc w:val="right"/>
              <w:rPr>
                <w:bCs/>
              </w:rPr>
            </w:pPr>
            <w:r w:rsidRPr="00A47449">
              <w:rPr>
                <w:bCs/>
              </w:rPr>
              <w:t>(220.0)</w:t>
            </w:r>
          </w:p>
        </w:tc>
        <w:tc>
          <w:tcPr>
            <w:tcW w:w="1076" w:type="dxa"/>
            <w:tcBorders>
              <w:bottom w:val="single" w:sz="4" w:space="0" w:color="auto"/>
            </w:tcBorders>
            <w:vAlign w:val="bottom"/>
          </w:tcPr>
          <w:p w14:paraId="7846E375" w14:textId="77777777" w:rsidR="00CF12F0" w:rsidRPr="00A47449" w:rsidRDefault="00CF12F0" w:rsidP="00CF12F0">
            <w:pPr>
              <w:pStyle w:val="T2"/>
              <w:jc w:val="right"/>
              <w:rPr>
                <w:bCs/>
              </w:rPr>
            </w:pPr>
            <w:r w:rsidRPr="00A47449">
              <w:rPr>
                <w:bCs/>
              </w:rPr>
              <w:t>(238.1)</w:t>
            </w:r>
          </w:p>
        </w:tc>
      </w:tr>
      <w:tr w:rsidR="00CF12F0" w:rsidRPr="00A47449" w14:paraId="1EC5B67E" w14:textId="77777777" w:rsidTr="00AE207A">
        <w:trPr>
          <w:trHeight w:val="211"/>
          <w:jc w:val="center"/>
        </w:trPr>
        <w:tc>
          <w:tcPr>
            <w:tcW w:w="6576" w:type="dxa"/>
            <w:tcBorders>
              <w:top w:val="single" w:sz="4" w:space="0" w:color="auto"/>
              <w:bottom w:val="single" w:sz="4" w:space="0" w:color="auto"/>
            </w:tcBorders>
            <w:vAlign w:val="bottom"/>
          </w:tcPr>
          <w:p w14:paraId="1D614F17" w14:textId="77777777" w:rsidR="00CF12F0" w:rsidRPr="00A47449" w:rsidRDefault="00CF12F0" w:rsidP="00CF12F0">
            <w:pPr>
              <w:pStyle w:val="T2"/>
              <w:jc w:val="left"/>
              <w:rPr>
                <w:b/>
              </w:rPr>
            </w:pPr>
            <w:r w:rsidRPr="00A47449">
              <w:rPr>
                <w:b/>
              </w:rPr>
              <w:t>Total bank overdrafts</w:t>
            </w:r>
          </w:p>
        </w:tc>
        <w:tc>
          <w:tcPr>
            <w:tcW w:w="992" w:type="dxa"/>
            <w:tcBorders>
              <w:top w:val="single" w:sz="4" w:space="0" w:color="auto"/>
              <w:bottom w:val="single" w:sz="4" w:space="0" w:color="auto"/>
            </w:tcBorders>
          </w:tcPr>
          <w:p w14:paraId="3923E725" w14:textId="77777777" w:rsidR="00CF12F0" w:rsidRPr="00A47449" w:rsidRDefault="00CF12F0" w:rsidP="00CF12F0">
            <w:pPr>
              <w:pStyle w:val="T2"/>
              <w:jc w:val="right"/>
              <w:rPr>
                <w:b/>
                <w:bCs/>
              </w:rPr>
            </w:pPr>
            <w:r w:rsidRPr="00A47449">
              <w:rPr>
                <w:b/>
                <w:bCs/>
              </w:rPr>
              <w:t>(31.4)</w:t>
            </w:r>
          </w:p>
        </w:tc>
        <w:tc>
          <w:tcPr>
            <w:tcW w:w="1134" w:type="dxa"/>
            <w:tcBorders>
              <w:top w:val="single" w:sz="4" w:space="0" w:color="auto"/>
              <w:bottom w:val="single" w:sz="4" w:space="0" w:color="auto"/>
            </w:tcBorders>
          </w:tcPr>
          <w:p w14:paraId="31673C5A" w14:textId="77777777" w:rsidR="00CF12F0" w:rsidRPr="00A47449" w:rsidRDefault="00CF12F0" w:rsidP="00CF12F0">
            <w:pPr>
              <w:pStyle w:val="T2"/>
              <w:jc w:val="right"/>
              <w:rPr>
                <w:bCs/>
              </w:rPr>
            </w:pPr>
            <w:r w:rsidRPr="00A47449">
              <w:rPr>
                <w:bCs/>
              </w:rPr>
              <w:t>(220.0)</w:t>
            </w:r>
          </w:p>
        </w:tc>
        <w:tc>
          <w:tcPr>
            <w:tcW w:w="1076" w:type="dxa"/>
            <w:tcBorders>
              <w:top w:val="single" w:sz="4" w:space="0" w:color="auto"/>
              <w:bottom w:val="single" w:sz="4" w:space="0" w:color="auto"/>
            </w:tcBorders>
            <w:vAlign w:val="bottom"/>
          </w:tcPr>
          <w:p w14:paraId="60830E3A" w14:textId="77777777" w:rsidR="00CF12F0" w:rsidRPr="00A47449" w:rsidRDefault="00CF12F0" w:rsidP="00CF12F0">
            <w:pPr>
              <w:pStyle w:val="T2"/>
              <w:jc w:val="right"/>
              <w:rPr>
                <w:bCs/>
              </w:rPr>
            </w:pPr>
            <w:r w:rsidRPr="00A47449">
              <w:rPr>
                <w:bCs/>
              </w:rPr>
              <w:t>(238.1)</w:t>
            </w:r>
          </w:p>
        </w:tc>
      </w:tr>
      <w:tr w:rsidR="00CF12F0" w14:paraId="76E64DC3" w14:textId="77777777" w:rsidTr="00AE207A">
        <w:trPr>
          <w:trHeight w:val="211"/>
          <w:jc w:val="center"/>
        </w:trPr>
        <w:tc>
          <w:tcPr>
            <w:tcW w:w="6576" w:type="dxa"/>
            <w:tcBorders>
              <w:top w:val="single" w:sz="4" w:space="0" w:color="auto"/>
              <w:bottom w:val="single" w:sz="2" w:space="0" w:color="auto"/>
            </w:tcBorders>
            <w:vAlign w:val="bottom"/>
          </w:tcPr>
          <w:p w14:paraId="21F6B713" w14:textId="77777777" w:rsidR="00CF12F0" w:rsidRPr="00A47449" w:rsidRDefault="00CF12F0" w:rsidP="00CF12F0">
            <w:pPr>
              <w:pStyle w:val="T2"/>
              <w:jc w:val="left"/>
              <w:rPr>
                <w:b/>
              </w:rPr>
            </w:pPr>
            <w:r w:rsidRPr="00A47449">
              <w:rPr>
                <w:b/>
              </w:rPr>
              <w:t>Total borrowings</w:t>
            </w:r>
            <w:r w:rsidR="002E745E" w:rsidRPr="00A47449">
              <w:rPr>
                <w:b/>
              </w:rPr>
              <w:t xml:space="preserve"> and bank overdrafts</w:t>
            </w:r>
          </w:p>
        </w:tc>
        <w:tc>
          <w:tcPr>
            <w:tcW w:w="992" w:type="dxa"/>
            <w:tcBorders>
              <w:top w:val="single" w:sz="4" w:space="0" w:color="auto"/>
              <w:bottom w:val="single" w:sz="2" w:space="0" w:color="auto"/>
            </w:tcBorders>
          </w:tcPr>
          <w:p w14:paraId="10DA0954" w14:textId="77777777" w:rsidR="00CF12F0" w:rsidRPr="00A47449" w:rsidRDefault="00CF12F0" w:rsidP="00CF12F0">
            <w:pPr>
              <w:pStyle w:val="T2"/>
              <w:jc w:val="right"/>
              <w:rPr>
                <w:b/>
                <w:bCs/>
              </w:rPr>
            </w:pPr>
            <w:r w:rsidRPr="00A47449">
              <w:rPr>
                <w:b/>
                <w:bCs/>
              </w:rPr>
              <w:t>(319.7)</w:t>
            </w:r>
          </w:p>
        </w:tc>
        <w:tc>
          <w:tcPr>
            <w:tcW w:w="1134" w:type="dxa"/>
            <w:tcBorders>
              <w:top w:val="single" w:sz="4" w:space="0" w:color="auto"/>
              <w:bottom w:val="single" w:sz="2" w:space="0" w:color="auto"/>
            </w:tcBorders>
          </w:tcPr>
          <w:p w14:paraId="17A4A28D" w14:textId="77777777" w:rsidR="00CF12F0" w:rsidRPr="00A47449" w:rsidRDefault="00CF12F0" w:rsidP="00CF12F0">
            <w:pPr>
              <w:pStyle w:val="T2"/>
              <w:jc w:val="right"/>
              <w:rPr>
                <w:bCs/>
              </w:rPr>
            </w:pPr>
            <w:r w:rsidRPr="00A47449">
              <w:rPr>
                <w:bCs/>
              </w:rPr>
              <w:t>(617.5)</w:t>
            </w:r>
          </w:p>
        </w:tc>
        <w:tc>
          <w:tcPr>
            <w:tcW w:w="1076" w:type="dxa"/>
            <w:tcBorders>
              <w:top w:val="single" w:sz="4" w:space="0" w:color="auto"/>
              <w:bottom w:val="single" w:sz="2" w:space="0" w:color="auto"/>
            </w:tcBorders>
            <w:vAlign w:val="bottom"/>
          </w:tcPr>
          <w:p w14:paraId="21FCB632" w14:textId="77777777" w:rsidR="00CF12F0" w:rsidRDefault="00CF12F0" w:rsidP="00CF12F0">
            <w:pPr>
              <w:pStyle w:val="T2"/>
              <w:jc w:val="right"/>
              <w:rPr>
                <w:bCs/>
              </w:rPr>
            </w:pPr>
            <w:r w:rsidRPr="00A47449">
              <w:rPr>
                <w:bCs/>
              </w:rPr>
              <w:t>(583.7)</w:t>
            </w:r>
          </w:p>
        </w:tc>
      </w:tr>
    </w:tbl>
    <w:p w14:paraId="7C423B7B" w14:textId="77777777" w:rsidR="00B80931" w:rsidRDefault="00CA5B1E" w:rsidP="005B3BEE">
      <w:pPr>
        <w:pStyle w:val="SectionH3"/>
        <w:spacing w:before="160"/>
      </w:pPr>
      <w:r>
        <w:t>Bank overdrafts</w:t>
      </w:r>
    </w:p>
    <w:p w14:paraId="13F0D173" w14:textId="77777777" w:rsidR="00586F60" w:rsidRDefault="00CA5B1E" w:rsidP="005B3BEE">
      <w:pPr>
        <w:pStyle w:val="SectionH3"/>
        <w:spacing w:before="160"/>
        <w:rPr>
          <w:b w:val="0"/>
        </w:rPr>
      </w:pPr>
      <w:r w:rsidRPr="00CA5B1E">
        <w:rPr>
          <w:b w:val="0"/>
        </w:rPr>
        <w:t>As disclosed in Note 1</w:t>
      </w:r>
      <w:r>
        <w:rPr>
          <w:b w:val="0"/>
        </w:rPr>
        <w:t xml:space="preserve">, the Group’s bank overdrafts </w:t>
      </w:r>
      <w:r w:rsidR="00EA2BB4">
        <w:rPr>
          <w:b w:val="0"/>
        </w:rPr>
        <w:t xml:space="preserve">for the period ended 27 March 2020 </w:t>
      </w:r>
      <w:r>
        <w:rPr>
          <w:b w:val="0"/>
        </w:rPr>
        <w:t xml:space="preserve">have been </w:t>
      </w:r>
      <w:r w:rsidR="00EA2BB4">
        <w:rPr>
          <w:b w:val="0"/>
        </w:rPr>
        <w:t xml:space="preserve">re-presented </w:t>
      </w:r>
      <w:r>
        <w:rPr>
          <w:b w:val="0"/>
        </w:rPr>
        <w:t xml:space="preserve">to meet the presentational requirements for offsetting in accordance with IAS 32. Comparative information for the period ended 27 March 2020 </w:t>
      </w:r>
      <w:r>
        <w:rPr>
          <w:b w:val="0"/>
        </w:rPr>
        <w:lastRenderedPageBreak/>
        <w:t>ha</w:t>
      </w:r>
      <w:r w:rsidR="00BB3EE2">
        <w:rPr>
          <w:b w:val="0"/>
        </w:rPr>
        <w:t>s</w:t>
      </w:r>
      <w:r>
        <w:rPr>
          <w:b w:val="0"/>
        </w:rPr>
        <w:t xml:space="preserve"> increased from £nil to £238.1m. This has no impact on the Group’s net assets. </w:t>
      </w:r>
    </w:p>
    <w:p w14:paraId="189FF4AF" w14:textId="77777777" w:rsidR="00CA5B1E" w:rsidRPr="00CA5B1E" w:rsidRDefault="00586F60" w:rsidP="005B3BEE">
      <w:pPr>
        <w:pStyle w:val="SectionH3"/>
        <w:spacing w:before="160"/>
        <w:rPr>
          <w:b w:val="0"/>
        </w:rPr>
      </w:pPr>
      <w:r w:rsidRPr="00EA17C6">
        <w:rPr>
          <w:rFonts w:asciiTheme="minorHAnsi" w:eastAsiaTheme="minorHAnsi" w:hAnsiTheme="minorHAnsi" w:cstheme="minorBidi"/>
          <w:b w:val="0"/>
          <w:bCs w:val="0"/>
          <w:lang w:val="en-GB" w:eastAsia="en-US" w:bidi="ar-SA"/>
        </w:rPr>
        <w:t>Uncommitted facilities undrawn at 26 March 2021 amounted to £6.4m (September 2020: £7.0m).</w:t>
      </w:r>
    </w:p>
    <w:p w14:paraId="4B7A9120" w14:textId="77777777" w:rsidR="00773F7B" w:rsidRDefault="00773F7B" w:rsidP="00EA17C6">
      <w:pPr>
        <w:pStyle w:val="SectionH3"/>
        <w:spacing w:before="160"/>
      </w:pPr>
      <w:r w:rsidRPr="0026155F">
        <w:t>Bank Borrowings</w:t>
      </w:r>
    </w:p>
    <w:p w14:paraId="381E5144" w14:textId="77777777" w:rsidR="00EA17C6" w:rsidRPr="00EA17C6" w:rsidRDefault="00EA17C6" w:rsidP="00EA17C6">
      <w:pPr>
        <w:pStyle w:val="SectionH3"/>
        <w:rPr>
          <w:rFonts w:asciiTheme="minorHAnsi" w:eastAsiaTheme="minorHAnsi" w:hAnsiTheme="minorHAnsi" w:cstheme="minorBidi"/>
          <w:b w:val="0"/>
          <w:bCs w:val="0"/>
          <w:lang w:val="en-GB" w:eastAsia="en-US" w:bidi="ar-SA"/>
        </w:rPr>
      </w:pPr>
      <w:r w:rsidRPr="00EA17C6">
        <w:rPr>
          <w:rFonts w:asciiTheme="minorHAnsi" w:eastAsiaTheme="minorHAnsi" w:hAnsiTheme="minorHAnsi" w:cstheme="minorBidi"/>
          <w:b w:val="0"/>
          <w:bCs w:val="0"/>
          <w:lang w:val="en-GB" w:eastAsia="en-US" w:bidi="ar-SA"/>
        </w:rPr>
        <w:t xml:space="preserve">The Group’s bank borrowings net of finance fees comprised of £181.7m at 26 March 2021 (September 2020: £283.5m) with maturities ranging from March 2023 to January 2025, the earliest of which is the Group’s £75m revolving credit facility which matures in March 2023. The Group had £285m (September 2020: £185m) of undrawn committed bank facilities in respect of which all conditions precedent had been met. </w:t>
      </w:r>
    </w:p>
    <w:p w14:paraId="7E2072F8" w14:textId="77777777" w:rsidR="00EA17C6" w:rsidRDefault="00EA17C6" w:rsidP="00EA17C6">
      <w:pPr>
        <w:pStyle w:val="SectionH3"/>
        <w:rPr>
          <w:rFonts w:asciiTheme="minorHAnsi" w:eastAsiaTheme="minorHAnsi" w:hAnsiTheme="minorHAnsi" w:cstheme="minorBidi"/>
          <w:b w:val="0"/>
          <w:bCs w:val="0"/>
          <w:lang w:val="en-GB" w:eastAsia="en-US" w:bidi="ar-SA"/>
        </w:rPr>
      </w:pPr>
      <w:r>
        <w:rPr>
          <w:rFonts w:asciiTheme="minorHAnsi" w:eastAsiaTheme="minorHAnsi" w:hAnsiTheme="minorHAnsi" w:cstheme="minorBidi"/>
          <w:b w:val="0"/>
          <w:bCs w:val="0"/>
          <w:lang w:val="en-GB" w:eastAsia="en-US" w:bidi="ar-SA"/>
        </w:rPr>
        <w:t xml:space="preserve">In </w:t>
      </w:r>
      <w:r w:rsidR="00EA4F03">
        <w:rPr>
          <w:rFonts w:asciiTheme="minorHAnsi" w:eastAsiaTheme="minorHAnsi" w:hAnsiTheme="minorHAnsi" w:cstheme="minorBidi"/>
          <w:b w:val="0"/>
          <w:bCs w:val="0"/>
          <w:lang w:val="en-GB" w:eastAsia="en-US" w:bidi="ar-SA"/>
        </w:rPr>
        <w:t>November 2020,</w:t>
      </w:r>
      <w:r>
        <w:rPr>
          <w:rFonts w:asciiTheme="minorHAnsi" w:eastAsiaTheme="minorHAnsi" w:hAnsiTheme="minorHAnsi" w:cstheme="minorBidi"/>
          <w:b w:val="0"/>
          <w:bCs w:val="0"/>
          <w:lang w:val="en-GB" w:eastAsia="en-US" w:bidi="ar-SA"/>
        </w:rPr>
        <w:t xml:space="preserve"> the Group</w:t>
      </w:r>
      <w:r w:rsidR="00EA4F03">
        <w:rPr>
          <w:rFonts w:asciiTheme="minorHAnsi" w:eastAsiaTheme="minorHAnsi" w:hAnsiTheme="minorHAnsi" w:cstheme="minorBidi"/>
          <w:b w:val="0"/>
          <w:bCs w:val="0"/>
          <w:lang w:val="en-GB" w:eastAsia="en-US" w:bidi="ar-SA"/>
        </w:rPr>
        <w:t xml:space="preserve"> announced the</w:t>
      </w:r>
      <w:r>
        <w:rPr>
          <w:rFonts w:asciiTheme="minorHAnsi" w:eastAsiaTheme="minorHAnsi" w:hAnsiTheme="minorHAnsi" w:cstheme="minorBidi"/>
          <w:b w:val="0"/>
          <w:bCs w:val="0"/>
          <w:lang w:val="en-GB" w:eastAsia="en-US" w:bidi="ar-SA"/>
        </w:rPr>
        <w:t xml:space="preserve"> </w:t>
      </w:r>
      <w:r w:rsidR="00EA4F03">
        <w:rPr>
          <w:rFonts w:asciiTheme="minorHAnsi" w:eastAsiaTheme="minorHAnsi" w:hAnsiTheme="minorHAnsi" w:cstheme="minorBidi"/>
          <w:b w:val="0"/>
          <w:bCs w:val="0"/>
          <w:lang w:val="en-GB" w:eastAsia="en-US" w:bidi="ar-SA"/>
        </w:rPr>
        <w:t>extension of</w:t>
      </w:r>
      <w:r w:rsidR="00EA4F03" w:rsidRPr="00EA17C6">
        <w:rPr>
          <w:rFonts w:asciiTheme="minorHAnsi" w:eastAsiaTheme="minorHAnsi" w:hAnsiTheme="minorHAnsi" w:cstheme="minorBidi"/>
          <w:b w:val="0"/>
          <w:bCs w:val="0"/>
          <w:lang w:val="en-GB" w:eastAsia="en-US" w:bidi="ar-SA"/>
        </w:rPr>
        <w:t xml:space="preserve"> </w:t>
      </w:r>
      <w:r w:rsidRPr="00EA17C6">
        <w:rPr>
          <w:rFonts w:asciiTheme="minorHAnsi" w:eastAsiaTheme="minorHAnsi" w:hAnsiTheme="minorHAnsi" w:cstheme="minorBidi"/>
          <w:b w:val="0"/>
          <w:bCs w:val="0"/>
          <w:lang w:val="en-GB" w:eastAsia="en-US" w:bidi="ar-SA"/>
        </w:rPr>
        <w:t xml:space="preserve">the maturity of </w:t>
      </w:r>
      <w:r w:rsidR="00EA4F03">
        <w:rPr>
          <w:rFonts w:asciiTheme="minorHAnsi" w:eastAsiaTheme="minorHAnsi" w:hAnsiTheme="minorHAnsi" w:cstheme="minorBidi"/>
          <w:b w:val="0"/>
          <w:bCs w:val="0"/>
          <w:lang w:val="en-GB" w:eastAsia="en-US" w:bidi="ar-SA"/>
        </w:rPr>
        <w:t>its</w:t>
      </w:r>
      <w:r w:rsidR="00EA4F03" w:rsidRPr="00EA17C6">
        <w:rPr>
          <w:rFonts w:asciiTheme="minorHAnsi" w:eastAsiaTheme="minorHAnsi" w:hAnsiTheme="minorHAnsi" w:cstheme="minorBidi"/>
          <w:b w:val="0"/>
          <w:bCs w:val="0"/>
          <w:lang w:val="en-GB" w:eastAsia="en-US" w:bidi="ar-SA"/>
        </w:rPr>
        <w:t xml:space="preserve"> </w:t>
      </w:r>
      <w:r w:rsidRPr="00EA17C6">
        <w:rPr>
          <w:rFonts w:asciiTheme="minorHAnsi" w:eastAsiaTheme="minorHAnsi" w:hAnsiTheme="minorHAnsi" w:cstheme="minorBidi"/>
          <w:b w:val="0"/>
          <w:bCs w:val="0"/>
          <w:lang w:val="en-GB" w:eastAsia="en-US" w:bidi="ar-SA"/>
        </w:rPr>
        <w:t xml:space="preserve">£75m committed bank facility by two years to March 2023 and refinanced </w:t>
      </w:r>
      <w:r w:rsidR="00EA4F03">
        <w:rPr>
          <w:rFonts w:asciiTheme="minorHAnsi" w:eastAsiaTheme="minorHAnsi" w:hAnsiTheme="minorHAnsi" w:cstheme="minorBidi"/>
          <w:b w:val="0"/>
          <w:bCs w:val="0"/>
          <w:lang w:val="en-GB" w:eastAsia="en-US" w:bidi="ar-SA"/>
        </w:rPr>
        <w:t>its</w:t>
      </w:r>
      <w:r w:rsidR="00EA4F03" w:rsidRPr="00EA17C6">
        <w:rPr>
          <w:rFonts w:asciiTheme="minorHAnsi" w:eastAsiaTheme="minorHAnsi" w:hAnsiTheme="minorHAnsi" w:cstheme="minorBidi"/>
          <w:b w:val="0"/>
          <w:bCs w:val="0"/>
          <w:lang w:val="en-GB" w:eastAsia="en-US" w:bidi="ar-SA"/>
        </w:rPr>
        <w:t xml:space="preserve"> </w:t>
      </w:r>
      <w:r w:rsidRPr="00EA17C6">
        <w:rPr>
          <w:rFonts w:asciiTheme="minorHAnsi" w:eastAsiaTheme="minorHAnsi" w:hAnsiTheme="minorHAnsi" w:cstheme="minorBidi"/>
          <w:b w:val="0"/>
          <w:bCs w:val="0"/>
          <w:lang w:val="en-GB" w:eastAsia="en-US" w:bidi="ar-SA"/>
        </w:rPr>
        <w:t xml:space="preserve">£50m bank bilateral facility for a new three year term ending in January 2024. </w:t>
      </w:r>
    </w:p>
    <w:p w14:paraId="3DE7890F" w14:textId="77777777" w:rsidR="00773F7B" w:rsidRDefault="00773F7B" w:rsidP="00EA17C6">
      <w:pPr>
        <w:pStyle w:val="SectionH3"/>
      </w:pPr>
      <w:r>
        <w:t>Private Placement Notes</w:t>
      </w:r>
    </w:p>
    <w:p w14:paraId="7681CCC1" w14:textId="77777777" w:rsidR="00082AF5" w:rsidRDefault="00EA17C6" w:rsidP="00EA17C6">
      <w:pPr>
        <w:pStyle w:val="Paragraph"/>
        <w:spacing w:before="0" w:after="120"/>
        <w:jc w:val="both"/>
        <w:rPr>
          <w:b/>
        </w:rPr>
      </w:pPr>
      <w:r w:rsidRPr="00EA17C6">
        <w:t>The Group’s outstanding Private Placement Notes net of finance fees comprised of £106.6m (denominated as $120.9m and £18m) at 26 March 2021 (September 2020: £114.0m, denominated as $120.9m and £18m). These were issued as fixed rate debt in October 2013 ($65m) and June 2016 ($74.5m and £18m) with maturities ranging between October 2021 and June 2026.</w:t>
      </w:r>
    </w:p>
    <w:p w14:paraId="6C98ECD1" w14:textId="77777777" w:rsidR="000117F8" w:rsidRDefault="00EA17C6" w:rsidP="00EA17C6">
      <w:pPr>
        <w:pStyle w:val="Paragraph"/>
        <w:spacing w:before="0" w:after="120"/>
        <w:jc w:val="both"/>
      </w:pPr>
      <w:r w:rsidRPr="00EA17C6">
        <w:t>The Group has swapped the $120.9m Private Placement Notes from fixed rate US Dollar to fixed rate sterling using cross–currency interest rate swaps. The fixed rate US dollar to fixed rate sterling swaps are designated as cash flow hedges.</w:t>
      </w:r>
    </w:p>
    <w:p w14:paraId="41C1EC8F" w14:textId="77777777" w:rsidR="00082AF5" w:rsidRPr="00DD0F33" w:rsidRDefault="00BB3EE2" w:rsidP="009E00FF">
      <w:pPr>
        <w:pStyle w:val="Paragraph"/>
        <w:spacing w:before="0" w:after="120"/>
        <w:jc w:val="both"/>
        <w:rPr>
          <w:b/>
        </w:rPr>
      </w:pPr>
      <w:r w:rsidRPr="00DD0F33">
        <w:rPr>
          <w:b/>
        </w:rPr>
        <w:t>Revisions to financing agreements</w:t>
      </w:r>
    </w:p>
    <w:p w14:paraId="479D13AC" w14:textId="77777777" w:rsidR="00DD0F33" w:rsidRDefault="00CB17D2" w:rsidP="00A036CF">
      <w:pPr>
        <w:pStyle w:val="Paragraph"/>
        <w:spacing w:before="0"/>
        <w:jc w:val="both"/>
      </w:pPr>
      <w:r w:rsidRPr="00DD0F33">
        <w:t>I</w:t>
      </w:r>
      <w:r w:rsidR="009E00FF" w:rsidRPr="00DD0F33">
        <w:t xml:space="preserve">n November 2020, </w:t>
      </w:r>
      <w:r w:rsidR="00DD0F33" w:rsidRPr="00DD0F33">
        <w:t xml:space="preserve">the Group secured </w:t>
      </w:r>
      <w:r w:rsidR="00586F60">
        <w:t xml:space="preserve">further amendments </w:t>
      </w:r>
      <w:r w:rsidR="00DD0F33" w:rsidRPr="00DD0F33">
        <w:t xml:space="preserve">with its bank lending syndicate and its Private Placement Note holders to </w:t>
      </w:r>
      <w:r w:rsidR="00586F60">
        <w:t xml:space="preserve">its </w:t>
      </w:r>
      <w:r w:rsidR="00DD0F33" w:rsidRPr="00DD0F33">
        <w:t>covenant conditions. The key features of the amendments include:</w:t>
      </w:r>
    </w:p>
    <w:p w14:paraId="700892A3" w14:textId="77777777" w:rsidR="00DD0F33" w:rsidRPr="00DD0F33" w:rsidRDefault="00DD0F33" w:rsidP="00A036CF">
      <w:pPr>
        <w:pStyle w:val="Paragraph"/>
        <w:spacing w:before="0"/>
        <w:jc w:val="both"/>
      </w:pPr>
    </w:p>
    <w:p w14:paraId="13EE594D" w14:textId="77777777" w:rsidR="00DD0F33" w:rsidRDefault="00DD0F33" w:rsidP="00F55D04">
      <w:pPr>
        <w:pStyle w:val="Paragraph"/>
        <w:numPr>
          <w:ilvl w:val="0"/>
          <w:numId w:val="12"/>
        </w:numPr>
        <w:spacing w:before="0"/>
        <w:jc w:val="both"/>
      </w:pPr>
      <w:r w:rsidRPr="00DD0F33">
        <w:t>EBITDA: Interest covenant condition for March 2021 test period is 2.0</w:t>
      </w:r>
      <w:r>
        <w:t>;</w:t>
      </w:r>
    </w:p>
    <w:p w14:paraId="39E4899C" w14:textId="77777777" w:rsidR="00DD0F33" w:rsidRPr="00DD0F33" w:rsidRDefault="00DD0F33" w:rsidP="00F55D04">
      <w:pPr>
        <w:pStyle w:val="Paragraph"/>
        <w:numPr>
          <w:ilvl w:val="0"/>
          <w:numId w:val="12"/>
        </w:numPr>
        <w:spacing w:before="0"/>
        <w:jc w:val="both"/>
      </w:pPr>
      <w:r w:rsidRPr="00DD0F33">
        <w:t>Net Debt: EBITDA covenant test at June 2021 is 5.0x</w:t>
      </w:r>
      <w:r>
        <w:t>;</w:t>
      </w:r>
    </w:p>
    <w:p w14:paraId="0F7FE6B7" w14:textId="77777777" w:rsidR="00DD0F33" w:rsidRPr="00DD0F33" w:rsidRDefault="00DD0F33" w:rsidP="00F55D04">
      <w:pPr>
        <w:pStyle w:val="Paragraph"/>
        <w:numPr>
          <w:ilvl w:val="0"/>
          <w:numId w:val="12"/>
        </w:numPr>
        <w:spacing w:before="0"/>
        <w:jc w:val="both"/>
      </w:pPr>
      <w:r w:rsidRPr="00DD0F33">
        <w:t>Minimum liquidity requirement on cash and undrawn facilities is £70m for FY21</w:t>
      </w:r>
      <w:r>
        <w:t>;</w:t>
      </w:r>
    </w:p>
    <w:p w14:paraId="38C2A112" w14:textId="77777777" w:rsidR="00DD0F33" w:rsidRPr="00DD0F33" w:rsidRDefault="00DD0F33" w:rsidP="00F55D04">
      <w:pPr>
        <w:pStyle w:val="Paragraph"/>
        <w:numPr>
          <w:ilvl w:val="0"/>
          <w:numId w:val="12"/>
        </w:numPr>
        <w:spacing w:before="0"/>
        <w:jc w:val="both"/>
      </w:pPr>
      <w:r w:rsidRPr="00DD0F33">
        <w:t xml:space="preserve">Maximum net debt requirement </w:t>
      </w:r>
      <w:r w:rsidR="00586F60">
        <w:t>of</w:t>
      </w:r>
      <w:r w:rsidR="00586F60" w:rsidRPr="00DD0F33">
        <w:t xml:space="preserve"> </w:t>
      </w:r>
      <w:r w:rsidRPr="00DD0F33">
        <w:t>£550m to May 2021 and £500m to September 2021</w:t>
      </w:r>
      <w:r>
        <w:t>;</w:t>
      </w:r>
    </w:p>
    <w:p w14:paraId="1DA9F7EC" w14:textId="77777777" w:rsidR="00DD0F33" w:rsidRPr="00B95351" w:rsidRDefault="00DD0F33" w:rsidP="00F55D04">
      <w:pPr>
        <w:pStyle w:val="Paragraph"/>
        <w:numPr>
          <w:ilvl w:val="0"/>
          <w:numId w:val="12"/>
        </w:numPr>
        <w:spacing w:before="0"/>
        <w:jc w:val="both"/>
      </w:pPr>
      <w:r w:rsidRPr="00B95351">
        <w:t xml:space="preserve">Agreement not to proceed with </w:t>
      </w:r>
      <w:r w:rsidR="00EA0555" w:rsidRPr="00F55D04">
        <w:t>dividends for the duration of the waiver period</w:t>
      </w:r>
      <w:r w:rsidRPr="00B95351">
        <w:t>; and</w:t>
      </w:r>
    </w:p>
    <w:p w14:paraId="1C98DE0C" w14:textId="77777777" w:rsidR="00DD0F33" w:rsidRPr="00DD0F33" w:rsidRDefault="00EA4F03" w:rsidP="00F55D04">
      <w:pPr>
        <w:pStyle w:val="Paragraph"/>
        <w:numPr>
          <w:ilvl w:val="0"/>
          <w:numId w:val="12"/>
        </w:numPr>
        <w:spacing w:before="0"/>
        <w:jc w:val="both"/>
      </w:pPr>
      <w:r w:rsidRPr="00EA0555">
        <w:t xml:space="preserve">Restriction on </w:t>
      </w:r>
      <w:r w:rsidR="00DD0F33" w:rsidRPr="00EA0555">
        <w:t>acquisitions with an aggregate</w:t>
      </w:r>
      <w:r w:rsidRPr="00EA0555">
        <w:t xml:space="preserve"> consideration</w:t>
      </w:r>
      <w:r w:rsidR="00DD0F33" w:rsidRPr="00EA0555">
        <w:t xml:space="preserve"> of £25m for the duration of the</w:t>
      </w:r>
      <w:r w:rsidR="00DD0F33" w:rsidRPr="00DD0F33">
        <w:t xml:space="preserve"> waiver period</w:t>
      </w:r>
      <w:r w:rsidR="00DD0F33">
        <w:t>.</w:t>
      </w:r>
    </w:p>
    <w:p w14:paraId="2F8B2683" w14:textId="77777777" w:rsidR="006D6777" w:rsidRDefault="006D6777" w:rsidP="00A036CF">
      <w:pPr>
        <w:pStyle w:val="Paragraph"/>
        <w:spacing w:before="0" w:after="120"/>
        <w:jc w:val="both"/>
      </w:pPr>
    </w:p>
    <w:p w14:paraId="08513341" w14:textId="77777777" w:rsidR="00BB3EE2" w:rsidRDefault="00432295" w:rsidP="00A036CF">
      <w:pPr>
        <w:pStyle w:val="Paragraph"/>
        <w:spacing w:before="0" w:after="120"/>
        <w:jc w:val="both"/>
      </w:pPr>
      <w:r w:rsidRPr="00B95351">
        <w:t xml:space="preserve">In the prior </w:t>
      </w:r>
      <w:r w:rsidR="001A6D11" w:rsidRPr="00F55D04">
        <w:t>financial year</w:t>
      </w:r>
      <w:r w:rsidRPr="00B95351">
        <w:t xml:space="preserve">, the Group recognised </w:t>
      </w:r>
      <w:r w:rsidR="00C8345B" w:rsidRPr="00F55D04">
        <w:t>a debt modification charge of £5.9m in line with the Group’s accounting policy</w:t>
      </w:r>
      <w:r w:rsidR="001A6D11" w:rsidRPr="00F55D04">
        <w:t xml:space="preserve"> as a result of covenant waivers secured during the period</w:t>
      </w:r>
      <w:r w:rsidR="00C8345B" w:rsidRPr="00F55D04">
        <w:t>. The charge reflected the incremental costs that will be incurred by the Group in future period</w:t>
      </w:r>
      <w:r w:rsidR="00586F60">
        <w:t>s</w:t>
      </w:r>
      <w:r w:rsidR="00C8345B" w:rsidRPr="00F55D04">
        <w:t xml:space="preserve"> as a result of </w:t>
      </w:r>
      <w:r w:rsidR="001A6D11">
        <w:t>th</w:t>
      </w:r>
      <w:r w:rsidR="00586F60">
        <w:t>e</w:t>
      </w:r>
      <w:r w:rsidR="001A6D11">
        <w:t xml:space="preserve"> </w:t>
      </w:r>
      <w:r w:rsidR="00C8345B" w:rsidRPr="00F55D04">
        <w:t xml:space="preserve">covenant waivers. </w:t>
      </w:r>
      <w:r w:rsidR="001A6D11" w:rsidRPr="00F55D04">
        <w:t>The covenant waivers secured</w:t>
      </w:r>
      <w:r w:rsidR="00586F60">
        <w:t xml:space="preserve"> </w:t>
      </w:r>
      <w:r w:rsidR="001A6D11" w:rsidRPr="00F55D04">
        <w:t xml:space="preserve">in November 2020 were assessed </w:t>
      </w:r>
      <w:r w:rsidR="00586F60">
        <w:t xml:space="preserve">in line with debt modification requirements under IFRS 9 </w:t>
      </w:r>
      <w:r w:rsidR="00586F60" w:rsidRPr="001F1616">
        <w:rPr>
          <w:i/>
        </w:rPr>
        <w:t>Financial Instruments</w:t>
      </w:r>
      <w:r w:rsidR="00586F60">
        <w:t xml:space="preserve"> and </w:t>
      </w:r>
      <w:r w:rsidR="001A6D11" w:rsidRPr="00F55D04">
        <w:t>no further charges were required to be recognised as a result of the</w:t>
      </w:r>
      <w:r w:rsidR="00C74C25">
        <w:t>se</w:t>
      </w:r>
      <w:r w:rsidR="001A6D11" w:rsidRPr="00F55D04">
        <w:t xml:space="preserve"> </w:t>
      </w:r>
      <w:r w:rsidR="00586F60">
        <w:t>amendments</w:t>
      </w:r>
      <w:r w:rsidR="001A6D11" w:rsidRPr="00F55D04">
        <w:t xml:space="preserve">. </w:t>
      </w:r>
    </w:p>
    <w:p w14:paraId="2E27F8EA" w14:textId="77777777" w:rsidR="00EB44C4" w:rsidRDefault="00EB44C4" w:rsidP="005B3BEE">
      <w:pPr>
        <w:pStyle w:val="Paragraph"/>
        <w:spacing w:before="0" w:after="120"/>
        <w:rPr>
          <w:b/>
        </w:rPr>
      </w:pPr>
    </w:p>
    <w:p w14:paraId="4E84FA9B" w14:textId="77777777" w:rsidR="00DD0F33" w:rsidRPr="00A47449" w:rsidRDefault="00A47449" w:rsidP="005B3BEE">
      <w:pPr>
        <w:pStyle w:val="Paragraph"/>
        <w:spacing w:before="0" w:after="120"/>
        <w:rPr>
          <w:b/>
        </w:rPr>
      </w:pPr>
      <w:r w:rsidRPr="00A47449">
        <w:rPr>
          <w:b/>
        </w:rPr>
        <w:t>Fair Value of financial instruments at amortised cost</w:t>
      </w:r>
    </w:p>
    <w:p w14:paraId="5E8EDEBA" w14:textId="77777777" w:rsidR="00A47449" w:rsidRDefault="00A47449" w:rsidP="005B3BEE">
      <w:pPr>
        <w:pStyle w:val="Paragraph"/>
        <w:spacing w:before="0" w:after="120"/>
      </w:pPr>
      <w:r>
        <w:t>Except as set out below, it is considered that the carrying amounts of financial assets and financial liabilities recognised at amortised cost in the condensed consolidated interim financial statements approximate their fair values</w:t>
      </w:r>
      <w:r w:rsidR="00782E8F">
        <w:t>:</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992"/>
        <w:gridCol w:w="992"/>
        <w:gridCol w:w="992"/>
        <w:gridCol w:w="992"/>
        <w:gridCol w:w="992"/>
        <w:gridCol w:w="993"/>
      </w:tblGrid>
      <w:tr w:rsidR="00A47449" w:rsidRPr="00C0338D" w14:paraId="6CF30E72" w14:textId="77777777" w:rsidTr="00A47449">
        <w:trPr>
          <w:jc w:val="center"/>
        </w:trPr>
        <w:tc>
          <w:tcPr>
            <w:tcW w:w="3828" w:type="dxa"/>
          </w:tcPr>
          <w:p w14:paraId="2A037E48" w14:textId="77777777" w:rsidR="00A47449" w:rsidRPr="00C0338D" w:rsidRDefault="00A47449" w:rsidP="00A47449">
            <w:pPr>
              <w:pStyle w:val="T2"/>
              <w:ind w:left="-392"/>
            </w:pPr>
          </w:p>
        </w:tc>
        <w:tc>
          <w:tcPr>
            <w:tcW w:w="1984" w:type="dxa"/>
            <w:gridSpan w:val="2"/>
            <w:vAlign w:val="bottom"/>
          </w:tcPr>
          <w:p w14:paraId="63105B88" w14:textId="77777777" w:rsidR="00A47449" w:rsidRPr="00A47449" w:rsidRDefault="00A47449" w:rsidP="00A47449">
            <w:pPr>
              <w:pStyle w:val="T2"/>
              <w:rPr>
                <w:b/>
              </w:rPr>
            </w:pPr>
            <w:r w:rsidRPr="00C0338D">
              <w:rPr>
                <w:b/>
              </w:rPr>
              <w:t>March 20</w:t>
            </w:r>
            <w:r>
              <w:rPr>
                <w:b/>
              </w:rPr>
              <w:t>21</w:t>
            </w:r>
          </w:p>
        </w:tc>
        <w:tc>
          <w:tcPr>
            <w:tcW w:w="1984" w:type="dxa"/>
            <w:gridSpan w:val="2"/>
          </w:tcPr>
          <w:p w14:paraId="05946646" w14:textId="77777777" w:rsidR="00A47449" w:rsidRPr="00C0338D" w:rsidRDefault="00A47449" w:rsidP="00A47449">
            <w:pPr>
              <w:pStyle w:val="T2"/>
            </w:pPr>
            <w:r>
              <w:t>September 2020</w:t>
            </w:r>
          </w:p>
        </w:tc>
        <w:tc>
          <w:tcPr>
            <w:tcW w:w="1985" w:type="dxa"/>
            <w:gridSpan w:val="2"/>
            <w:vAlign w:val="bottom"/>
          </w:tcPr>
          <w:p w14:paraId="29243431" w14:textId="77777777" w:rsidR="00A47449" w:rsidRPr="00C0338D" w:rsidRDefault="00A47449" w:rsidP="00A47449">
            <w:pPr>
              <w:pStyle w:val="T2"/>
            </w:pPr>
            <w:r>
              <w:t>March 2020</w:t>
            </w:r>
          </w:p>
        </w:tc>
      </w:tr>
      <w:tr w:rsidR="00A47449" w:rsidRPr="00C0338D" w14:paraId="7727D1EA" w14:textId="77777777" w:rsidTr="00A47449">
        <w:trPr>
          <w:jc w:val="center"/>
        </w:trPr>
        <w:tc>
          <w:tcPr>
            <w:tcW w:w="3828" w:type="dxa"/>
            <w:vAlign w:val="bottom"/>
          </w:tcPr>
          <w:p w14:paraId="437E12AA" w14:textId="77777777" w:rsidR="00A47449" w:rsidRPr="00C0338D" w:rsidRDefault="00A47449" w:rsidP="00A47449">
            <w:pPr>
              <w:pStyle w:val="T2"/>
              <w:jc w:val="left"/>
            </w:pPr>
          </w:p>
        </w:tc>
        <w:tc>
          <w:tcPr>
            <w:tcW w:w="992" w:type="dxa"/>
            <w:vAlign w:val="bottom"/>
          </w:tcPr>
          <w:p w14:paraId="569EE949" w14:textId="77777777" w:rsidR="00A47449" w:rsidRPr="00C0338D" w:rsidRDefault="00A47449" w:rsidP="00A47449">
            <w:pPr>
              <w:pStyle w:val="T2"/>
              <w:jc w:val="right"/>
              <w:rPr>
                <w:b/>
              </w:rPr>
            </w:pPr>
            <w:r>
              <w:rPr>
                <w:b/>
              </w:rPr>
              <w:t>Carrying amount</w:t>
            </w:r>
          </w:p>
        </w:tc>
        <w:tc>
          <w:tcPr>
            <w:tcW w:w="992" w:type="dxa"/>
          </w:tcPr>
          <w:p w14:paraId="29687415" w14:textId="77777777" w:rsidR="00A47449" w:rsidRPr="00A47449" w:rsidRDefault="00A47449" w:rsidP="00A47449">
            <w:pPr>
              <w:pStyle w:val="T2"/>
              <w:jc w:val="right"/>
              <w:rPr>
                <w:b/>
              </w:rPr>
            </w:pPr>
            <w:r w:rsidRPr="00A47449">
              <w:rPr>
                <w:b/>
              </w:rPr>
              <w:t>Fair</w:t>
            </w:r>
          </w:p>
          <w:p w14:paraId="273A05F3" w14:textId="77777777" w:rsidR="00A47449" w:rsidRPr="00A47449" w:rsidRDefault="00A47449" w:rsidP="00A47449">
            <w:pPr>
              <w:pStyle w:val="T2"/>
              <w:jc w:val="right"/>
              <w:rPr>
                <w:b/>
              </w:rPr>
            </w:pPr>
            <w:r w:rsidRPr="00A47449">
              <w:rPr>
                <w:b/>
              </w:rPr>
              <w:t>Value</w:t>
            </w:r>
          </w:p>
        </w:tc>
        <w:tc>
          <w:tcPr>
            <w:tcW w:w="992" w:type="dxa"/>
            <w:vAlign w:val="bottom"/>
          </w:tcPr>
          <w:p w14:paraId="7802F738" w14:textId="77777777" w:rsidR="00A47449" w:rsidRPr="00A47449" w:rsidRDefault="00A47449" w:rsidP="00A47449">
            <w:pPr>
              <w:pStyle w:val="T2"/>
              <w:jc w:val="right"/>
            </w:pPr>
            <w:r w:rsidRPr="00A47449">
              <w:t>Carrying amount</w:t>
            </w:r>
          </w:p>
        </w:tc>
        <w:tc>
          <w:tcPr>
            <w:tcW w:w="992" w:type="dxa"/>
          </w:tcPr>
          <w:p w14:paraId="24D3052C" w14:textId="77777777" w:rsidR="00A47449" w:rsidRPr="00A47449" w:rsidRDefault="00A47449" w:rsidP="00A47449">
            <w:pPr>
              <w:pStyle w:val="T2"/>
              <w:jc w:val="right"/>
            </w:pPr>
            <w:r w:rsidRPr="00A47449">
              <w:t>Fair</w:t>
            </w:r>
          </w:p>
          <w:p w14:paraId="4E7A3D21" w14:textId="77777777" w:rsidR="00A47449" w:rsidRPr="00A47449" w:rsidRDefault="00A47449" w:rsidP="00A47449">
            <w:pPr>
              <w:pStyle w:val="T2"/>
              <w:jc w:val="right"/>
            </w:pPr>
            <w:r w:rsidRPr="00A47449">
              <w:t>Value</w:t>
            </w:r>
          </w:p>
        </w:tc>
        <w:tc>
          <w:tcPr>
            <w:tcW w:w="992" w:type="dxa"/>
            <w:vAlign w:val="bottom"/>
          </w:tcPr>
          <w:p w14:paraId="4287F427" w14:textId="77777777" w:rsidR="00A47449" w:rsidRPr="00C0338D" w:rsidRDefault="00A47449" w:rsidP="00A47449">
            <w:pPr>
              <w:pStyle w:val="T2"/>
              <w:jc w:val="right"/>
            </w:pPr>
            <w:r w:rsidRPr="00A47449">
              <w:t>Carrying amount</w:t>
            </w:r>
          </w:p>
        </w:tc>
        <w:tc>
          <w:tcPr>
            <w:tcW w:w="993" w:type="dxa"/>
          </w:tcPr>
          <w:p w14:paraId="74AE5BD9" w14:textId="77777777" w:rsidR="00A47449" w:rsidRPr="00A47449" w:rsidRDefault="00A47449" w:rsidP="00A47449">
            <w:pPr>
              <w:pStyle w:val="T2"/>
              <w:jc w:val="right"/>
            </w:pPr>
            <w:r w:rsidRPr="00A47449">
              <w:t>Fair</w:t>
            </w:r>
          </w:p>
          <w:p w14:paraId="6006924F" w14:textId="77777777" w:rsidR="00A47449" w:rsidRPr="00C0338D" w:rsidRDefault="00A47449" w:rsidP="00A47449">
            <w:pPr>
              <w:pStyle w:val="T2"/>
              <w:jc w:val="right"/>
            </w:pPr>
            <w:r w:rsidRPr="00A47449">
              <w:t>Value</w:t>
            </w:r>
          </w:p>
        </w:tc>
      </w:tr>
      <w:tr w:rsidR="00A47449" w:rsidRPr="00C0338D" w14:paraId="2B5AD521" w14:textId="77777777" w:rsidTr="00A47449">
        <w:trPr>
          <w:jc w:val="center"/>
        </w:trPr>
        <w:tc>
          <w:tcPr>
            <w:tcW w:w="3828" w:type="dxa"/>
            <w:tcBorders>
              <w:bottom w:val="single" w:sz="2" w:space="0" w:color="auto"/>
            </w:tcBorders>
            <w:vAlign w:val="bottom"/>
          </w:tcPr>
          <w:p w14:paraId="4DACE974" w14:textId="77777777" w:rsidR="00A47449" w:rsidRPr="00C0338D" w:rsidRDefault="00A47449" w:rsidP="00A47449">
            <w:pPr>
              <w:pStyle w:val="T2"/>
              <w:jc w:val="left"/>
            </w:pPr>
          </w:p>
        </w:tc>
        <w:tc>
          <w:tcPr>
            <w:tcW w:w="992" w:type="dxa"/>
            <w:tcBorders>
              <w:bottom w:val="single" w:sz="2" w:space="0" w:color="auto"/>
            </w:tcBorders>
            <w:vAlign w:val="bottom"/>
          </w:tcPr>
          <w:p w14:paraId="7D84F342" w14:textId="77777777" w:rsidR="00A47449" w:rsidRPr="00C0338D" w:rsidRDefault="00A47449" w:rsidP="00A47449">
            <w:pPr>
              <w:pStyle w:val="T2"/>
              <w:jc w:val="right"/>
              <w:rPr>
                <w:b/>
              </w:rPr>
            </w:pPr>
            <w:r w:rsidRPr="00C0338D">
              <w:rPr>
                <w:b/>
              </w:rPr>
              <w:t>£m</w:t>
            </w:r>
          </w:p>
        </w:tc>
        <w:tc>
          <w:tcPr>
            <w:tcW w:w="992" w:type="dxa"/>
            <w:tcBorders>
              <w:bottom w:val="single" w:sz="2" w:space="0" w:color="auto"/>
            </w:tcBorders>
          </w:tcPr>
          <w:p w14:paraId="70752F4C" w14:textId="77777777" w:rsidR="00A47449" w:rsidRPr="00C0338D" w:rsidRDefault="00A47449" w:rsidP="00A47449">
            <w:pPr>
              <w:pStyle w:val="T2"/>
              <w:jc w:val="right"/>
            </w:pPr>
            <w:r w:rsidRPr="00C0338D">
              <w:rPr>
                <w:b/>
              </w:rPr>
              <w:t>£m</w:t>
            </w:r>
          </w:p>
        </w:tc>
        <w:tc>
          <w:tcPr>
            <w:tcW w:w="992" w:type="dxa"/>
            <w:tcBorders>
              <w:bottom w:val="single" w:sz="2" w:space="0" w:color="auto"/>
            </w:tcBorders>
            <w:vAlign w:val="bottom"/>
          </w:tcPr>
          <w:p w14:paraId="5AA46E6B" w14:textId="77777777" w:rsidR="00A47449" w:rsidRPr="00A47449" w:rsidRDefault="00A47449" w:rsidP="00A47449">
            <w:pPr>
              <w:pStyle w:val="T2"/>
              <w:jc w:val="right"/>
            </w:pPr>
            <w:r w:rsidRPr="00A47449">
              <w:t>£m</w:t>
            </w:r>
          </w:p>
        </w:tc>
        <w:tc>
          <w:tcPr>
            <w:tcW w:w="992" w:type="dxa"/>
            <w:tcBorders>
              <w:bottom w:val="single" w:sz="2" w:space="0" w:color="auto"/>
            </w:tcBorders>
          </w:tcPr>
          <w:p w14:paraId="712CE9CB" w14:textId="77777777" w:rsidR="00A47449" w:rsidRPr="00A47449" w:rsidRDefault="00A47449" w:rsidP="00A47449">
            <w:pPr>
              <w:pStyle w:val="T2"/>
              <w:jc w:val="right"/>
            </w:pPr>
            <w:r w:rsidRPr="00A47449">
              <w:t>£m</w:t>
            </w:r>
          </w:p>
        </w:tc>
        <w:tc>
          <w:tcPr>
            <w:tcW w:w="992" w:type="dxa"/>
            <w:tcBorders>
              <w:bottom w:val="single" w:sz="2" w:space="0" w:color="auto"/>
            </w:tcBorders>
            <w:vAlign w:val="bottom"/>
          </w:tcPr>
          <w:p w14:paraId="6311F24D" w14:textId="77777777" w:rsidR="00A47449" w:rsidRPr="00C0338D" w:rsidRDefault="00A47449" w:rsidP="00A47449">
            <w:pPr>
              <w:pStyle w:val="T2"/>
              <w:jc w:val="right"/>
            </w:pPr>
            <w:r w:rsidRPr="00A47449">
              <w:t>£m</w:t>
            </w:r>
          </w:p>
        </w:tc>
        <w:tc>
          <w:tcPr>
            <w:tcW w:w="993" w:type="dxa"/>
            <w:tcBorders>
              <w:bottom w:val="single" w:sz="2" w:space="0" w:color="auto"/>
            </w:tcBorders>
          </w:tcPr>
          <w:p w14:paraId="428960FE" w14:textId="77777777" w:rsidR="00A47449" w:rsidRPr="00C0338D" w:rsidRDefault="00A47449" w:rsidP="00A47449">
            <w:pPr>
              <w:pStyle w:val="T2"/>
              <w:jc w:val="right"/>
            </w:pPr>
            <w:r w:rsidRPr="00A47449">
              <w:t>£m</w:t>
            </w:r>
          </w:p>
        </w:tc>
      </w:tr>
      <w:tr w:rsidR="00AC1280" w:rsidRPr="00C0338D" w14:paraId="17B7AD2B" w14:textId="77777777" w:rsidTr="00AE207A">
        <w:trPr>
          <w:jc w:val="center"/>
        </w:trPr>
        <w:tc>
          <w:tcPr>
            <w:tcW w:w="3828" w:type="dxa"/>
            <w:tcBorders>
              <w:top w:val="single" w:sz="2" w:space="0" w:color="auto"/>
            </w:tcBorders>
            <w:vAlign w:val="bottom"/>
          </w:tcPr>
          <w:p w14:paraId="56AF1932" w14:textId="77777777" w:rsidR="00AC1280" w:rsidRPr="00A47449" w:rsidRDefault="00AC1280" w:rsidP="00AC1280">
            <w:pPr>
              <w:pStyle w:val="T2"/>
              <w:jc w:val="left"/>
            </w:pPr>
            <w:r w:rsidRPr="00A47449">
              <w:t>Bank borrowings</w:t>
            </w:r>
            <w:r>
              <w:t>*</w:t>
            </w:r>
          </w:p>
        </w:tc>
        <w:tc>
          <w:tcPr>
            <w:tcW w:w="992" w:type="dxa"/>
            <w:tcBorders>
              <w:top w:val="single" w:sz="2" w:space="0" w:color="auto"/>
            </w:tcBorders>
            <w:vAlign w:val="bottom"/>
          </w:tcPr>
          <w:p w14:paraId="16667493" w14:textId="77777777" w:rsidR="00AC1280" w:rsidRPr="00A47449" w:rsidRDefault="00AC1280" w:rsidP="00AC1280">
            <w:pPr>
              <w:pStyle w:val="T2"/>
              <w:jc w:val="right"/>
              <w:rPr>
                <w:b/>
              </w:rPr>
            </w:pPr>
            <w:r>
              <w:rPr>
                <w:b/>
              </w:rPr>
              <w:t>(</w:t>
            </w:r>
            <w:r w:rsidRPr="00A47449">
              <w:rPr>
                <w:b/>
              </w:rPr>
              <w:t>181.7</w:t>
            </w:r>
            <w:r>
              <w:rPr>
                <w:b/>
              </w:rPr>
              <w:t>)</w:t>
            </w:r>
          </w:p>
        </w:tc>
        <w:tc>
          <w:tcPr>
            <w:tcW w:w="992" w:type="dxa"/>
            <w:tcBorders>
              <w:top w:val="single" w:sz="2" w:space="0" w:color="auto"/>
            </w:tcBorders>
          </w:tcPr>
          <w:p w14:paraId="7392E3F8" w14:textId="77777777" w:rsidR="00AC1280" w:rsidRPr="00A47449" w:rsidRDefault="00AC1280" w:rsidP="008F529E">
            <w:pPr>
              <w:pStyle w:val="T2"/>
              <w:jc w:val="right"/>
              <w:rPr>
                <w:b/>
              </w:rPr>
            </w:pPr>
            <w:r>
              <w:rPr>
                <w:b/>
              </w:rPr>
              <w:t>(</w:t>
            </w:r>
            <w:r w:rsidR="00B41C0F">
              <w:rPr>
                <w:b/>
              </w:rPr>
              <w:t>183.9</w:t>
            </w:r>
            <w:r>
              <w:rPr>
                <w:b/>
              </w:rPr>
              <w:t>)</w:t>
            </w:r>
          </w:p>
        </w:tc>
        <w:tc>
          <w:tcPr>
            <w:tcW w:w="992" w:type="dxa"/>
            <w:tcBorders>
              <w:top w:val="single" w:sz="2" w:space="0" w:color="auto"/>
            </w:tcBorders>
          </w:tcPr>
          <w:p w14:paraId="6540A69D" w14:textId="77777777" w:rsidR="00AC1280" w:rsidRPr="00C0338D" w:rsidRDefault="00AC1280" w:rsidP="00AC1280">
            <w:pPr>
              <w:pStyle w:val="T2"/>
              <w:jc w:val="right"/>
            </w:pPr>
            <w:r>
              <w:t>(283.5)</w:t>
            </w:r>
          </w:p>
        </w:tc>
        <w:tc>
          <w:tcPr>
            <w:tcW w:w="992" w:type="dxa"/>
            <w:tcBorders>
              <w:top w:val="single" w:sz="2" w:space="0" w:color="auto"/>
            </w:tcBorders>
          </w:tcPr>
          <w:p w14:paraId="7C44C93F" w14:textId="77777777" w:rsidR="00AC1280" w:rsidRPr="00C0338D" w:rsidRDefault="00AC1280" w:rsidP="00AC1280">
            <w:pPr>
              <w:pStyle w:val="T2"/>
              <w:jc w:val="right"/>
            </w:pPr>
            <w:r>
              <w:t>(283.5)</w:t>
            </w:r>
          </w:p>
        </w:tc>
        <w:tc>
          <w:tcPr>
            <w:tcW w:w="992" w:type="dxa"/>
            <w:tcBorders>
              <w:top w:val="single" w:sz="2" w:space="0" w:color="auto"/>
            </w:tcBorders>
            <w:vAlign w:val="bottom"/>
          </w:tcPr>
          <w:p w14:paraId="75E96B85" w14:textId="77777777" w:rsidR="00AC1280" w:rsidRPr="00C0338D" w:rsidRDefault="00AC1280" w:rsidP="00AC1280">
            <w:pPr>
              <w:pStyle w:val="T2"/>
              <w:jc w:val="right"/>
            </w:pPr>
            <w:r>
              <w:rPr>
                <w:bCs/>
              </w:rPr>
              <w:t>(230.7)</w:t>
            </w:r>
          </w:p>
        </w:tc>
        <w:tc>
          <w:tcPr>
            <w:tcW w:w="993" w:type="dxa"/>
            <w:tcBorders>
              <w:top w:val="single" w:sz="2" w:space="0" w:color="auto"/>
            </w:tcBorders>
            <w:vAlign w:val="bottom"/>
          </w:tcPr>
          <w:p w14:paraId="16CED46A" w14:textId="77777777" w:rsidR="00AC1280" w:rsidRPr="00C0338D" w:rsidRDefault="000123F9" w:rsidP="008F529E">
            <w:pPr>
              <w:pStyle w:val="T2"/>
              <w:jc w:val="right"/>
            </w:pPr>
            <w:r>
              <w:t>(</w:t>
            </w:r>
            <w:r w:rsidR="00B41C0F">
              <w:t>234.6</w:t>
            </w:r>
            <w:r>
              <w:t>)</w:t>
            </w:r>
          </w:p>
        </w:tc>
      </w:tr>
      <w:tr w:rsidR="00AC1280" w:rsidRPr="0096767F" w14:paraId="74574B0E" w14:textId="77777777" w:rsidTr="00AE207A">
        <w:trPr>
          <w:jc w:val="center"/>
        </w:trPr>
        <w:tc>
          <w:tcPr>
            <w:tcW w:w="3828" w:type="dxa"/>
            <w:tcBorders>
              <w:bottom w:val="single" w:sz="2" w:space="0" w:color="auto"/>
            </w:tcBorders>
            <w:vAlign w:val="bottom"/>
          </w:tcPr>
          <w:p w14:paraId="7C7B091C" w14:textId="77777777" w:rsidR="00AC1280" w:rsidRPr="00C0338D" w:rsidRDefault="00AC1280" w:rsidP="00AC1280">
            <w:pPr>
              <w:pStyle w:val="T2"/>
              <w:jc w:val="left"/>
            </w:pPr>
            <w:r>
              <w:t>Private Placement Notes</w:t>
            </w:r>
          </w:p>
        </w:tc>
        <w:tc>
          <w:tcPr>
            <w:tcW w:w="992" w:type="dxa"/>
            <w:tcBorders>
              <w:bottom w:val="single" w:sz="2" w:space="0" w:color="auto"/>
            </w:tcBorders>
          </w:tcPr>
          <w:p w14:paraId="171963BF" w14:textId="77777777" w:rsidR="00AC1280" w:rsidRPr="00E5521C" w:rsidRDefault="00AC1280" w:rsidP="00AC1280">
            <w:pPr>
              <w:pStyle w:val="T2"/>
              <w:jc w:val="right"/>
              <w:rPr>
                <w:b/>
              </w:rPr>
            </w:pPr>
            <w:r>
              <w:rPr>
                <w:b/>
              </w:rPr>
              <w:t>(106.6)</w:t>
            </w:r>
          </w:p>
        </w:tc>
        <w:tc>
          <w:tcPr>
            <w:tcW w:w="992" w:type="dxa"/>
            <w:tcBorders>
              <w:bottom w:val="single" w:sz="2" w:space="0" w:color="auto"/>
            </w:tcBorders>
          </w:tcPr>
          <w:p w14:paraId="44145181" w14:textId="77777777" w:rsidR="00AC1280" w:rsidRDefault="00AC1280" w:rsidP="008F529E">
            <w:pPr>
              <w:pStyle w:val="T2"/>
              <w:jc w:val="right"/>
            </w:pPr>
            <w:r>
              <w:rPr>
                <w:b/>
              </w:rPr>
              <w:t>(</w:t>
            </w:r>
            <w:r w:rsidR="00B41C0F">
              <w:rPr>
                <w:b/>
              </w:rPr>
              <w:t>111.2</w:t>
            </w:r>
            <w:r>
              <w:rPr>
                <w:b/>
              </w:rPr>
              <w:t>)</w:t>
            </w:r>
          </w:p>
        </w:tc>
        <w:tc>
          <w:tcPr>
            <w:tcW w:w="992" w:type="dxa"/>
            <w:tcBorders>
              <w:bottom w:val="single" w:sz="2" w:space="0" w:color="auto"/>
            </w:tcBorders>
          </w:tcPr>
          <w:p w14:paraId="5A87A7C4" w14:textId="77777777" w:rsidR="00AC1280" w:rsidRDefault="00AC1280" w:rsidP="00AC1280">
            <w:pPr>
              <w:pStyle w:val="T2"/>
              <w:jc w:val="right"/>
            </w:pPr>
            <w:r>
              <w:t>(114.0)</w:t>
            </w:r>
          </w:p>
        </w:tc>
        <w:tc>
          <w:tcPr>
            <w:tcW w:w="992" w:type="dxa"/>
            <w:tcBorders>
              <w:bottom w:val="single" w:sz="2" w:space="0" w:color="auto"/>
            </w:tcBorders>
          </w:tcPr>
          <w:p w14:paraId="213BE53E" w14:textId="77777777" w:rsidR="00AC1280" w:rsidRDefault="00AC1280" w:rsidP="00AC1280">
            <w:pPr>
              <w:pStyle w:val="T2"/>
              <w:jc w:val="right"/>
            </w:pPr>
            <w:r>
              <w:t>(114.0)</w:t>
            </w:r>
          </w:p>
        </w:tc>
        <w:tc>
          <w:tcPr>
            <w:tcW w:w="992" w:type="dxa"/>
            <w:tcBorders>
              <w:bottom w:val="single" w:sz="2" w:space="0" w:color="auto"/>
            </w:tcBorders>
            <w:vAlign w:val="bottom"/>
          </w:tcPr>
          <w:p w14:paraId="11D6499A" w14:textId="77777777" w:rsidR="00AC1280" w:rsidRDefault="00AC1280" w:rsidP="00AC1280">
            <w:pPr>
              <w:pStyle w:val="T2"/>
              <w:jc w:val="right"/>
            </w:pPr>
            <w:r>
              <w:rPr>
                <w:bCs/>
              </w:rPr>
              <w:t>(114.9)</w:t>
            </w:r>
          </w:p>
        </w:tc>
        <w:tc>
          <w:tcPr>
            <w:tcW w:w="993" w:type="dxa"/>
            <w:tcBorders>
              <w:bottom w:val="single" w:sz="2" w:space="0" w:color="auto"/>
            </w:tcBorders>
            <w:vAlign w:val="bottom"/>
          </w:tcPr>
          <w:p w14:paraId="64D256C2" w14:textId="77777777" w:rsidR="00AC1280" w:rsidRPr="0096767F" w:rsidRDefault="000123F9" w:rsidP="008F529E">
            <w:pPr>
              <w:pStyle w:val="T2"/>
              <w:jc w:val="right"/>
            </w:pPr>
            <w:r>
              <w:t>(</w:t>
            </w:r>
            <w:r w:rsidR="00B41C0F">
              <w:t>118.4</w:t>
            </w:r>
            <w:r>
              <w:t>)</w:t>
            </w:r>
          </w:p>
        </w:tc>
      </w:tr>
      <w:tr w:rsidR="00AC1280" w:rsidRPr="00C0338D" w14:paraId="755BEB3C" w14:textId="77777777" w:rsidTr="00AE207A">
        <w:trPr>
          <w:jc w:val="center"/>
        </w:trPr>
        <w:tc>
          <w:tcPr>
            <w:tcW w:w="3828" w:type="dxa"/>
            <w:tcBorders>
              <w:top w:val="single" w:sz="2" w:space="0" w:color="auto"/>
            </w:tcBorders>
            <w:vAlign w:val="bottom"/>
          </w:tcPr>
          <w:p w14:paraId="53E75E95" w14:textId="77777777" w:rsidR="00AC1280" w:rsidRPr="00AC1280" w:rsidRDefault="00AC1280" w:rsidP="00AC1280">
            <w:pPr>
              <w:pStyle w:val="T2"/>
              <w:jc w:val="left"/>
              <w:rPr>
                <w:sz w:val="14"/>
                <w:szCs w:val="14"/>
              </w:rPr>
            </w:pPr>
            <w:r w:rsidRPr="00AC1280">
              <w:rPr>
                <w:sz w:val="14"/>
                <w:szCs w:val="14"/>
              </w:rPr>
              <w:t> *excludes bank overdrafts</w:t>
            </w:r>
          </w:p>
        </w:tc>
        <w:tc>
          <w:tcPr>
            <w:tcW w:w="992" w:type="dxa"/>
            <w:tcBorders>
              <w:top w:val="single" w:sz="2" w:space="0" w:color="auto"/>
            </w:tcBorders>
          </w:tcPr>
          <w:p w14:paraId="6E2455C4" w14:textId="77777777" w:rsidR="00AC1280" w:rsidRPr="00E5521C" w:rsidRDefault="00AC1280" w:rsidP="00AC1280">
            <w:pPr>
              <w:pStyle w:val="T2"/>
              <w:jc w:val="right"/>
              <w:rPr>
                <w:b/>
              </w:rPr>
            </w:pPr>
          </w:p>
        </w:tc>
        <w:tc>
          <w:tcPr>
            <w:tcW w:w="992" w:type="dxa"/>
            <w:tcBorders>
              <w:top w:val="single" w:sz="2" w:space="0" w:color="auto"/>
            </w:tcBorders>
          </w:tcPr>
          <w:p w14:paraId="02FB1FAA" w14:textId="77777777" w:rsidR="00AC1280" w:rsidRPr="00C0338D" w:rsidRDefault="00AC1280" w:rsidP="00AC1280">
            <w:pPr>
              <w:pStyle w:val="T2"/>
              <w:jc w:val="right"/>
            </w:pPr>
          </w:p>
        </w:tc>
        <w:tc>
          <w:tcPr>
            <w:tcW w:w="992" w:type="dxa"/>
            <w:tcBorders>
              <w:top w:val="single" w:sz="2" w:space="0" w:color="auto"/>
            </w:tcBorders>
          </w:tcPr>
          <w:p w14:paraId="76FA801E" w14:textId="77777777" w:rsidR="00AC1280" w:rsidRPr="00C0338D" w:rsidRDefault="00AC1280" w:rsidP="00AC1280">
            <w:pPr>
              <w:pStyle w:val="T2"/>
              <w:jc w:val="right"/>
            </w:pPr>
          </w:p>
        </w:tc>
        <w:tc>
          <w:tcPr>
            <w:tcW w:w="992" w:type="dxa"/>
            <w:tcBorders>
              <w:top w:val="single" w:sz="2" w:space="0" w:color="auto"/>
            </w:tcBorders>
          </w:tcPr>
          <w:p w14:paraId="0311E40F" w14:textId="77777777" w:rsidR="00AC1280" w:rsidRPr="00C0338D" w:rsidRDefault="00AC1280" w:rsidP="00AC1280">
            <w:pPr>
              <w:pStyle w:val="T2"/>
              <w:jc w:val="right"/>
            </w:pPr>
          </w:p>
        </w:tc>
        <w:tc>
          <w:tcPr>
            <w:tcW w:w="992" w:type="dxa"/>
            <w:tcBorders>
              <w:top w:val="single" w:sz="2" w:space="0" w:color="auto"/>
            </w:tcBorders>
            <w:vAlign w:val="bottom"/>
          </w:tcPr>
          <w:p w14:paraId="6066BFE1" w14:textId="77777777" w:rsidR="00AC1280" w:rsidRPr="00C0338D" w:rsidRDefault="00AC1280" w:rsidP="00AC1280">
            <w:pPr>
              <w:pStyle w:val="T2"/>
              <w:jc w:val="right"/>
            </w:pPr>
          </w:p>
        </w:tc>
        <w:tc>
          <w:tcPr>
            <w:tcW w:w="993" w:type="dxa"/>
            <w:tcBorders>
              <w:top w:val="single" w:sz="2" w:space="0" w:color="auto"/>
            </w:tcBorders>
            <w:vAlign w:val="bottom"/>
          </w:tcPr>
          <w:p w14:paraId="60DC0FED" w14:textId="77777777" w:rsidR="00AC1280" w:rsidRPr="00C0338D" w:rsidRDefault="00AC1280" w:rsidP="00AC1280">
            <w:pPr>
              <w:pStyle w:val="T2"/>
              <w:jc w:val="right"/>
            </w:pPr>
          </w:p>
        </w:tc>
      </w:tr>
    </w:tbl>
    <w:p w14:paraId="625C4B77" w14:textId="77777777" w:rsidR="00A47449" w:rsidRDefault="00A47449" w:rsidP="005B3BEE">
      <w:pPr>
        <w:pStyle w:val="Paragraph"/>
        <w:spacing w:before="0" w:after="120"/>
      </w:pPr>
    </w:p>
    <w:p w14:paraId="09C7F903" w14:textId="77777777" w:rsidR="00773F7B" w:rsidRDefault="00773F7B" w:rsidP="005B3BEE">
      <w:pPr>
        <w:pStyle w:val="Paragraph"/>
        <w:spacing w:before="0" w:after="120"/>
        <w:rPr>
          <w:b/>
        </w:rPr>
      </w:pPr>
      <w:r>
        <w:rPr>
          <w:b/>
        </w:rPr>
        <w:t xml:space="preserve">Derivatives </w:t>
      </w:r>
      <w:r w:rsidRPr="00662216">
        <w:rPr>
          <w:b/>
        </w:rPr>
        <w:t xml:space="preserve">Fair value hierarchy </w:t>
      </w:r>
      <w:r>
        <w:rPr>
          <w:b/>
        </w:rPr>
        <w:t>–</w:t>
      </w:r>
      <w:r w:rsidRPr="00662216">
        <w:rPr>
          <w:b/>
        </w:rPr>
        <w:t xml:space="preserve"> IFRS 13 (level 2 inputs)*</w:t>
      </w:r>
      <w:r w:rsidR="00AC1280">
        <w:rPr>
          <w:b/>
        </w:rPr>
        <w:t>*</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5"/>
        <w:gridCol w:w="1027"/>
        <w:gridCol w:w="1028"/>
        <w:gridCol w:w="1030"/>
      </w:tblGrid>
      <w:tr w:rsidR="00773F7B" w14:paraId="6ADC7BC0" w14:textId="77777777" w:rsidTr="008B4755">
        <w:trPr>
          <w:jc w:val="center"/>
        </w:trPr>
        <w:tc>
          <w:tcPr>
            <w:tcW w:w="6695" w:type="dxa"/>
          </w:tcPr>
          <w:p w14:paraId="57A8A754" w14:textId="77777777" w:rsidR="00773F7B" w:rsidRPr="00C0338D" w:rsidRDefault="00773F7B" w:rsidP="00773F7B">
            <w:pPr>
              <w:pStyle w:val="T2"/>
            </w:pPr>
          </w:p>
        </w:tc>
        <w:tc>
          <w:tcPr>
            <w:tcW w:w="1027" w:type="dxa"/>
            <w:vAlign w:val="bottom"/>
          </w:tcPr>
          <w:p w14:paraId="7C28270A" w14:textId="77777777" w:rsidR="00773F7B" w:rsidRPr="00C0338D" w:rsidRDefault="00773F7B" w:rsidP="00773F7B">
            <w:pPr>
              <w:pStyle w:val="T2"/>
              <w:jc w:val="right"/>
              <w:rPr>
                <w:b/>
              </w:rPr>
            </w:pPr>
            <w:r w:rsidRPr="00C0338D">
              <w:rPr>
                <w:b/>
              </w:rPr>
              <w:t>March 20</w:t>
            </w:r>
            <w:r w:rsidR="0088383C">
              <w:rPr>
                <w:b/>
              </w:rPr>
              <w:t>21</w:t>
            </w:r>
          </w:p>
        </w:tc>
        <w:tc>
          <w:tcPr>
            <w:tcW w:w="1028" w:type="dxa"/>
            <w:vAlign w:val="bottom"/>
          </w:tcPr>
          <w:p w14:paraId="2B6EAF8F" w14:textId="77777777" w:rsidR="00773F7B" w:rsidRPr="00C0338D" w:rsidRDefault="00773F7B" w:rsidP="008B4755">
            <w:pPr>
              <w:pStyle w:val="T2"/>
              <w:jc w:val="right"/>
            </w:pPr>
            <w:r w:rsidRPr="00C0338D">
              <w:t>September 20</w:t>
            </w:r>
            <w:r w:rsidR="008B4755">
              <w:t>20</w:t>
            </w:r>
          </w:p>
        </w:tc>
        <w:tc>
          <w:tcPr>
            <w:tcW w:w="1030" w:type="dxa"/>
            <w:vAlign w:val="bottom"/>
          </w:tcPr>
          <w:p w14:paraId="5051BD6A" w14:textId="77777777" w:rsidR="00773F7B" w:rsidRPr="00C0338D" w:rsidRDefault="00773F7B" w:rsidP="008B4755">
            <w:pPr>
              <w:pStyle w:val="T2"/>
              <w:jc w:val="right"/>
            </w:pPr>
            <w:r w:rsidRPr="00C0338D">
              <w:t>March 20</w:t>
            </w:r>
            <w:r w:rsidR="008B4755">
              <w:t>20</w:t>
            </w:r>
          </w:p>
        </w:tc>
      </w:tr>
      <w:tr w:rsidR="00773F7B" w14:paraId="340D99A1" w14:textId="77777777" w:rsidTr="008B4755">
        <w:trPr>
          <w:jc w:val="center"/>
        </w:trPr>
        <w:tc>
          <w:tcPr>
            <w:tcW w:w="6695" w:type="dxa"/>
            <w:vAlign w:val="bottom"/>
          </w:tcPr>
          <w:p w14:paraId="27845256" w14:textId="77777777" w:rsidR="00773F7B" w:rsidRPr="00C0338D" w:rsidRDefault="00773F7B" w:rsidP="00773F7B">
            <w:pPr>
              <w:pStyle w:val="T2"/>
              <w:jc w:val="left"/>
            </w:pPr>
          </w:p>
        </w:tc>
        <w:tc>
          <w:tcPr>
            <w:tcW w:w="1027" w:type="dxa"/>
            <w:vAlign w:val="bottom"/>
          </w:tcPr>
          <w:p w14:paraId="1A578223" w14:textId="77777777" w:rsidR="00773F7B" w:rsidRPr="00C0338D" w:rsidRDefault="00773F7B" w:rsidP="00773F7B">
            <w:pPr>
              <w:pStyle w:val="T2"/>
              <w:jc w:val="right"/>
              <w:rPr>
                <w:b/>
              </w:rPr>
            </w:pPr>
            <w:r w:rsidRPr="00C0338D">
              <w:rPr>
                <w:b/>
              </w:rPr>
              <w:t xml:space="preserve">Level 2* </w:t>
            </w:r>
          </w:p>
        </w:tc>
        <w:tc>
          <w:tcPr>
            <w:tcW w:w="1028" w:type="dxa"/>
            <w:vAlign w:val="bottom"/>
          </w:tcPr>
          <w:p w14:paraId="2A284AD7" w14:textId="77777777" w:rsidR="00773F7B" w:rsidRPr="00C0338D" w:rsidRDefault="00773F7B" w:rsidP="00773F7B">
            <w:pPr>
              <w:pStyle w:val="T2"/>
              <w:jc w:val="right"/>
            </w:pPr>
            <w:r w:rsidRPr="00C0338D">
              <w:t xml:space="preserve">Level 2* </w:t>
            </w:r>
          </w:p>
        </w:tc>
        <w:tc>
          <w:tcPr>
            <w:tcW w:w="1030" w:type="dxa"/>
            <w:vAlign w:val="bottom"/>
          </w:tcPr>
          <w:p w14:paraId="66CBD094" w14:textId="77777777" w:rsidR="00773F7B" w:rsidRPr="00C0338D" w:rsidRDefault="00773F7B" w:rsidP="00773F7B">
            <w:pPr>
              <w:pStyle w:val="T2"/>
              <w:jc w:val="right"/>
            </w:pPr>
            <w:r w:rsidRPr="00C0338D">
              <w:t xml:space="preserve">Level 2* </w:t>
            </w:r>
          </w:p>
        </w:tc>
      </w:tr>
      <w:tr w:rsidR="00773F7B" w14:paraId="126A48F9" w14:textId="77777777" w:rsidTr="008B4755">
        <w:trPr>
          <w:jc w:val="center"/>
        </w:trPr>
        <w:tc>
          <w:tcPr>
            <w:tcW w:w="6695" w:type="dxa"/>
            <w:tcBorders>
              <w:bottom w:val="single" w:sz="2" w:space="0" w:color="auto"/>
            </w:tcBorders>
            <w:vAlign w:val="bottom"/>
          </w:tcPr>
          <w:p w14:paraId="08CB837E" w14:textId="77777777" w:rsidR="00773F7B" w:rsidRPr="00C0338D" w:rsidRDefault="00773F7B" w:rsidP="00773F7B">
            <w:pPr>
              <w:pStyle w:val="T2"/>
              <w:jc w:val="left"/>
            </w:pPr>
          </w:p>
        </w:tc>
        <w:tc>
          <w:tcPr>
            <w:tcW w:w="1027" w:type="dxa"/>
            <w:tcBorders>
              <w:bottom w:val="single" w:sz="2" w:space="0" w:color="auto"/>
            </w:tcBorders>
            <w:vAlign w:val="bottom"/>
          </w:tcPr>
          <w:p w14:paraId="02802FA0" w14:textId="77777777" w:rsidR="00773F7B" w:rsidRPr="00C0338D" w:rsidRDefault="00773F7B" w:rsidP="00773F7B">
            <w:pPr>
              <w:pStyle w:val="T2"/>
              <w:jc w:val="right"/>
              <w:rPr>
                <w:b/>
              </w:rPr>
            </w:pPr>
            <w:r w:rsidRPr="00C0338D">
              <w:rPr>
                <w:b/>
              </w:rPr>
              <w:t>£m</w:t>
            </w:r>
          </w:p>
        </w:tc>
        <w:tc>
          <w:tcPr>
            <w:tcW w:w="1028" w:type="dxa"/>
            <w:tcBorders>
              <w:bottom w:val="single" w:sz="2" w:space="0" w:color="auto"/>
            </w:tcBorders>
            <w:vAlign w:val="bottom"/>
          </w:tcPr>
          <w:p w14:paraId="0AAFBF1B" w14:textId="77777777" w:rsidR="00773F7B" w:rsidRPr="00C0338D" w:rsidRDefault="00773F7B" w:rsidP="00773F7B">
            <w:pPr>
              <w:pStyle w:val="T2"/>
              <w:jc w:val="right"/>
            </w:pPr>
            <w:r w:rsidRPr="00C0338D">
              <w:t>£m</w:t>
            </w:r>
          </w:p>
        </w:tc>
        <w:tc>
          <w:tcPr>
            <w:tcW w:w="1030" w:type="dxa"/>
            <w:tcBorders>
              <w:bottom w:val="single" w:sz="2" w:space="0" w:color="auto"/>
            </w:tcBorders>
            <w:vAlign w:val="bottom"/>
          </w:tcPr>
          <w:p w14:paraId="13432836" w14:textId="77777777" w:rsidR="00773F7B" w:rsidRPr="00C0338D" w:rsidRDefault="00773F7B" w:rsidP="00773F7B">
            <w:pPr>
              <w:pStyle w:val="T2"/>
              <w:jc w:val="right"/>
            </w:pPr>
            <w:r w:rsidRPr="00C0338D">
              <w:t>£m</w:t>
            </w:r>
          </w:p>
        </w:tc>
      </w:tr>
      <w:tr w:rsidR="00773F7B" w14:paraId="1AFA8C74" w14:textId="77777777" w:rsidTr="008B4755">
        <w:trPr>
          <w:jc w:val="center"/>
        </w:trPr>
        <w:tc>
          <w:tcPr>
            <w:tcW w:w="6695" w:type="dxa"/>
            <w:tcBorders>
              <w:top w:val="single" w:sz="2" w:space="0" w:color="auto"/>
            </w:tcBorders>
            <w:vAlign w:val="bottom"/>
          </w:tcPr>
          <w:p w14:paraId="127E26E1" w14:textId="77777777" w:rsidR="00773F7B" w:rsidRPr="00C0338D" w:rsidRDefault="00773F7B" w:rsidP="00773F7B">
            <w:pPr>
              <w:pStyle w:val="T2"/>
              <w:jc w:val="left"/>
              <w:rPr>
                <w:b/>
              </w:rPr>
            </w:pPr>
            <w:r w:rsidRPr="00C0338D">
              <w:rPr>
                <w:b/>
              </w:rPr>
              <w:t xml:space="preserve">Assets carried at fair value </w:t>
            </w:r>
          </w:p>
        </w:tc>
        <w:tc>
          <w:tcPr>
            <w:tcW w:w="1027" w:type="dxa"/>
            <w:tcBorders>
              <w:top w:val="single" w:sz="2" w:space="0" w:color="auto"/>
            </w:tcBorders>
            <w:vAlign w:val="bottom"/>
          </w:tcPr>
          <w:p w14:paraId="0CA63A3B" w14:textId="77777777" w:rsidR="00773F7B" w:rsidRPr="00B074E8" w:rsidRDefault="00773F7B" w:rsidP="00773F7B">
            <w:pPr>
              <w:pStyle w:val="T2"/>
              <w:jc w:val="right"/>
            </w:pPr>
          </w:p>
        </w:tc>
        <w:tc>
          <w:tcPr>
            <w:tcW w:w="1028" w:type="dxa"/>
            <w:tcBorders>
              <w:top w:val="single" w:sz="2" w:space="0" w:color="auto"/>
            </w:tcBorders>
            <w:vAlign w:val="bottom"/>
          </w:tcPr>
          <w:p w14:paraId="601492E8" w14:textId="77777777" w:rsidR="00773F7B" w:rsidRPr="00C0338D" w:rsidRDefault="00773F7B" w:rsidP="00773F7B">
            <w:pPr>
              <w:pStyle w:val="T2"/>
              <w:jc w:val="right"/>
            </w:pPr>
          </w:p>
        </w:tc>
        <w:tc>
          <w:tcPr>
            <w:tcW w:w="1030" w:type="dxa"/>
            <w:tcBorders>
              <w:top w:val="single" w:sz="2" w:space="0" w:color="auto"/>
            </w:tcBorders>
            <w:vAlign w:val="bottom"/>
          </w:tcPr>
          <w:p w14:paraId="1054A996" w14:textId="77777777" w:rsidR="00773F7B" w:rsidRPr="00C0338D" w:rsidRDefault="00773F7B" w:rsidP="00773F7B">
            <w:pPr>
              <w:pStyle w:val="T2"/>
              <w:jc w:val="right"/>
            </w:pPr>
          </w:p>
        </w:tc>
      </w:tr>
      <w:tr w:rsidR="008B4755" w14:paraId="1D1367BE" w14:textId="77777777" w:rsidTr="00592BB5">
        <w:trPr>
          <w:jc w:val="center"/>
        </w:trPr>
        <w:tc>
          <w:tcPr>
            <w:tcW w:w="6695" w:type="dxa"/>
            <w:vAlign w:val="bottom"/>
          </w:tcPr>
          <w:p w14:paraId="18EAF105" w14:textId="77777777" w:rsidR="008B4755" w:rsidRPr="00C0338D" w:rsidRDefault="008B4755" w:rsidP="008B4755">
            <w:pPr>
              <w:pStyle w:val="T2"/>
              <w:jc w:val="left"/>
            </w:pPr>
            <w:r>
              <w:t xml:space="preserve">Cross–currency interest rate swaps – </w:t>
            </w:r>
            <w:r w:rsidRPr="00C0338D">
              <w:t>cash flow hedges</w:t>
            </w:r>
          </w:p>
        </w:tc>
        <w:tc>
          <w:tcPr>
            <w:tcW w:w="1027" w:type="dxa"/>
          </w:tcPr>
          <w:p w14:paraId="082D0D1C" w14:textId="77777777" w:rsidR="008B4755" w:rsidRPr="00E5521C" w:rsidRDefault="008B4755" w:rsidP="008B4755">
            <w:pPr>
              <w:pStyle w:val="T2"/>
              <w:jc w:val="right"/>
              <w:rPr>
                <w:b/>
              </w:rPr>
            </w:pPr>
            <w:r w:rsidRPr="00A42578">
              <w:rPr>
                <w:b/>
                <w:bCs/>
              </w:rPr>
              <w:t>–</w:t>
            </w:r>
          </w:p>
        </w:tc>
        <w:tc>
          <w:tcPr>
            <w:tcW w:w="1028" w:type="dxa"/>
            <w:vAlign w:val="bottom"/>
          </w:tcPr>
          <w:p w14:paraId="435C98CE" w14:textId="77777777" w:rsidR="008B4755" w:rsidRDefault="008B4755" w:rsidP="008B4755">
            <w:pPr>
              <w:pStyle w:val="T2"/>
              <w:jc w:val="right"/>
            </w:pPr>
            <w:r>
              <w:t>2.9</w:t>
            </w:r>
          </w:p>
        </w:tc>
        <w:tc>
          <w:tcPr>
            <w:tcW w:w="1030" w:type="dxa"/>
            <w:vAlign w:val="bottom"/>
          </w:tcPr>
          <w:p w14:paraId="525EE210" w14:textId="77777777" w:rsidR="008B4755" w:rsidRPr="0096767F" w:rsidRDefault="008B4755" w:rsidP="008B4755">
            <w:pPr>
              <w:pStyle w:val="T2"/>
              <w:jc w:val="right"/>
            </w:pPr>
            <w:r>
              <w:t>6.5</w:t>
            </w:r>
          </w:p>
        </w:tc>
      </w:tr>
      <w:tr w:rsidR="008B4755" w14:paraId="7FB7BB04" w14:textId="77777777" w:rsidTr="001F1616">
        <w:trPr>
          <w:jc w:val="center"/>
        </w:trPr>
        <w:tc>
          <w:tcPr>
            <w:tcW w:w="6695" w:type="dxa"/>
            <w:tcBorders>
              <w:bottom w:val="single" w:sz="2" w:space="0" w:color="auto"/>
            </w:tcBorders>
            <w:vAlign w:val="bottom"/>
          </w:tcPr>
          <w:p w14:paraId="0C7F9508" w14:textId="77777777" w:rsidR="008B4755" w:rsidRPr="00C0338D" w:rsidRDefault="008B4755" w:rsidP="008B4755">
            <w:pPr>
              <w:pStyle w:val="T2"/>
              <w:jc w:val="left"/>
            </w:pPr>
            <w:r>
              <w:t>Forward foreign exchange contracts – not designated as hedges</w:t>
            </w:r>
          </w:p>
        </w:tc>
        <w:tc>
          <w:tcPr>
            <w:tcW w:w="1027" w:type="dxa"/>
            <w:tcBorders>
              <w:bottom w:val="single" w:sz="2" w:space="0" w:color="auto"/>
            </w:tcBorders>
          </w:tcPr>
          <w:p w14:paraId="1584FF71" w14:textId="77777777" w:rsidR="008B4755" w:rsidRPr="00E5521C" w:rsidRDefault="008B4755" w:rsidP="008B4755">
            <w:pPr>
              <w:pStyle w:val="T2"/>
              <w:jc w:val="right"/>
              <w:rPr>
                <w:b/>
              </w:rPr>
            </w:pPr>
            <w:r w:rsidRPr="00A42578">
              <w:rPr>
                <w:b/>
                <w:bCs/>
              </w:rPr>
              <w:t>–</w:t>
            </w:r>
          </w:p>
        </w:tc>
        <w:tc>
          <w:tcPr>
            <w:tcW w:w="1028" w:type="dxa"/>
            <w:tcBorders>
              <w:bottom w:val="single" w:sz="2" w:space="0" w:color="auto"/>
            </w:tcBorders>
            <w:vAlign w:val="bottom"/>
          </w:tcPr>
          <w:p w14:paraId="2A4859FC" w14:textId="77777777" w:rsidR="008B4755" w:rsidRPr="00C0338D" w:rsidRDefault="008B4755" w:rsidP="00FD7ED5">
            <w:pPr>
              <w:pStyle w:val="T2"/>
              <w:jc w:val="right"/>
            </w:pPr>
            <w:r>
              <w:t>0.</w:t>
            </w:r>
            <w:r w:rsidR="00FD7ED5">
              <w:t>7</w:t>
            </w:r>
          </w:p>
        </w:tc>
        <w:tc>
          <w:tcPr>
            <w:tcW w:w="1030" w:type="dxa"/>
            <w:tcBorders>
              <w:bottom w:val="single" w:sz="2" w:space="0" w:color="auto"/>
            </w:tcBorders>
            <w:vAlign w:val="bottom"/>
          </w:tcPr>
          <w:p w14:paraId="34B0DA69" w14:textId="77777777" w:rsidR="008B4755" w:rsidRPr="00C0338D" w:rsidRDefault="008B4755" w:rsidP="008B4755">
            <w:pPr>
              <w:pStyle w:val="T2"/>
              <w:jc w:val="right"/>
            </w:pPr>
            <w:r>
              <w:t>–</w:t>
            </w:r>
          </w:p>
        </w:tc>
      </w:tr>
      <w:tr w:rsidR="008B4755" w14:paraId="10D642B1" w14:textId="77777777" w:rsidTr="001F1616">
        <w:trPr>
          <w:jc w:val="center"/>
        </w:trPr>
        <w:tc>
          <w:tcPr>
            <w:tcW w:w="6695" w:type="dxa"/>
            <w:tcBorders>
              <w:top w:val="single" w:sz="2" w:space="0" w:color="auto"/>
              <w:bottom w:val="single" w:sz="2" w:space="0" w:color="auto"/>
            </w:tcBorders>
            <w:vAlign w:val="bottom"/>
          </w:tcPr>
          <w:p w14:paraId="468E9698" w14:textId="77777777" w:rsidR="008B4755" w:rsidRPr="00C0338D" w:rsidRDefault="008B4755" w:rsidP="008B4755">
            <w:pPr>
              <w:pStyle w:val="T2"/>
              <w:jc w:val="left"/>
            </w:pPr>
            <w:r w:rsidRPr="00C0338D">
              <w:t> </w:t>
            </w:r>
          </w:p>
        </w:tc>
        <w:tc>
          <w:tcPr>
            <w:tcW w:w="1027" w:type="dxa"/>
            <w:tcBorders>
              <w:top w:val="single" w:sz="2" w:space="0" w:color="auto"/>
              <w:bottom w:val="single" w:sz="2" w:space="0" w:color="auto"/>
            </w:tcBorders>
          </w:tcPr>
          <w:p w14:paraId="67340EB9" w14:textId="77777777" w:rsidR="008B4755" w:rsidRPr="00E5521C" w:rsidRDefault="008B4755" w:rsidP="008B4755">
            <w:pPr>
              <w:pStyle w:val="T2"/>
              <w:jc w:val="right"/>
              <w:rPr>
                <w:b/>
              </w:rPr>
            </w:pPr>
            <w:r w:rsidRPr="00A42578">
              <w:rPr>
                <w:b/>
                <w:bCs/>
              </w:rPr>
              <w:t>–</w:t>
            </w:r>
          </w:p>
        </w:tc>
        <w:tc>
          <w:tcPr>
            <w:tcW w:w="1028" w:type="dxa"/>
            <w:tcBorders>
              <w:top w:val="single" w:sz="2" w:space="0" w:color="auto"/>
              <w:bottom w:val="single" w:sz="2" w:space="0" w:color="auto"/>
            </w:tcBorders>
            <w:vAlign w:val="bottom"/>
          </w:tcPr>
          <w:p w14:paraId="5325B050" w14:textId="77777777" w:rsidR="008B4755" w:rsidRPr="00C0338D" w:rsidRDefault="008B4755" w:rsidP="008B4755">
            <w:pPr>
              <w:pStyle w:val="T2"/>
              <w:jc w:val="right"/>
            </w:pPr>
            <w:r>
              <w:t>3.6</w:t>
            </w:r>
          </w:p>
        </w:tc>
        <w:tc>
          <w:tcPr>
            <w:tcW w:w="1030" w:type="dxa"/>
            <w:tcBorders>
              <w:top w:val="single" w:sz="2" w:space="0" w:color="auto"/>
              <w:bottom w:val="single" w:sz="2" w:space="0" w:color="auto"/>
            </w:tcBorders>
            <w:vAlign w:val="bottom"/>
          </w:tcPr>
          <w:p w14:paraId="67E9D67C" w14:textId="77777777" w:rsidR="008B4755" w:rsidRPr="00C0338D" w:rsidRDefault="008B4755" w:rsidP="008B4755">
            <w:pPr>
              <w:pStyle w:val="T2"/>
              <w:jc w:val="right"/>
            </w:pPr>
            <w:r>
              <w:t>6.5</w:t>
            </w:r>
          </w:p>
        </w:tc>
      </w:tr>
      <w:tr w:rsidR="00773F7B" w14:paraId="2E2524CE" w14:textId="77777777" w:rsidTr="001F1616">
        <w:trPr>
          <w:jc w:val="center"/>
        </w:trPr>
        <w:tc>
          <w:tcPr>
            <w:tcW w:w="6695" w:type="dxa"/>
            <w:tcBorders>
              <w:top w:val="single" w:sz="2" w:space="0" w:color="auto"/>
            </w:tcBorders>
            <w:vAlign w:val="bottom"/>
          </w:tcPr>
          <w:p w14:paraId="06C94C82" w14:textId="77777777" w:rsidR="00773F7B" w:rsidRPr="00C0338D" w:rsidRDefault="00773F7B" w:rsidP="00773F7B">
            <w:pPr>
              <w:pStyle w:val="T2"/>
              <w:jc w:val="left"/>
            </w:pPr>
          </w:p>
        </w:tc>
        <w:tc>
          <w:tcPr>
            <w:tcW w:w="1027" w:type="dxa"/>
            <w:tcBorders>
              <w:top w:val="single" w:sz="2" w:space="0" w:color="auto"/>
            </w:tcBorders>
            <w:vAlign w:val="bottom"/>
          </w:tcPr>
          <w:p w14:paraId="7388C049" w14:textId="77777777" w:rsidR="00773F7B" w:rsidRPr="00E5521C" w:rsidRDefault="00773F7B" w:rsidP="00773F7B">
            <w:pPr>
              <w:pStyle w:val="T2"/>
              <w:jc w:val="right"/>
              <w:rPr>
                <w:b/>
              </w:rPr>
            </w:pPr>
          </w:p>
        </w:tc>
        <w:tc>
          <w:tcPr>
            <w:tcW w:w="1028" w:type="dxa"/>
            <w:tcBorders>
              <w:top w:val="single" w:sz="2" w:space="0" w:color="auto"/>
            </w:tcBorders>
            <w:vAlign w:val="bottom"/>
          </w:tcPr>
          <w:p w14:paraId="60459F0A" w14:textId="77777777" w:rsidR="00773F7B" w:rsidRPr="00C0338D" w:rsidRDefault="00773F7B" w:rsidP="00773F7B">
            <w:pPr>
              <w:pStyle w:val="T2"/>
              <w:jc w:val="right"/>
            </w:pPr>
          </w:p>
        </w:tc>
        <w:tc>
          <w:tcPr>
            <w:tcW w:w="1030" w:type="dxa"/>
            <w:tcBorders>
              <w:top w:val="single" w:sz="2" w:space="0" w:color="auto"/>
            </w:tcBorders>
            <w:vAlign w:val="bottom"/>
          </w:tcPr>
          <w:p w14:paraId="69F31979" w14:textId="77777777" w:rsidR="00773F7B" w:rsidRPr="00C0338D" w:rsidRDefault="00773F7B" w:rsidP="00773F7B">
            <w:pPr>
              <w:pStyle w:val="T2"/>
              <w:jc w:val="right"/>
            </w:pPr>
          </w:p>
        </w:tc>
      </w:tr>
      <w:tr w:rsidR="00773F7B" w14:paraId="0754F9C2" w14:textId="77777777" w:rsidTr="008B4755">
        <w:trPr>
          <w:jc w:val="center"/>
        </w:trPr>
        <w:tc>
          <w:tcPr>
            <w:tcW w:w="6695" w:type="dxa"/>
            <w:vAlign w:val="bottom"/>
          </w:tcPr>
          <w:p w14:paraId="6201B140" w14:textId="77777777" w:rsidR="00773F7B" w:rsidRPr="00C0338D" w:rsidRDefault="00773F7B" w:rsidP="00773F7B">
            <w:pPr>
              <w:pStyle w:val="T2"/>
              <w:jc w:val="left"/>
              <w:rPr>
                <w:b/>
              </w:rPr>
            </w:pPr>
            <w:r w:rsidRPr="00C0338D">
              <w:rPr>
                <w:b/>
              </w:rPr>
              <w:t xml:space="preserve">Liabilities carried at fair value </w:t>
            </w:r>
          </w:p>
        </w:tc>
        <w:tc>
          <w:tcPr>
            <w:tcW w:w="1027" w:type="dxa"/>
            <w:vAlign w:val="bottom"/>
          </w:tcPr>
          <w:p w14:paraId="75F9C9DA" w14:textId="77777777" w:rsidR="00773F7B" w:rsidRPr="00E5521C" w:rsidRDefault="00773F7B" w:rsidP="00773F7B">
            <w:pPr>
              <w:pStyle w:val="T2"/>
              <w:jc w:val="right"/>
              <w:rPr>
                <w:b/>
              </w:rPr>
            </w:pPr>
          </w:p>
        </w:tc>
        <w:tc>
          <w:tcPr>
            <w:tcW w:w="1028" w:type="dxa"/>
            <w:vAlign w:val="bottom"/>
          </w:tcPr>
          <w:p w14:paraId="0AC195BA" w14:textId="77777777" w:rsidR="00773F7B" w:rsidRPr="00C0338D" w:rsidRDefault="00773F7B" w:rsidP="00773F7B">
            <w:pPr>
              <w:pStyle w:val="T2"/>
              <w:jc w:val="right"/>
            </w:pPr>
          </w:p>
        </w:tc>
        <w:tc>
          <w:tcPr>
            <w:tcW w:w="1030" w:type="dxa"/>
            <w:vAlign w:val="bottom"/>
          </w:tcPr>
          <w:p w14:paraId="3F99B8D8" w14:textId="77777777" w:rsidR="00773F7B" w:rsidRPr="00C0338D" w:rsidRDefault="00773F7B" w:rsidP="00773F7B">
            <w:pPr>
              <w:pStyle w:val="T2"/>
              <w:jc w:val="right"/>
            </w:pPr>
          </w:p>
        </w:tc>
      </w:tr>
      <w:tr w:rsidR="008B4755" w14:paraId="238E472D" w14:textId="77777777" w:rsidTr="00FD7ED5">
        <w:trPr>
          <w:jc w:val="center"/>
        </w:trPr>
        <w:tc>
          <w:tcPr>
            <w:tcW w:w="6695" w:type="dxa"/>
            <w:vAlign w:val="bottom"/>
          </w:tcPr>
          <w:p w14:paraId="61FE3F4C" w14:textId="77777777" w:rsidR="008B4755" w:rsidRPr="00C0338D" w:rsidRDefault="008B4755" w:rsidP="008B4755">
            <w:pPr>
              <w:pStyle w:val="T2"/>
              <w:jc w:val="left"/>
            </w:pPr>
            <w:r w:rsidRPr="00C0338D">
              <w:lastRenderedPageBreak/>
              <w:t xml:space="preserve">Interest rate swaps </w:t>
            </w:r>
            <w:r>
              <w:t>–</w:t>
            </w:r>
            <w:r w:rsidRPr="00C0338D">
              <w:t xml:space="preserve"> cash flow hedges </w:t>
            </w:r>
          </w:p>
        </w:tc>
        <w:tc>
          <w:tcPr>
            <w:tcW w:w="1027" w:type="dxa"/>
          </w:tcPr>
          <w:p w14:paraId="71CF2CCF" w14:textId="77777777" w:rsidR="008B4755" w:rsidRPr="00E5521C" w:rsidRDefault="00FD7ED5" w:rsidP="008B4755">
            <w:pPr>
              <w:pStyle w:val="T2"/>
              <w:jc w:val="right"/>
              <w:rPr>
                <w:b/>
              </w:rPr>
            </w:pPr>
            <w:r>
              <w:rPr>
                <w:b/>
                <w:bCs/>
              </w:rPr>
              <w:t>(1.5)</w:t>
            </w:r>
          </w:p>
        </w:tc>
        <w:tc>
          <w:tcPr>
            <w:tcW w:w="1028" w:type="dxa"/>
            <w:vAlign w:val="bottom"/>
          </w:tcPr>
          <w:p w14:paraId="33F6F81D" w14:textId="77777777" w:rsidR="008B4755" w:rsidRPr="00C0338D" w:rsidRDefault="008B4755" w:rsidP="008B4755">
            <w:pPr>
              <w:pStyle w:val="T2"/>
              <w:jc w:val="right"/>
            </w:pPr>
            <w:r>
              <w:t>(2.5)</w:t>
            </w:r>
          </w:p>
        </w:tc>
        <w:tc>
          <w:tcPr>
            <w:tcW w:w="1030" w:type="dxa"/>
            <w:vAlign w:val="bottom"/>
          </w:tcPr>
          <w:p w14:paraId="24992E34" w14:textId="77777777" w:rsidR="008B4755" w:rsidRPr="00C0338D" w:rsidRDefault="008B4755" w:rsidP="008B4755">
            <w:pPr>
              <w:pStyle w:val="T2"/>
              <w:jc w:val="right"/>
            </w:pPr>
            <w:r w:rsidRPr="0096767F">
              <w:t>(2.</w:t>
            </w:r>
            <w:r>
              <w:t>8</w:t>
            </w:r>
            <w:r w:rsidRPr="0096767F">
              <w:t>)</w:t>
            </w:r>
          </w:p>
        </w:tc>
      </w:tr>
      <w:tr w:rsidR="00FD7ED5" w14:paraId="289F11B2" w14:textId="77777777" w:rsidTr="00FD7ED5">
        <w:trPr>
          <w:jc w:val="center"/>
        </w:trPr>
        <w:tc>
          <w:tcPr>
            <w:tcW w:w="6695" w:type="dxa"/>
            <w:vAlign w:val="bottom"/>
          </w:tcPr>
          <w:p w14:paraId="244D4B5D" w14:textId="77777777" w:rsidR="00FD7ED5" w:rsidRPr="00C0338D" w:rsidRDefault="00FD7ED5" w:rsidP="008B4755">
            <w:pPr>
              <w:pStyle w:val="T2"/>
              <w:jc w:val="left"/>
            </w:pPr>
            <w:r>
              <w:t xml:space="preserve">Cross–currency interest rate swaps – </w:t>
            </w:r>
            <w:r w:rsidRPr="00C0338D">
              <w:t>cash flow hedges</w:t>
            </w:r>
          </w:p>
        </w:tc>
        <w:tc>
          <w:tcPr>
            <w:tcW w:w="1027" w:type="dxa"/>
          </w:tcPr>
          <w:p w14:paraId="4450E33C" w14:textId="77777777" w:rsidR="00FD7ED5" w:rsidRPr="003D0EDE" w:rsidRDefault="00FD7ED5" w:rsidP="008B4755">
            <w:pPr>
              <w:pStyle w:val="T2"/>
              <w:jc w:val="right"/>
              <w:rPr>
                <w:b/>
                <w:bCs/>
              </w:rPr>
            </w:pPr>
            <w:r>
              <w:rPr>
                <w:b/>
                <w:bCs/>
              </w:rPr>
              <w:t>(5.4)</w:t>
            </w:r>
          </w:p>
        </w:tc>
        <w:tc>
          <w:tcPr>
            <w:tcW w:w="1028" w:type="dxa"/>
            <w:vAlign w:val="bottom"/>
          </w:tcPr>
          <w:p w14:paraId="6E2A5454" w14:textId="77777777" w:rsidR="00FD7ED5" w:rsidRDefault="00FD7ED5" w:rsidP="008B4755">
            <w:pPr>
              <w:pStyle w:val="T2"/>
              <w:jc w:val="right"/>
            </w:pPr>
            <w:r>
              <w:t>–</w:t>
            </w:r>
          </w:p>
        </w:tc>
        <w:tc>
          <w:tcPr>
            <w:tcW w:w="1030" w:type="dxa"/>
            <w:vAlign w:val="bottom"/>
          </w:tcPr>
          <w:p w14:paraId="68F20B0E" w14:textId="77777777" w:rsidR="00FD7ED5" w:rsidRPr="0096767F" w:rsidRDefault="00FD7ED5" w:rsidP="008B4755">
            <w:pPr>
              <w:pStyle w:val="T2"/>
              <w:jc w:val="right"/>
            </w:pPr>
            <w:r>
              <w:t>–</w:t>
            </w:r>
          </w:p>
        </w:tc>
      </w:tr>
      <w:tr w:rsidR="008B4755" w14:paraId="25E733A3" w14:textId="77777777" w:rsidTr="001F1616">
        <w:trPr>
          <w:jc w:val="center"/>
        </w:trPr>
        <w:tc>
          <w:tcPr>
            <w:tcW w:w="6695" w:type="dxa"/>
            <w:tcBorders>
              <w:bottom w:val="single" w:sz="2" w:space="0" w:color="auto"/>
            </w:tcBorders>
            <w:vAlign w:val="bottom"/>
          </w:tcPr>
          <w:p w14:paraId="7976ABEF" w14:textId="77777777" w:rsidR="008B4755" w:rsidRPr="00C0338D" w:rsidRDefault="008B4755" w:rsidP="008B4755">
            <w:pPr>
              <w:pStyle w:val="T2"/>
              <w:jc w:val="left"/>
            </w:pPr>
            <w:r w:rsidRPr="00C0338D">
              <w:t xml:space="preserve">Forward foreign exchange contracts </w:t>
            </w:r>
            <w:r>
              <w:t>–</w:t>
            </w:r>
            <w:r w:rsidRPr="00C0338D">
              <w:t xml:space="preserve"> not designated as hedges </w:t>
            </w:r>
          </w:p>
        </w:tc>
        <w:tc>
          <w:tcPr>
            <w:tcW w:w="1027" w:type="dxa"/>
            <w:tcBorders>
              <w:bottom w:val="single" w:sz="2" w:space="0" w:color="auto"/>
            </w:tcBorders>
          </w:tcPr>
          <w:p w14:paraId="58AEDA99" w14:textId="77777777" w:rsidR="008B4755" w:rsidRPr="00E5521C" w:rsidRDefault="00FD7ED5" w:rsidP="008B4755">
            <w:pPr>
              <w:pStyle w:val="T2"/>
              <w:jc w:val="right"/>
              <w:rPr>
                <w:b/>
              </w:rPr>
            </w:pPr>
            <w:r>
              <w:rPr>
                <w:b/>
                <w:bCs/>
              </w:rPr>
              <w:t>(0.4)</w:t>
            </w:r>
          </w:p>
        </w:tc>
        <w:tc>
          <w:tcPr>
            <w:tcW w:w="1028" w:type="dxa"/>
            <w:tcBorders>
              <w:bottom w:val="single" w:sz="2" w:space="0" w:color="auto"/>
            </w:tcBorders>
            <w:vAlign w:val="bottom"/>
          </w:tcPr>
          <w:p w14:paraId="4704F347" w14:textId="77777777" w:rsidR="008B4755" w:rsidRPr="00C0338D" w:rsidRDefault="008B4755" w:rsidP="008B4755">
            <w:pPr>
              <w:pStyle w:val="T2"/>
              <w:jc w:val="right"/>
            </w:pPr>
            <w:r>
              <w:t>–</w:t>
            </w:r>
          </w:p>
        </w:tc>
        <w:tc>
          <w:tcPr>
            <w:tcW w:w="1030" w:type="dxa"/>
            <w:tcBorders>
              <w:bottom w:val="single" w:sz="2" w:space="0" w:color="auto"/>
            </w:tcBorders>
            <w:vAlign w:val="bottom"/>
          </w:tcPr>
          <w:p w14:paraId="23F5C083" w14:textId="77777777" w:rsidR="008B4755" w:rsidRPr="00C0338D" w:rsidRDefault="008B4755" w:rsidP="008B4755">
            <w:pPr>
              <w:pStyle w:val="T2"/>
              <w:jc w:val="right"/>
            </w:pPr>
            <w:r w:rsidRPr="0096767F">
              <w:t>(0.2)</w:t>
            </w:r>
          </w:p>
        </w:tc>
      </w:tr>
      <w:tr w:rsidR="008B4755" w14:paraId="2D4B9392" w14:textId="77777777" w:rsidTr="001F1616">
        <w:trPr>
          <w:jc w:val="center"/>
        </w:trPr>
        <w:tc>
          <w:tcPr>
            <w:tcW w:w="6695" w:type="dxa"/>
            <w:tcBorders>
              <w:top w:val="single" w:sz="2" w:space="0" w:color="auto"/>
              <w:bottom w:val="single" w:sz="2" w:space="0" w:color="auto"/>
            </w:tcBorders>
          </w:tcPr>
          <w:p w14:paraId="31B4CA15" w14:textId="77777777" w:rsidR="008B4755" w:rsidRPr="00C0338D" w:rsidRDefault="008B4755" w:rsidP="008B4755">
            <w:pPr>
              <w:pStyle w:val="T2"/>
            </w:pPr>
          </w:p>
        </w:tc>
        <w:tc>
          <w:tcPr>
            <w:tcW w:w="1027" w:type="dxa"/>
            <w:tcBorders>
              <w:top w:val="single" w:sz="2" w:space="0" w:color="auto"/>
              <w:bottom w:val="single" w:sz="2" w:space="0" w:color="auto"/>
            </w:tcBorders>
          </w:tcPr>
          <w:p w14:paraId="7FB9679C" w14:textId="77777777" w:rsidR="008B4755" w:rsidRPr="00E5521C" w:rsidRDefault="00FD7ED5" w:rsidP="008B4755">
            <w:pPr>
              <w:pStyle w:val="T2"/>
              <w:jc w:val="right"/>
              <w:rPr>
                <w:b/>
              </w:rPr>
            </w:pPr>
            <w:r>
              <w:rPr>
                <w:b/>
                <w:bCs/>
              </w:rPr>
              <w:t>(7.3)</w:t>
            </w:r>
          </w:p>
        </w:tc>
        <w:tc>
          <w:tcPr>
            <w:tcW w:w="1028" w:type="dxa"/>
            <w:tcBorders>
              <w:top w:val="single" w:sz="2" w:space="0" w:color="auto"/>
              <w:bottom w:val="single" w:sz="2" w:space="0" w:color="auto"/>
            </w:tcBorders>
            <w:vAlign w:val="bottom"/>
          </w:tcPr>
          <w:p w14:paraId="06C8BFAA" w14:textId="77777777" w:rsidR="008B4755" w:rsidRPr="00C0338D" w:rsidRDefault="008B4755" w:rsidP="008B4755">
            <w:pPr>
              <w:pStyle w:val="T2"/>
              <w:jc w:val="right"/>
            </w:pPr>
            <w:r>
              <w:t>(2.5)</w:t>
            </w:r>
          </w:p>
        </w:tc>
        <w:tc>
          <w:tcPr>
            <w:tcW w:w="1030" w:type="dxa"/>
            <w:tcBorders>
              <w:top w:val="single" w:sz="2" w:space="0" w:color="auto"/>
              <w:bottom w:val="single" w:sz="2" w:space="0" w:color="auto"/>
            </w:tcBorders>
            <w:vAlign w:val="bottom"/>
          </w:tcPr>
          <w:p w14:paraId="5E6D9720" w14:textId="77777777" w:rsidR="008B4755" w:rsidRPr="00C0338D" w:rsidRDefault="008B4755" w:rsidP="008B4755">
            <w:pPr>
              <w:pStyle w:val="T2"/>
              <w:jc w:val="right"/>
            </w:pPr>
            <w:r w:rsidRPr="0096767F">
              <w:t>(</w:t>
            </w:r>
            <w:r>
              <w:t>3.0</w:t>
            </w:r>
            <w:r w:rsidRPr="0096767F">
              <w:t>)</w:t>
            </w:r>
          </w:p>
        </w:tc>
      </w:tr>
      <w:tr w:rsidR="00773F7B" w14:paraId="27E0BF6E" w14:textId="77777777" w:rsidTr="001F1616">
        <w:trPr>
          <w:jc w:val="center"/>
        </w:trPr>
        <w:tc>
          <w:tcPr>
            <w:tcW w:w="9780" w:type="dxa"/>
            <w:gridSpan w:val="4"/>
            <w:tcBorders>
              <w:top w:val="single" w:sz="2" w:space="0" w:color="auto"/>
            </w:tcBorders>
            <w:vAlign w:val="bottom"/>
          </w:tcPr>
          <w:p w14:paraId="476925ED" w14:textId="77777777" w:rsidR="00773F7B" w:rsidRPr="00E02FFC" w:rsidRDefault="00773F7B" w:rsidP="008B4755">
            <w:pPr>
              <w:pStyle w:val="T2"/>
              <w:jc w:val="left"/>
              <w:rPr>
                <w:sz w:val="16"/>
                <w:szCs w:val="16"/>
              </w:rPr>
            </w:pPr>
            <w:r w:rsidRPr="00E02FFC">
              <w:rPr>
                <w:sz w:val="16"/>
                <w:szCs w:val="16"/>
              </w:rPr>
              <w:t>*</w:t>
            </w:r>
            <w:r w:rsidR="00AC1280">
              <w:rPr>
                <w:sz w:val="16"/>
                <w:szCs w:val="16"/>
              </w:rPr>
              <w:t>*</w:t>
            </w:r>
            <w:r w:rsidRPr="00E02FFC">
              <w:rPr>
                <w:sz w:val="16"/>
                <w:szCs w:val="16"/>
              </w:rPr>
              <w:t xml:space="preserve"> For definition of level 2 inputs please refer to the 20</w:t>
            </w:r>
            <w:r w:rsidR="008B4755">
              <w:rPr>
                <w:sz w:val="16"/>
                <w:szCs w:val="16"/>
              </w:rPr>
              <w:t>20</w:t>
            </w:r>
            <w:r w:rsidRPr="00E02FFC">
              <w:rPr>
                <w:sz w:val="16"/>
                <w:szCs w:val="16"/>
              </w:rPr>
              <w:t xml:space="preserve"> Annual Report.</w:t>
            </w:r>
          </w:p>
        </w:tc>
      </w:tr>
    </w:tbl>
    <w:p w14:paraId="741C99A0" w14:textId="77777777" w:rsidR="0041734A" w:rsidRDefault="0041734A" w:rsidP="005B3BEE">
      <w:pPr>
        <w:pStyle w:val="SectionH3"/>
        <w:spacing w:before="160"/>
      </w:pPr>
    </w:p>
    <w:p w14:paraId="083E97F3" w14:textId="77777777" w:rsidR="00773F7B" w:rsidRDefault="00773F7B" w:rsidP="005B3BEE">
      <w:pPr>
        <w:pStyle w:val="SectionH3"/>
        <w:spacing w:before="160"/>
      </w:pPr>
      <w:r>
        <w:t>1</w:t>
      </w:r>
      <w:r w:rsidR="00E126B5">
        <w:t>2</w:t>
      </w:r>
      <w:r w:rsidRPr="003232EE">
        <w:t>.</w:t>
      </w:r>
      <w:r w:rsidRPr="003232EE">
        <w:tab/>
      </w:r>
      <w:r w:rsidRPr="00B37DA6">
        <w:t xml:space="preserve">Provisions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559"/>
        <w:gridCol w:w="1843"/>
        <w:gridCol w:w="1134"/>
      </w:tblGrid>
      <w:tr w:rsidR="00773F7B" w14:paraId="7C6B7E1D" w14:textId="77777777" w:rsidTr="00773F7B">
        <w:tc>
          <w:tcPr>
            <w:tcW w:w="8647" w:type="dxa"/>
            <w:gridSpan w:val="3"/>
            <w:vAlign w:val="bottom"/>
          </w:tcPr>
          <w:p w14:paraId="6457EC77" w14:textId="77777777" w:rsidR="00773F7B" w:rsidRPr="00453A62" w:rsidRDefault="00773F7B" w:rsidP="00773F7B">
            <w:pPr>
              <w:pStyle w:val="T2"/>
              <w:jc w:val="left"/>
              <w:rPr>
                <w:b/>
              </w:rPr>
            </w:pPr>
          </w:p>
        </w:tc>
        <w:tc>
          <w:tcPr>
            <w:tcW w:w="1134" w:type="dxa"/>
            <w:vAlign w:val="bottom"/>
          </w:tcPr>
          <w:p w14:paraId="1C176AFF" w14:textId="77777777" w:rsidR="00773F7B" w:rsidRDefault="00773F7B" w:rsidP="00773F7B">
            <w:pPr>
              <w:pStyle w:val="T2"/>
              <w:jc w:val="right"/>
              <w:rPr>
                <w:b/>
              </w:rPr>
            </w:pPr>
            <w:r w:rsidRPr="00453A62">
              <w:rPr>
                <w:b/>
              </w:rPr>
              <w:t xml:space="preserve">Half year </w:t>
            </w:r>
          </w:p>
          <w:p w14:paraId="49708357" w14:textId="77777777" w:rsidR="00773F7B" w:rsidRPr="00453A62" w:rsidRDefault="00773F7B" w:rsidP="008B4755">
            <w:pPr>
              <w:pStyle w:val="T2"/>
              <w:jc w:val="right"/>
              <w:rPr>
                <w:b/>
              </w:rPr>
            </w:pPr>
            <w:r w:rsidRPr="00453A62">
              <w:rPr>
                <w:b/>
              </w:rPr>
              <w:t>March 20</w:t>
            </w:r>
            <w:r>
              <w:rPr>
                <w:b/>
              </w:rPr>
              <w:t>2</w:t>
            </w:r>
            <w:r w:rsidR="008B4755">
              <w:rPr>
                <w:b/>
              </w:rPr>
              <w:t>1</w:t>
            </w:r>
          </w:p>
        </w:tc>
      </w:tr>
      <w:tr w:rsidR="00773F7B" w14:paraId="2183E9A3" w14:textId="77777777" w:rsidTr="00773F7B">
        <w:tc>
          <w:tcPr>
            <w:tcW w:w="8647" w:type="dxa"/>
            <w:gridSpan w:val="3"/>
            <w:tcBorders>
              <w:bottom w:val="single" w:sz="2" w:space="0" w:color="auto"/>
            </w:tcBorders>
            <w:vAlign w:val="bottom"/>
          </w:tcPr>
          <w:p w14:paraId="42D212C0" w14:textId="77777777" w:rsidR="00773F7B" w:rsidRPr="00453A62" w:rsidRDefault="00773F7B" w:rsidP="00773F7B">
            <w:pPr>
              <w:pStyle w:val="T2"/>
              <w:jc w:val="left"/>
              <w:rPr>
                <w:b/>
              </w:rPr>
            </w:pPr>
          </w:p>
        </w:tc>
        <w:tc>
          <w:tcPr>
            <w:tcW w:w="1134" w:type="dxa"/>
            <w:tcBorders>
              <w:bottom w:val="single" w:sz="2" w:space="0" w:color="auto"/>
            </w:tcBorders>
            <w:vAlign w:val="bottom"/>
          </w:tcPr>
          <w:p w14:paraId="10261F1A" w14:textId="77777777" w:rsidR="00773F7B" w:rsidRPr="00453A62" w:rsidRDefault="00773F7B" w:rsidP="00773F7B">
            <w:pPr>
              <w:pStyle w:val="T2"/>
              <w:jc w:val="right"/>
              <w:rPr>
                <w:b/>
              </w:rPr>
            </w:pPr>
            <w:r w:rsidRPr="00453A62">
              <w:rPr>
                <w:b/>
              </w:rPr>
              <w:t>£m</w:t>
            </w:r>
          </w:p>
        </w:tc>
      </w:tr>
      <w:tr w:rsidR="00773F7B" w14:paraId="30A23C51" w14:textId="77777777" w:rsidTr="00773F7B">
        <w:tc>
          <w:tcPr>
            <w:tcW w:w="8647" w:type="dxa"/>
            <w:gridSpan w:val="3"/>
            <w:tcBorders>
              <w:top w:val="single" w:sz="2" w:space="0" w:color="auto"/>
            </w:tcBorders>
            <w:vAlign w:val="bottom"/>
          </w:tcPr>
          <w:p w14:paraId="5CA6C6BD" w14:textId="77777777" w:rsidR="00773F7B" w:rsidRPr="00D44C1D" w:rsidRDefault="00773F7B" w:rsidP="00773F7B">
            <w:pPr>
              <w:pStyle w:val="T2"/>
              <w:jc w:val="left"/>
            </w:pPr>
            <w:r w:rsidRPr="00D44C1D">
              <w:t xml:space="preserve">At beginning of period </w:t>
            </w:r>
          </w:p>
        </w:tc>
        <w:tc>
          <w:tcPr>
            <w:tcW w:w="1134" w:type="dxa"/>
            <w:tcBorders>
              <w:top w:val="single" w:sz="2" w:space="0" w:color="auto"/>
            </w:tcBorders>
            <w:vAlign w:val="bottom"/>
          </w:tcPr>
          <w:p w14:paraId="0523272A" w14:textId="77777777" w:rsidR="00773F7B" w:rsidRPr="00453A62" w:rsidRDefault="008B4755" w:rsidP="00773F7B">
            <w:pPr>
              <w:pStyle w:val="T2"/>
              <w:jc w:val="right"/>
              <w:rPr>
                <w:b/>
              </w:rPr>
            </w:pPr>
            <w:r>
              <w:rPr>
                <w:b/>
              </w:rPr>
              <w:t>9.9</w:t>
            </w:r>
          </w:p>
        </w:tc>
      </w:tr>
      <w:tr w:rsidR="00773F7B" w14:paraId="61D49E8E" w14:textId="77777777" w:rsidTr="00AA12F9">
        <w:tc>
          <w:tcPr>
            <w:tcW w:w="8647" w:type="dxa"/>
            <w:gridSpan w:val="3"/>
            <w:vAlign w:val="bottom"/>
          </w:tcPr>
          <w:p w14:paraId="5AF0C2E5" w14:textId="77777777" w:rsidR="00773F7B" w:rsidRPr="00D44C1D" w:rsidRDefault="002D4B4B">
            <w:pPr>
              <w:pStyle w:val="T2"/>
              <w:jc w:val="left"/>
            </w:pPr>
            <w:r>
              <w:t xml:space="preserve">Provided </w:t>
            </w:r>
            <w:r w:rsidR="00773F7B" w:rsidRPr="00D44C1D">
              <w:t>in period</w:t>
            </w:r>
          </w:p>
        </w:tc>
        <w:tc>
          <w:tcPr>
            <w:tcW w:w="1134" w:type="dxa"/>
            <w:vAlign w:val="bottom"/>
          </w:tcPr>
          <w:p w14:paraId="6171B25E" w14:textId="77777777" w:rsidR="00773F7B" w:rsidRPr="00453A62" w:rsidRDefault="004447BE" w:rsidP="00773F7B">
            <w:pPr>
              <w:pStyle w:val="T2"/>
              <w:jc w:val="right"/>
              <w:rPr>
                <w:b/>
              </w:rPr>
            </w:pPr>
            <w:r>
              <w:rPr>
                <w:b/>
                <w:bCs/>
              </w:rPr>
              <w:t>1.6</w:t>
            </w:r>
          </w:p>
        </w:tc>
      </w:tr>
      <w:tr w:rsidR="00773F7B" w14:paraId="685801E8" w14:textId="77777777" w:rsidTr="00773F7B">
        <w:tc>
          <w:tcPr>
            <w:tcW w:w="8647" w:type="dxa"/>
            <w:gridSpan w:val="3"/>
            <w:vAlign w:val="bottom"/>
          </w:tcPr>
          <w:p w14:paraId="34D3A8B2" w14:textId="77777777" w:rsidR="00773F7B" w:rsidRPr="00D44C1D" w:rsidRDefault="002D4B4B" w:rsidP="00773F7B">
            <w:pPr>
              <w:pStyle w:val="T2"/>
              <w:jc w:val="left"/>
            </w:pPr>
            <w:r>
              <w:t>Utilised</w:t>
            </w:r>
            <w:r w:rsidR="00773F7B" w:rsidRPr="00D44C1D">
              <w:t xml:space="preserve"> in period</w:t>
            </w:r>
          </w:p>
        </w:tc>
        <w:tc>
          <w:tcPr>
            <w:tcW w:w="1134" w:type="dxa"/>
            <w:vAlign w:val="bottom"/>
          </w:tcPr>
          <w:p w14:paraId="36FB78DA" w14:textId="77777777" w:rsidR="00773F7B" w:rsidRPr="00453A62" w:rsidRDefault="00FD7ED5" w:rsidP="00773F7B">
            <w:pPr>
              <w:pStyle w:val="T2"/>
              <w:jc w:val="right"/>
              <w:rPr>
                <w:b/>
              </w:rPr>
            </w:pPr>
            <w:r>
              <w:rPr>
                <w:b/>
                <w:bCs/>
              </w:rPr>
              <w:t>(1.5)</w:t>
            </w:r>
          </w:p>
        </w:tc>
      </w:tr>
      <w:tr w:rsidR="0041734A" w14:paraId="67166B5F" w14:textId="77777777" w:rsidTr="001F1616">
        <w:tc>
          <w:tcPr>
            <w:tcW w:w="8647" w:type="dxa"/>
            <w:gridSpan w:val="3"/>
            <w:tcBorders>
              <w:bottom w:val="single" w:sz="2" w:space="0" w:color="auto"/>
            </w:tcBorders>
            <w:vAlign w:val="bottom"/>
          </w:tcPr>
          <w:p w14:paraId="134E22C3" w14:textId="77777777" w:rsidR="0041734A" w:rsidRPr="00AA12F9" w:rsidRDefault="0041734A" w:rsidP="00773F7B">
            <w:pPr>
              <w:pStyle w:val="T2"/>
              <w:jc w:val="left"/>
            </w:pPr>
            <w:r w:rsidRPr="00AA12F9">
              <w:t>Released in period</w:t>
            </w:r>
          </w:p>
        </w:tc>
        <w:tc>
          <w:tcPr>
            <w:tcW w:w="1134" w:type="dxa"/>
            <w:tcBorders>
              <w:bottom w:val="single" w:sz="2" w:space="0" w:color="auto"/>
            </w:tcBorders>
            <w:vAlign w:val="bottom"/>
          </w:tcPr>
          <w:p w14:paraId="37984185" w14:textId="77777777" w:rsidR="0041734A" w:rsidRDefault="0041734A">
            <w:pPr>
              <w:pStyle w:val="T2"/>
              <w:jc w:val="right"/>
              <w:rPr>
                <w:b/>
                <w:bCs/>
              </w:rPr>
            </w:pPr>
            <w:r>
              <w:rPr>
                <w:b/>
                <w:bCs/>
              </w:rPr>
              <w:t>(</w:t>
            </w:r>
            <w:r w:rsidR="004447BE">
              <w:rPr>
                <w:b/>
                <w:bCs/>
              </w:rPr>
              <w:t>1.8</w:t>
            </w:r>
            <w:r>
              <w:rPr>
                <w:b/>
                <w:bCs/>
              </w:rPr>
              <w:t>)</w:t>
            </w:r>
          </w:p>
        </w:tc>
      </w:tr>
      <w:tr w:rsidR="00773F7B" w14:paraId="2A5A7636" w14:textId="77777777" w:rsidTr="001F1616">
        <w:tc>
          <w:tcPr>
            <w:tcW w:w="8647" w:type="dxa"/>
            <w:gridSpan w:val="3"/>
            <w:tcBorders>
              <w:top w:val="single" w:sz="2" w:space="0" w:color="auto"/>
              <w:bottom w:val="single" w:sz="2" w:space="0" w:color="auto"/>
            </w:tcBorders>
            <w:vAlign w:val="bottom"/>
          </w:tcPr>
          <w:p w14:paraId="62221678" w14:textId="77777777" w:rsidR="00773F7B" w:rsidRPr="00453A62" w:rsidRDefault="00773F7B" w:rsidP="00773F7B">
            <w:pPr>
              <w:pStyle w:val="T2"/>
              <w:jc w:val="left"/>
              <w:rPr>
                <w:b/>
              </w:rPr>
            </w:pPr>
            <w:r w:rsidRPr="00453A62">
              <w:rPr>
                <w:b/>
              </w:rPr>
              <w:t>At end of period</w:t>
            </w:r>
          </w:p>
        </w:tc>
        <w:tc>
          <w:tcPr>
            <w:tcW w:w="1134" w:type="dxa"/>
            <w:tcBorders>
              <w:top w:val="single" w:sz="2" w:space="0" w:color="auto"/>
              <w:bottom w:val="single" w:sz="2" w:space="0" w:color="auto"/>
            </w:tcBorders>
            <w:vAlign w:val="bottom"/>
          </w:tcPr>
          <w:p w14:paraId="50C4D634" w14:textId="77777777" w:rsidR="00773F7B" w:rsidRPr="00453A62" w:rsidRDefault="0041734A" w:rsidP="00773F7B">
            <w:pPr>
              <w:pStyle w:val="T2"/>
              <w:jc w:val="right"/>
              <w:rPr>
                <w:b/>
              </w:rPr>
            </w:pPr>
            <w:r>
              <w:rPr>
                <w:b/>
                <w:bCs/>
              </w:rPr>
              <w:t>8</w:t>
            </w:r>
            <w:r w:rsidR="00FD7ED5">
              <w:rPr>
                <w:b/>
                <w:bCs/>
              </w:rPr>
              <w:t>.2</w:t>
            </w:r>
          </w:p>
        </w:tc>
      </w:tr>
      <w:tr w:rsidR="004447BE" w14:paraId="7FC70DB0" w14:textId="77777777" w:rsidTr="004447BE">
        <w:tc>
          <w:tcPr>
            <w:tcW w:w="5245" w:type="dxa"/>
            <w:tcBorders>
              <w:top w:val="single" w:sz="2" w:space="0" w:color="auto"/>
            </w:tcBorders>
          </w:tcPr>
          <w:p w14:paraId="6B75CFFA" w14:textId="77777777" w:rsidR="004447BE" w:rsidRPr="00923DB3" w:rsidRDefault="004447BE" w:rsidP="00773F7B">
            <w:pPr>
              <w:pStyle w:val="T2"/>
            </w:pPr>
          </w:p>
        </w:tc>
        <w:tc>
          <w:tcPr>
            <w:tcW w:w="1559" w:type="dxa"/>
            <w:tcBorders>
              <w:top w:val="single" w:sz="2" w:space="0" w:color="auto"/>
            </w:tcBorders>
            <w:vAlign w:val="bottom"/>
          </w:tcPr>
          <w:p w14:paraId="21B8AC46" w14:textId="77777777" w:rsidR="004447BE" w:rsidRPr="00923DB3" w:rsidRDefault="004447BE" w:rsidP="00773F7B">
            <w:pPr>
              <w:pStyle w:val="T2"/>
              <w:jc w:val="right"/>
              <w:rPr>
                <w:b/>
              </w:rPr>
            </w:pPr>
          </w:p>
        </w:tc>
        <w:tc>
          <w:tcPr>
            <w:tcW w:w="1843" w:type="dxa"/>
            <w:tcBorders>
              <w:top w:val="single" w:sz="2" w:space="0" w:color="auto"/>
            </w:tcBorders>
            <w:vAlign w:val="bottom"/>
          </w:tcPr>
          <w:p w14:paraId="44B5B60C" w14:textId="77777777" w:rsidR="004447BE" w:rsidRPr="00923DB3" w:rsidRDefault="004447BE" w:rsidP="00773F7B">
            <w:pPr>
              <w:pStyle w:val="T2"/>
              <w:jc w:val="right"/>
              <w:rPr>
                <w:b/>
              </w:rPr>
            </w:pPr>
          </w:p>
        </w:tc>
        <w:tc>
          <w:tcPr>
            <w:tcW w:w="1134" w:type="dxa"/>
            <w:tcBorders>
              <w:top w:val="single" w:sz="2" w:space="0" w:color="auto"/>
            </w:tcBorders>
            <w:vAlign w:val="bottom"/>
          </w:tcPr>
          <w:p w14:paraId="0A15C22E" w14:textId="77777777" w:rsidR="004447BE" w:rsidRPr="00923DB3" w:rsidRDefault="004447BE" w:rsidP="00773F7B">
            <w:pPr>
              <w:pStyle w:val="T2"/>
              <w:jc w:val="right"/>
            </w:pPr>
          </w:p>
        </w:tc>
      </w:tr>
      <w:tr w:rsidR="00773F7B" w14:paraId="050179D9" w14:textId="77777777" w:rsidTr="001F1616">
        <w:tc>
          <w:tcPr>
            <w:tcW w:w="5245" w:type="dxa"/>
          </w:tcPr>
          <w:p w14:paraId="126514DF" w14:textId="77777777" w:rsidR="00773F7B" w:rsidRPr="00923DB3" w:rsidRDefault="00773F7B" w:rsidP="00773F7B">
            <w:pPr>
              <w:pStyle w:val="T2"/>
            </w:pPr>
          </w:p>
        </w:tc>
        <w:tc>
          <w:tcPr>
            <w:tcW w:w="1559" w:type="dxa"/>
            <w:vAlign w:val="bottom"/>
          </w:tcPr>
          <w:p w14:paraId="4ADE7345" w14:textId="77777777" w:rsidR="00773F7B" w:rsidRPr="00923DB3" w:rsidRDefault="00773F7B" w:rsidP="00773F7B">
            <w:pPr>
              <w:pStyle w:val="T2"/>
              <w:jc w:val="right"/>
              <w:rPr>
                <w:b/>
              </w:rPr>
            </w:pPr>
          </w:p>
        </w:tc>
        <w:tc>
          <w:tcPr>
            <w:tcW w:w="1843" w:type="dxa"/>
            <w:vAlign w:val="bottom"/>
          </w:tcPr>
          <w:p w14:paraId="52F90A1D" w14:textId="77777777" w:rsidR="00773F7B" w:rsidRDefault="00773F7B" w:rsidP="00773F7B">
            <w:pPr>
              <w:pStyle w:val="T2"/>
              <w:jc w:val="right"/>
              <w:rPr>
                <w:b/>
              </w:rPr>
            </w:pPr>
            <w:r w:rsidRPr="00923DB3">
              <w:rPr>
                <w:b/>
              </w:rPr>
              <w:t xml:space="preserve">March </w:t>
            </w:r>
          </w:p>
          <w:p w14:paraId="3705D187" w14:textId="77777777" w:rsidR="00773F7B" w:rsidRPr="00923DB3" w:rsidRDefault="00773F7B" w:rsidP="00773F7B">
            <w:pPr>
              <w:pStyle w:val="T2"/>
              <w:jc w:val="right"/>
              <w:rPr>
                <w:b/>
              </w:rPr>
            </w:pPr>
            <w:r w:rsidRPr="00923DB3">
              <w:rPr>
                <w:b/>
              </w:rPr>
              <w:t>20</w:t>
            </w:r>
            <w:r w:rsidR="008B4755">
              <w:rPr>
                <w:b/>
              </w:rPr>
              <w:t>21</w:t>
            </w:r>
          </w:p>
        </w:tc>
        <w:tc>
          <w:tcPr>
            <w:tcW w:w="1134" w:type="dxa"/>
            <w:vAlign w:val="bottom"/>
          </w:tcPr>
          <w:p w14:paraId="7543FD75" w14:textId="77777777" w:rsidR="00773F7B" w:rsidRDefault="00773F7B" w:rsidP="00773F7B">
            <w:pPr>
              <w:pStyle w:val="T2"/>
              <w:jc w:val="right"/>
            </w:pPr>
            <w:r w:rsidRPr="00923DB3">
              <w:t xml:space="preserve">September </w:t>
            </w:r>
          </w:p>
          <w:p w14:paraId="4C5F7467" w14:textId="77777777" w:rsidR="00773F7B" w:rsidRPr="00923DB3" w:rsidRDefault="00773F7B" w:rsidP="008B4755">
            <w:pPr>
              <w:pStyle w:val="T2"/>
              <w:jc w:val="right"/>
            </w:pPr>
            <w:r w:rsidRPr="00923DB3">
              <w:t>20</w:t>
            </w:r>
            <w:r w:rsidR="008B4755">
              <w:t>20</w:t>
            </w:r>
          </w:p>
        </w:tc>
      </w:tr>
      <w:tr w:rsidR="00773F7B" w14:paraId="13E27B64" w14:textId="77777777" w:rsidTr="00773F7B">
        <w:tc>
          <w:tcPr>
            <w:tcW w:w="5245" w:type="dxa"/>
            <w:tcBorders>
              <w:bottom w:val="single" w:sz="2" w:space="0" w:color="auto"/>
            </w:tcBorders>
          </w:tcPr>
          <w:p w14:paraId="24AC38EC" w14:textId="77777777" w:rsidR="00773F7B" w:rsidRPr="00923DB3" w:rsidRDefault="00773F7B" w:rsidP="00773F7B">
            <w:pPr>
              <w:pStyle w:val="T2"/>
            </w:pPr>
          </w:p>
        </w:tc>
        <w:tc>
          <w:tcPr>
            <w:tcW w:w="1559" w:type="dxa"/>
            <w:tcBorders>
              <w:bottom w:val="single" w:sz="2" w:space="0" w:color="auto"/>
            </w:tcBorders>
            <w:vAlign w:val="bottom"/>
          </w:tcPr>
          <w:p w14:paraId="7E108D52" w14:textId="77777777" w:rsidR="00773F7B" w:rsidRPr="00923DB3" w:rsidRDefault="00773F7B" w:rsidP="00773F7B">
            <w:pPr>
              <w:pStyle w:val="T2"/>
              <w:jc w:val="right"/>
              <w:rPr>
                <w:b/>
              </w:rPr>
            </w:pPr>
          </w:p>
        </w:tc>
        <w:tc>
          <w:tcPr>
            <w:tcW w:w="1843" w:type="dxa"/>
            <w:tcBorders>
              <w:bottom w:val="single" w:sz="2" w:space="0" w:color="auto"/>
            </w:tcBorders>
            <w:vAlign w:val="bottom"/>
          </w:tcPr>
          <w:p w14:paraId="5C0A8FF4" w14:textId="77777777" w:rsidR="00773F7B" w:rsidRPr="00923DB3" w:rsidRDefault="00773F7B" w:rsidP="00773F7B">
            <w:pPr>
              <w:pStyle w:val="T2"/>
              <w:jc w:val="right"/>
              <w:rPr>
                <w:b/>
              </w:rPr>
            </w:pPr>
            <w:r w:rsidRPr="00923DB3">
              <w:rPr>
                <w:b/>
              </w:rPr>
              <w:t>£m</w:t>
            </w:r>
          </w:p>
        </w:tc>
        <w:tc>
          <w:tcPr>
            <w:tcW w:w="1134" w:type="dxa"/>
            <w:tcBorders>
              <w:bottom w:val="single" w:sz="2" w:space="0" w:color="auto"/>
            </w:tcBorders>
            <w:vAlign w:val="bottom"/>
          </w:tcPr>
          <w:p w14:paraId="1C416593" w14:textId="77777777" w:rsidR="00773F7B" w:rsidRPr="00923DB3" w:rsidRDefault="00773F7B" w:rsidP="00773F7B">
            <w:pPr>
              <w:pStyle w:val="T2"/>
              <w:jc w:val="right"/>
            </w:pPr>
            <w:r w:rsidRPr="00923DB3">
              <w:t>£m</w:t>
            </w:r>
          </w:p>
        </w:tc>
      </w:tr>
      <w:tr w:rsidR="00773F7B" w14:paraId="0BD129F1" w14:textId="77777777" w:rsidTr="00773F7B">
        <w:tc>
          <w:tcPr>
            <w:tcW w:w="5245" w:type="dxa"/>
            <w:tcBorders>
              <w:top w:val="single" w:sz="2" w:space="0" w:color="auto"/>
            </w:tcBorders>
            <w:vAlign w:val="bottom"/>
          </w:tcPr>
          <w:p w14:paraId="72A46DA3" w14:textId="77777777" w:rsidR="00773F7B" w:rsidRPr="00923DB3" w:rsidRDefault="00773F7B" w:rsidP="00773F7B">
            <w:pPr>
              <w:pStyle w:val="T2"/>
              <w:jc w:val="left"/>
              <w:rPr>
                <w:b/>
              </w:rPr>
            </w:pPr>
            <w:r w:rsidRPr="00923DB3">
              <w:rPr>
                <w:b/>
              </w:rPr>
              <w:t xml:space="preserve">Analysed as: </w:t>
            </w:r>
          </w:p>
        </w:tc>
        <w:tc>
          <w:tcPr>
            <w:tcW w:w="1559" w:type="dxa"/>
            <w:tcBorders>
              <w:top w:val="single" w:sz="2" w:space="0" w:color="auto"/>
            </w:tcBorders>
            <w:vAlign w:val="bottom"/>
          </w:tcPr>
          <w:p w14:paraId="290EFCE7" w14:textId="77777777" w:rsidR="00773F7B" w:rsidRPr="00923DB3" w:rsidRDefault="00773F7B" w:rsidP="00773F7B">
            <w:pPr>
              <w:pStyle w:val="T2"/>
              <w:jc w:val="right"/>
            </w:pPr>
          </w:p>
        </w:tc>
        <w:tc>
          <w:tcPr>
            <w:tcW w:w="1843" w:type="dxa"/>
            <w:tcBorders>
              <w:top w:val="single" w:sz="2" w:space="0" w:color="auto"/>
            </w:tcBorders>
            <w:vAlign w:val="bottom"/>
          </w:tcPr>
          <w:p w14:paraId="3F08F8F8" w14:textId="77777777" w:rsidR="00773F7B" w:rsidRPr="00923DB3" w:rsidRDefault="00773F7B" w:rsidP="00773F7B">
            <w:pPr>
              <w:pStyle w:val="T2"/>
              <w:jc w:val="right"/>
            </w:pPr>
          </w:p>
        </w:tc>
        <w:tc>
          <w:tcPr>
            <w:tcW w:w="1134" w:type="dxa"/>
            <w:tcBorders>
              <w:top w:val="single" w:sz="2" w:space="0" w:color="auto"/>
            </w:tcBorders>
            <w:vAlign w:val="bottom"/>
          </w:tcPr>
          <w:p w14:paraId="56440DC5" w14:textId="77777777" w:rsidR="00773F7B" w:rsidRPr="00923DB3" w:rsidRDefault="00773F7B" w:rsidP="00773F7B">
            <w:pPr>
              <w:pStyle w:val="T2"/>
              <w:jc w:val="right"/>
            </w:pPr>
          </w:p>
        </w:tc>
      </w:tr>
      <w:tr w:rsidR="008B4755" w14:paraId="764B7F6E" w14:textId="77777777" w:rsidTr="00592BB5">
        <w:tc>
          <w:tcPr>
            <w:tcW w:w="5245" w:type="dxa"/>
            <w:vAlign w:val="bottom"/>
          </w:tcPr>
          <w:p w14:paraId="7242C130" w14:textId="77777777" w:rsidR="008B4755" w:rsidRPr="00923DB3" w:rsidRDefault="009E00FF" w:rsidP="008B4755">
            <w:pPr>
              <w:pStyle w:val="T2"/>
              <w:jc w:val="left"/>
            </w:pPr>
            <w:r w:rsidRPr="00923DB3">
              <w:t>Non</w:t>
            </w:r>
            <w:r>
              <w:t>–</w:t>
            </w:r>
            <w:r w:rsidRPr="00923DB3">
              <w:t>current liabilities</w:t>
            </w:r>
          </w:p>
        </w:tc>
        <w:tc>
          <w:tcPr>
            <w:tcW w:w="1559" w:type="dxa"/>
            <w:vAlign w:val="bottom"/>
          </w:tcPr>
          <w:p w14:paraId="05FA48F3" w14:textId="77777777" w:rsidR="008B4755" w:rsidRPr="00453A62" w:rsidRDefault="008B4755" w:rsidP="008B4755">
            <w:pPr>
              <w:pStyle w:val="T2"/>
              <w:jc w:val="right"/>
              <w:rPr>
                <w:b/>
              </w:rPr>
            </w:pPr>
          </w:p>
        </w:tc>
        <w:tc>
          <w:tcPr>
            <w:tcW w:w="1843" w:type="dxa"/>
          </w:tcPr>
          <w:p w14:paraId="6DCD4527" w14:textId="77777777" w:rsidR="008B4755" w:rsidRDefault="00932659" w:rsidP="009E00FF">
            <w:pPr>
              <w:pStyle w:val="T2"/>
              <w:jc w:val="right"/>
              <w:rPr>
                <w:b/>
              </w:rPr>
            </w:pPr>
            <w:r>
              <w:rPr>
                <w:b/>
                <w:bCs/>
              </w:rPr>
              <w:t>6.0</w:t>
            </w:r>
          </w:p>
        </w:tc>
        <w:tc>
          <w:tcPr>
            <w:tcW w:w="1134" w:type="dxa"/>
            <w:vAlign w:val="bottom"/>
          </w:tcPr>
          <w:p w14:paraId="76E2CFD1" w14:textId="77777777" w:rsidR="008B4755" w:rsidRDefault="008B4755" w:rsidP="008B4755">
            <w:pPr>
              <w:pStyle w:val="T2"/>
              <w:jc w:val="right"/>
            </w:pPr>
            <w:r>
              <w:t>5.4</w:t>
            </w:r>
          </w:p>
        </w:tc>
      </w:tr>
      <w:tr w:rsidR="008B4755" w14:paraId="4009BB3D" w14:textId="77777777" w:rsidTr="001F1616">
        <w:tc>
          <w:tcPr>
            <w:tcW w:w="5245" w:type="dxa"/>
            <w:tcBorders>
              <w:bottom w:val="single" w:sz="2" w:space="0" w:color="auto"/>
            </w:tcBorders>
            <w:vAlign w:val="bottom"/>
          </w:tcPr>
          <w:p w14:paraId="49649E90" w14:textId="77777777" w:rsidR="008B4755" w:rsidRPr="00923DB3" w:rsidRDefault="009E00FF" w:rsidP="008B4755">
            <w:pPr>
              <w:pStyle w:val="T2"/>
              <w:jc w:val="left"/>
            </w:pPr>
            <w:r>
              <w:t>C</w:t>
            </w:r>
            <w:r w:rsidR="008B4755" w:rsidRPr="00923DB3">
              <w:t>urrent liabilities</w:t>
            </w:r>
          </w:p>
        </w:tc>
        <w:tc>
          <w:tcPr>
            <w:tcW w:w="1559" w:type="dxa"/>
            <w:tcBorders>
              <w:bottom w:val="single" w:sz="2" w:space="0" w:color="auto"/>
            </w:tcBorders>
            <w:vAlign w:val="bottom"/>
          </w:tcPr>
          <w:p w14:paraId="3423E10A" w14:textId="77777777" w:rsidR="008B4755" w:rsidRPr="00453A62" w:rsidRDefault="008B4755" w:rsidP="008B4755">
            <w:pPr>
              <w:pStyle w:val="T2"/>
              <w:jc w:val="right"/>
              <w:rPr>
                <w:b/>
              </w:rPr>
            </w:pPr>
          </w:p>
        </w:tc>
        <w:tc>
          <w:tcPr>
            <w:tcW w:w="1843" w:type="dxa"/>
            <w:tcBorders>
              <w:bottom w:val="single" w:sz="2" w:space="0" w:color="auto"/>
            </w:tcBorders>
          </w:tcPr>
          <w:p w14:paraId="5F7D1798" w14:textId="77777777" w:rsidR="008B4755" w:rsidRPr="00453A62" w:rsidRDefault="00932659" w:rsidP="009E00FF">
            <w:pPr>
              <w:pStyle w:val="T2"/>
              <w:jc w:val="right"/>
              <w:rPr>
                <w:b/>
              </w:rPr>
            </w:pPr>
            <w:r>
              <w:rPr>
                <w:b/>
                <w:bCs/>
              </w:rPr>
              <w:t>2.2</w:t>
            </w:r>
          </w:p>
        </w:tc>
        <w:tc>
          <w:tcPr>
            <w:tcW w:w="1134" w:type="dxa"/>
            <w:tcBorders>
              <w:bottom w:val="single" w:sz="2" w:space="0" w:color="auto"/>
            </w:tcBorders>
            <w:vAlign w:val="bottom"/>
          </w:tcPr>
          <w:p w14:paraId="5CFF0FB0" w14:textId="77777777" w:rsidR="008B4755" w:rsidRPr="00923DB3" w:rsidRDefault="008B4755" w:rsidP="008B4755">
            <w:pPr>
              <w:pStyle w:val="T2"/>
              <w:jc w:val="right"/>
            </w:pPr>
            <w:r>
              <w:t>4.5</w:t>
            </w:r>
          </w:p>
        </w:tc>
      </w:tr>
      <w:tr w:rsidR="008B4755" w14:paraId="4C8D7E2D" w14:textId="77777777" w:rsidTr="001F1616">
        <w:tc>
          <w:tcPr>
            <w:tcW w:w="5245" w:type="dxa"/>
            <w:tcBorders>
              <w:top w:val="single" w:sz="2" w:space="0" w:color="auto"/>
              <w:bottom w:val="single" w:sz="2" w:space="0" w:color="auto"/>
            </w:tcBorders>
            <w:vAlign w:val="bottom"/>
          </w:tcPr>
          <w:p w14:paraId="5060E701" w14:textId="77777777" w:rsidR="008B4755" w:rsidRPr="00923DB3" w:rsidRDefault="008B4755" w:rsidP="008B4755">
            <w:pPr>
              <w:pStyle w:val="T2"/>
            </w:pPr>
          </w:p>
        </w:tc>
        <w:tc>
          <w:tcPr>
            <w:tcW w:w="1559" w:type="dxa"/>
            <w:tcBorders>
              <w:top w:val="single" w:sz="2" w:space="0" w:color="auto"/>
              <w:bottom w:val="single" w:sz="2" w:space="0" w:color="auto"/>
            </w:tcBorders>
            <w:vAlign w:val="bottom"/>
          </w:tcPr>
          <w:p w14:paraId="308AF505" w14:textId="77777777" w:rsidR="008B4755" w:rsidRPr="00453A62" w:rsidRDefault="008B4755" w:rsidP="008B4755">
            <w:pPr>
              <w:pStyle w:val="T2"/>
              <w:jc w:val="right"/>
              <w:rPr>
                <w:b/>
              </w:rPr>
            </w:pPr>
          </w:p>
        </w:tc>
        <w:tc>
          <w:tcPr>
            <w:tcW w:w="1843" w:type="dxa"/>
            <w:tcBorders>
              <w:top w:val="single" w:sz="2" w:space="0" w:color="auto"/>
              <w:bottom w:val="single" w:sz="2" w:space="0" w:color="auto"/>
            </w:tcBorders>
          </w:tcPr>
          <w:p w14:paraId="5DE68A9F" w14:textId="77777777" w:rsidR="008B4755" w:rsidRPr="00453A62" w:rsidRDefault="0041734A" w:rsidP="008B4755">
            <w:pPr>
              <w:pStyle w:val="T2"/>
              <w:jc w:val="right"/>
              <w:rPr>
                <w:b/>
              </w:rPr>
            </w:pPr>
            <w:r>
              <w:rPr>
                <w:b/>
                <w:bCs/>
              </w:rPr>
              <w:t>8</w:t>
            </w:r>
            <w:r w:rsidR="00FD7ED5">
              <w:rPr>
                <w:b/>
                <w:bCs/>
              </w:rPr>
              <w:t>.2</w:t>
            </w:r>
          </w:p>
        </w:tc>
        <w:tc>
          <w:tcPr>
            <w:tcW w:w="1134" w:type="dxa"/>
            <w:tcBorders>
              <w:top w:val="single" w:sz="2" w:space="0" w:color="auto"/>
              <w:bottom w:val="single" w:sz="2" w:space="0" w:color="auto"/>
            </w:tcBorders>
            <w:vAlign w:val="bottom"/>
          </w:tcPr>
          <w:p w14:paraId="7060CC60" w14:textId="77777777" w:rsidR="008B4755" w:rsidRPr="00923DB3" w:rsidRDefault="008B4755" w:rsidP="008B4755">
            <w:pPr>
              <w:pStyle w:val="T2"/>
              <w:jc w:val="right"/>
            </w:pPr>
            <w:r>
              <w:t>9.9</w:t>
            </w:r>
          </w:p>
        </w:tc>
      </w:tr>
    </w:tbl>
    <w:p w14:paraId="6B2E7590" w14:textId="77777777" w:rsidR="00EB44C4" w:rsidRDefault="00EB44C4" w:rsidP="005B3BEE">
      <w:pPr>
        <w:pStyle w:val="SectionH3"/>
      </w:pPr>
    </w:p>
    <w:p w14:paraId="706100C2" w14:textId="77777777" w:rsidR="00773F7B" w:rsidRPr="004905D4" w:rsidRDefault="00773F7B" w:rsidP="005B3BEE">
      <w:pPr>
        <w:pStyle w:val="SectionH3"/>
      </w:pPr>
      <w:r w:rsidRPr="004905D4">
        <w:t>1</w:t>
      </w:r>
      <w:r w:rsidR="00E126B5">
        <w:t>3</w:t>
      </w:r>
      <w:r w:rsidRPr="004905D4">
        <w:t>.</w:t>
      </w:r>
      <w:r w:rsidR="004905D4">
        <w:tab/>
      </w:r>
      <w:r w:rsidRPr="004905D4">
        <w:t>Retirement Benefit Obligations</w:t>
      </w:r>
    </w:p>
    <w:p w14:paraId="5466FE99" w14:textId="77777777" w:rsidR="00773F7B" w:rsidRPr="009E13E4" w:rsidRDefault="00773F7B" w:rsidP="005B3BEE">
      <w:pPr>
        <w:pStyle w:val="Paragraph"/>
        <w:spacing w:before="0" w:after="120"/>
        <w:jc w:val="both"/>
      </w:pPr>
      <w:r w:rsidRPr="009E13E4">
        <w:t xml:space="preserve">The Group operates three legacy defined benefit pension schemes in the Republic of Ireland (the Irish schemes) and </w:t>
      </w:r>
      <w:r w:rsidR="00CA5B1E" w:rsidRPr="009E13E4">
        <w:t>one</w:t>
      </w:r>
      <w:r w:rsidRPr="009E13E4">
        <w:t xml:space="preserve"> legacy defined benefit pension scheme and one legacy defined benefit commitment in the UK (the UK schemes). These are all closed to future accrual and there is an assumption applied in the valuation of the schemes that there will be no discretionary increases in pension payments. The scheme assets are held in separate Trustee administered funds. The Group continues to seek ways to reduce its liabilities through various restructuring initiatives in co-operation with the respective schemes. </w:t>
      </w:r>
    </w:p>
    <w:p w14:paraId="0E42119F" w14:textId="77777777" w:rsidR="002D4204" w:rsidRPr="009E13E4" w:rsidRDefault="002D4204" w:rsidP="002D4204">
      <w:pPr>
        <w:pStyle w:val="Paragraph"/>
        <w:spacing w:before="0" w:after="120"/>
        <w:jc w:val="both"/>
      </w:pPr>
      <w:r w:rsidRPr="009E13E4">
        <w:t>In consultation with the independent actuaries to the scheme, the valuation of pension obligations have been updated to reflect current market discount rates, rates of increase in salaries, pension payments and inflation, current market values of investments and actual investment returns.</w:t>
      </w:r>
    </w:p>
    <w:p w14:paraId="17AAB2AB" w14:textId="77777777" w:rsidR="00773F7B" w:rsidRPr="009E13E4" w:rsidRDefault="00773F7B" w:rsidP="005B3BEE">
      <w:pPr>
        <w:pStyle w:val="Paragraph"/>
        <w:spacing w:before="0" w:after="120"/>
        <w:jc w:val="both"/>
      </w:pPr>
      <w:r w:rsidRPr="009E13E4">
        <w:t>The Group’s retirement benefit obligations moved from a net liability of £</w:t>
      </w:r>
      <w:r w:rsidR="009E13E4" w:rsidRPr="009E13E4">
        <w:t>82</w:t>
      </w:r>
      <w:r w:rsidRPr="009E13E4">
        <w:t>.</w:t>
      </w:r>
      <w:r w:rsidR="009E13E4" w:rsidRPr="009E13E4">
        <w:t>1</w:t>
      </w:r>
      <w:r w:rsidRPr="009E13E4">
        <w:t>m at 2</w:t>
      </w:r>
      <w:r w:rsidR="009E13E4" w:rsidRPr="009E13E4">
        <w:t>5</w:t>
      </w:r>
      <w:r w:rsidRPr="009E13E4">
        <w:t xml:space="preserve"> September 20</w:t>
      </w:r>
      <w:r w:rsidR="009E13E4" w:rsidRPr="009E13E4">
        <w:t>20</w:t>
      </w:r>
      <w:r w:rsidRPr="009E13E4">
        <w:t xml:space="preserve"> to a net liability of </w:t>
      </w:r>
      <w:r w:rsidRPr="00FD7ED5">
        <w:t>£</w:t>
      </w:r>
      <w:r w:rsidR="00FD7ED5" w:rsidRPr="00FD7ED5">
        <w:t>71.9</w:t>
      </w:r>
      <w:r w:rsidRPr="00FD7ED5">
        <w:t>m</w:t>
      </w:r>
      <w:r w:rsidRPr="009E13E4">
        <w:t xml:space="preserve"> at </w:t>
      </w:r>
      <w:r w:rsidR="00946079" w:rsidRPr="009E13E4">
        <w:t>26 March 2021</w:t>
      </w:r>
      <w:r w:rsidRPr="009E13E4">
        <w:t>. This movement was primarily driven by an actuarial gain on liabilities arising from an increase in the discount rates used to value these liabilities. The move</w:t>
      </w:r>
      <w:r w:rsidR="004447BE">
        <w:t>ment</w:t>
      </w:r>
      <w:r w:rsidRPr="009E13E4">
        <w:t xml:space="preserve"> in the discount rate is driven by the corporate bond rate. </w:t>
      </w:r>
    </w:p>
    <w:p w14:paraId="0A94FC8D" w14:textId="77777777" w:rsidR="00773F7B" w:rsidRDefault="009E13E4" w:rsidP="005B3BEE">
      <w:pPr>
        <w:pStyle w:val="Paragraph"/>
        <w:spacing w:before="0" w:after="120"/>
        <w:jc w:val="both"/>
      </w:pPr>
      <w:r w:rsidRPr="009E13E4">
        <w:t>In October 2020</w:t>
      </w:r>
      <w:r>
        <w:t xml:space="preserve">, the Trustees of two of the smaller Irish schemes purchased an insurance policy </w:t>
      </w:r>
      <w:r w:rsidR="00EA4F03">
        <w:t xml:space="preserve">to cover the </w:t>
      </w:r>
      <w:r>
        <w:t xml:space="preserve">scheme liabilities </w:t>
      </w:r>
      <w:r w:rsidR="009E00FF">
        <w:t xml:space="preserve">for </w:t>
      </w:r>
      <w:r>
        <w:t>pensioner members</w:t>
      </w:r>
      <w:r w:rsidR="00773F7B" w:rsidRPr="009E13E4">
        <w:t>.</w:t>
      </w:r>
      <w:r>
        <w:t xml:space="preserve"> The insurance policy is treated as a plan asset and the fair value of the policy is deemed to be the present value of the related obligations.</w:t>
      </w:r>
    </w:p>
    <w:p w14:paraId="10A96A11" w14:textId="77777777" w:rsidR="009E13E4" w:rsidRPr="005F112A" w:rsidRDefault="009E13E4" w:rsidP="005B3BEE">
      <w:pPr>
        <w:pStyle w:val="Paragraph"/>
        <w:spacing w:before="0" w:after="120"/>
        <w:jc w:val="both"/>
      </w:pPr>
      <w:r>
        <w:t xml:space="preserve">In January 2021, </w:t>
      </w:r>
      <w:r w:rsidR="001E422A">
        <w:t xml:space="preserve">the Group and the Trustees of </w:t>
      </w:r>
      <w:r w:rsidR="003931DF">
        <w:t xml:space="preserve">all </w:t>
      </w:r>
      <w:r w:rsidR="001E422A">
        <w:t>three</w:t>
      </w:r>
      <w:r w:rsidR="00EE311E">
        <w:t xml:space="preserve"> </w:t>
      </w:r>
      <w:r w:rsidR="001E422A">
        <w:t xml:space="preserve">Irish schemes reached agreement to wind up the two smaller schemes and transfer </w:t>
      </w:r>
      <w:r w:rsidR="007905AF" w:rsidRPr="001F1616">
        <w:t>deferred beneficiaries</w:t>
      </w:r>
      <w:r w:rsidR="007905AF" w:rsidDel="007905AF">
        <w:t xml:space="preserve"> </w:t>
      </w:r>
      <w:r w:rsidR="00EE311E">
        <w:t xml:space="preserve">to the larger </w:t>
      </w:r>
      <w:r w:rsidR="001E422A">
        <w:t>scheme.</w:t>
      </w:r>
      <w:r w:rsidR="00EE311E">
        <w:t xml:space="preserve"> The execution of the agreement triggered a settlement in the period, as a number of </w:t>
      </w:r>
      <w:r w:rsidR="007905AF" w:rsidRPr="00C81005">
        <w:t>deferred beneficiaries</w:t>
      </w:r>
      <w:r w:rsidR="007905AF" w:rsidDel="007905AF">
        <w:t xml:space="preserve"> </w:t>
      </w:r>
      <w:r w:rsidR="00EE311E">
        <w:t xml:space="preserve">can accept transfer values in lieu of their pension benefit and transfer out of the scheme as a result of the wind up. At 26 March 2021, </w:t>
      </w:r>
      <w:r w:rsidR="00BB2658">
        <w:t xml:space="preserve">the wind up process has not yet completed and </w:t>
      </w:r>
      <w:r w:rsidR="00EE311E">
        <w:t>the</w:t>
      </w:r>
      <w:r w:rsidR="00BB2658">
        <w:t>refore the</w:t>
      </w:r>
      <w:r w:rsidR="00EE311E">
        <w:t xml:space="preserve"> Group </w:t>
      </w:r>
      <w:r w:rsidR="00365D32">
        <w:t xml:space="preserve">has </w:t>
      </w:r>
      <w:r w:rsidR="00EE311E">
        <w:t>estimated the settlement</w:t>
      </w:r>
      <w:r w:rsidR="00BB2658">
        <w:t xml:space="preserve"> charge</w:t>
      </w:r>
      <w:r w:rsidR="00EE311E">
        <w:t xml:space="preserve"> </w:t>
      </w:r>
      <w:r w:rsidR="00BB2658">
        <w:t xml:space="preserve">of £1.4m </w:t>
      </w:r>
      <w:r w:rsidR="00EE311E">
        <w:t>based on</w:t>
      </w:r>
      <w:r w:rsidR="00BB2658">
        <w:t xml:space="preserve"> the</w:t>
      </w:r>
      <w:r w:rsidR="00EE311E">
        <w:t xml:space="preserve"> </w:t>
      </w:r>
      <w:r w:rsidR="00BB2658">
        <w:t xml:space="preserve">expected number </w:t>
      </w:r>
      <w:r w:rsidR="00EE311E">
        <w:t xml:space="preserve">of </w:t>
      </w:r>
      <w:r w:rsidR="00BB2658">
        <w:t xml:space="preserve">members that will transfer out of the scheme. </w:t>
      </w:r>
      <w:r w:rsidR="00751644">
        <w:t xml:space="preserve">The Group has </w:t>
      </w:r>
      <w:r w:rsidR="00BB2658">
        <w:t xml:space="preserve">exercised judgement in estimating the charge, based on the likely acceptance rate having consideration for the level of funding and experience from comparable transfer value exercises. </w:t>
      </w:r>
    </w:p>
    <w:p w14:paraId="4E56D488" w14:textId="77777777" w:rsidR="001E422A" w:rsidRPr="004B0403" w:rsidRDefault="001E422A" w:rsidP="005B3BEE">
      <w:pPr>
        <w:pStyle w:val="Paragraph"/>
        <w:spacing w:before="0" w:after="120"/>
        <w:jc w:val="both"/>
      </w:pPr>
      <w:r>
        <w:t xml:space="preserve">In protecting the business and liquidity in response to the COVID-19 pandemic, the Group entered </w:t>
      </w:r>
      <w:r w:rsidR="00751644">
        <w:t xml:space="preserve">a </w:t>
      </w:r>
      <w:r>
        <w:t xml:space="preserve">formal agreement with the Trustees of the legacy defined benefit pension scheme in the UK to defer cash contributions to the pension for a further period of six </w:t>
      </w:r>
      <w:r w:rsidRPr="004B0403">
        <w:t>months, which resulted in a reduction of cash contributions of £3.4m</w:t>
      </w:r>
      <w:r w:rsidR="004447BE">
        <w:t xml:space="preserve"> in H1 FY21</w:t>
      </w:r>
      <w:r w:rsidR="00751644" w:rsidRPr="004B0403">
        <w:t>, which results in a total of £8.</w:t>
      </w:r>
      <w:r w:rsidR="004447BE">
        <w:t>7</w:t>
      </w:r>
      <w:r w:rsidR="00751644" w:rsidRPr="004B0403">
        <w:t>m of deferred cash contributions</w:t>
      </w:r>
      <w:r w:rsidR="004447BE">
        <w:t xml:space="preserve"> to reporting date</w:t>
      </w:r>
      <w:r w:rsidR="00751644" w:rsidRPr="004B0403">
        <w:t>.</w:t>
      </w:r>
    </w:p>
    <w:p w14:paraId="742454BF" w14:textId="77777777" w:rsidR="00773F7B" w:rsidRPr="00B71062" w:rsidRDefault="00773F7B" w:rsidP="005B3BEE">
      <w:pPr>
        <w:pStyle w:val="Paragraph"/>
        <w:spacing w:before="0" w:after="120"/>
        <w:jc w:val="both"/>
      </w:pPr>
      <w:r w:rsidRPr="00F55D04">
        <w:t>A</w:t>
      </w:r>
      <w:r w:rsidR="006E683D" w:rsidRPr="00F55D04">
        <w:t>n actuarial funding</w:t>
      </w:r>
      <w:r w:rsidRPr="00F55D04">
        <w:t xml:space="preserve"> valuation of the UK legacy defined benefit scheme</w:t>
      </w:r>
      <w:r w:rsidR="009E00FF" w:rsidRPr="00F55D04">
        <w:t>,</w:t>
      </w:r>
      <w:r w:rsidR="004C3417" w:rsidRPr="00F55D04">
        <w:t xml:space="preserve"> with a valuation date of March 2020</w:t>
      </w:r>
      <w:r w:rsidR="009E00FF" w:rsidRPr="00F55D04">
        <w:t>, is ongoing and expected to complete in the current financial year</w:t>
      </w:r>
      <w:r w:rsidR="004C3417" w:rsidRPr="00F55D04">
        <w:t>.</w:t>
      </w:r>
      <w:r w:rsidR="004C3417">
        <w:t xml:space="preserve"> </w:t>
      </w:r>
    </w:p>
    <w:p w14:paraId="30D42071" w14:textId="77777777" w:rsidR="00773F7B" w:rsidRDefault="00773F7B" w:rsidP="005B3BEE">
      <w:pPr>
        <w:pStyle w:val="Paragraph"/>
        <w:spacing w:before="0" w:after="120"/>
      </w:pPr>
      <w:r w:rsidRPr="00202019">
        <w:t>The principal actuarial assumptions are as follo</w:t>
      </w:r>
      <w:r>
        <w:t>w</w:t>
      </w:r>
      <w:r w:rsidRPr="00202019">
        <w:t>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0"/>
        <w:gridCol w:w="877"/>
        <w:gridCol w:w="877"/>
        <w:gridCol w:w="877"/>
        <w:gridCol w:w="879"/>
      </w:tblGrid>
      <w:tr w:rsidR="00773F7B" w14:paraId="095FA91A" w14:textId="77777777" w:rsidTr="008B4755">
        <w:trPr>
          <w:jc w:val="center"/>
        </w:trPr>
        <w:tc>
          <w:tcPr>
            <w:tcW w:w="6270" w:type="dxa"/>
            <w:vAlign w:val="bottom"/>
          </w:tcPr>
          <w:p w14:paraId="54ED6F08" w14:textId="77777777" w:rsidR="00773F7B" w:rsidRPr="00B7240B" w:rsidRDefault="00773F7B" w:rsidP="00773F7B">
            <w:pPr>
              <w:pStyle w:val="T2"/>
              <w:jc w:val="left"/>
            </w:pPr>
          </w:p>
        </w:tc>
        <w:tc>
          <w:tcPr>
            <w:tcW w:w="1754" w:type="dxa"/>
            <w:gridSpan w:val="2"/>
            <w:vAlign w:val="bottom"/>
          </w:tcPr>
          <w:p w14:paraId="33C979E5" w14:textId="77777777" w:rsidR="008B4755" w:rsidRPr="00F91BA7" w:rsidRDefault="00773F7B" w:rsidP="008B4755">
            <w:pPr>
              <w:pStyle w:val="T2"/>
              <w:rPr>
                <w:b/>
              </w:rPr>
            </w:pPr>
            <w:r w:rsidRPr="00F91BA7">
              <w:rPr>
                <w:b/>
              </w:rPr>
              <w:t xml:space="preserve">March </w:t>
            </w:r>
            <w:r w:rsidRPr="00F91BA7">
              <w:rPr>
                <w:b/>
              </w:rPr>
              <w:br/>
              <w:t>20</w:t>
            </w:r>
            <w:r w:rsidR="008B4755">
              <w:rPr>
                <w:b/>
              </w:rPr>
              <w:t>21</w:t>
            </w:r>
          </w:p>
        </w:tc>
        <w:tc>
          <w:tcPr>
            <w:tcW w:w="1756" w:type="dxa"/>
            <w:gridSpan w:val="2"/>
            <w:vAlign w:val="bottom"/>
          </w:tcPr>
          <w:p w14:paraId="535626EC" w14:textId="77777777" w:rsidR="00773F7B" w:rsidRDefault="00773F7B" w:rsidP="00773F7B">
            <w:pPr>
              <w:pStyle w:val="T2"/>
            </w:pPr>
            <w:r w:rsidRPr="00B7240B">
              <w:t xml:space="preserve">September </w:t>
            </w:r>
          </w:p>
          <w:p w14:paraId="2B2018AF" w14:textId="77777777" w:rsidR="00773F7B" w:rsidRPr="00B7240B" w:rsidRDefault="00773F7B" w:rsidP="008B4755">
            <w:pPr>
              <w:pStyle w:val="T2"/>
            </w:pPr>
            <w:r w:rsidRPr="00B7240B">
              <w:t>20</w:t>
            </w:r>
            <w:r w:rsidR="008B4755">
              <w:t>20</w:t>
            </w:r>
          </w:p>
        </w:tc>
      </w:tr>
      <w:tr w:rsidR="00773F7B" w14:paraId="3AF312A3" w14:textId="77777777" w:rsidTr="008B4755">
        <w:trPr>
          <w:jc w:val="center"/>
        </w:trPr>
        <w:tc>
          <w:tcPr>
            <w:tcW w:w="6270" w:type="dxa"/>
            <w:tcBorders>
              <w:bottom w:val="single" w:sz="2" w:space="0" w:color="auto"/>
            </w:tcBorders>
            <w:vAlign w:val="bottom"/>
          </w:tcPr>
          <w:p w14:paraId="35E6EE69" w14:textId="77777777" w:rsidR="00773F7B" w:rsidRPr="00B7240B" w:rsidRDefault="00773F7B" w:rsidP="00773F7B">
            <w:pPr>
              <w:pStyle w:val="T2"/>
              <w:jc w:val="left"/>
            </w:pPr>
          </w:p>
        </w:tc>
        <w:tc>
          <w:tcPr>
            <w:tcW w:w="877" w:type="dxa"/>
            <w:tcBorders>
              <w:bottom w:val="single" w:sz="2" w:space="0" w:color="auto"/>
            </w:tcBorders>
            <w:vAlign w:val="bottom"/>
          </w:tcPr>
          <w:p w14:paraId="7755132C" w14:textId="77777777" w:rsidR="00773F7B" w:rsidRPr="00F91BA7" w:rsidRDefault="00773F7B" w:rsidP="00773F7B">
            <w:pPr>
              <w:pStyle w:val="T2"/>
              <w:jc w:val="right"/>
              <w:rPr>
                <w:b/>
              </w:rPr>
            </w:pPr>
            <w:r w:rsidRPr="00F91BA7">
              <w:rPr>
                <w:b/>
              </w:rPr>
              <w:t>UK</w:t>
            </w:r>
          </w:p>
        </w:tc>
        <w:tc>
          <w:tcPr>
            <w:tcW w:w="877" w:type="dxa"/>
            <w:tcBorders>
              <w:bottom w:val="single" w:sz="2" w:space="0" w:color="auto"/>
            </w:tcBorders>
            <w:vAlign w:val="bottom"/>
          </w:tcPr>
          <w:p w14:paraId="15CD87CE" w14:textId="77777777" w:rsidR="00773F7B" w:rsidRPr="00F91BA7" w:rsidRDefault="00773F7B" w:rsidP="00773F7B">
            <w:pPr>
              <w:pStyle w:val="T2"/>
              <w:jc w:val="right"/>
              <w:rPr>
                <w:b/>
              </w:rPr>
            </w:pPr>
            <w:r w:rsidRPr="00F91BA7">
              <w:rPr>
                <w:b/>
              </w:rPr>
              <w:t>Ireland</w:t>
            </w:r>
          </w:p>
        </w:tc>
        <w:tc>
          <w:tcPr>
            <w:tcW w:w="877" w:type="dxa"/>
            <w:tcBorders>
              <w:bottom w:val="single" w:sz="2" w:space="0" w:color="auto"/>
            </w:tcBorders>
            <w:vAlign w:val="bottom"/>
          </w:tcPr>
          <w:p w14:paraId="08DFB764" w14:textId="77777777" w:rsidR="00773F7B" w:rsidRPr="00B7240B" w:rsidRDefault="00773F7B" w:rsidP="00773F7B">
            <w:pPr>
              <w:pStyle w:val="T2"/>
              <w:jc w:val="right"/>
            </w:pPr>
            <w:r w:rsidRPr="00B7240B">
              <w:t>UK</w:t>
            </w:r>
          </w:p>
        </w:tc>
        <w:tc>
          <w:tcPr>
            <w:tcW w:w="879" w:type="dxa"/>
            <w:tcBorders>
              <w:bottom w:val="single" w:sz="2" w:space="0" w:color="auto"/>
            </w:tcBorders>
            <w:vAlign w:val="bottom"/>
          </w:tcPr>
          <w:p w14:paraId="098B2ABC" w14:textId="77777777" w:rsidR="00773F7B" w:rsidRPr="00B7240B" w:rsidRDefault="00773F7B" w:rsidP="00773F7B">
            <w:pPr>
              <w:pStyle w:val="T2"/>
              <w:jc w:val="right"/>
            </w:pPr>
            <w:r w:rsidRPr="00B7240B">
              <w:t>Ireland</w:t>
            </w:r>
          </w:p>
        </w:tc>
      </w:tr>
      <w:tr w:rsidR="008B4755" w14:paraId="2E837541" w14:textId="77777777" w:rsidTr="00592BB5">
        <w:trPr>
          <w:jc w:val="center"/>
        </w:trPr>
        <w:tc>
          <w:tcPr>
            <w:tcW w:w="6270" w:type="dxa"/>
            <w:tcBorders>
              <w:top w:val="single" w:sz="2" w:space="0" w:color="auto"/>
            </w:tcBorders>
            <w:vAlign w:val="bottom"/>
          </w:tcPr>
          <w:p w14:paraId="1A1ED4BA" w14:textId="77777777" w:rsidR="008B4755" w:rsidRPr="00B7240B" w:rsidRDefault="008B4755" w:rsidP="008B4755">
            <w:pPr>
              <w:pStyle w:val="T2"/>
              <w:jc w:val="left"/>
            </w:pPr>
            <w:r w:rsidRPr="00B7240B">
              <w:t>Rate of increase in pension payments *</w:t>
            </w:r>
          </w:p>
        </w:tc>
        <w:tc>
          <w:tcPr>
            <w:tcW w:w="877" w:type="dxa"/>
            <w:tcBorders>
              <w:top w:val="single" w:sz="2" w:space="0" w:color="auto"/>
            </w:tcBorders>
          </w:tcPr>
          <w:p w14:paraId="2BD3B16C" w14:textId="77777777" w:rsidR="008B4755" w:rsidRPr="00AE76AF" w:rsidRDefault="00FD7ED5" w:rsidP="008B4755">
            <w:pPr>
              <w:pStyle w:val="T2"/>
              <w:jc w:val="right"/>
              <w:rPr>
                <w:b/>
                <w:bCs/>
              </w:rPr>
            </w:pPr>
            <w:r>
              <w:rPr>
                <w:b/>
                <w:bCs/>
              </w:rPr>
              <w:t>2.85%</w:t>
            </w:r>
          </w:p>
        </w:tc>
        <w:tc>
          <w:tcPr>
            <w:tcW w:w="877" w:type="dxa"/>
            <w:tcBorders>
              <w:top w:val="single" w:sz="2" w:space="0" w:color="auto"/>
            </w:tcBorders>
          </w:tcPr>
          <w:p w14:paraId="734A4B81" w14:textId="77777777" w:rsidR="008B4755" w:rsidRPr="00AE76AF" w:rsidRDefault="00FD7ED5" w:rsidP="008B4755">
            <w:pPr>
              <w:pStyle w:val="T2"/>
              <w:jc w:val="right"/>
              <w:rPr>
                <w:b/>
                <w:bCs/>
              </w:rPr>
            </w:pPr>
            <w:r>
              <w:rPr>
                <w:b/>
                <w:bCs/>
              </w:rPr>
              <w:t>0.00%</w:t>
            </w:r>
          </w:p>
        </w:tc>
        <w:tc>
          <w:tcPr>
            <w:tcW w:w="877" w:type="dxa"/>
            <w:tcBorders>
              <w:top w:val="single" w:sz="2" w:space="0" w:color="auto"/>
            </w:tcBorders>
            <w:vAlign w:val="bottom"/>
          </w:tcPr>
          <w:p w14:paraId="043F9AD0" w14:textId="77777777" w:rsidR="008B4755" w:rsidRPr="00B7240B" w:rsidRDefault="008B4755" w:rsidP="008B4755">
            <w:pPr>
              <w:pStyle w:val="T2"/>
              <w:jc w:val="right"/>
            </w:pPr>
            <w:r>
              <w:rPr>
                <w:bCs/>
              </w:rPr>
              <w:t>2.85</w:t>
            </w:r>
            <w:r w:rsidRPr="0096767F">
              <w:rPr>
                <w:bCs/>
              </w:rPr>
              <w:t>%</w:t>
            </w:r>
          </w:p>
        </w:tc>
        <w:tc>
          <w:tcPr>
            <w:tcW w:w="879" w:type="dxa"/>
            <w:tcBorders>
              <w:top w:val="single" w:sz="2" w:space="0" w:color="auto"/>
            </w:tcBorders>
            <w:vAlign w:val="bottom"/>
          </w:tcPr>
          <w:p w14:paraId="1722D649" w14:textId="77777777" w:rsidR="008B4755" w:rsidRPr="00B7240B" w:rsidRDefault="008B4755" w:rsidP="008B4755">
            <w:pPr>
              <w:pStyle w:val="T2"/>
              <w:jc w:val="right"/>
            </w:pPr>
            <w:r w:rsidRPr="0096767F">
              <w:rPr>
                <w:bCs/>
              </w:rPr>
              <w:t>0.00%</w:t>
            </w:r>
          </w:p>
        </w:tc>
      </w:tr>
      <w:tr w:rsidR="008B4755" w14:paraId="2396B1D8" w14:textId="77777777" w:rsidTr="00592BB5">
        <w:trPr>
          <w:jc w:val="center"/>
        </w:trPr>
        <w:tc>
          <w:tcPr>
            <w:tcW w:w="6270" w:type="dxa"/>
            <w:vAlign w:val="bottom"/>
          </w:tcPr>
          <w:p w14:paraId="04360413" w14:textId="77777777" w:rsidR="008B4755" w:rsidRPr="00B7240B" w:rsidRDefault="008B4755" w:rsidP="008B4755">
            <w:pPr>
              <w:pStyle w:val="T2"/>
              <w:jc w:val="left"/>
            </w:pPr>
            <w:r w:rsidRPr="00B7240B">
              <w:t>Discount rate</w:t>
            </w:r>
          </w:p>
        </w:tc>
        <w:tc>
          <w:tcPr>
            <w:tcW w:w="877" w:type="dxa"/>
          </w:tcPr>
          <w:p w14:paraId="27470EFE" w14:textId="77777777" w:rsidR="008B4755" w:rsidRPr="00AE76AF" w:rsidRDefault="00FD7ED5" w:rsidP="008B4755">
            <w:pPr>
              <w:pStyle w:val="T2"/>
              <w:jc w:val="right"/>
              <w:rPr>
                <w:b/>
                <w:bCs/>
              </w:rPr>
            </w:pPr>
            <w:r>
              <w:rPr>
                <w:b/>
                <w:bCs/>
              </w:rPr>
              <w:t>2.00%</w:t>
            </w:r>
          </w:p>
        </w:tc>
        <w:tc>
          <w:tcPr>
            <w:tcW w:w="877" w:type="dxa"/>
          </w:tcPr>
          <w:p w14:paraId="6C16E1B0" w14:textId="77777777" w:rsidR="008B4755" w:rsidRPr="00AE76AF" w:rsidRDefault="00FD7ED5" w:rsidP="008B4755">
            <w:pPr>
              <w:pStyle w:val="T2"/>
              <w:jc w:val="right"/>
              <w:rPr>
                <w:b/>
                <w:bCs/>
              </w:rPr>
            </w:pPr>
            <w:r>
              <w:rPr>
                <w:b/>
                <w:bCs/>
              </w:rPr>
              <w:t>1.13%</w:t>
            </w:r>
          </w:p>
        </w:tc>
        <w:tc>
          <w:tcPr>
            <w:tcW w:w="877" w:type="dxa"/>
            <w:vAlign w:val="bottom"/>
          </w:tcPr>
          <w:p w14:paraId="44DD1EB7" w14:textId="77777777" w:rsidR="008B4755" w:rsidRPr="00B7240B" w:rsidRDefault="008B4755" w:rsidP="008B4755">
            <w:pPr>
              <w:pStyle w:val="T2"/>
              <w:jc w:val="right"/>
            </w:pPr>
            <w:r>
              <w:rPr>
                <w:bCs/>
              </w:rPr>
              <w:t>1.70</w:t>
            </w:r>
            <w:r w:rsidRPr="0096767F">
              <w:rPr>
                <w:bCs/>
              </w:rPr>
              <w:t>%</w:t>
            </w:r>
          </w:p>
        </w:tc>
        <w:tc>
          <w:tcPr>
            <w:tcW w:w="879" w:type="dxa"/>
            <w:vAlign w:val="bottom"/>
          </w:tcPr>
          <w:p w14:paraId="71F01D08" w14:textId="77777777" w:rsidR="008B4755" w:rsidRPr="00B7240B" w:rsidRDefault="008B4755" w:rsidP="008B4755">
            <w:pPr>
              <w:pStyle w:val="T2"/>
              <w:jc w:val="right"/>
            </w:pPr>
            <w:r>
              <w:rPr>
                <w:bCs/>
              </w:rPr>
              <w:t>0.95</w:t>
            </w:r>
            <w:r w:rsidRPr="0096767F">
              <w:rPr>
                <w:bCs/>
              </w:rPr>
              <w:t>%</w:t>
            </w:r>
          </w:p>
        </w:tc>
      </w:tr>
      <w:tr w:rsidR="008B4755" w14:paraId="49E64186" w14:textId="77777777" w:rsidTr="00592BB5">
        <w:trPr>
          <w:jc w:val="center"/>
        </w:trPr>
        <w:tc>
          <w:tcPr>
            <w:tcW w:w="6270" w:type="dxa"/>
            <w:tcBorders>
              <w:bottom w:val="single" w:sz="2" w:space="0" w:color="auto"/>
            </w:tcBorders>
            <w:vAlign w:val="bottom"/>
          </w:tcPr>
          <w:p w14:paraId="673181B6" w14:textId="77777777" w:rsidR="008B4755" w:rsidRPr="00B7240B" w:rsidRDefault="008B4755" w:rsidP="008B4755">
            <w:pPr>
              <w:pStyle w:val="T2"/>
              <w:jc w:val="left"/>
            </w:pPr>
            <w:r w:rsidRPr="00B7240B">
              <w:t>Inflation rate</w:t>
            </w:r>
          </w:p>
        </w:tc>
        <w:tc>
          <w:tcPr>
            <w:tcW w:w="877" w:type="dxa"/>
            <w:tcBorders>
              <w:bottom w:val="single" w:sz="2" w:space="0" w:color="auto"/>
            </w:tcBorders>
          </w:tcPr>
          <w:p w14:paraId="7149FF93" w14:textId="77777777" w:rsidR="008B4755" w:rsidRPr="00AE76AF" w:rsidRDefault="00FD7ED5" w:rsidP="008B4755">
            <w:pPr>
              <w:pStyle w:val="T2"/>
              <w:jc w:val="right"/>
              <w:rPr>
                <w:b/>
                <w:bCs/>
              </w:rPr>
            </w:pPr>
            <w:r>
              <w:rPr>
                <w:b/>
                <w:bCs/>
              </w:rPr>
              <w:t>3.25%</w:t>
            </w:r>
          </w:p>
        </w:tc>
        <w:tc>
          <w:tcPr>
            <w:tcW w:w="877" w:type="dxa"/>
            <w:tcBorders>
              <w:bottom w:val="single" w:sz="2" w:space="0" w:color="auto"/>
            </w:tcBorders>
          </w:tcPr>
          <w:p w14:paraId="3EDEB026" w14:textId="77777777" w:rsidR="008B4755" w:rsidRPr="00AE76AF" w:rsidRDefault="00FD7ED5" w:rsidP="008B4755">
            <w:pPr>
              <w:pStyle w:val="T2"/>
              <w:jc w:val="right"/>
              <w:rPr>
                <w:b/>
                <w:bCs/>
              </w:rPr>
            </w:pPr>
            <w:r>
              <w:rPr>
                <w:b/>
                <w:bCs/>
              </w:rPr>
              <w:t>1.50%</w:t>
            </w:r>
          </w:p>
        </w:tc>
        <w:tc>
          <w:tcPr>
            <w:tcW w:w="877" w:type="dxa"/>
            <w:tcBorders>
              <w:bottom w:val="single" w:sz="2" w:space="0" w:color="auto"/>
            </w:tcBorders>
            <w:vAlign w:val="bottom"/>
          </w:tcPr>
          <w:p w14:paraId="0018847D" w14:textId="77777777" w:rsidR="008B4755" w:rsidRPr="00B7240B" w:rsidRDefault="008B4755" w:rsidP="008B4755">
            <w:pPr>
              <w:pStyle w:val="T2"/>
              <w:jc w:val="right"/>
            </w:pPr>
            <w:r>
              <w:rPr>
                <w:bCs/>
              </w:rPr>
              <w:t>2.95</w:t>
            </w:r>
            <w:r w:rsidRPr="0096767F">
              <w:rPr>
                <w:bCs/>
              </w:rPr>
              <w:t>%</w:t>
            </w:r>
          </w:p>
        </w:tc>
        <w:tc>
          <w:tcPr>
            <w:tcW w:w="879" w:type="dxa"/>
            <w:tcBorders>
              <w:bottom w:val="single" w:sz="2" w:space="0" w:color="auto"/>
            </w:tcBorders>
            <w:vAlign w:val="bottom"/>
          </w:tcPr>
          <w:p w14:paraId="479F6B5A" w14:textId="77777777" w:rsidR="008B4755" w:rsidRPr="00B7240B" w:rsidRDefault="008B4755" w:rsidP="008B4755">
            <w:pPr>
              <w:pStyle w:val="T2"/>
              <w:jc w:val="right"/>
            </w:pPr>
            <w:r w:rsidRPr="0096767F">
              <w:rPr>
                <w:bCs/>
              </w:rPr>
              <w:t>1.</w:t>
            </w:r>
            <w:r>
              <w:rPr>
                <w:bCs/>
              </w:rPr>
              <w:t>50</w:t>
            </w:r>
            <w:r w:rsidRPr="0096767F">
              <w:rPr>
                <w:bCs/>
              </w:rPr>
              <w:t>%</w:t>
            </w:r>
          </w:p>
        </w:tc>
      </w:tr>
      <w:tr w:rsidR="00773F7B" w14:paraId="5D5F1168" w14:textId="77777777" w:rsidTr="005B3BEE">
        <w:trPr>
          <w:jc w:val="center"/>
        </w:trPr>
        <w:tc>
          <w:tcPr>
            <w:tcW w:w="9780" w:type="dxa"/>
            <w:gridSpan w:val="5"/>
            <w:tcBorders>
              <w:top w:val="single" w:sz="2" w:space="0" w:color="auto"/>
            </w:tcBorders>
          </w:tcPr>
          <w:p w14:paraId="216C9363" w14:textId="77777777" w:rsidR="00773F7B" w:rsidRPr="00E05961" w:rsidRDefault="00773F7B" w:rsidP="00773F7B">
            <w:pPr>
              <w:pStyle w:val="T2"/>
              <w:jc w:val="left"/>
              <w:rPr>
                <w:sz w:val="16"/>
                <w:szCs w:val="16"/>
              </w:rPr>
            </w:pPr>
            <w:r w:rsidRPr="00E05961">
              <w:rPr>
                <w:sz w:val="16"/>
                <w:szCs w:val="16"/>
              </w:rPr>
              <w:t xml:space="preserve">* The pension increase rate shown above applies to the majority of the liability base. However there are certain categories within the </w:t>
            </w:r>
            <w:r>
              <w:rPr>
                <w:sz w:val="16"/>
                <w:szCs w:val="16"/>
              </w:rPr>
              <w:t>G</w:t>
            </w:r>
            <w:r w:rsidRPr="00E05961">
              <w:rPr>
                <w:sz w:val="16"/>
                <w:szCs w:val="16"/>
              </w:rPr>
              <w:t>roup that have an entitlement to pension indexation and this is allowed for in the calculation.</w:t>
            </w:r>
          </w:p>
        </w:tc>
      </w:tr>
    </w:tbl>
    <w:p w14:paraId="232BB7D2" w14:textId="77777777" w:rsidR="00773F7B" w:rsidRDefault="00773F7B" w:rsidP="005B3BEE">
      <w:pPr>
        <w:pStyle w:val="Paragraph"/>
        <w:spacing w:after="120"/>
      </w:pPr>
      <w:r>
        <w:t>T</w:t>
      </w:r>
      <w:r w:rsidRPr="005D5C34">
        <w:t>he financial position of the schemes was as follows: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992"/>
        <w:gridCol w:w="992"/>
        <w:gridCol w:w="851"/>
        <w:gridCol w:w="921"/>
        <w:gridCol w:w="863"/>
        <w:gridCol w:w="739"/>
      </w:tblGrid>
      <w:tr w:rsidR="00773F7B" w14:paraId="14648888" w14:textId="77777777" w:rsidTr="008B4755">
        <w:trPr>
          <w:jc w:val="center"/>
        </w:trPr>
        <w:tc>
          <w:tcPr>
            <w:tcW w:w="4422" w:type="dxa"/>
          </w:tcPr>
          <w:p w14:paraId="5F37C27D" w14:textId="77777777" w:rsidR="00773F7B" w:rsidRPr="00496A2A" w:rsidRDefault="00773F7B" w:rsidP="00773F7B">
            <w:pPr>
              <w:pStyle w:val="T2"/>
            </w:pPr>
          </w:p>
        </w:tc>
        <w:tc>
          <w:tcPr>
            <w:tcW w:w="2835" w:type="dxa"/>
            <w:gridSpan w:val="3"/>
            <w:vAlign w:val="bottom"/>
          </w:tcPr>
          <w:p w14:paraId="792D0F05" w14:textId="77777777" w:rsidR="00773F7B" w:rsidRPr="00892F5E" w:rsidRDefault="00773F7B" w:rsidP="00773F7B">
            <w:pPr>
              <w:pStyle w:val="T2"/>
              <w:rPr>
                <w:b/>
              </w:rPr>
            </w:pPr>
            <w:r w:rsidRPr="00892F5E">
              <w:rPr>
                <w:b/>
              </w:rPr>
              <w:t xml:space="preserve"> March 20</w:t>
            </w:r>
            <w:r w:rsidR="008B4755">
              <w:rPr>
                <w:b/>
              </w:rPr>
              <w:t>21</w:t>
            </w:r>
          </w:p>
        </w:tc>
        <w:tc>
          <w:tcPr>
            <w:tcW w:w="2523" w:type="dxa"/>
            <w:gridSpan w:val="3"/>
            <w:vAlign w:val="bottom"/>
          </w:tcPr>
          <w:p w14:paraId="50A63C4F" w14:textId="77777777" w:rsidR="00773F7B" w:rsidRPr="00496A2A" w:rsidRDefault="00773F7B" w:rsidP="008B4755">
            <w:pPr>
              <w:pStyle w:val="T2"/>
            </w:pPr>
            <w:r w:rsidRPr="00496A2A">
              <w:t>September 20</w:t>
            </w:r>
            <w:r w:rsidR="008B4755">
              <w:t>20</w:t>
            </w:r>
          </w:p>
        </w:tc>
      </w:tr>
      <w:tr w:rsidR="00773F7B" w14:paraId="0EC169DA" w14:textId="77777777" w:rsidTr="008B4755">
        <w:trPr>
          <w:jc w:val="center"/>
        </w:trPr>
        <w:tc>
          <w:tcPr>
            <w:tcW w:w="4422" w:type="dxa"/>
          </w:tcPr>
          <w:p w14:paraId="6FD6771C" w14:textId="77777777" w:rsidR="00773F7B" w:rsidRPr="00496A2A" w:rsidRDefault="00773F7B" w:rsidP="00773F7B">
            <w:pPr>
              <w:pStyle w:val="T2"/>
            </w:pPr>
          </w:p>
        </w:tc>
        <w:tc>
          <w:tcPr>
            <w:tcW w:w="992" w:type="dxa"/>
            <w:vAlign w:val="bottom"/>
          </w:tcPr>
          <w:p w14:paraId="11A465BC" w14:textId="77777777" w:rsidR="00773F7B" w:rsidRPr="00892F5E" w:rsidRDefault="00773F7B" w:rsidP="00773F7B">
            <w:pPr>
              <w:pStyle w:val="T2"/>
              <w:jc w:val="right"/>
              <w:rPr>
                <w:b/>
              </w:rPr>
            </w:pPr>
            <w:r w:rsidRPr="00892F5E">
              <w:rPr>
                <w:b/>
              </w:rPr>
              <w:t>UK</w:t>
            </w:r>
            <w:r w:rsidRPr="00892F5E">
              <w:rPr>
                <w:b/>
              </w:rPr>
              <w:br/>
              <w:t xml:space="preserve"> Schemes</w:t>
            </w:r>
          </w:p>
        </w:tc>
        <w:tc>
          <w:tcPr>
            <w:tcW w:w="992" w:type="dxa"/>
            <w:vAlign w:val="bottom"/>
          </w:tcPr>
          <w:p w14:paraId="6ADF9AD0" w14:textId="77777777" w:rsidR="00773F7B" w:rsidRPr="00892F5E" w:rsidRDefault="00773F7B" w:rsidP="00773F7B">
            <w:pPr>
              <w:pStyle w:val="T2"/>
              <w:jc w:val="right"/>
              <w:rPr>
                <w:b/>
              </w:rPr>
            </w:pPr>
            <w:r w:rsidRPr="00892F5E">
              <w:rPr>
                <w:b/>
              </w:rPr>
              <w:t>Irish Schemes</w:t>
            </w:r>
          </w:p>
        </w:tc>
        <w:tc>
          <w:tcPr>
            <w:tcW w:w="851" w:type="dxa"/>
            <w:vAlign w:val="bottom"/>
          </w:tcPr>
          <w:p w14:paraId="1F42FC46" w14:textId="77777777" w:rsidR="00773F7B" w:rsidRPr="00892F5E" w:rsidRDefault="00773F7B" w:rsidP="00773F7B">
            <w:pPr>
              <w:pStyle w:val="T2"/>
              <w:jc w:val="right"/>
              <w:rPr>
                <w:b/>
              </w:rPr>
            </w:pPr>
            <w:r w:rsidRPr="00892F5E">
              <w:rPr>
                <w:b/>
              </w:rPr>
              <w:t>Total</w:t>
            </w:r>
          </w:p>
        </w:tc>
        <w:tc>
          <w:tcPr>
            <w:tcW w:w="921" w:type="dxa"/>
            <w:vAlign w:val="bottom"/>
          </w:tcPr>
          <w:p w14:paraId="67D4D3AE" w14:textId="77777777" w:rsidR="00773F7B" w:rsidRPr="00496A2A" w:rsidRDefault="00773F7B" w:rsidP="00773F7B">
            <w:pPr>
              <w:pStyle w:val="T2"/>
              <w:jc w:val="right"/>
            </w:pPr>
            <w:r w:rsidRPr="00496A2A">
              <w:t>UK</w:t>
            </w:r>
            <w:r w:rsidRPr="00496A2A">
              <w:br/>
              <w:t xml:space="preserve"> Schemes</w:t>
            </w:r>
          </w:p>
        </w:tc>
        <w:tc>
          <w:tcPr>
            <w:tcW w:w="863" w:type="dxa"/>
            <w:vAlign w:val="bottom"/>
          </w:tcPr>
          <w:p w14:paraId="6AC9BAA3" w14:textId="77777777" w:rsidR="00773F7B" w:rsidRPr="00496A2A" w:rsidRDefault="00773F7B" w:rsidP="00773F7B">
            <w:pPr>
              <w:pStyle w:val="T2"/>
              <w:jc w:val="right"/>
            </w:pPr>
            <w:r w:rsidRPr="00496A2A">
              <w:t>Irish Schemes</w:t>
            </w:r>
          </w:p>
        </w:tc>
        <w:tc>
          <w:tcPr>
            <w:tcW w:w="739" w:type="dxa"/>
            <w:vAlign w:val="bottom"/>
          </w:tcPr>
          <w:p w14:paraId="5809E5CA" w14:textId="77777777" w:rsidR="00773F7B" w:rsidRPr="00496A2A" w:rsidRDefault="00773F7B" w:rsidP="00773F7B">
            <w:pPr>
              <w:pStyle w:val="T2"/>
              <w:jc w:val="right"/>
            </w:pPr>
            <w:r w:rsidRPr="00496A2A">
              <w:t>Total</w:t>
            </w:r>
          </w:p>
        </w:tc>
      </w:tr>
      <w:tr w:rsidR="00773F7B" w14:paraId="357BFDDE" w14:textId="77777777" w:rsidTr="008B4755">
        <w:trPr>
          <w:jc w:val="center"/>
        </w:trPr>
        <w:tc>
          <w:tcPr>
            <w:tcW w:w="4422" w:type="dxa"/>
            <w:tcBorders>
              <w:bottom w:val="single" w:sz="2" w:space="0" w:color="auto"/>
            </w:tcBorders>
          </w:tcPr>
          <w:p w14:paraId="2D068027" w14:textId="77777777" w:rsidR="00773F7B" w:rsidRPr="00496A2A" w:rsidRDefault="00773F7B" w:rsidP="00773F7B">
            <w:pPr>
              <w:pStyle w:val="T2"/>
            </w:pPr>
          </w:p>
        </w:tc>
        <w:tc>
          <w:tcPr>
            <w:tcW w:w="992" w:type="dxa"/>
            <w:tcBorders>
              <w:bottom w:val="single" w:sz="2" w:space="0" w:color="auto"/>
            </w:tcBorders>
            <w:vAlign w:val="bottom"/>
          </w:tcPr>
          <w:p w14:paraId="6D6F153B" w14:textId="77777777" w:rsidR="00773F7B" w:rsidRPr="008F29DE" w:rsidRDefault="00773F7B" w:rsidP="00773F7B">
            <w:pPr>
              <w:pStyle w:val="T2"/>
              <w:jc w:val="right"/>
              <w:rPr>
                <w:b/>
              </w:rPr>
            </w:pPr>
            <w:r w:rsidRPr="008F29DE">
              <w:rPr>
                <w:b/>
              </w:rPr>
              <w:t>£m</w:t>
            </w:r>
          </w:p>
        </w:tc>
        <w:tc>
          <w:tcPr>
            <w:tcW w:w="992" w:type="dxa"/>
            <w:tcBorders>
              <w:bottom w:val="single" w:sz="2" w:space="0" w:color="auto"/>
            </w:tcBorders>
            <w:vAlign w:val="bottom"/>
          </w:tcPr>
          <w:p w14:paraId="598E7A0F" w14:textId="77777777" w:rsidR="00773F7B" w:rsidRPr="008F29DE" w:rsidRDefault="00773F7B" w:rsidP="00773F7B">
            <w:pPr>
              <w:pStyle w:val="T2"/>
              <w:jc w:val="right"/>
              <w:rPr>
                <w:b/>
              </w:rPr>
            </w:pPr>
            <w:r w:rsidRPr="008F29DE">
              <w:rPr>
                <w:b/>
              </w:rPr>
              <w:t>£m</w:t>
            </w:r>
          </w:p>
        </w:tc>
        <w:tc>
          <w:tcPr>
            <w:tcW w:w="851" w:type="dxa"/>
            <w:tcBorders>
              <w:bottom w:val="single" w:sz="2" w:space="0" w:color="auto"/>
            </w:tcBorders>
            <w:vAlign w:val="bottom"/>
          </w:tcPr>
          <w:p w14:paraId="49ED7494" w14:textId="77777777" w:rsidR="00773F7B" w:rsidRPr="008F29DE" w:rsidRDefault="00773F7B" w:rsidP="00773F7B">
            <w:pPr>
              <w:pStyle w:val="T2"/>
              <w:jc w:val="right"/>
              <w:rPr>
                <w:b/>
              </w:rPr>
            </w:pPr>
            <w:r w:rsidRPr="008F29DE">
              <w:rPr>
                <w:b/>
              </w:rPr>
              <w:t>£m</w:t>
            </w:r>
          </w:p>
        </w:tc>
        <w:tc>
          <w:tcPr>
            <w:tcW w:w="921" w:type="dxa"/>
            <w:tcBorders>
              <w:bottom w:val="single" w:sz="2" w:space="0" w:color="auto"/>
            </w:tcBorders>
            <w:vAlign w:val="bottom"/>
          </w:tcPr>
          <w:p w14:paraId="359E3785" w14:textId="77777777" w:rsidR="00773F7B" w:rsidRPr="00496A2A" w:rsidRDefault="00773F7B" w:rsidP="00773F7B">
            <w:pPr>
              <w:pStyle w:val="T2"/>
              <w:jc w:val="right"/>
            </w:pPr>
            <w:r w:rsidRPr="00496A2A">
              <w:t>£m</w:t>
            </w:r>
          </w:p>
        </w:tc>
        <w:tc>
          <w:tcPr>
            <w:tcW w:w="863" w:type="dxa"/>
            <w:tcBorders>
              <w:bottom w:val="single" w:sz="2" w:space="0" w:color="auto"/>
            </w:tcBorders>
            <w:vAlign w:val="bottom"/>
          </w:tcPr>
          <w:p w14:paraId="11C4B66C" w14:textId="77777777" w:rsidR="00773F7B" w:rsidRPr="00496A2A" w:rsidRDefault="00773F7B" w:rsidP="00773F7B">
            <w:pPr>
              <w:pStyle w:val="T2"/>
              <w:jc w:val="right"/>
            </w:pPr>
            <w:r w:rsidRPr="00496A2A">
              <w:t>£m</w:t>
            </w:r>
          </w:p>
        </w:tc>
        <w:tc>
          <w:tcPr>
            <w:tcW w:w="739" w:type="dxa"/>
            <w:tcBorders>
              <w:bottom w:val="single" w:sz="2" w:space="0" w:color="auto"/>
            </w:tcBorders>
            <w:vAlign w:val="bottom"/>
          </w:tcPr>
          <w:p w14:paraId="4296FD30" w14:textId="77777777" w:rsidR="00773F7B" w:rsidRPr="00496A2A" w:rsidRDefault="00773F7B" w:rsidP="00773F7B">
            <w:pPr>
              <w:pStyle w:val="T2"/>
              <w:jc w:val="right"/>
            </w:pPr>
            <w:r w:rsidRPr="00496A2A">
              <w:t>£m</w:t>
            </w:r>
          </w:p>
        </w:tc>
      </w:tr>
      <w:tr w:rsidR="008B4755" w14:paraId="23A3761B" w14:textId="77777777" w:rsidTr="008B4755">
        <w:trPr>
          <w:jc w:val="center"/>
        </w:trPr>
        <w:tc>
          <w:tcPr>
            <w:tcW w:w="4422" w:type="dxa"/>
            <w:tcBorders>
              <w:top w:val="single" w:sz="2" w:space="0" w:color="auto"/>
            </w:tcBorders>
            <w:vAlign w:val="bottom"/>
          </w:tcPr>
          <w:p w14:paraId="70C708E9" w14:textId="77777777" w:rsidR="008B4755" w:rsidRPr="00496A2A" w:rsidRDefault="008B4755" w:rsidP="008B4755">
            <w:pPr>
              <w:pStyle w:val="T2"/>
              <w:jc w:val="left"/>
            </w:pPr>
            <w:r>
              <w:t>Fair value of plan assets</w:t>
            </w:r>
          </w:p>
        </w:tc>
        <w:tc>
          <w:tcPr>
            <w:tcW w:w="992" w:type="dxa"/>
            <w:tcBorders>
              <w:top w:val="single" w:sz="2" w:space="0" w:color="auto"/>
            </w:tcBorders>
          </w:tcPr>
          <w:p w14:paraId="1EADB5A1" w14:textId="77777777" w:rsidR="008B4755" w:rsidRPr="005226E7" w:rsidRDefault="00FD7ED5" w:rsidP="008B4755">
            <w:pPr>
              <w:pStyle w:val="T2"/>
              <w:jc w:val="right"/>
              <w:rPr>
                <w:b/>
              </w:rPr>
            </w:pPr>
            <w:r>
              <w:rPr>
                <w:b/>
                <w:bCs/>
              </w:rPr>
              <w:t>235.2</w:t>
            </w:r>
          </w:p>
        </w:tc>
        <w:tc>
          <w:tcPr>
            <w:tcW w:w="992" w:type="dxa"/>
            <w:tcBorders>
              <w:top w:val="single" w:sz="2" w:space="0" w:color="auto"/>
            </w:tcBorders>
          </w:tcPr>
          <w:p w14:paraId="091D9305" w14:textId="77777777" w:rsidR="008B4755" w:rsidRPr="005226E7" w:rsidRDefault="00FD7ED5" w:rsidP="008B4755">
            <w:pPr>
              <w:pStyle w:val="T2"/>
              <w:jc w:val="right"/>
              <w:rPr>
                <w:b/>
              </w:rPr>
            </w:pPr>
            <w:r>
              <w:rPr>
                <w:b/>
              </w:rPr>
              <w:t>239.8</w:t>
            </w:r>
          </w:p>
        </w:tc>
        <w:tc>
          <w:tcPr>
            <w:tcW w:w="851" w:type="dxa"/>
            <w:tcBorders>
              <w:top w:val="single" w:sz="2" w:space="0" w:color="auto"/>
            </w:tcBorders>
          </w:tcPr>
          <w:p w14:paraId="4E9DDCC4" w14:textId="77777777" w:rsidR="008B4755" w:rsidRPr="005226E7" w:rsidRDefault="00FD7ED5" w:rsidP="008B4755">
            <w:pPr>
              <w:pStyle w:val="T2"/>
              <w:jc w:val="right"/>
              <w:rPr>
                <w:b/>
              </w:rPr>
            </w:pPr>
            <w:r>
              <w:rPr>
                <w:b/>
                <w:bCs/>
              </w:rPr>
              <w:t>475.0</w:t>
            </w:r>
          </w:p>
        </w:tc>
        <w:tc>
          <w:tcPr>
            <w:tcW w:w="921" w:type="dxa"/>
            <w:tcBorders>
              <w:top w:val="single" w:sz="2" w:space="0" w:color="auto"/>
            </w:tcBorders>
            <w:vAlign w:val="bottom"/>
          </w:tcPr>
          <w:p w14:paraId="192B1CA7" w14:textId="77777777" w:rsidR="008B4755" w:rsidRPr="00496A2A" w:rsidRDefault="008B4755" w:rsidP="008B4755">
            <w:pPr>
              <w:pStyle w:val="T2"/>
              <w:jc w:val="right"/>
            </w:pPr>
            <w:r>
              <w:t>232.8</w:t>
            </w:r>
          </w:p>
        </w:tc>
        <w:tc>
          <w:tcPr>
            <w:tcW w:w="863" w:type="dxa"/>
            <w:tcBorders>
              <w:top w:val="single" w:sz="2" w:space="0" w:color="auto"/>
            </w:tcBorders>
            <w:vAlign w:val="bottom"/>
          </w:tcPr>
          <w:p w14:paraId="25F6F728" w14:textId="77777777" w:rsidR="008B4755" w:rsidRPr="00496A2A" w:rsidRDefault="008B4755" w:rsidP="008B4755">
            <w:pPr>
              <w:pStyle w:val="T2"/>
              <w:jc w:val="right"/>
            </w:pPr>
            <w:r>
              <w:t>270.0</w:t>
            </w:r>
          </w:p>
        </w:tc>
        <w:tc>
          <w:tcPr>
            <w:tcW w:w="739" w:type="dxa"/>
            <w:tcBorders>
              <w:top w:val="single" w:sz="2" w:space="0" w:color="auto"/>
            </w:tcBorders>
            <w:vAlign w:val="bottom"/>
          </w:tcPr>
          <w:p w14:paraId="0E746DC2" w14:textId="77777777" w:rsidR="008B4755" w:rsidRPr="00496A2A" w:rsidRDefault="008B4755" w:rsidP="008B4755">
            <w:pPr>
              <w:pStyle w:val="T2"/>
              <w:jc w:val="right"/>
            </w:pPr>
            <w:r>
              <w:t>502.8</w:t>
            </w:r>
          </w:p>
        </w:tc>
      </w:tr>
      <w:tr w:rsidR="008B4755" w14:paraId="26DCBB69" w14:textId="77777777" w:rsidTr="008B4755">
        <w:trPr>
          <w:jc w:val="center"/>
        </w:trPr>
        <w:tc>
          <w:tcPr>
            <w:tcW w:w="4422" w:type="dxa"/>
            <w:tcBorders>
              <w:bottom w:val="single" w:sz="2" w:space="0" w:color="auto"/>
            </w:tcBorders>
            <w:vAlign w:val="bottom"/>
          </w:tcPr>
          <w:p w14:paraId="50F6C05A" w14:textId="77777777" w:rsidR="008B4755" w:rsidRPr="00496A2A" w:rsidRDefault="008B4755" w:rsidP="008B4755">
            <w:pPr>
              <w:pStyle w:val="T2"/>
              <w:jc w:val="left"/>
            </w:pPr>
            <w:r w:rsidRPr="00496A2A">
              <w:t>Present value of scheme liabilities</w:t>
            </w:r>
          </w:p>
        </w:tc>
        <w:tc>
          <w:tcPr>
            <w:tcW w:w="992" w:type="dxa"/>
            <w:tcBorders>
              <w:bottom w:val="single" w:sz="2" w:space="0" w:color="auto"/>
            </w:tcBorders>
          </w:tcPr>
          <w:p w14:paraId="253E0EAB" w14:textId="77777777" w:rsidR="008B4755" w:rsidRPr="005226E7" w:rsidRDefault="00FD7ED5" w:rsidP="008B4755">
            <w:pPr>
              <w:pStyle w:val="T2"/>
              <w:jc w:val="right"/>
              <w:rPr>
                <w:b/>
              </w:rPr>
            </w:pPr>
            <w:r>
              <w:rPr>
                <w:b/>
                <w:bCs/>
              </w:rPr>
              <w:t>(345.9)</w:t>
            </w:r>
          </w:p>
        </w:tc>
        <w:tc>
          <w:tcPr>
            <w:tcW w:w="992" w:type="dxa"/>
            <w:tcBorders>
              <w:bottom w:val="single" w:sz="2" w:space="0" w:color="auto"/>
            </w:tcBorders>
          </w:tcPr>
          <w:p w14:paraId="58C58505" w14:textId="77777777" w:rsidR="008B4755" w:rsidRPr="005226E7" w:rsidRDefault="00FD7ED5" w:rsidP="008B4755">
            <w:pPr>
              <w:pStyle w:val="T2"/>
              <w:jc w:val="right"/>
              <w:rPr>
                <w:b/>
              </w:rPr>
            </w:pPr>
            <w:r>
              <w:rPr>
                <w:b/>
                <w:bCs/>
              </w:rPr>
              <w:t>(201.0)</w:t>
            </w:r>
          </w:p>
        </w:tc>
        <w:tc>
          <w:tcPr>
            <w:tcW w:w="851" w:type="dxa"/>
            <w:tcBorders>
              <w:bottom w:val="single" w:sz="2" w:space="0" w:color="auto"/>
            </w:tcBorders>
          </w:tcPr>
          <w:p w14:paraId="2C8CF4EC" w14:textId="77777777" w:rsidR="008B4755" w:rsidRPr="005226E7" w:rsidRDefault="00FD7ED5" w:rsidP="008B4755">
            <w:pPr>
              <w:pStyle w:val="T2"/>
              <w:jc w:val="right"/>
              <w:rPr>
                <w:b/>
              </w:rPr>
            </w:pPr>
            <w:r>
              <w:rPr>
                <w:b/>
                <w:bCs/>
              </w:rPr>
              <w:t>(546.9)</w:t>
            </w:r>
          </w:p>
        </w:tc>
        <w:tc>
          <w:tcPr>
            <w:tcW w:w="921" w:type="dxa"/>
            <w:tcBorders>
              <w:bottom w:val="single" w:sz="2" w:space="0" w:color="auto"/>
            </w:tcBorders>
            <w:vAlign w:val="bottom"/>
          </w:tcPr>
          <w:p w14:paraId="369CCEFD" w14:textId="77777777" w:rsidR="008B4755" w:rsidRPr="00496A2A" w:rsidRDefault="008B4755" w:rsidP="008B4755">
            <w:pPr>
              <w:pStyle w:val="T2"/>
              <w:jc w:val="right"/>
            </w:pPr>
            <w:r>
              <w:t>(356.7)</w:t>
            </w:r>
          </w:p>
        </w:tc>
        <w:tc>
          <w:tcPr>
            <w:tcW w:w="863" w:type="dxa"/>
            <w:tcBorders>
              <w:bottom w:val="single" w:sz="2" w:space="0" w:color="auto"/>
            </w:tcBorders>
            <w:vAlign w:val="bottom"/>
          </w:tcPr>
          <w:p w14:paraId="38BD7DCD" w14:textId="77777777" w:rsidR="008B4755" w:rsidRPr="00496A2A" w:rsidRDefault="008B4755" w:rsidP="008B4755">
            <w:pPr>
              <w:pStyle w:val="T2"/>
              <w:jc w:val="right"/>
            </w:pPr>
            <w:r>
              <w:t>(228.2)</w:t>
            </w:r>
          </w:p>
        </w:tc>
        <w:tc>
          <w:tcPr>
            <w:tcW w:w="739" w:type="dxa"/>
            <w:tcBorders>
              <w:bottom w:val="single" w:sz="2" w:space="0" w:color="auto"/>
            </w:tcBorders>
            <w:vAlign w:val="bottom"/>
          </w:tcPr>
          <w:p w14:paraId="588FFCA9" w14:textId="77777777" w:rsidR="008B4755" w:rsidRPr="00496A2A" w:rsidRDefault="008B4755" w:rsidP="008B4755">
            <w:pPr>
              <w:pStyle w:val="T2"/>
              <w:jc w:val="right"/>
            </w:pPr>
            <w:r>
              <w:t>(584.9)</w:t>
            </w:r>
          </w:p>
        </w:tc>
      </w:tr>
      <w:tr w:rsidR="008B4755" w14:paraId="1854711D" w14:textId="77777777" w:rsidTr="008B4755">
        <w:trPr>
          <w:jc w:val="center"/>
        </w:trPr>
        <w:tc>
          <w:tcPr>
            <w:tcW w:w="4422" w:type="dxa"/>
            <w:tcBorders>
              <w:top w:val="single" w:sz="2" w:space="0" w:color="auto"/>
            </w:tcBorders>
            <w:vAlign w:val="bottom"/>
          </w:tcPr>
          <w:p w14:paraId="7D0E60B7" w14:textId="77777777" w:rsidR="008B4755" w:rsidRPr="00496A2A" w:rsidRDefault="008B4755" w:rsidP="008B4755">
            <w:pPr>
              <w:pStyle w:val="T2"/>
              <w:jc w:val="left"/>
            </w:pPr>
            <w:r w:rsidRPr="00496A2A">
              <w:t>(Deficit)/surplus in schemes</w:t>
            </w:r>
          </w:p>
        </w:tc>
        <w:tc>
          <w:tcPr>
            <w:tcW w:w="992" w:type="dxa"/>
            <w:tcBorders>
              <w:top w:val="single" w:sz="2" w:space="0" w:color="auto"/>
            </w:tcBorders>
          </w:tcPr>
          <w:p w14:paraId="2BA147D0" w14:textId="77777777" w:rsidR="008B4755" w:rsidRPr="005226E7" w:rsidRDefault="00FD7ED5" w:rsidP="008B4755">
            <w:pPr>
              <w:pStyle w:val="T2"/>
              <w:jc w:val="right"/>
              <w:rPr>
                <w:b/>
              </w:rPr>
            </w:pPr>
            <w:r>
              <w:rPr>
                <w:b/>
                <w:bCs/>
              </w:rPr>
              <w:t>(110.7)</w:t>
            </w:r>
          </w:p>
        </w:tc>
        <w:tc>
          <w:tcPr>
            <w:tcW w:w="992" w:type="dxa"/>
            <w:tcBorders>
              <w:top w:val="single" w:sz="2" w:space="0" w:color="auto"/>
            </w:tcBorders>
          </w:tcPr>
          <w:p w14:paraId="654CCFCD" w14:textId="77777777" w:rsidR="008B4755" w:rsidRPr="005226E7" w:rsidRDefault="00FD7ED5" w:rsidP="008B4755">
            <w:pPr>
              <w:pStyle w:val="T2"/>
              <w:jc w:val="right"/>
              <w:rPr>
                <w:b/>
              </w:rPr>
            </w:pPr>
            <w:r>
              <w:rPr>
                <w:b/>
                <w:bCs/>
              </w:rPr>
              <w:t>38.8</w:t>
            </w:r>
          </w:p>
        </w:tc>
        <w:tc>
          <w:tcPr>
            <w:tcW w:w="851" w:type="dxa"/>
            <w:tcBorders>
              <w:top w:val="single" w:sz="2" w:space="0" w:color="auto"/>
            </w:tcBorders>
          </w:tcPr>
          <w:p w14:paraId="4ECCD220" w14:textId="77777777" w:rsidR="008B4755" w:rsidRPr="005226E7" w:rsidRDefault="00FD7ED5" w:rsidP="008B4755">
            <w:pPr>
              <w:pStyle w:val="T2"/>
              <w:jc w:val="right"/>
              <w:rPr>
                <w:b/>
              </w:rPr>
            </w:pPr>
            <w:r>
              <w:rPr>
                <w:b/>
                <w:bCs/>
              </w:rPr>
              <w:t>(71.9)</w:t>
            </w:r>
          </w:p>
        </w:tc>
        <w:tc>
          <w:tcPr>
            <w:tcW w:w="921" w:type="dxa"/>
            <w:tcBorders>
              <w:top w:val="single" w:sz="2" w:space="0" w:color="auto"/>
            </w:tcBorders>
            <w:vAlign w:val="bottom"/>
          </w:tcPr>
          <w:p w14:paraId="22A5E99F" w14:textId="77777777" w:rsidR="008B4755" w:rsidRPr="00496A2A" w:rsidRDefault="008B4755" w:rsidP="008B4755">
            <w:pPr>
              <w:pStyle w:val="T2"/>
              <w:jc w:val="right"/>
            </w:pPr>
            <w:r>
              <w:t>(123.9)</w:t>
            </w:r>
          </w:p>
        </w:tc>
        <w:tc>
          <w:tcPr>
            <w:tcW w:w="863" w:type="dxa"/>
            <w:tcBorders>
              <w:top w:val="single" w:sz="2" w:space="0" w:color="auto"/>
            </w:tcBorders>
            <w:vAlign w:val="bottom"/>
          </w:tcPr>
          <w:p w14:paraId="520043FD" w14:textId="77777777" w:rsidR="008B4755" w:rsidRPr="00496A2A" w:rsidRDefault="008B4755" w:rsidP="008B4755">
            <w:pPr>
              <w:pStyle w:val="T2"/>
              <w:jc w:val="right"/>
            </w:pPr>
            <w:r>
              <w:t>41.8</w:t>
            </w:r>
          </w:p>
        </w:tc>
        <w:tc>
          <w:tcPr>
            <w:tcW w:w="739" w:type="dxa"/>
            <w:tcBorders>
              <w:top w:val="single" w:sz="2" w:space="0" w:color="auto"/>
            </w:tcBorders>
            <w:vAlign w:val="bottom"/>
          </w:tcPr>
          <w:p w14:paraId="6F3D28D5" w14:textId="77777777" w:rsidR="008B4755" w:rsidRPr="00496A2A" w:rsidRDefault="008B4755" w:rsidP="008B4755">
            <w:pPr>
              <w:pStyle w:val="T2"/>
              <w:jc w:val="right"/>
            </w:pPr>
            <w:r>
              <w:t>(82.1)</w:t>
            </w:r>
          </w:p>
        </w:tc>
      </w:tr>
      <w:tr w:rsidR="008B4755" w14:paraId="40050DDE" w14:textId="77777777" w:rsidTr="008B4755">
        <w:trPr>
          <w:jc w:val="center"/>
        </w:trPr>
        <w:tc>
          <w:tcPr>
            <w:tcW w:w="4422" w:type="dxa"/>
            <w:tcBorders>
              <w:bottom w:val="single" w:sz="2" w:space="0" w:color="auto"/>
            </w:tcBorders>
            <w:vAlign w:val="bottom"/>
          </w:tcPr>
          <w:p w14:paraId="7A841137" w14:textId="77777777" w:rsidR="008B4755" w:rsidRPr="00496A2A" w:rsidRDefault="008B4755" w:rsidP="008B4755">
            <w:pPr>
              <w:pStyle w:val="T2"/>
              <w:jc w:val="left"/>
            </w:pPr>
            <w:r w:rsidRPr="00496A2A">
              <w:t>Deferred tax asset</w:t>
            </w:r>
            <w:r>
              <w:t>/(liability)</w:t>
            </w:r>
          </w:p>
        </w:tc>
        <w:tc>
          <w:tcPr>
            <w:tcW w:w="992" w:type="dxa"/>
            <w:tcBorders>
              <w:bottom w:val="single" w:sz="2" w:space="0" w:color="auto"/>
            </w:tcBorders>
          </w:tcPr>
          <w:p w14:paraId="37956736" w14:textId="77777777" w:rsidR="008B4755" w:rsidRPr="001E1407" w:rsidRDefault="00D31148" w:rsidP="008B4755">
            <w:pPr>
              <w:pStyle w:val="T2"/>
              <w:jc w:val="right"/>
              <w:rPr>
                <w:b/>
              </w:rPr>
            </w:pPr>
            <w:r>
              <w:rPr>
                <w:b/>
                <w:bCs/>
              </w:rPr>
              <w:t>21.0</w:t>
            </w:r>
          </w:p>
        </w:tc>
        <w:tc>
          <w:tcPr>
            <w:tcW w:w="992" w:type="dxa"/>
            <w:tcBorders>
              <w:bottom w:val="single" w:sz="2" w:space="0" w:color="auto"/>
            </w:tcBorders>
          </w:tcPr>
          <w:p w14:paraId="79A562BF" w14:textId="156946EE" w:rsidR="008B4755" w:rsidRPr="001E1407" w:rsidRDefault="00D31148" w:rsidP="00D31148">
            <w:pPr>
              <w:pStyle w:val="T2"/>
              <w:tabs>
                <w:tab w:val="center" w:pos="388"/>
                <w:tab w:val="right" w:pos="776"/>
              </w:tabs>
              <w:jc w:val="right"/>
              <w:rPr>
                <w:b/>
              </w:rPr>
            </w:pPr>
            <w:r>
              <w:rPr>
                <w:b/>
                <w:bCs/>
              </w:rPr>
              <w:t>(4.8)</w:t>
            </w:r>
          </w:p>
        </w:tc>
        <w:tc>
          <w:tcPr>
            <w:tcW w:w="851" w:type="dxa"/>
            <w:tcBorders>
              <w:bottom w:val="single" w:sz="2" w:space="0" w:color="auto"/>
            </w:tcBorders>
          </w:tcPr>
          <w:p w14:paraId="58CA3B50" w14:textId="02D2CFB0" w:rsidR="008B4755" w:rsidRPr="001E1407" w:rsidRDefault="00D31148" w:rsidP="00874753">
            <w:pPr>
              <w:pStyle w:val="T2"/>
              <w:tabs>
                <w:tab w:val="right" w:pos="635"/>
              </w:tabs>
              <w:jc w:val="right"/>
              <w:rPr>
                <w:b/>
              </w:rPr>
            </w:pPr>
            <w:r>
              <w:rPr>
                <w:b/>
                <w:bCs/>
              </w:rPr>
              <w:t>16.2</w:t>
            </w:r>
          </w:p>
        </w:tc>
        <w:tc>
          <w:tcPr>
            <w:tcW w:w="921" w:type="dxa"/>
            <w:tcBorders>
              <w:bottom w:val="single" w:sz="2" w:space="0" w:color="auto"/>
            </w:tcBorders>
            <w:vAlign w:val="bottom"/>
          </w:tcPr>
          <w:p w14:paraId="615244B3" w14:textId="77777777" w:rsidR="008B4755" w:rsidRPr="00496A2A" w:rsidRDefault="008B4755" w:rsidP="008B4755">
            <w:pPr>
              <w:pStyle w:val="T2"/>
              <w:jc w:val="right"/>
            </w:pPr>
            <w:r>
              <w:t>23.5</w:t>
            </w:r>
          </w:p>
        </w:tc>
        <w:tc>
          <w:tcPr>
            <w:tcW w:w="863" w:type="dxa"/>
            <w:tcBorders>
              <w:bottom w:val="single" w:sz="2" w:space="0" w:color="auto"/>
            </w:tcBorders>
            <w:vAlign w:val="bottom"/>
          </w:tcPr>
          <w:p w14:paraId="2C2282A9" w14:textId="77777777" w:rsidR="008B4755" w:rsidRPr="00496A2A" w:rsidRDefault="008B4755" w:rsidP="008B4755">
            <w:pPr>
              <w:pStyle w:val="T2"/>
              <w:jc w:val="right"/>
            </w:pPr>
            <w:r>
              <w:t>(5.2)</w:t>
            </w:r>
          </w:p>
        </w:tc>
        <w:tc>
          <w:tcPr>
            <w:tcW w:w="739" w:type="dxa"/>
            <w:tcBorders>
              <w:bottom w:val="single" w:sz="2" w:space="0" w:color="auto"/>
            </w:tcBorders>
            <w:vAlign w:val="bottom"/>
          </w:tcPr>
          <w:p w14:paraId="42FB5BFF" w14:textId="77777777" w:rsidR="008B4755" w:rsidRPr="00496A2A" w:rsidRDefault="008B4755" w:rsidP="008B4755">
            <w:pPr>
              <w:pStyle w:val="T2"/>
              <w:jc w:val="right"/>
            </w:pPr>
            <w:r>
              <w:t>18.3</w:t>
            </w:r>
          </w:p>
        </w:tc>
      </w:tr>
      <w:tr w:rsidR="008B4755" w14:paraId="4C3BF78D" w14:textId="77777777" w:rsidTr="009E00FF">
        <w:trPr>
          <w:jc w:val="center"/>
        </w:trPr>
        <w:tc>
          <w:tcPr>
            <w:tcW w:w="4422" w:type="dxa"/>
            <w:tcBorders>
              <w:top w:val="single" w:sz="2" w:space="0" w:color="auto"/>
              <w:bottom w:val="single" w:sz="8" w:space="0" w:color="auto"/>
            </w:tcBorders>
            <w:vAlign w:val="bottom"/>
          </w:tcPr>
          <w:p w14:paraId="1CF1DB63" w14:textId="77777777" w:rsidR="008B4755" w:rsidRPr="009E00FF" w:rsidRDefault="008B4755" w:rsidP="008B4755">
            <w:pPr>
              <w:pStyle w:val="T2"/>
              <w:jc w:val="left"/>
              <w:rPr>
                <w:b/>
              </w:rPr>
            </w:pPr>
            <w:r w:rsidRPr="009E00FF">
              <w:rPr>
                <w:b/>
              </w:rPr>
              <w:t>Net (liability)/asset at end of the period</w:t>
            </w:r>
          </w:p>
        </w:tc>
        <w:tc>
          <w:tcPr>
            <w:tcW w:w="992" w:type="dxa"/>
            <w:tcBorders>
              <w:top w:val="single" w:sz="2" w:space="0" w:color="auto"/>
              <w:bottom w:val="single" w:sz="8" w:space="0" w:color="auto"/>
            </w:tcBorders>
          </w:tcPr>
          <w:p w14:paraId="057A215C" w14:textId="77777777" w:rsidR="008B4755" w:rsidRPr="005226E7" w:rsidRDefault="00FD7ED5" w:rsidP="00D31148">
            <w:pPr>
              <w:pStyle w:val="T2"/>
              <w:jc w:val="right"/>
              <w:rPr>
                <w:b/>
              </w:rPr>
            </w:pPr>
            <w:r>
              <w:rPr>
                <w:b/>
                <w:bCs/>
              </w:rPr>
              <w:t>(</w:t>
            </w:r>
            <w:r w:rsidR="00D31148">
              <w:rPr>
                <w:b/>
                <w:bCs/>
              </w:rPr>
              <w:t>89.7</w:t>
            </w:r>
            <w:r>
              <w:rPr>
                <w:b/>
                <w:bCs/>
              </w:rPr>
              <w:t>)</w:t>
            </w:r>
          </w:p>
        </w:tc>
        <w:tc>
          <w:tcPr>
            <w:tcW w:w="992" w:type="dxa"/>
            <w:tcBorders>
              <w:top w:val="single" w:sz="2" w:space="0" w:color="auto"/>
              <w:bottom w:val="single" w:sz="8" w:space="0" w:color="auto"/>
            </w:tcBorders>
          </w:tcPr>
          <w:p w14:paraId="395E8955" w14:textId="77777777" w:rsidR="008B4755" w:rsidRPr="005226E7" w:rsidRDefault="00FD7ED5" w:rsidP="008B4755">
            <w:pPr>
              <w:pStyle w:val="T2"/>
              <w:jc w:val="right"/>
              <w:rPr>
                <w:b/>
              </w:rPr>
            </w:pPr>
            <w:r>
              <w:rPr>
                <w:b/>
                <w:bCs/>
              </w:rPr>
              <w:t>3</w:t>
            </w:r>
            <w:r w:rsidR="00D31148">
              <w:rPr>
                <w:b/>
                <w:bCs/>
              </w:rPr>
              <w:t>4.0</w:t>
            </w:r>
          </w:p>
        </w:tc>
        <w:tc>
          <w:tcPr>
            <w:tcW w:w="851" w:type="dxa"/>
            <w:tcBorders>
              <w:top w:val="single" w:sz="2" w:space="0" w:color="auto"/>
              <w:bottom w:val="single" w:sz="8" w:space="0" w:color="auto"/>
            </w:tcBorders>
          </w:tcPr>
          <w:p w14:paraId="7AC76395" w14:textId="77777777" w:rsidR="008B4755" w:rsidRPr="005226E7" w:rsidRDefault="00FD7ED5" w:rsidP="00D31148">
            <w:pPr>
              <w:pStyle w:val="T2"/>
              <w:jc w:val="right"/>
              <w:rPr>
                <w:b/>
              </w:rPr>
            </w:pPr>
            <w:r>
              <w:rPr>
                <w:b/>
                <w:bCs/>
              </w:rPr>
              <w:t>(</w:t>
            </w:r>
            <w:r w:rsidR="00D31148">
              <w:rPr>
                <w:b/>
                <w:bCs/>
              </w:rPr>
              <w:t>55.7</w:t>
            </w:r>
            <w:r>
              <w:rPr>
                <w:b/>
                <w:bCs/>
              </w:rPr>
              <w:t>)</w:t>
            </w:r>
          </w:p>
        </w:tc>
        <w:tc>
          <w:tcPr>
            <w:tcW w:w="921" w:type="dxa"/>
            <w:tcBorders>
              <w:top w:val="single" w:sz="2" w:space="0" w:color="auto"/>
              <w:bottom w:val="single" w:sz="8" w:space="0" w:color="auto"/>
            </w:tcBorders>
            <w:vAlign w:val="bottom"/>
          </w:tcPr>
          <w:p w14:paraId="4E4445F0" w14:textId="77777777" w:rsidR="008B4755" w:rsidRPr="00496A2A" w:rsidRDefault="008B4755" w:rsidP="008B4755">
            <w:pPr>
              <w:pStyle w:val="T2"/>
              <w:jc w:val="right"/>
            </w:pPr>
            <w:r>
              <w:t>(100.4)</w:t>
            </w:r>
          </w:p>
        </w:tc>
        <w:tc>
          <w:tcPr>
            <w:tcW w:w="863" w:type="dxa"/>
            <w:tcBorders>
              <w:top w:val="single" w:sz="2" w:space="0" w:color="auto"/>
              <w:bottom w:val="single" w:sz="8" w:space="0" w:color="auto"/>
            </w:tcBorders>
            <w:vAlign w:val="bottom"/>
          </w:tcPr>
          <w:p w14:paraId="2C3BD6F0" w14:textId="77777777" w:rsidR="008B4755" w:rsidRPr="00496A2A" w:rsidRDefault="008B4755" w:rsidP="008B4755">
            <w:pPr>
              <w:pStyle w:val="T2"/>
              <w:jc w:val="right"/>
            </w:pPr>
            <w:r>
              <w:t>36.6</w:t>
            </w:r>
          </w:p>
        </w:tc>
        <w:tc>
          <w:tcPr>
            <w:tcW w:w="739" w:type="dxa"/>
            <w:tcBorders>
              <w:top w:val="single" w:sz="2" w:space="0" w:color="auto"/>
              <w:bottom w:val="single" w:sz="8" w:space="0" w:color="auto"/>
            </w:tcBorders>
            <w:vAlign w:val="bottom"/>
          </w:tcPr>
          <w:p w14:paraId="0EB18B5C" w14:textId="77777777" w:rsidR="008B4755" w:rsidRPr="00496A2A" w:rsidRDefault="008B4755" w:rsidP="008B4755">
            <w:pPr>
              <w:pStyle w:val="T2"/>
              <w:jc w:val="right"/>
            </w:pPr>
            <w:r>
              <w:t>(63.8)</w:t>
            </w:r>
          </w:p>
        </w:tc>
      </w:tr>
      <w:tr w:rsidR="009E00FF" w14:paraId="4E06B278" w14:textId="77777777" w:rsidTr="008B4755">
        <w:trPr>
          <w:jc w:val="center"/>
        </w:trPr>
        <w:tc>
          <w:tcPr>
            <w:tcW w:w="4422" w:type="dxa"/>
            <w:tcBorders>
              <w:top w:val="single" w:sz="8" w:space="0" w:color="auto"/>
            </w:tcBorders>
            <w:vAlign w:val="bottom"/>
          </w:tcPr>
          <w:p w14:paraId="3394BFBA" w14:textId="77777777" w:rsidR="009E00FF" w:rsidRPr="00E31429" w:rsidRDefault="009E00FF" w:rsidP="00773F7B">
            <w:pPr>
              <w:pStyle w:val="T2"/>
              <w:jc w:val="left"/>
              <w:rPr>
                <w:b/>
              </w:rPr>
            </w:pPr>
          </w:p>
        </w:tc>
        <w:tc>
          <w:tcPr>
            <w:tcW w:w="992" w:type="dxa"/>
            <w:tcBorders>
              <w:top w:val="single" w:sz="8" w:space="0" w:color="auto"/>
            </w:tcBorders>
            <w:vAlign w:val="bottom"/>
          </w:tcPr>
          <w:p w14:paraId="6C8C24CD" w14:textId="77777777" w:rsidR="009E00FF" w:rsidRPr="005226E7" w:rsidRDefault="009E00FF" w:rsidP="00773F7B">
            <w:pPr>
              <w:pStyle w:val="T2"/>
              <w:jc w:val="right"/>
              <w:rPr>
                <w:b/>
              </w:rPr>
            </w:pPr>
          </w:p>
        </w:tc>
        <w:tc>
          <w:tcPr>
            <w:tcW w:w="992" w:type="dxa"/>
            <w:tcBorders>
              <w:top w:val="single" w:sz="8" w:space="0" w:color="auto"/>
            </w:tcBorders>
            <w:vAlign w:val="bottom"/>
          </w:tcPr>
          <w:p w14:paraId="576CAB55" w14:textId="77777777" w:rsidR="009E00FF" w:rsidRPr="005226E7" w:rsidRDefault="009E00FF" w:rsidP="00773F7B">
            <w:pPr>
              <w:pStyle w:val="T2"/>
              <w:jc w:val="right"/>
              <w:rPr>
                <w:b/>
              </w:rPr>
            </w:pPr>
          </w:p>
        </w:tc>
        <w:tc>
          <w:tcPr>
            <w:tcW w:w="851" w:type="dxa"/>
            <w:tcBorders>
              <w:top w:val="single" w:sz="8" w:space="0" w:color="auto"/>
            </w:tcBorders>
            <w:vAlign w:val="bottom"/>
          </w:tcPr>
          <w:p w14:paraId="7EF5B437" w14:textId="77777777" w:rsidR="009E00FF" w:rsidRPr="005226E7" w:rsidRDefault="009E00FF" w:rsidP="00773F7B">
            <w:pPr>
              <w:pStyle w:val="T2"/>
              <w:jc w:val="right"/>
              <w:rPr>
                <w:b/>
              </w:rPr>
            </w:pPr>
          </w:p>
        </w:tc>
        <w:tc>
          <w:tcPr>
            <w:tcW w:w="921" w:type="dxa"/>
            <w:tcBorders>
              <w:top w:val="single" w:sz="8" w:space="0" w:color="auto"/>
            </w:tcBorders>
            <w:vAlign w:val="bottom"/>
          </w:tcPr>
          <w:p w14:paraId="330FA81A" w14:textId="77777777" w:rsidR="009E00FF" w:rsidRPr="00496A2A" w:rsidRDefault="009E00FF" w:rsidP="00773F7B">
            <w:pPr>
              <w:pStyle w:val="T2"/>
              <w:jc w:val="right"/>
            </w:pPr>
          </w:p>
        </w:tc>
        <w:tc>
          <w:tcPr>
            <w:tcW w:w="863" w:type="dxa"/>
            <w:tcBorders>
              <w:top w:val="single" w:sz="8" w:space="0" w:color="auto"/>
            </w:tcBorders>
            <w:vAlign w:val="bottom"/>
          </w:tcPr>
          <w:p w14:paraId="7AB0CCAD" w14:textId="77777777" w:rsidR="009E00FF" w:rsidRPr="00496A2A" w:rsidRDefault="009E00FF" w:rsidP="00773F7B">
            <w:pPr>
              <w:pStyle w:val="T2"/>
              <w:jc w:val="right"/>
            </w:pPr>
          </w:p>
        </w:tc>
        <w:tc>
          <w:tcPr>
            <w:tcW w:w="739" w:type="dxa"/>
            <w:tcBorders>
              <w:top w:val="single" w:sz="8" w:space="0" w:color="auto"/>
            </w:tcBorders>
            <w:vAlign w:val="bottom"/>
          </w:tcPr>
          <w:p w14:paraId="6BA903E1" w14:textId="77777777" w:rsidR="009E00FF" w:rsidRPr="00496A2A" w:rsidRDefault="009E00FF" w:rsidP="00773F7B">
            <w:pPr>
              <w:pStyle w:val="T2"/>
              <w:jc w:val="right"/>
            </w:pPr>
          </w:p>
        </w:tc>
      </w:tr>
      <w:tr w:rsidR="00773F7B" w14:paraId="11AE59A1" w14:textId="77777777" w:rsidTr="009E00FF">
        <w:trPr>
          <w:jc w:val="center"/>
        </w:trPr>
        <w:tc>
          <w:tcPr>
            <w:tcW w:w="4422" w:type="dxa"/>
            <w:vAlign w:val="bottom"/>
          </w:tcPr>
          <w:p w14:paraId="71F97670" w14:textId="77777777" w:rsidR="00773F7B" w:rsidRPr="00E31429" w:rsidRDefault="00773F7B" w:rsidP="00773F7B">
            <w:pPr>
              <w:pStyle w:val="T2"/>
              <w:jc w:val="left"/>
              <w:rPr>
                <w:b/>
              </w:rPr>
            </w:pPr>
            <w:r w:rsidRPr="00E31429">
              <w:rPr>
                <w:b/>
              </w:rPr>
              <w:t>Presented as:</w:t>
            </w:r>
          </w:p>
        </w:tc>
        <w:tc>
          <w:tcPr>
            <w:tcW w:w="992" w:type="dxa"/>
            <w:vAlign w:val="bottom"/>
          </w:tcPr>
          <w:p w14:paraId="0A41A685" w14:textId="77777777" w:rsidR="00773F7B" w:rsidRPr="005226E7" w:rsidRDefault="00773F7B" w:rsidP="00773F7B">
            <w:pPr>
              <w:pStyle w:val="T2"/>
              <w:jc w:val="right"/>
              <w:rPr>
                <w:b/>
              </w:rPr>
            </w:pPr>
          </w:p>
        </w:tc>
        <w:tc>
          <w:tcPr>
            <w:tcW w:w="992" w:type="dxa"/>
            <w:vAlign w:val="bottom"/>
          </w:tcPr>
          <w:p w14:paraId="139DEB4D" w14:textId="77777777" w:rsidR="00773F7B" w:rsidRPr="005226E7" w:rsidRDefault="00773F7B" w:rsidP="00773F7B">
            <w:pPr>
              <w:pStyle w:val="T2"/>
              <w:jc w:val="right"/>
              <w:rPr>
                <w:b/>
              </w:rPr>
            </w:pPr>
          </w:p>
        </w:tc>
        <w:tc>
          <w:tcPr>
            <w:tcW w:w="851" w:type="dxa"/>
            <w:vAlign w:val="bottom"/>
          </w:tcPr>
          <w:p w14:paraId="2C58982E" w14:textId="77777777" w:rsidR="00773F7B" w:rsidRPr="005226E7" w:rsidRDefault="00773F7B" w:rsidP="00773F7B">
            <w:pPr>
              <w:pStyle w:val="T2"/>
              <w:jc w:val="right"/>
              <w:rPr>
                <w:b/>
              </w:rPr>
            </w:pPr>
          </w:p>
        </w:tc>
        <w:tc>
          <w:tcPr>
            <w:tcW w:w="921" w:type="dxa"/>
            <w:vAlign w:val="bottom"/>
          </w:tcPr>
          <w:p w14:paraId="5DD2E0D2" w14:textId="77777777" w:rsidR="00773F7B" w:rsidRPr="00496A2A" w:rsidRDefault="00773F7B" w:rsidP="00773F7B">
            <w:pPr>
              <w:pStyle w:val="T2"/>
              <w:jc w:val="right"/>
            </w:pPr>
          </w:p>
        </w:tc>
        <w:tc>
          <w:tcPr>
            <w:tcW w:w="863" w:type="dxa"/>
            <w:vAlign w:val="bottom"/>
          </w:tcPr>
          <w:p w14:paraId="7E07B665" w14:textId="77777777" w:rsidR="00773F7B" w:rsidRPr="00496A2A" w:rsidRDefault="00773F7B" w:rsidP="00773F7B">
            <w:pPr>
              <w:pStyle w:val="T2"/>
              <w:jc w:val="right"/>
            </w:pPr>
          </w:p>
        </w:tc>
        <w:tc>
          <w:tcPr>
            <w:tcW w:w="739" w:type="dxa"/>
            <w:vAlign w:val="bottom"/>
          </w:tcPr>
          <w:p w14:paraId="08ED464B" w14:textId="77777777" w:rsidR="00773F7B" w:rsidRPr="00496A2A" w:rsidRDefault="00773F7B" w:rsidP="00773F7B">
            <w:pPr>
              <w:pStyle w:val="T2"/>
              <w:jc w:val="right"/>
            </w:pPr>
          </w:p>
        </w:tc>
      </w:tr>
      <w:tr w:rsidR="008B4755" w14:paraId="0AFC30BC" w14:textId="77777777" w:rsidTr="00592BB5">
        <w:trPr>
          <w:jc w:val="center"/>
        </w:trPr>
        <w:tc>
          <w:tcPr>
            <w:tcW w:w="4422" w:type="dxa"/>
            <w:vAlign w:val="bottom"/>
          </w:tcPr>
          <w:p w14:paraId="68B139AC" w14:textId="77777777" w:rsidR="008B4755" w:rsidRPr="00496A2A" w:rsidRDefault="008B4755" w:rsidP="008B4755">
            <w:pPr>
              <w:pStyle w:val="T2"/>
              <w:jc w:val="left"/>
            </w:pPr>
            <w:r w:rsidRPr="00496A2A">
              <w:t>Retirement benefit asset**</w:t>
            </w:r>
          </w:p>
        </w:tc>
        <w:tc>
          <w:tcPr>
            <w:tcW w:w="992" w:type="dxa"/>
            <w:vAlign w:val="bottom"/>
          </w:tcPr>
          <w:p w14:paraId="71FE608F" w14:textId="77777777" w:rsidR="008B4755" w:rsidRPr="005226E7" w:rsidRDefault="008B4755" w:rsidP="008B4755">
            <w:pPr>
              <w:pStyle w:val="T2"/>
              <w:jc w:val="right"/>
              <w:rPr>
                <w:b/>
              </w:rPr>
            </w:pPr>
          </w:p>
        </w:tc>
        <w:tc>
          <w:tcPr>
            <w:tcW w:w="992" w:type="dxa"/>
            <w:vAlign w:val="bottom"/>
          </w:tcPr>
          <w:p w14:paraId="46CB4F6D" w14:textId="77777777" w:rsidR="008B4755" w:rsidRPr="005226E7" w:rsidRDefault="008B4755" w:rsidP="008B4755">
            <w:pPr>
              <w:pStyle w:val="T2"/>
              <w:jc w:val="right"/>
              <w:rPr>
                <w:b/>
              </w:rPr>
            </w:pPr>
          </w:p>
        </w:tc>
        <w:tc>
          <w:tcPr>
            <w:tcW w:w="851" w:type="dxa"/>
          </w:tcPr>
          <w:p w14:paraId="00B2DDA5" w14:textId="77777777" w:rsidR="008B4755" w:rsidRPr="005226E7" w:rsidRDefault="00FD7ED5" w:rsidP="008B4755">
            <w:pPr>
              <w:pStyle w:val="T2"/>
              <w:jc w:val="right"/>
              <w:rPr>
                <w:b/>
              </w:rPr>
            </w:pPr>
            <w:r>
              <w:rPr>
                <w:b/>
                <w:bCs/>
              </w:rPr>
              <w:t>39.8</w:t>
            </w:r>
          </w:p>
        </w:tc>
        <w:tc>
          <w:tcPr>
            <w:tcW w:w="921" w:type="dxa"/>
            <w:vAlign w:val="bottom"/>
          </w:tcPr>
          <w:p w14:paraId="68EDBCA2" w14:textId="77777777" w:rsidR="008B4755" w:rsidRPr="00496A2A" w:rsidRDefault="008B4755" w:rsidP="008B4755">
            <w:pPr>
              <w:pStyle w:val="T2"/>
              <w:jc w:val="right"/>
            </w:pPr>
          </w:p>
        </w:tc>
        <w:tc>
          <w:tcPr>
            <w:tcW w:w="863" w:type="dxa"/>
            <w:vAlign w:val="bottom"/>
          </w:tcPr>
          <w:p w14:paraId="036A8DD0" w14:textId="77777777" w:rsidR="008B4755" w:rsidRPr="00496A2A" w:rsidRDefault="008B4755" w:rsidP="008B4755">
            <w:pPr>
              <w:pStyle w:val="T2"/>
              <w:jc w:val="right"/>
            </w:pPr>
          </w:p>
        </w:tc>
        <w:tc>
          <w:tcPr>
            <w:tcW w:w="739" w:type="dxa"/>
            <w:vAlign w:val="bottom"/>
          </w:tcPr>
          <w:p w14:paraId="29CF2647" w14:textId="77777777" w:rsidR="008B4755" w:rsidRPr="00496A2A" w:rsidRDefault="008B4755" w:rsidP="008B4755">
            <w:pPr>
              <w:pStyle w:val="T2"/>
              <w:jc w:val="right"/>
            </w:pPr>
            <w:r>
              <w:t>42.9</w:t>
            </w:r>
          </w:p>
        </w:tc>
      </w:tr>
      <w:tr w:rsidR="008B4755" w14:paraId="7592C3E2" w14:textId="77777777" w:rsidTr="00592BB5">
        <w:trPr>
          <w:jc w:val="center"/>
        </w:trPr>
        <w:tc>
          <w:tcPr>
            <w:tcW w:w="4422" w:type="dxa"/>
            <w:tcBorders>
              <w:bottom w:val="single" w:sz="8" w:space="0" w:color="auto"/>
            </w:tcBorders>
            <w:vAlign w:val="bottom"/>
          </w:tcPr>
          <w:p w14:paraId="07E665F5" w14:textId="77777777" w:rsidR="008B4755" w:rsidRPr="00496A2A" w:rsidRDefault="008B4755" w:rsidP="008B4755">
            <w:pPr>
              <w:pStyle w:val="T2"/>
              <w:jc w:val="left"/>
            </w:pPr>
            <w:r w:rsidRPr="00496A2A">
              <w:t>Retirement benefit obligation</w:t>
            </w:r>
          </w:p>
        </w:tc>
        <w:tc>
          <w:tcPr>
            <w:tcW w:w="992" w:type="dxa"/>
            <w:tcBorders>
              <w:bottom w:val="single" w:sz="8" w:space="0" w:color="auto"/>
            </w:tcBorders>
            <w:vAlign w:val="bottom"/>
          </w:tcPr>
          <w:p w14:paraId="2CE20A53" w14:textId="77777777" w:rsidR="008B4755" w:rsidRPr="005226E7" w:rsidRDefault="008B4755" w:rsidP="008B4755">
            <w:pPr>
              <w:pStyle w:val="T2"/>
              <w:jc w:val="right"/>
              <w:rPr>
                <w:b/>
              </w:rPr>
            </w:pPr>
          </w:p>
        </w:tc>
        <w:tc>
          <w:tcPr>
            <w:tcW w:w="992" w:type="dxa"/>
            <w:tcBorders>
              <w:bottom w:val="single" w:sz="8" w:space="0" w:color="auto"/>
            </w:tcBorders>
            <w:vAlign w:val="bottom"/>
          </w:tcPr>
          <w:p w14:paraId="76B2CCF8" w14:textId="77777777" w:rsidR="008B4755" w:rsidRPr="005226E7" w:rsidRDefault="008B4755" w:rsidP="008B4755">
            <w:pPr>
              <w:pStyle w:val="T2"/>
              <w:jc w:val="right"/>
              <w:rPr>
                <w:b/>
              </w:rPr>
            </w:pPr>
          </w:p>
        </w:tc>
        <w:tc>
          <w:tcPr>
            <w:tcW w:w="851" w:type="dxa"/>
            <w:tcBorders>
              <w:bottom w:val="single" w:sz="8" w:space="0" w:color="auto"/>
            </w:tcBorders>
          </w:tcPr>
          <w:p w14:paraId="446E367C" w14:textId="77777777" w:rsidR="008B4755" w:rsidRPr="005226E7" w:rsidRDefault="00FD7ED5" w:rsidP="008B4755">
            <w:pPr>
              <w:pStyle w:val="T2"/>
              <w:jc w:val="right"/>
              <w:rPr>
                <w:b/>
              </w:rPr>
            </w:pPr>
            <w:r>
              <w:rPr>
                <w:b/>
                <w:bCs/>
              </w:rPr>
              <w:t>(111.7)</w:t>
            </w:r>
          </w:p>
        </w:tc>
        <w:tc>
          <w:tcPr>
            <w:tcW w:w="921" w:type="dxa"/>
            <w:tcBorders>
              <w:bottom w:val="single" w:sz="8" w:space="0" w:color="auto"/>
            </w:tcBorders>
            <w:vAlign w:val="bottom"/>
          </w:tcPr>
          <w:p w14:paraId="532D1E91" w14:textId="77777777" w:rsidR="008B4755" w:rsidRPr="00496A2A" w:rsidRDefault="008B4755" w:rsidP="008B4755">
            <w:pPr>
              <w:pStyle w:val="T2"/>
              <w:jc w:val="right"/>
            </w:pPr>
          </w:p>
        </w:tc>
        <w:tc>
          <w:tcPr>
            <w:tcW w:w="863" w:type="dxa"/>
            <w:tcBorders>
              <w:bottom w:val="single" w:sz="8" w:space="0" w:color="auto"/>
            </w:tcBorders>
            <w:vAlign w:val="bottom"/>
          </w:tcPr>
          <w:p w14:paraId="04FA939F" w14:textId="77777777" w:rsidR="008B4755" w:rsidRPr="00496A2A" w:rsidRDefault="008B4755" w:rsidP="008B4755">
            <w:pPr>
              <w:pStyle w:val="T2"/>
              <w:jc w:val="right"/>
            </w:pPr>
          </w:p>
        </w:tc>
        <w:tc>
          <w:tcPr>
            <w:tcW w:w="739" w:type="dxa"/>
            <w:tcBorders>
              <w:bottom w:val="single" w:sz="8" w:space="0" w:color="auto"/>
            </w:tcBorders>
            <w:vAlign w:val="bottom"/>
          </w:tcPr>
          <w:p w14:paraId="1BFDE04E" w14:textId="77777777" w:rsidR="008B4755" w:rsidRPr="00496A2A" w:rsidRDefault="008B4755" w:rsidP="008B4755">
            <w:pPr>
              <w:pStyle w:val="T2"/>
              <w:jc w:val="right"/>
            </w:pPr>
            <w:r>
              <w:t>(125.0)</w:t>
            </w:r>
          </w:p>
        </w:tc>
      </w:tr>
      <w:tr w:rsidR="00773F7B" w14:paraId="17174528" w14:textId="77777777" w:rsidTr="005B3BEE">
        <w:trPr>
          <w:jc w:val="center"/>
        </w:trPr>
        <w:tc>
          <w:tcPr>
            <w:tcW w:w="9780" w:type="dxa"/>
            <w:gridSpan w:val="7"/>
            <w:tcBorders>
              <w:top w:val="single" w:sz="8" w:space="0" w:color="auto"/>
            </w:tcBorders>
            <w:vAlign w:val="bottom"/>
          </w:tcPr>
          <w:p w14:paraId="1A71B41C" w14:textId="77777777" w:rsidR="00773F7B" w:rsidRPr="00E05961" w:rsidRDefault="00773F7B" w:rsidP="00773F7B">
            <w:pPr>
              <w:pStyle w:val="T2"/>
              <w:jc w:val="left"/>
              <w:rPr>
                <w:sz w:val="16"/>
                <w:szCs w:val="16"/>
              </w:rPr>
            </w:pPr>
            <w:r w:rsidRPr="00E05961">
              <w:rPr>
                <w:sz w:val="16"/>
                <w:szCs w:val="16"/>
              </w:rPr>
              <w:t>** The value of a net pension benefit asset is the value of any amount the Group reasonably expects to recover by way of a refund of a surplus from the remaining assets of a plan at the end of the plan’s life.</w:t>
            </w:r>
          </w:p>
        </w:tc>
      </w:tr>
    </w:tbl>
    <w:p w14:paraId="72C4BEBC" w14:textId="77777777" w:rsidR="00EB44C4" w:rsidRDefault="00EB44C4" w:rsidP="005B3BEE">
      <w:pPr>
        <w:pStyle w:val="Paragraph"/>
        <w:spacing w:after="120"/>
        <w:rPr>
          <w:b/>
        </w:rPr>
      </w:pPr>
    </w:p>
    <w:p w14:paraId="00D61CC6" w14:textId="77777777" w:rsidR="00773F7B" w:rsidRPr="00E31429" w:rsidRDefault="00773F7B" w:rsidP="005B3BEE">
      <w:pPr>
        <w:pStyle w:val="Paragraph"/>
        <w:spacing w:after="120"/>
        <w:rPr>
          <w:b/>
        </w:rPr>
      </w:pPr>
      <w:r w:rsidRPr="00E31429">
        <w:rPr>
          <w:b/>
        </w:rPr>
        <w:t>Sensitivity of pension liability to judgemental assumptions</w:t>
      </w:r>
    </w:p>
    <w:tbl>
      <w:tblPr>
        <w:tblStyle w:val="TableGrid"/>
        <w:tblW w:w="9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706"/>
        <w:gridCol w:w="1075"/>
        <w:gridCol w:w="1075"/>
        <w:gridCol w:w="1075"/>
      </w:tblGrid>
      <w:tr w:rsidR="00773F7B" w14:paraId="10569C95" w14:textId="77777777" w:rsidTr="005B3BEE">
        <w:trPr>
          <w:jc w:val="center"/>
        </w:trPr>
        <w:tc>
          <w:tcPr>
            <w:tcW w:w="1842" w:type="dxa"/>
            <w:vAlign w:val="bottom"/>
          </w:tcPr>
          <w:p w14:paraId="311A8FC1" w14:textId="77777777" w:rsidR="00773F7B" w:rsidRPr="00E31429" w:rsidRDefault="00773F7B" w:rsidP="00773F7B">
            <w:pPr>
              <w:pStyle w:val="T2"/>
              <w:jc w:val="left"/>
            </w:pPr>
          </w:p>
        </w:tc>
        <w:tc>
          <w:tcPr>
            <w:tcW w:w="4706" w:type="dxa"/>
            <w:vAlign w:val="bottom"/>
          </w:tcPr>
          <w:p w14:paraId="63099EF4" w14:textId="77777777" w:rsidR="00773F7B" w:rsidRPr="00E31429" w:rsidRDefault="00773F7B" w:rsidP="00773F7B">
            <w:pPr>
              <w:pStyle w:val="T2"/>
              <w:jc w:val="left"/>
            </w:pPr>
          </w:p>
        </w:tc>
        <w:tc>
          <w:tcPr>
            <w:tcW w:w="3225" w:type="dxa"/>
            <w:gridSpan w:val="3"/>
          </w:tcPr>
          <w:p w14:paraId="0323D2B2" w14:textId="77777777" w:rsidR="00773F7B" w:rsidRPr="003F23F5" w:rsidRDefault="00773F7B" w:rsidP="00773F7B">
            <w:pPr>
              <w:pStyle w:val="T2"/>
              <w:rPr>
                <w:b/>
              </w:rPr>
            </w:pPr>
            <w:r w:rsidRPr="003F23F5">
              <w:rPr>
                <w:b/>
              </w:rPr>
              <w:t>Increase in Scheme Liabilities</w:t>
            </w:r>
          </w:p>
        </w:tc>
      </w:tr>
      <w:tr w:rsidR="00773F7B" w14:paraId="3A1E6B48" w14:textId="77777777" w:rsidTr="005B3BEE">
        <w:trPr>
          <w:jc w:val="center"/>
        </w:trPr>
        <w:tc>
          <w:tcPr>
            <w:tcW w:w="1842" w:type="dxa"/>
            <w:tcBorders>
              <w:bottom w:val="single" w:sz="2" w:space="0" w:color="auto"/>
            </w:tcBorders>
            <w:vAlign w:val="bottom"/>
          </w:tcPr>
          <w:p w14:paraId="65C1B029" w14:textId="77777777" w:rsidR="00773F7B" w:rsidRPr="00422360" w:rsidRDefault="00773F7B" w:rsidP="00773F7B">
            <w:pPr>
              <w:pStyle w:val="T2"/>
              <w:jc w:val="left"/>
              <w:rPr>
                <w:b/>
              </w:rPr>
            </w:pPr>
            <w:r w:rsidRPr="00422360">
              <w:rPr>
                <w:b/>
              </w:rPr>
              <w:t>Assumption</w:t>
            </w:r>
          </w:p>
        </w:tc>
        <w:tc>
          <w:tcPr>
            <w:tcW w:w="4706" w:type="dxa"/>
            <w:tcBorders>
              <w:bottom w:val="single" w:sz="2" w:space="0" w:color="auto"/>
            </w:tcBorders>
            <w:vAlign w:val="bottom"/>
          </w:tcPr>
          <w:p w14:paraId="528FEFEE" w14:textId="77777777" w:rsidR="00773F7B" w:rsidRPr="00422360" w:rsidRDefault="00773F7B" w:rsidP="00773F7B">
            <w:pPr>
              <w:pStyle w:val="T2"/>
              <w:jc w:val="left"/>
              <w:rPr>
                <w:b/>
              </w:rPr>
            </w:pPr>
            <w:r w:rsidRPr="00422360">
              <w:rPr>
                <w:b/>
              </w:rPr>
              <w:t>Change in assumption</w:t>
            </w:r>
          </w:p>
        </w:tc>
        <w:tc>
          <w:tcPr>
            <w:tcW w:w="1075" w:type="dxa"/>
            <w:tcBorders>
              <w:bottom w:val="single" w:sz="2" w:space="0" w:color="auto"/>
            </w:tcBorders>
            <w:vAlign w:val="bottom"/>
          </w:tcPr>
          <w:p w14:paraId="76F471E5" w14:textId="77777777" w:rsidR="00773F7B" w:rsidRDefault="00773F7B" w:rsidP="00773F7B">
            <w:pPr>
              <w:pStyle w:val="T2"/>
              <w:jc w:val="right"/>
              <w:rPr>
                <w:b/>
              </w:rPr>
            </w:pPr>
            <w:r w:rsidRPr="00422360">
              <w:rPr>
                <w:b/>
              </w:rPr>
              <w:t xml:space="preserve">UK </w:t>
            </w:r>
          </w:p>
          <w:p w14:paraId="1AC268BD"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2F38C898" w14:textId="77777777" w:rsidR="00773F7B" w:rsidRDefault="00773F7B" w:rsidP="00773F7B">
            <w:pPr>
              <w:pStyle w:val="T2"/>
              <w:jc w:val="right"/>
              <w:rPr>
                <w:b/>
              </w:rPr>
            </w:pPr>
            <w:r w:rsidRPr="00422360">
              <w:rPr>
                <w:b/>
              </w:rPr>
              <w:t xml:space="preserve">Irish </w:t>
            </w:r>
          </w:p>
          <w:p w14:paraId="30742FF5"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7460A171" w14:textId="77777777" w:rsidR="00773F7B" w:rsidRPr="00422360" w:rsidRDefault="00773F7B" w:rsidP="00773F7B">
            <w:pPr>
              <w:pStyle w:val="T2"/>
              <w:jc w:val="right"/>
              <w:rPr>
                <w:b/>
              </w:rPr>
            </w:pPr>
            <w:r w:rsidRPr="00422360">
              <w:rPr>
                <w:b/>
              </w:rPr>
              <w:t>Total</w:t>
            </w:r>
          </w:p>
        </w:tc>
      </w:tr>
      <w:tr w:rsidR="000948AD" w14:paraId="6B442E65" w14:textId="77777777" w:rsidTr="00592BB5">
        <w:trPr>
          <w:jc w:val="center"/>
        </w:trPr>
        <w:tc>
          <w:tcPr>
            <w:tcW w:w="1842" w:type="dxa"/>
            <w:tcBorders>
              <w:top w:val="single" w:sz="2" w:space="0" w:color="auto"/>
            </w:tcBorders>
            <w:vAlign w:val="bottom"/>
          </w:tcPr>
          <w:p w14:paraId="3C066D1E" w14:textId="77777777" w:rsidR="000948AD" w:rsidRPr="00422360" w:rsidRDefault="000948AD" w:rsidP="000948AD">
            <w:pPr>
              <w:pStyle w:val="T2"/>
              <w:jc w:val="left"/>
            </w:pPr>
            <w:r w:rsidRPr="00422360">
              <w:t>Discount rate</w:t>
            </w:r>
          </w:p>
        </w:tc>
        <w:tc>
          <w:tcPr>
            <w:tcW w:w="4706" w:type="dxa"/>
            <w:tcBorders>
              <w:top w:val="single" w:sz="2" w:space="0" w:color="auto"/>
            </w:tcBorders>
            <w:vAlign w:val="bottom"/>
          </w:tcPr>
          <w:p w14:paraId="5D94E812" w14:textId="77777777" w:rsidR="000948AD" w:rsidRPr="00422360" w:rsidRDefault="000948AD" w:rsidP="000948AD">
            <w:pPr>
              <w:pStyle w:val="T2"/>
              <w:jc w:val="left"/>
            </w:pPr>
            <w:r w:rsidRPr="00422360">
              <w:t>Decrease by 0.5%</w:t>
            </w:r>
          </w:p>
        </w:tc>
        <w:tc>
          <w:tcPr>
            <w:tcW w:w="1075" w:type="dxa"/>
            <w:tcBorders>
              <w:top w:val="single" w:sz="2" w:space="0" w:color="auto"/>
            </w:tcBorders>
          </w:tcPr>
          <w:p w14:paraId="3497E204" w14:textId="77777777" w:rsidR="000948AD" w:rsidRPr="00422360" w:rsidRDefault="00FD7ED5" w:rsidP="000948AD">
            <w:pPr>
              <w:pStyle w:val="T2"/>
              <w:jc w:val="right"/>
            </w:pPr>
            <w:r>
              <w:rPr>
                <w:b/>
                <w:bCs/>
              </w:rPr>
              <w:t>31.8</w:t>
            </w:r>
          </w:p>
        </w:tc>
        <w:tc>
          <w:tcPr>
            <w:tcW w:w="1075" w:type="dxa"/>
            <w:tcBorders>
              <w:top w:val="single" w:sz="2" w:space="0" w:color="auto"/>
            </w:tcBorders>
          </w:tcPr>
          <w:p w14:paraId="41C6875F" w14:textId="77777777" w:rsidR="000948AD" w:rsidRPr="00422360" w:rsidRDefault="00FD7ED5" w:rsidP="000948AD">
            <w:pPr>
              <w:pStyle w:val="T2"/>
              <w:jc w:val="right"/>
            </w:pPr>
            <w:r>
              <w:rPr>
                <w:b/>
                <w:bCs/>
              </w:rPr>
              <w:t>12.8</w:t>
            </w:r>
          </w:p>
        </w:tc>
        <w:tc>
          <w:tcPr>
            <w:tcW w:w="1075" w:type="dxa"/>
            <w:tcBorders>
              <w:top w:val="single" w:sz="2" w:space="0" w:color="auto"/>
            </w:tcBorders>
          </w:tcPr>
          <w:p w14:paraId="78443222" w14:textId="77777777" w:rsidR="000948AD" w:rsidRPr="00422360" w:rsidRDefault="00FD7ED5" w:rsidP="000948AD">
            <w:pPr>
              <w:pStyle w:val="T2"/>
              <w:jc w:val="right"/>
            </w:pPr>
            <w:r>
              <w:rPr>
                <w:b/>
                <w:bCs/>
              </w:rPr>
              <w:t>44.6</w:t>
            </w:r>
          </w:p>
        </w:tc>
      </w:tr>
      <w:tr w:rsidR="000948AD" w14:paraId="1BAF97E6" w14:textId="77777777" w:rsidTr="00592BB5">
        <w:trPr>
          <w:jc w:val="center"/>
        </w:trPr>
        <w:tc>
          <w:tcPr>
            <w:tcW w:w="1842" w:type="dxa"/>
            <w:vAlign w:val="bottom"/>
          </w:tcPr>
          <w:p w14:paraId="31B4D633" w14:textId="77777777" w:rsidR="000948AD" w:rsidRPr="00422360" w:rsidRDefault="000948AD" w:rsidP="000948AD">
            <w:pPr>
              <w:pStyle w:val="T2"/>
              <w:jc w:val="left"/>
            </w:pPr>
            <w:r w:rsidRPr="00422360">
              <w:t>Rate of inflation</w:t>
            </w:r>
          </w:p>
        </w:tc>
        <w:tc>
          <w:tcPr>
            <w:tcW w:w="4706" w:type="dxa"/>
            <w:vAlign w:val="bottom"/>
          </w:tcPr>
          <w:p w14:paraId="018A1F99" w14:textId="77777777" w:rsidR="000948AD" w:rsidRPr="00422360" w:rsidRDefault="000948AD" w:rsidP="000948AD">
            <w:pPr>
              <w:pStyle w:val="T2"/>
              <w:jc w:val="left"/>
            </w:pPr>
            <w:r w:rsidRPr="00422360">
              <w:t>Increase by 0.5%</w:t>
            </w:r>
          </w:p>
        </w:tc>
        <w:tc>
          <w:tcPr>
            <w:tcW w:w="1075" w:type="dxa"/>
          </w:tcPr>
          <w:p w14:paraId="2AEAE57C" w14:textId="77777777" w:rsidR="000948AD" w:rsidRPr="00422360" w:rsidRDefault="00FD7ED5" w:rsidP="000948AD">
            <w:pPr>
              <w:pStyle w:val="T2"/>
              <w:jc w:val="right"/>
            </w:pPr>
            <w:r>
              <w:rPr>
                <w:b/>
                <w:bCs/>
              </w:rPr>
              <w:t>24.3</w:t>
            </w:r>
          </w:p>
        </w:tc>
        <w:tc>
          <w:tcPr>
            <w:tcW w:w="1075" w:type="dxa"/>
          </w:tcPr>
          <w:p w14:paraId="107282AB" w14:textId="77777777" w:rsidR="000948AD" w:rsidRPr="00422360" w:rsidRDefault="00FD7ED5" w:rsidP="000948AD">
            <w:pPr>
              <w:pStyle w:val="T2"/>
              <w:jc w:val="right"/>
            </w:pPr>
            <w:r>
              <w:rPr>
                <w:b/>
                <w:bCs/>
              </w:rPr>
              <w:t>4.6</w:t>
            </w:r>
          </w:p>
        </w:tc>
        <w:tc>
          <w:tcPr>
            <w:tcW w:w="1075" w:type="dxa"/>
          </w:tcPr>
          <w:p w14:paraId="140B9714" w14:textId="77777777" w:rsidR="000948AD" w:rsidRPr="00422360" w:rsidRDefault="00FD7ED5" w:rsidP="000948AD">
            <w:pPr>
              <w:pStyle w:val="T2"/>
              <w:jc w:val="right"/>
            </w:pPr>
            <w:r>
              <w:rPr>
                <w:b/>
                <w:bCs/>
              </w:rPr>
              <w:t>28.9</w:t>
            </w:r>
          </w:p>
        </w:tc>
      </w:tr>
      <w:tr w:rsidR="000948AD" w14:paraId="75FA1CD4" w14:textId="77777777" w:rsidTr="00592BB5">
        <w:trPr>
          <w:jc w:val="center"/>
        </w:trPr>
        <w:tc>
          <w:tcPr>
            <w:tcW w:w="1842" w:type="dxa"/>
            <w:tcBorders>
              <w:bottom w:val="single" w:sz="2" w:space="0" w:color="auto"/>
            </w:tcBorders>
            <w:vAlign w:val="bottom"/>
          </w:tcPr>
          <w:p w14:paraId="3A63022C" w14:textId="77777777" w:rsidR="000948AD" w:rsidRPr="00422360" w:rsidRDefault="000948AD" w:rsidP="000948AD">
            <w:pPr>
              <w:pStyle w:val="T2"/>
              <w:jc w:val="left"/>
            </w:pPr>
            <w:r w:rsidRPr="00422360">
              <w:t>Rate of mortality</w:t>
            </w:r>
          </w:p>
        </w:tc>
        <w:tc>
          <w:tcPr>
            <w:tcW w:w="4706" w:type="dxa"/>
            <w:tcBorders>
              <w:bottom w:val="single" w:sz="2" w:space="0" w:color="auto"/>
            </w:tcBorders>
            <w:vAlign w:val="bottom"/>
          </w:tcPr>
          <w:p w14:paraId="0357293E" w14:textId="77777777" w:rsidR="000948AD" w:rsidRPr="00422360" w:rsidRDefault="000948AD" w:rsidP="000948AD">
            <w:pPr>
              <w:pStyle w:val="T2"/>
              <w:jc w:val="left"/>
            </w:pPr>
            <w:r w:rsidRPr="00422360">
              <w:t>Members assumed to live 1 year longer</w:t>
            </w:r>
          </w:p>
        </w:tc>
        <w:tc>
          <w:tcPr>
            <w:tcW w:w="1075" w:type="dxa"/>
            <w:tcBorders>
              <w:bottom w:val="single" w:sz="2" w:space="0" w:color="auto"/>
            </w:tcBorders>
          </w:tcPr>
          <w:p w14:paraId="41D5E3D3" w14:textId="77777777" w:rsidR="000948AD" w:rsidRPr="00422360" w:rsidRDefault="00FD7ED5" w:rsidP="000948AD">
            <w:pPr>
              <w:pStyle w:val="T2"/>
              <w:jc w:val="right"/>
            </w:pPr>
            <w:r>
              <w:rPr>
                <w:b/>
                <w:bCs/>
              </w:rPr>
              <w:t>11.2</w:t>
            </w:r>
          </w:p>
        </w:tc>
        <w:tc>
          <w:tcPr>
            <w:tcW w:w="1075" w:type="dxa"/>
            <w:tcBorders>
              <w:bottom w:val="single" w:sz="2" w:space="0" w:color="auto"/>
            </w:tcBorders>
          </w:tcPr>
          <w:p w14:paraId="4591E740" w14:textId="77777777" w:rsidR="000948AD" w:rsidRPr="00422360" w:rsidRDefault="00FD7ED5" w:rsidP="000948AD">
            <w:pPr>
              <w:pStyle w:val="T2"/>
              <w:jc w:val="right"/>
            </w:pPr>
            <w:r>
              <w:rPr>
                <w:b/>
                <w:bCs/>
              </w:rPr>
              <w:t>8.2</w:t>
            </w:r>
          </w:p>
        </w:tc>
        <w:tc>
          <w:tcPr>
            <w:tcW w:w="1075" w:type="dxa"/>
            <w:tcBorders>
              <w:bottom w:val="single" w:sz="2" w:space="0" w:color="auto"/>
            </w:tcBorders>
          </w:tcPr>
          <w:p w14:paraId="096154AD" w14:textId="77777777" w:rsidR="000948AD" w:rsidRPr="00422360" w:rsidRDefault="00FD7ED5" w:rsidP="000948AD">
            <w:pPr>
              <w:pStyle w:val="T2"/>
              <w:jc w:val="right"/>
            </w:pPr>
            <w:r>
              <w:rPr>
                <w:b/>
                <w:bCs/>
              </w:rPr>
              <w:t>19.4</w:t>
            </w:r>
          </w:p>
        </w:tc>
      </w:tr>
      <w:tr w:rsidR="00773F7B" w14:paraId="4AAD079B" w14:textId="77777777" w:rsidTr="005B3BEE">
        <w:trPr>
          <w:jc w:val="center"/>
        </w:trPr>
        <w:tc>
          <w:tcPr>
            <w:tcW w:w="6548" w:type="dxa"/>
            <w:gridSpan w:val="2"/>
            <w:tcBorders>
              <w:top w:val="single" w:sz="2" w:space="0" w:color="auto"/>
            </w:tcBorders>
            <w:vAlign w:val="bottom"/>
          </w:tcPr>
          <w:p w14:paraId="1730E2C2" w14:textId="77777777" w:rsidR="00773F7B" w:rsidRPr="00422360" w:rsidRDefault="00773F7B" w:rsidP="00773F7B">
            <w:pPr>
              <w:pStyle w:val="T2"/>
              <w:ind w:left="-108"/>
              <w:jc w:val="left"/>
              <w:rPr>
                <w:b/>
              </w:rPr>
            </w:pPr>
            <w:r w:rsidRPr="00422360">
              <w:br/>
            </w:r>
            <w:r w:rsidRPr="00422360">
              <w:rPr>
                <w:b/>
              </w:rPr>
              <w:t>Sensitivity of pension scheme assets to yield movements</w:t>
            </w:r>
          </w:p>
        </w:tc>
        <w:tc>
          <w:tcPr>
            <w:tcW w:w="1075" w:type="dxa"/>
            <w:tcBorders>
              <w:top w:val="single" w:sz="2" w:space="0" w:color="auto"/>
            </w:tcBorders>
          </w:tcPr>
          <w:p w14:paraId="4977FC20" w14:textId="77777777" w:rsidR="00773F7B" w:rsidRPr="00422360" w:rsidRDefault="00773F7B" w:rsidP="00773F7B">
            <w:pPr>
              <w:pStyle w:val="T2"/>
            </w:pPr>
          </w:p>
        </w:tc>
        <w:tc>
          <w:tcPr>
            <w:tcW w:w="1075" w:type="dxa"/>
            <w:tcBorders>
              <w:top w:val="single" w:sz="2" w:space="0" w:color="auto"/>
            </w:tcBorders>
          </w:tcPr>
          <w:p w14:paraId="1B1034B0" w14:textId="77777777" w:rsidR="00773F7B" w:rsidRPr="00422360" w:rsidRDefault="00773F7B" w:rsidP="00773F7B">
            <w:pPr>
              <w:pStyle w:val="T2"/>
            </w:pPr>
          </w:p>
        </w:tc>
        <w:tc>
          <w:tcPr>
            <w:tcW w:w="1075" w:type="dxa"/>
            <w:tcBorders>
              <w:top w:val="single" w:sz="2" w:space="0" w:color="auto"/>
            </w:tcBorders>
          </w:tcPr>
          <w:p w14:paraId="57C20E57" w14:textId="77777777" w:rsidR="00773F7B" w:rsidRPr="00422360" w:rsidRDefault="00773F7B" w:rsidP="00773F7B">
            <w:pPr>
              <w:pStyle w:val="T2"/>
            </w:pPr>
          </w:p>
        </w:tc>
      </w:tr>
      <w:tr w:rsidR="00773F7B" w14:paraId="2BED9353" w14:textId="77777777" w:rsidTr="005B3BEE">
        <w:trPr>
          <w:jc w:val="center"/>
        </w:trPr>
        <w:tc>
          <w:tcPr>
            <w:tcW w:w="1842" w:type="dxa"/>
            <w:vAlign w:val="bottom"/>
          </w:tcPr>
          <w:p w14:paraId="6B09A3A4" w14:textId="77777777" w:rsidR="00773F7B" w:rsidRPr="00422360" w:rsidRDefault="00773F7B" w:rsidP="00773F7B">
            <w:pPr>
              <w:pStyle w:val="T2"/>
              <w:jc w:val="left"/>
            </w:pPr>
          </w:p>
        </w:tc>
        <w:tc>
          <w:tcPr>
            <w:tcW w:w="4706" w:type="dxa"/>
            <w:vAlign w:val="bottom"/>
          </w:tcPr>
          <w:p w14:paraId="6BD7BEB7" w14:textId="77777777" w:rsidR="00773F7B" w:rsidRPr="00422360" w:rsidRDefault="00773F7B" w:rsidP="00773F7B">
            <w:pPr>
              <w:pStyle w:val="T2"/>
              <w:jc w:val="left"/>
            </w:pPr>
          </w:p>
        </w:tc>
        <w:tc>
          <w:tcPr>
            <w:tcW w:w="3225" w:type="dxa"/>
            <w:gridSpan w:val="3"/>
          </w:tcPr>
          <w:p w14:paraId="4EBC614D" w14:textId="77777777" w:rsidR="00773F7B" w:rsidRPr="00422360" w:rsidRDefault="00773F7B" w:rsidP="00773F7B">
            <w:pPr>
              <w:pStyle w:val="T2"/>
              <w:rPr>
                <w:b/>
              </w:rPr>
            </w:pPr>
            <w:r w:rsidRPr="00422360">
              <w:rPr>
                <w:b/>
              </w:rPr>
              <w:t>Increase in Scheme Assets</w:t>
            </w:r>
          </w:p>
        </w:tc>
      </w:tr>
      <w:tr w:rsidR="00773F7B" w14:paraId="61B7A768" w14:textId="77777777" w:rsidTr="005B3BEE">
        <w:trPr>
          <w:jc w:val="center"/>
        </w:trPr>
        <w:tc>
          <w:tcPr>
            <w:tcW w:w="1842" w:type="dxa"/>
            <w:tcBorders>
              <w:bottom w:val="single" w:sz="2" w:space="0" w:color="auto"/>
            </w:tcBorders>
            <w:vAlign w:val="bottom"/>
          </w:tcPr>
          <w:p w14:paraId="5439B483" w14:textId="77777777" w:rsidR="00773F7B" w:rsidRPr="00422360" w:rsidRDefault="00773F7B" w:rsidP="00773F7B">
            <w:pPr>
              <w:pStyle w:val="T2"/>
              <w:jc w:val="left"/>
              <w:rPr>
                <w:b/>
              </w:rPr>
            </w:pPr>
            <w:r w:rsidRPr="00422360">
              <w:rPr>
                <w:b/>
              </w:rPr>
              <w:t>Assumption</w:t>
            </w:r>
          </w:p>
        </w:tc>
        <w:tc>
          <w:tcPr>
            <w:tcW w:w="4706" w:type="dxa"/>
            <w:tcBorders>
              <w:bottom w:val="single" w:sz="2" w:space="0" w:color="auto"/>
            </w:tcBorders>
            <w:vAlign w:val="bottom"/>
          </w:tcPr>
          <w:p w14:paraId="44CEEBDE" w14:textId="77777777" w:rsidR="00773F7B" w:rsidRPr="00422360" w:rsidRDefault="00773F7B" w:rsidP="00773F7B">
            <w:pPr>
              <w:pStyle w:val="T2"/>
              <w:jc w:val="left"/>
              <w:rPr>
                <w:b/>
              </w:rPr>
            </w:pPr>
            <w:r w:rsidRPr="00422360">
              <w:rPr>
                <w:b/>
              </w:rPr>
              <w:t>Change in assumption</w:t>
            </w:r>
          </w:p>
        </w:tc>
        <w:tc>
          <w:tcPr>
            <w:tcW w:w="1075" w:type="dxa"/>
            <w:tcBorders>
              <w:bottom w:val="single" w:sz="2" w:space="0" w:color="auto"/>
            </w:tcBorders>
            <w:vAlign w:val="bottom"/>
          </w:tcPr>
          <w:p w14:paraId="513B7B2A" w14:textId="77777777" w:rsidR="00773F7B" w:rsidRDefault="00773F7B" w:rsidP="00773F7B">
            <w:pPr>
              <w:pStyle w:val="T2"/>
              <w:jc w:val="right"/>
              <w:rPr>
                <w:b/>
              </w:rPr>
            </w:pPr>
            <w:r w:rsidRPr="00422360">
              <w:rPr>
                <w:b/>
              </w:rPr>
              <w:t xml:space="preserve">UK </w:t>
            </w:r>
          </w:p>
          <w:p w14:paraId="71F0DA17"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3FEB8A68" w14:textId="77777777" w:rsidR="00773F7B" w:rsidRDefault="00773F7B" w:rsidP="00773F7B">
            <w:pPr>
              <w:pStyle w:val="T2"/>
              <w:jc w:val="right"/>
              <w:rPr>
                <w:b/>
              </w:rPr>
            </w:pPr>
            <w:r w:rsidRPr="00422360">
              <w:rPr>
                <w:b/>
              </w:rPr>
              <w:t xml:space="preserve">Irish </w:t>
            </w:r>
          </w:p>
          <w:p w14:paraId="4A29A0E8"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3A0EB80D" w14:textId="77777777" w:rsidR="00773F7B" w:rsidRPr="00422360" w:rsidRDefault="00773F7B" w:rsidP="00773F7B">
            <w:pPr>
              <w:pStyle w:val="T2"/>
              <w:jc w:val="right"/>
              <w:rPr>
                <w:b/>
              </w:rPr>
            </w:pPr>
            <w:r w:rsidRPr="00422360">
              <w:rPr>
                <w:b/>
              </w:rPr>
              <w:t xml:space="preserve"> Total </w:t>
            </w:r>
          </w:p>
        </w:tc>
      </w:tr>
      <w:tr w:rsidR="000948AD" w14:paraId="705BA02D" w14:textId="77777777" w:rsidTr="00592BB5">
        <w:trPr>
          <w:jc w:val="center"/>
        </w:trPr>
        <w:tc>
          <w:tcPr>
            <w:tcW w:w="1842" w:type="dxa"/>
            <w:tcBorders>
              <w:top w:val="single" w:sz="2" w:space="0" w:color="auto"/>
              <w:bottom w:val="single" w:sz="4" w:space="0" w:color="auto"/>
            </w:tcBorders>
            <w:vAlign w:val="bottom"/>
          </w:tcPr>
          <w:p w14:paraId="5D9E3512" w14:textId="77777777" w:rsidR="000948AD" w:rsidRPr="00422360" w:rsidRDefault="000948AD" w:rsidP="000948AD">
            <w:pPr>
              <w:pStyle w:val="T2"/>
              <w:jc w:val="left"/>
            </w:pPr>
            <w:r w:rsidRPr="00422360">
              <w:t>Change in bond yields</w:t>
            </w:r>
          </w:p>
        </w:tc>
        <w:tc>
          <w:tcPr>
            <w:tcW w:w="4706" w:type="dxa"/>
            <w:tcBorders>
              <w:top w:val="single" w:sz="2" w:space="0" w:color="auto"/>
              <w:bottom w:val="single" w:sz="4" w:space="0" w:color="auto"/>
            </w:tcBorders>
            <w:vAlign w:val="bottom"/>
          </w:tcPr>
          <w:p w14:paraId="1966C9C9" w14:textId="77777777" w:rsidR="000948AD" w:rsidRPr="00422360" w:rsidRDefault="000948AD" w:rsidP="000948AD">
            <w:pPr>
              <w:pStyle w:val="T2"/>
              <w:jc w:val="left"/>
            </w:pPr>
            <w:r w:rsidRPr="00422360">
              <w:t>Decrease by 0.5%</w:t>
            </w:r>
          </w:p>
        </w:tc>
        <w:tc>
          <w:tcPr>
            <w:tcW w:w="1075" w:type="dxa"/>
            <w:tcBorders>
              <w:top w:val="single" w:sz="2" w:space="0" w:color="auto"/>
              <w:bottom w:val="single" w:sz="4" w:space="0" w:color="auto"/>
            </w:tcBorders>
          </w:tcPr>
          <w:p w14:paraId="1757DA1F" w14:textId="77777777" w:rsidR="000948AD" w:rsidRPr="00422360" w:rsidRDefault="00FD7ED5" w:rsidP="000948AD">
            <w:pPr>
              <w:pStyle w:val="T2"/>
              <w:jc w:val="right"/>
            </w:pPr>
            <w:r>
              <w:rPr>
                <w:b/>
                <w:bCs/>
              </w:rPr>
              <w:t>23.0</w:t>
            </w:r>
          </w:p>
        </w:tc>
        <w:tc>
          <w:tcPr>
            <w:tcW w:w="1075" w:type="dxa"/>
            <w:tcBorders>
              <w:top w:val="single" w:sz="2" w:space="0" w:color="auto"/>
              <w:bottom w:val="single" w:sz="4" w:space="0" w:color="auto"/>
            </w:tcBorders>
          </w:tcPr>
          <w:p w14:paraId="20579049" w14:textId="77777777" w:rsidR="000948AD" w:rsidRPr="00422360" w:rsidRDefault="00B41C0F" w:rsidP="000948AD">
            <w:pPr>
              <w:pStyle w:val="T2"/>
              <w:jc w:val="right"/>
            </w:pPr>
            <w:r>
              <w:rPr>
                <w:b/>
                <w:bCs/>
              </w:rPr>
              <w:t>11.3</w:t>
            </w:r>
          </w:p>
        </w:tc>
        <w:tc>
          <w:tcPr>
            <w:tcW w:w="1075" w:type="dxa"/>
            <w:tcBorders>
              <w:top w:val="single" w:sz="2" w:space="0" w:color="auto"/>
              <w:bottom w:val="single" w:sz="4" w:space="0" w:color="auto"/>
            </w:tcBorders>
          </w:tcPr>
          <w:p w14:paraId="5A46FCC3" w14:textId="77777777" w:rsidR="000948AD" w:rsidRPr="00422360" w:rsidRDefault="00B41C0F" w:rsidP="000948AD">
            <w:pPr>
              <w:pStyle w:val="T2"/>
              <w:jc w:val="right"/>
            </w:pPr>
            <w:r>
              <w:rPr>
                <w:b/>
                <w:bCs/>
              </w:rPr>
              <w:t>34.3</w:t>
            </w:r>
          </w:p>
        </w:tc>
      </w:tr>
    </w:tbl>
    <w:p w14:paraId="061CC84D" w14:textId="77777777" w:rsidR="00773F7B" w:rsidRDefault="00773F7B" w:rsidP="00773F7B">
      <w:pPr>
        <w:spacing w:after="0" w:line="240" w:lineRule="auto"/>
        <w:rPr>
          <w:b/>
          <w:sz w:val="18"/>
          <w:szCs w:val="18"/>
        </w:rPr>
      </w:pPr>
    </w:p>
    <w:p w14:paraId="193CDF75" w14:textId="77777777" w:rsidR="007645C9" w:rsidRDefault="007645C9" w:rsidP="002902F4">
      <w:pPr>
        <w:tabs>
          <w:tab w:val="left" w:pos="1180"/>
        </w:tabs>
        <w:spacing w:after="0" w:line="240" w:lineRule="auto"/>
        <w:rPr>
          <w:b/>
          <w:sz w:val="18"/>
          <w:szCs w:val="18"/>
        </w:rPr>
      </w:pPr>
    </w:p>
    <w:p w14:paraId="4F5548CB" w14:textId="77777777" w:rsidR="00537E73" w:rsidRDefault="00537E73" w:rsidP="002902F4">
      <w:pPr>
        <w:tabs>
          <w:tab w:val="left" w:pos="1180"/>
        </w:tabs>
        <w:spacing w:after="0" w:line="240" w:lineRule="auto"/>
        <w:rPr>
          <w:b/>
          <w:sz w:val="18"/>
          <w:szCs w:val="18"/>
        </w:rPr>
      </w:pPr>
    </w:p>
    <w:p w14:paraId="15D683EB" w14:textId="77777777" w:rsidR="00773F7B" w:rsidRDefault="00773F7B" w:rsidP="005B3BEE">
      <w:pPr>
        <w:pStyle w:val="SectionH3"/>
      </w:pPr>
      <w:r>
        <w:t>1</w:t>
      </w:r>
      <w:r w:rsidR="00E126B5">
        <w:t>4</w:t>
      </w:r>
      <w:r w:rsidRPr="003232EE">
        <w:t>.</w:t>
      </w:r>
      <w:r w:rsidR="003F1160">
        <w:tab/>
      </w:r>
      <w:r w:rsidR="00C13F02">
        <w:t>D</w:t>
      </w:r>
      <w:r>
        <w:t>isposal of undertakings</w:t>
      </w:r>
      <w:r w:rsidR="00AE01B3">
        <w:t xml:space="preserve"> </w:t>
      </w:r>
    </w:p>
    <w:p w14:paraId="618F7EA0" w14:textId="77777777" w:rsidR="00773F7B" w:rsidRPr="00D13EF1" w:rsidRDefault="00746AA1" w:rsidP="00746AA1">
      <w:pPr>
        <w:pStyle w:val="SectionH3"/>
      </w:pPr>
      <w:r>
        <w:t>Molasses trading businesses</w:t>
      </w:r>
    </w:p>
    <w:p w14:paraId="58F99910" w14:textId="77777777" w:rsidR="00746AA1" w:rsidRDefault="00746AA1" w:rsidP="00CD1BE0">
      <w:pPr>
        <w:pStyle w:val="Paragraph"/>
        <w:spacing w:before="0" w:after="120"/>
        <w:jc w:val="both"/>
      </w:pPr>
      <w:r w:rsidRPr="00746AA1">
        <w:t>On 28 July 2020, the Group announced that it had entered into a conditional agreement to sell its interest in its molasses trading businesses</w:t>
      </w:r>
      <w:r>
        <w:t xml:space="preserve"> </w:t>
      </w:r>
      <w:r w:rsidRPr="00746AA1">
        <w:t>to United Molasses Marketing (Ireland) Limited and United Molasses Marketing Limited which includes Premier Molasses Company Limited</w:t>
      </w:r>
      <w:r>
        <w:t xml:space="preserve"> </w:t>
      </w:r>
      <w:r w:rsidRPr="00746AA1">
        <w:t>(‘Premier Molasses’) and United Molasses (Ireland) Limited (‘UMI’).</w:t>
      </w:r>
      <w:r w:rsidR="00CD1BE0" w:rsidRPr="00CD1BE0">
        <w:t xml:space="preserve"> </w:t>
      </w:r>
    </w:p>
    <w:p w14:paraId="7A71EBF3" w14:textId="77777777" w:rsidR="00C13F02" w:rsidRDefault="00746AA1" w:rsidP="00CD1BE0">
      <w:pPr>
        <w:pStyle w:val="Paragraph"/>
        <w:spacing w:before="0" w:after="120"/>
        <w:jc w:val="both"/>
      </w:pPr>
      <w:r w:rsidRPr="00746AA1">
        <w:t xml:space="preserve">At 25 September 2020, the disposal met the recognition criteria to be classified as held for sale under IFRS 5 </w:t>
      </w:r>
      <w:r w:rsidRPr="00AB30A2">
        <w:rPr>
          <w:i/>
        </w:rPr>
        <w:t>Non-Current Assets Held for Sale and Discontinued Operations</w:t>
      </w:r>
      <w:r w:rsidRPr="00746AA1">
        <w:t>. The businesses are not considered to be either separate major lines of business or geographical areas of operation</w:t>
      </w:r>
      <w:r>
        <w:t xml:space="preserve"> </w:t>
      </w:r>
      <w:r w:rsidRPr="00746AA1">
        <w:t>and therefore do not constitute discontinued operations as defined in IFRS 5.</w:t>
      </w:r>
      <w:r w:rsidR="00CD1BE0" w:rsidRPr="00CD1BE0">
        <w:t xml:space="preserve"> </w:t>
      </w:r>
      <w:r w:rsidR="00CD1BE0" w:rsidRPr="00746AA1">
        <w:t>Greencore’s molasses trading businesses are included within the Convenience Foods UK and Ireland reporting segment.</w:t>
      </w:r>
    </w:p>
    <w:p w14:paraId="7F75D41E" w14:textId="77777777" w:rsidR="00C13F02" w:rsidRDefault="00C13F02" w:rsidP="00C13F02">
      <w:pPr>
        <w:autoSpaceDE w:val="0"/>
        <w:autoSpaceDN w:val="0"/>
        <w:adjustRightInd w:val="0"/>
        <w:spacing w:after="0" w:line="240" w:lineRule="auto"/>
        <w:jc w:val="both"/>
        <w:rPr>
          <w:sz w:val="18"/>
          <w:szCs w:val="18"/>
        </w:rPr>
      </w:pPr>
      <w:r>
        <w:rPr>
          <w:sz w:val="18"/>
          <w:szCs w:val="18"/>
        </w:rPr>
        <w:t xml:space="preserve">On 25 November 2020, the Group received the final approval of the relevant anti-trust authorities and the transaction </w:t>
      </w:r>
      <w:r w:rsidR="00AB30A2">
        <w:rPr>
          <w:sz w:val="18"/>
          <w:szCs w:val="18"/>
        </w:rPr>
        <w:t>settled</w:t>
      </w:r>
      <w:r>
        <w:rPr>
          <w:sz w:val="18"/>
          <w:szCs w:val="18"/>
        </w:rPr>
        <w:t xml:space="preserve"> on 2 December 2020. </w:t>
      </w:r>
    </w:p>
    <w:p w14:paraId="66577310" w14:textId="77777777" w:rsidR="00DE6C14" w:rsidRDefault="00DE6C14" w:rsidP="00CD1BE0">
      <w:pPr>
        <w:spacing w:after="0" w:line="240" w:lineRule="auto"/>
        <w:rPr>
          <w:b/>
          <w:sz w:val="18"/>
          <w:szCs w:val="18"/>
        </w:rPr>
      </w:pPr>
    </w:p>
    <w:p w14:paraId="43E629DE" w14:textId="77777777" w:rsidR="00765C2C" w:rsidRDefault="00C13F02" w:rsidP="00CD1BE0">
      <w:pPr>
        <w:spacing w:after="0" w:line="240" w:lineRule="auto"/>
        <w:rPr>
          <w:b/>
          <w:sz w:val="18"/>
          <w:szCs w:val="18"/>
        </w:rPr>
      </w:pPr>
      <w:r>
        <w:rPr>
          <w:b/>
          <w:sz w:val="18"/>
          <w:szCs w:val="18"/>
        </w:rPr>
        <w:t>Effect of disposal on the financial statements</w:t>
      </w:r>
    </w:p>
    <w:p w14:paraId="6FE1098E" w14:textId="77777777" w:rsidR="00CD1BE0" w:rsidRDefault="00CD1BE0" w:rsidP="00CD1BE0">
      <w:pPr>
        <w:spacing w:after="0" w:line="240" w:lineRule="auto"/>
        <w:rPr>
          <w:b/>
          <w:sz w:val="18"/>
          <w:szCs w:val="18"/>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344"/>
        <w:gridCol w:w="1344"/>
        <w:gridCol w:w="1393"/>
      </w:tblGrid>
      <w:tr w:rsidR="00FD7ED5" w14:paraId="177B3557" w14:textId="77777777" w:rsidTr="00EA17C6">
        <w:tc>
          <w:tcPr>
            <w:tcW w:w="5665" w:type="dxa"/>
          </w:tcPr>
          <w:p w14:paraId="2738799C" w14:textId="77777777" w:rsidR="00FD7ED5" w:rsidRDefault="00FD7ED5" w:rsidP="00CD1BE0">
            <w:pPr>
              <w:rPr>
                <w:b/>
                <w:sz w:val="18"/>
                <w:szCs w:val="18"/>
              </w:rPr>
            </w:pPr>
          </w:p>
        </w:tc>
        <w:tc>
          <w:tcPr>
            <w:tcW w:w="4081" w:type="dxa"/>
            <w:gridSpan w:val="3"/>
          </w:tcPr>
          <w:p w14:paraId="3C9E143D" w14:textId="77777777" w:rsidR="00FD7ED5" w:rsidRDefault="00FD7ED5" w:rsidP="00FD7ED5">
            <w:pPr>
              <w:jc w:val="center"/>
              <w:rPr>
                <w:b/>
                <w:sz w:val="18"/>
                <w:szCs w:val="18"/>
              </w:rPr>
            </w:pPr>
            <w:r>
              <w:rPr>
                <w:b/>
                <w:sz w:val="18"/>
                <w:szCs w:val="18"/>
              </w:rPr>
              <w:t>Half Year 2021</w:t>
            </w:r>
          </w:p>
        </w:tc>
      </w:tr>
      <w:tr w:rsidR="00FD7ED5" w14:paraId="0EEB9298" w14:textId="77777777" w:rsidTr="00FD7ED5">
        <w:tc>
          <w:tcPr>
            <w:tcW w:w="5665" w:type="dxa"/>
            <w:tcBorders>
              <w:bottom w:val="single" w:sz="4" w:space="0" w:color="auto"/>
            </w:tcBorders>
          </w:tcPr>
          <w:p w14:paraId="6CBA0187" w14:textId="77777777" w:rsidR="00FD7ED5" w:rsidRDefault="00FD7ED5" w:rsidP="00CD1BE0">
            <w:pPr>
              <w:rPr>
                <w:b/>
                <w:sz w:val="18"/>
                <w:szCs w:val="18"/>
              </w:rPr>
            </w:pPr>
          </w:p>
        </w:tc>
        <w:tc>
          <w:tcPr>
            <w:tcW w:w="1344" w:type="dxa"/>
            <w:tcBorders>
              <w:bottom w:val="single" w:sz="4" w:space="0" w:color="auto"/>
            </w:tcBorders>
            <w:vAlign w:val="bottom"/>
          </w:tcPr>
          <w:p w14:paraId="36D9775A" w14:textId="77777777" w:rsidR="00FD7ED5" w:rsidRDefault="00FD7ED5" w:rsidP="00FD7ED5">
            <w:pPr>
              <w:jc w:val="right"/>
              <w:rPr>
                <w:b/>
                <w:sz w:val="18"/>
                <w:szCs w:val="18"/>
              </w:rPr>
            </w:pPr>
            <w:r>
              <w:rPr>
                <w:b/>
                <w:sz w:val="18"/>
                <w:szCs w:val="18"/>
              </w:rPr>
              <w:t>Premier Molasses</w:t>
            </w:r>
          </w:p>
          <w:p w14:paraId="4FC49355" w14:textId="77777777" w:rsidR="00FD7ED5" w:rsidRDefault="00FD7ED5" w:rsidP="00FD7ED5">
            <w:pPr>
              <w:jc w:val="right"/>
              <w:rPr>
                <w:b/>
                <w:sz w:val="18"/>
                <w:szCs w:val="18"/>
              </w:rPr>
            </w:pPr>
            <w:r>
              <w:rPr>
                <w:b/>
                <w:sz w:val="18"/>
                <w:szCs w:val="18"/>
              </w:rPr>
              <w:t>£m</w:t>
            </w:r>
          </w:p>
        </w:tc>
        <w:tc>
          <w:tcPr>
            <w:tcW w:w="1344" w:type="dxa"/>
            <w:tcBorders>
              <w:bottom w:val="single" w:sz="4" w:space="0" w:color="auto"/>
            </w:tcBorders>
            <w:vAlign w:val="bottom"/>
          </w:tcPr>
          <w:p w14:paraId="43550356" w14:textId="77777777" w:rsidR="00FD7ED5" w:rsidRDefault="00FD7ED5" w:rsidP="00FD7ED5">
            <w:pPr>
              <w:jc w:val="right"/>
              <w:rPr>
                <w:b/>
                <w:sz w:val="18"/>
                <w:szCs w:val="18"/>
              </w:rPr>
            </w:pPr>
            <w:r>
              <w:rPr>
                <w:b/>
                <w:sz w:val="18"/>
                <w:szCs w:val="18"/>
              </w:rPr>
              <w:t>UMI</w:t>
            </w:r>
          </w:p>
          <w:p w14:paraId="2F6DE3D1" w14:textId="77777777" w:rsidR="00FD7ED5" w:rsidRDefault="00FD7ED5" w:rsidP="00FD7ED5">
            <w:pPr>
              <w:jc w:val="right"/>
              <w:rPr>
                <w:b/>
                <w:sz w:val="18"/>
                <w:szCs w:val="18"/>
              </w:rPr>
            </w:pPr>
            <w:r>
              <w:rPr>
                <w:b/>
                <w:sz w:val="18"/>
                <w:szCs w:val="18"/>
              </w:rPr>
              <w:t>£m</w:t>
            </w:r>
          </w:p>
        </w:tc>
        <w:tc>
          <w:tcPr>
            <w:tcW w:w="1393" w:type="dxa"/>
            <w:tcBorders>
              <w:bottom w:val="single" w:sz="4" w:space="0" w:color="auto"/>
            </w:tcBorders>
            <w:vAlign w:val="bottom"/>
          </w:tcPr>
          <w:p w14:paraId="25C9A025" w14:textId="77777777" w:rsidR="00FD7ED5" w:rsidRDefault="00FD7ED5" w:rsidP="00FD7ED5">
            <w:pPr>
              <w:jc w:val="right"/>
              <w:rPr>
                <w:b/>
                <w:sz w:val="18"/>
                <w:szCs w:val="18"/>
              </w:rPr>
            </w:pPr>
            <w:r>
              <w:rPr>
                <w:b/>
                <w:sz w:val="18"/>
                <w:szCs w:val="18"/>
              </w:rPr>
              <w:t xml:space="preserve">Total </w:t>
            </w:r>
          </w:p>
          <w:p w14:paraId="43116F67" w14:textId="77777777" w:rsidR="00FD7ED5" w:rsidRDefault="00FD7ED5" w:rsidP="00FD7ED5">
            <w:pPr>
              <w:jc w:val="right"/>
              <w:rPr>
                <w:b/>
                <w:sz w:val="18"/>
                <w:szCs w:val="18"/>
              </w:rPr>
            </w:pPr>
            <w:r>
              <w:rPr>
                <w:b/>
                <w:sz w:val="18"/>
                <w:szCs w:val="18"/>
              </w:rPr>
              <w:t>£m</w:t>
            </w:r>
          </w:p>
        </w:tc>
      </w:tr>
      <w:tr w:rsidR="00FD7ED5" w14:paraId="2F905F54" w14:textId="77777777" w:rsidTr="00FD7ED5">
        <w:tc>
          <w:tcPr>
            <w:tcW w:w="5665" w:type="dxa"/>
            <w:tcBorders>
              <w:top w:val="single" w:sz="4" w:space="0" w:color="auto"/>
            </w:tcBorders>
          </w:tcPr>
          <w:p w14:paraId="7E639254" w14:textId="77777777" w:rsidR="00FD7ED5" w:rsidRPr="00CD1BE0" w:rsidRDefault="00FD7ED5" w:rsidP="00A86FE7">
            <w:pPr>
              <w:rPr>
                <w:sz w:val="18"/>
                <w:szCs w:val="18"/>
              </w:rPr>
            </w:pPr>
            <w:r w:rsidRPr="00CD1BE0">
              <w:rPr>
                <w:sz w:val="18"/>
                <w:szCs w:val="18"/>
              </w:rPr>
              <w:t>Property</w:t>
            </w:r>
            <w:r>
              <w:rPr>
                <w:sz w:val="18"/>
                <w:szCs w:val="18"/>
              </w:rPr>
              <w:t>, plant and equipment</w:t>
            </w:r>
            <w:r w:rsidRPr="00CD1BE0">
              <w:rPr>
                <w:sz w:val="18"/>
                <w:szCs w:val="18"/>
              </w:rPr>
              <w:t xml:space="preserve"> </w:t>
            </w:r>
          </w:p>
        </w:tc>
        <w:tc>
          <w:tcPr>
            <w:tcW w:w="1344" w:type="dxa"/>
            <w:tcBorders>
              <w:top w:val="single" w:sz="4" w:space="0" w:color="auto"/>
            </w:tcBorders>
          </w:tcPr>
          <w:p w14:paraId="4CF19ACC" w14:textId="77777777" w:rsidR="00FD7ED5" w:rsidRPr="00646771" w:rsidRDefault="00FD7ED5" w:rsidP="00A86FE7">
            <w:pPr>
              <w:jc w:val="right"/>
              <w:rPr>
                <w:b/>
                <w:sz w:val="18"/>
                <w:szCs w:val="18"/>
              </w:rPr>
            </w:pPr>
            <w:r w:rsidRPr="00646771">
              <w:rPr>
                <w:b/>
                <w:sz w:val="18"/>
                <w:szCs w:val="18"/>
              </w:rPr>
              <w:t>(3.3)</w:t>
            </w:r>
          </w:p>
        </w:tc>
        <w:tc>
          <w:tcPr>
            <w:tcW w:w="1344" w:type="dxa"/>
            <w:tcBorders>
              <w:top w:val="single" w:sz="4" w:space="0" w:color="auto"/>
            </w:tcBorders>
          </w:tcPr>
          <w:p w14:paraId="6BCC6EBB" w14:textId="77777777" w:rsidR="00FD7ED5" w:rsidRPr="00646771" w:rsidRDefault="00646771" w:rsidP="00A86FE7">
            <w:pPr>
              <w:jc w:val="right"/>
              <w:rPr>
                <w:b/>
                <w:sz w:val="18"/>
                <w:szCs w:val="18"/>
              </w:rPr>
            </w:pPr>
            <w:r w:rsidRPr="00646771">
              <w:rPr>
                <w:b/>
                <w:bCs/>
                <w:sz w:val="18"/>
                <w:szCs w:val="18"/>
              </w:rPr>
              <w:t>–</w:t>
            </w:r>
          </w:p>
        </w:tc>
        <w:tc>
          <w:tcPr>
            <w:tcW w:w="1393" w:type="dxa"/>
            <w:tcBorders>
              <w:top w:val="single" w:sz="4" w:space="0" w:color="auto"/>
            </w:tcBorders>
          </w:tcPr>
          <w:p w14:paraId="1CC0E7FC" w14:textId="77777777" w:rsidR="00FD7ED5" w:rsidRPr="00646771" w:rsidRDefault="00FD7ED5" w:rsidP="00A86FE7">
            <w:pPr>
              <w:jc w:val="right"/>
              <w:rPr>
                <w:b/>
                <w:sz w:val="18"/>
                <w:szCs w:val="18"/>
              </w:rPr>
            </w:pPr>
            <w:r w:rsidRPr="00646771">
              <w:rPr>
                <w:b/>
                <w:sz w:val="18"/>
                <w:szCs w:val="18"/>
              </w:rPr>
              <w:t>(3.3)</w:t>
            </w:r>
          </w:p>
        </w:tc>
      </w:tr>
      <w:tr w:rsidR="00FD7ED5" w14:paraId="65B5B3ED" w14:textId="77777777" w:rsidTr="00FD7ED5">
        <w:tc>
          <w:tcPr>
            <w:tcW w:w="5665" w:type="dxa"/>
          </w:tcPr>
          <w:p w14:paraId="50A5D682" w14:textId="77777777" w:rsidR="00FD7ED5" w:rsidRPr="00CD1BE0" w:rsidRDefault="00FD7ED5" w:rsidP="00A86FE7">
            <w:pPr>
              <w:rPr>
                <w:sz w:val="18"/>
                <w:szCs w:val="18"/>
              </w:rPr>
            </w:pPr>
            <w:r>
              <w:rPr>
                <w:sz w:val="18"/>
                <w:szCs w:val="18"/>
              </w:rPr>
              <w:lastRenderedPageBreak/>
              <w:t>Right-to-use assets</w:t>
            </w:r>
          </w:p>
        </w:tc>
        <w:tc>
          <w:tcPr>
            <w:tcW w:w="1344" w:type="dxa"/>
          </w:tcPr>
          <w:p w14:paraId="05230D86" w14:textId="77777777" w:rsidR="00FD7ED5" w:rsidRPr="00646771" w:rsidRDefault="00FD7ED5" w:rsidP="00A86FE7">
            <w:pPr>
              <w:jc w:val="right"/>
              <w:rPr>
                <w:b/>
                <w:sz w:val="18"/>
                <w:szCs w:val="18"/>
              </w:rPr>
            </w:pPr>
            <w:r w:rsidRPr="00646771">
              <w:rPr>
                <w:b/>
                <w:sz w:val="18"/>
                <w:szCs w:val="18"/>
              </w:rPr>
              <w:t>(0.7)</w:t>
            </w:r>
          </w:p>
        </w:tc>
        <w:tc>
          <w:tcPr>
            <w:tcW w:w="1344" w:type="dxa"/>
          </w:tcPr>
          <w:p w14:paraId="2CCA8E6B" w14:textId="77777777" w:rsidR="00FD7ED5" w:rsidRPr="00646771" w:rsidRDefault="00646771" w:rsidP="00A86FE7">
            <w:pPr>
              <w:jc w:val="right"/>
              <w:rPr>
                <w:b/>
                <w:sz w:val="18"/>
                <w:szCs w:val="18"/>
              </w:rPr>
            </w:pPr>
            <w:r w:rsidRPr="00646771">
              <w:rPr>
                <w:b/>
                <w:bCs/>
                <w:sz w:val="18"/>
                <w:szCs w:val="18"/>
              </w:rPr>
              <w:t>–</w:t>
            </w:r>
          </w:p>
        </w:tc>
        <w:tc>
          <w:tcPr>
            <w:tcW w:w="1393" w:type="dxa"/>
          </w:tcPr>
          <w:p w14:paraId="71C6764F" w14:textId="77777777" w:rsidR="00FD7ED5" w:rsidRPr="00646771" w:rsidRDefault="00FD7ED5" w:rsidP="00A86FE7">
            <w:pPr>
              <w:jc w:val="right"/>
              <w:rPr>
                <w:b/>
                <w:sz w:val="18"/>
                <w:szCs w:val="18"/>
              </w:rPr>
            </w:pPr>
            <w:r w:rsidRPr="00646771">
              <w:rPr>
                <w:b/>
                <w:sz w:val="18"/>
                <w:szCs w:val="18"/>
              </w:rPr>
              <w:t>(0.7)</w:t>
            </w:r>
          </w:p>
        </w:tc>
      </w:tr>
      <w:tr w:rsidR="00FD7ED5" w14:paraId="73805BD0" w14:textId="77777777" w:rsidTr="00FD7ED5">
        <w:tc>
          <w:tcPr>
            <w:tcW w:w="5665" w:type="dxa"/>
          </w:tcPr>
          <w:p w14:paraId="06C4756D" w14:textId="77777777" w:rsidR="00FD7ED5" w:rsidRDefault="00FD7ED5" w:rsidP="00A86FE7">
            <w:pPr>
              <w:rPr>
                <w:sz w:val="18"/>
                <w:szCs w:val="18"/>
              </w:rPr>
            </w:pPr>
            <w:r>
              <w:rPr>
                <w:sz w:val="18"/>
                <w:szCs w:val="18"/>
              </w:rPr>
              <w:t>Investment in Associate</w:t>
            </w:r>
          </w:p>
        </w:tc>
        <w:tc>
          <w:tcPr>
            <w:tcW w:w="1344" w:type="dxa"/>
          </w:tcPr>
          <w:p w14:paraId="39D98069" w14:textId="77777777" w:rsidR="00FD7ED5" w:rsidRPr="00646771" w:rsidRDefault="00FD7ED5" w:rsidP="00A86FE7">
            <w:pPr>
              <w:jc w:val="right"/>
              <w:rPr>
                <w:b/>
                <w:sz w:val="18"/>
                <w:szCs w:val="18"/>
              </w:rPr>
            </w:pPr>
            <w:r w:rsidRPr="00646771">
              <w:rPr>
                <w:b/>
                <w:bCs/>
                <w:sz w:val="18"/>
                <w:szCs w:val="18"/>
              </w:rPr>
              <w:t>–</w:t>
            </w:r>
          </w:p>
        </w:tc>
        <w:tc>
          <w:tcPr>
            <w:tcW w:w="1344" w:type="dxa"/>
          </w:tcPr>
          <w:p w14:paraId="681FFD41" w14:textId="77777777" w:rsidR="00FD7ED5" w:rsidRPr="00646771" w:rsidRDefault="00646771" w:rsidP="00A86FE7">
            <w:pPr>
              <w:jc w:val="right"/>
              <w:rPr>
                <w:b/>
                <w:sz w:val="18"/>
                <w:szCs w:val="18"/>
              </w:rPr>
            </w:pPr>
            <w:r w:rsidRPr="00646771">
              <w:rPr>
                <w:b/>
                <w:sz w:val="18"/>
                <w:szCs w:val="18"/>
              </w:rPr>
              <w:t>(1.5)</w:t>
            </w:r>
          </w:p>
        </w:tc>
        <w:tc>
          <w:tcPr>
            <w:tcW w:w="1393" w:type="dxa"/>
          </w:tcPr>
          <w:p w14:paraId="2E43A0E6" w14:textId="77777777" w:rsidR="00FD7ED5" w:rsidRPr="00646771" w:rsidRDefault="00FD7ED5" w:rsidP="00A86FE7">
            <w:pPr>
              <w:jc w:val="right"/>
              <w:rPr>
                <w:b/>
                <w:sz w:val="18"/>
                <w:szCs w:val="18"/>
              </w:rPr>
            </w:pPr>
            <w:r w:rsidRPr="00646771">
              <w:rPr>
                <w:b/>
                <w:sz w:val="18"/>
                <w:szCs w:val="18"/>
              </w:rPr>
              <w:t>(1.5)</w:t>
            </w:r>
          </w:p>
        </w:tc>
      </w:tr>
      <w:tr w:rsidR="00FD7ED5" w14:paraId="69BE76EF" w14:textId="77777777" w:rsidTr="00FD7ED5">
        <w:tc>
          <w:tcPr>
            <w:tcW w:w="5665" w:type="dxa"/>
          </w:tcPr>
          <w:p w14:paraId="1E4F269D" w14:textId="77777777" w:rsidR="00FD7ED5" w:rsidRPr="00CD1BE0" w:rsidRDefault="00FD7ED5" w:rsidP="00A86FE7">
            <w:pPr>
              <w:rPr>
                <w:sz w:val="18"/>
                <w:szCs w:val="18"/>
              </w:rPr>
            </w:pPr>
            <w:r>
              <w:rPr>
                <w:sz w:val="18"/>
                <w:szCs w:val="18"/>
              </w:rPr>
              <w:t>Inventories</w:t>
            </w:r>
          </w:p>
        </w:tc>
        <w:tc>
          <w:tcPr>
            <w:tcW w:w="1344" w:type="dxa"/>
          </w:tcPr>
          <w:p w14:paraId="5D8905D0" w14:textId="77777777" w:rsidR="00FD7ED5" w:rsidRPr="00646771" w:rsidRDefault="00FD7ED5" w:rsidP="00A86FE7">
            <w:pPr>
              <w:jc w:val="right"/>
              <w:rPr>
                <w:b/>
                <w:sz w:val="18"/>
                <w:szCs w:val="18"/>
              </w:rPr>
            </w:pPr>
            <w:r w:rsidRPr="00646771">
              <w:rPr>
                <w:b/>
                <w:sz w:val="18"/>
                <w:szCs w:val="18"/>
              </w:rPr>
              <w:t>(4.3)</w:t>
            </w:r>
          </w:p>
        </w:tc>
        <w:tc>
          <w:tcPr>
            <w:tcW w:w="1344" w:type="dxa"/>
          </w:tcPr>
          <w:p w14:paraId="6CB0DFEA" w14:textId="77777777" w:rsidR="00FD7ED5" w:rsidRPr="00646771" w:rsidRDefault="00646771" w:rsidP="00A86FE7">
            <w:pPr>
              <w:jc w:val="right"/>
              <w:rPr>
                <w:b/>
                <w:sz w:val="18"/>
                <w:szCs w:val="18"/>
              </w:rPr>
            </w:pPr>
            <w:r w:rsidRPr="00646771">
              <w:rPr>
                <w:b/>
                <w:bCs/>
                <w:sz w:val="18"/>
                <w:szCs w:val="18"/>
              </w:rPr>
              <w:t>–</w:t>
            </w:r>
          </w:p>
        </w:tc>
        <w:tc>
          <w:tcPr>
            <w:tcW w:w="1393" w:type="dxa"/>
          </w:tcPr>
          <w:p w14:paraId="588B0EAA" w14:textId="77777777" w:rsidR="00FD7ED5" w:rsidRPr="00646771" w:rsidRDefault="00FD7ED5" w:rsidP="00A86FE7">
            <w:pPr>
              <w:jc w:val="right"/>
              <w:rPr>
                <w:b/>
                <w:sz w:val="18"/>
                <w:szCs w:val="18"/>
              </w:rPr>
            </w:pPr>
            <w:r w:rsidRPr="00646771">
              <w:rPr>
                <w:b/>
                <w:sz w:val="18"/>
                <w:szCs w:val="18"/>
              </w:rPr>
              <w:t>(4.3)</w:t>
            </w:r>
          </w:p>
        </w:tc>
      </w:tr>
      <w:tr w:rsidR="00FD7ED5" w14:paraId="0E489900" w14:textId="77777777" w:rsidTr="00FD7ED5">
        <w:tc>
          <w:tcPr>
            <w:tcW w:w="5665" w:type="dxa"/>
          </w:tcPr>
          <w:p w14:paraId="4AE58D3C" w14:textId="77777777" w:rsidR="00FD7ED5" w:rsidRPr="00CD1BE0" w:rsidRDefault="00FD7ED5" w:rsidP="00A86FE7">
            <w:pPr>
              <w:rPr>
                <w:sz w:val="18"/>
                <w:szCs w:val="18"/>
              </w:rPr>
            </w:pPr>
            <w:r>
              <w:rPr>
                <w:sz w:val="18"/>
                <w:szCs w:val="18"/>
              </w:rPr>
              <w:t>Trade and other receivables</w:t>
            </w:r>
          </w:p>
        </w:tc>
        <w:tc>
          <w:tcPr>
            <w:tcW w:w="1344" w:type="dxa"/>
          </w:tcPr>
          <w:p w14:paraId="63680B8A" w14:textId="77777777" w:rsidR="00FD7ED5" w:rsidRPr="00646771" w:rsidRDefault="00FD7ED5" w:rsidP="00A86FE7">
            <w:pPr>
              <w:jc w:val="right"/>
              <w:rPr>
                <w:b/>
                <w:sz w:val="18"/>
                <w:szCs w:val="18"/>
              </w:rPr>
            </w:pPr>
            <w:r w:rsidRPr="00646771">
              <w:rPr>
                <w:b/>
                <w:sz w:val="18"/>
                <w:szCs w:val="18"/>
              </w:rPr>
              <w:t>(3.7)</w:t>
            </w:r>
          </w:p>
        </w:tc>
        <w:tc>
          <w:tcPr>
            <w:tcW w:w="1344" w:type="dxa"/>
          </w:tcPr>
          <w:p w14:paraId="298F97AF" w14:textId="77777777" w:rsidR="00FD7ED5" w:rsidRPr="00646771" w:rsidRDefault="00646771" w:rsidP="00A86FE7">
            <w:pPr>
              <w:jc w:val="right"/>
              <w:rPr>
                <w:b/>
                <w:sz w:val="18"/>
                <w:szCs w:val="18"/>
              </w:rPr>
            </w:pPr>
            <w:r w:rsidRPr="00646771">
              <w:rPr>
                <w:b/>
                <w:bCs/>
                <w:sz w:val="18"/>
                <w:szCs w:val="18"/>
              </w:rPr>
              <w:t>–</w:t>
            </w:r>
          </w:p>
        </w:tc>
        <w:tc>
          <w:tcPr>
            <w:tcW w:w="1393" w:type="dxa"/>
          </w:tcPr>
          <w:p w14:paraId="04BAD34B" w14:textId="77777777" w:rsidR="00FD7ED5" w:rsidRPr="00646771" w:rsidRDefault="00FD7ED5" w:rsidP="00A86FE7">
            <w:pPr>
              <w:jc w:val="right"/>
              <w:rPr>
                <w:b/>
                <w:sz w:val="18"/>
                <w:szCs w:val="18"/>
              </w:rPr>
            </w:pPr>
            <w:r w:rsidRPr="00646771">
              <w:rPr>
                <w:b/>
                <w:sz w:val="18"/>
                <w:szCs w:val="18"/>
              </w:rPr>
              <w:t>(3.7)</w:t>
            </w:r>
          </w:p>
        </w:tc>
      </w:tr>
      <w:tr w:rsidR="00FD7ED5" w14:paraId="4D84B8AF" w14:textId="77777777" w:rsidTr="00FD7ED5">
        <w:tc>
          <w:tcPr>
            <w:tcW w:w="5665" w:type="dxa"/>
          </w:tcPr>
          <w:p w14:paraId="122243AF" w14:textId="77777777" w:rsidR="00FD7ED5" w:rsidRDefault="00FD7ED5" w:rsidP="00A86FE7">
            <w:pPr>
              <w:rPr>
                <w:sz w:val="18"/>
                <w:szCs w:val="18"/>
              </w:rPr>
            </w:pPr>
            <w:r>
              <w:rPr>
                <w:sz w:val="18"/>
                <w:szCs w:val="18"/>
              </w:rPr>
              <w:t>Cash and cash equivalents</w:t>
            </w:r>
          </w:p>
        </w:tc>
        <w:tc>
          <w:tcPr>
            <w:tcW w:w="1344" w:type="dxa"/>
          </w:tcPr>
          <w:p w14:paraId="478B4A45" w14:textId="77777777" w:rsidR="00FD7ED5" w:rsidRPr="00646771" w:rsidRDefault="00FD7ED5" w:rsidP="00A86FE7">
            <w:pPr>
              <w:jc w:val="right"/>
              <w:rPr>
                <w:b/>
                <w:sz w:val="18"/>
                <w:szCs w:val="18"/>
              </w:rPr>
            </w:pPr>
            <w:r w:rsidRPr="00646771">
              <w:rPr>
                <w:b/>
                <w:sz w:val="18"/>
                <w:szCs w:val="18"/>
              </w:rPr>
              <w:t>(1.5)</w:t>
            </w:r>
          </w:p>
        </w:tc>
        <w:tc>
          <w:tcPr>
            <w:tcW w:w="1344" w:type="dxa"/>
          </w:tcPr>
          <w:p w14:paraId="45AD0DA9" w14:textId="77777777" w:rsidR="00FD7ED5" w:rsidRPr="00646771" w:rsidRDefault="00646771" w:rsidP="00A86FE7">
            <w:pPr>
              <w:jc w:val="right"/>
              <w:rPr>
                <w:b/>
                <w:sz w:val="18"/>
                <w:szCs w:val="18"/>
              </w:rPr>
            </w:pPr>
            <w:r w:rsidRPr="00646771">
              <w:rPr>
                <w:b/>
                <w:bCs/>
                <w:sz w:val="18"/>
                <w:szCs w:val="18"/>
              </w:rPr>
              <w:t>–</w:t>
            </w:r>
          </w:p>
        </w:tc>
        <w:tc>
          <w:tcPr>
            <w:tcW w:w="1393" w:type="dxa"/>
          </w:tcPr>
          <w:p w14:paraId="1AF1E902" w14:textId="77777777" w:rsidR="00FD7ED5" w:rsidRPr="00646771" w:rsidRDefault="00FD7ED5" w:rsidP="00A86FE7">
            <w:pPr>
              <w:jc w:val="right"/>
              <w:rPr>
                <w:b/>
                <w:sz w:val="18"/>
                <w:szCs w:val="18"/>
              </w:rPr>
            </w:pPr>
            <w:r w:rsidRPr="00646771">
              <w:rPr>
                <w:b/>
                <w:sz w:val="18"/>
                <w:szCs w:val="18"/>
              </w:rPr>
              <w:t>(1.5)</w:t>
            </w:r>
          </w:p>
        </w:tc>
      </w:tr>
      <w:tr w:rsidR="00FD7ED5" w14:paraId="7DF573B5" w14:textId="77777777" w:rsidTr="00FD7ED5">
        <w:tc>
          <w:tcPr>
            <w:tcW w:w="5665" w:type="dxa"/>
          </w:tcPr>
          <w:p w14:paraId="77ADEBEF" w14:textId="77777777" w:rsidR="00FD7ED5" w:rsidRPr="00CD1BE0" w:rsidRDefault="00FD7ED5" w:rsidP="00A86FE7">
            <w:pPr>
              <w:rPr>
                <w:sz w:val="18"/>
                <w:szCs w:val="18"/>
              </w:rPr>
            </w:pPr>
            <w:r>
              <w:rPr>
                <w:sz w:val="18"/>
                <w:szCs w:val="18"/>
              </w:rPr>
              <w:t>Trade and other payables</w:t>
            </w:r>
          </w:p>
        </w:tc>
        <w:tc>
          <w:tcPr>
            <w:tcW w:w="1344" w:type="dxa"/>
          </w:tcPr>
          <w:p w14:paraId="66413246" w14:textId="77777777" w:rsidR="00FD7ED5" w:rsidRPr="00646771" w:rsidRDefault="00FD7ED5" w:rsidP="00A86FE7">
            <w:pPr>
              <w:jc w:val="right"/>
              <w:rPr>
                <w:b/>
                <w:sz w:val="18"/>
                <w:szCs w:val="18"/>
              </w:rPr>
            </w:pPr>
            <w:r w:rsidRPr="00646771">
              <w:rPr>
                <w:b/>
                <w:sz w:val="18"/>
                <w:szCs w:val="18"/>
              </w:rPr>
              <w:t>0.8</w:t>
            </w:r>
          </w:p>
        </w:tc>
        <w:tc>
          <w:tcPr>
            <w:tcW w:w="1344" w:type="dxa"/>
          </w:tcPr>
          <w:p w14:paraId="6E328A68" w14:textId="77777777" w:rsidR="00FD7ED5" w:rsidRPr="00646771" w:rsidRDefault="00646771" w:rsidP="00A86FE7">
            <w:pPr>
              <w:jc w:val="right"/>
              <w:rPr>
                <w:b/>
                <w:sz w:val="18"/>
                <w:szCs w:val="18"/>
              </w:rPr>
            </w:pPr>
            <w:r w:rsidRPr="00646771">
              <w:rPr>
                <w:b/>
                <w:bCs/>
                <w:sz w:val="18"/>
                <w:szCs w:val="18"/>
              </w:rPr>
              <w:t>–</w:t>
            </w:r>
          </w:p>
        </w:tc>
        <w:tc>
          <w:tcPr>
            <w:tcW w:w="1393" w:type="dxa"/>
          </w:tcPr>
          <w:p w14:paraId="23F4B5F6" w14:textId="77777777" w:rsidR="00FD7ED5" w:rsidRPr="00646771" w:rsidRDefault="00FD7ED5" w:rsidP="00A86FE7">
            <w:pPr>
              <w:jc w:val="right"/>
              <w:rPr>
                <w:b/>
                <w:sz w:val="18"/>
                <w:szCs w:val="18"/>
              </w:rPr>
            </w:pPr>
            <w:r w:rsidRPr="00646771">
              <w:rPr>
                <w:b/>
                <w:sz w:val="18"/>
                <w:szCs w:val="18"/>
              </w:rPr>
              <w:t>0.8</w:t>
            </w:r>
          </w:p>
        </w:tc>
      </w:tr>
      <w:tr w:rsidR="00FD7ED5" w14:paraId="758A1C16" w14:textId="77777777" w:rsidTr="00FD7ED5">
        <w:tc>
          <w:tcPr>
            <w:tcW w:w="5665" w:type="dxa"/>
          </w:tcPr>
          <w:p w14:paraId="4C64E2AF" w14:textId="77777777" w:rsidR="00FD7ED5" w:rsidRPr="00CD1BE0" w:rsidRDefault="00FD7ED5" w:rsidP="00A86FE7">
            <w:pPr>
              <w:rPr>
                <w:sz w:val="18"/>
                <w:szCs w:val="18"/>
              </w:rPr>
            </w:pPr>
            <w:r>
              <w:rPr>
                <w:sz w:val="18"/>
                <w:szCs w:val="18"/>
              </w:rPr>
              <w:t>Deferred tax liability</w:t>
            </w:r>
          </w:p>
        </w:tc>
        <w:tc>
          <w:tcPr>
            <w:tcW w:w="1344" w:type="dxa"/>
          </w:tcPr>
          <w:p w14:paraId="55593E32" w14:textId="77777777" w:rsidR="00FD7ED5" w:rsidRPr="00646771" w:rsidRDefault="00FD7ED5" w:rsidP="00A86FE7">
            <w:pPr>
              <w:jc w:val="right"/>
              <w:rPr>
                <w:b/>
                <w:sz w:val="18"/>
                <w:szCs w:val="18"/>
              </w:rPr>
            </w:pPr>
            <w:r w:rsidRPr="00646771">
              <w:rPr>
                <w:b/>
                <w:sz w:val="18"/>
                <w:szCs w:val="18"/>
              </w:rPr>
              <w:t>0.4</w:t>
            </w:r>
          </w:p>
        </w:tc>
        <w:tc>
          <w:tcPr>
            <w:tcW w:w="1344" w:type="dxa"/>
          </w:tcPr>
          <w:p w14:paraId="5BB3F036" w14:textId="77777777" w:rsidR="00FD7ED5" w:rsidRPr="00646771" w:rsidRDefault="00646771" w:rsidP="00A86FE7">
            <w:pPr>
              <w:jc w:val="right"/>
              <w:rPr>
                <w:b/>
                <w:sz w:val="18"/>
                <w:szCs w:val="18"/>
              </w:rPr>
            </w:pPr>
            <w:r w:rsidRPr="00646771">
              <w:rPr>
                <w:b/>
                <w:bCs/>
                <w:sz w:val="18"/>
                <w:szCs w:val="18"/>
              </w:rPr>
              <w:t>–</w:t>
            </w:r>
          </w:p>
        </w:tc>
        <w:tc>
          <w:tcPr>
            <w:tcW w:w="1393" w:type="dxa"/>
          </w:tcPr>
          <w:p w14:paraId="21131E9C" w14:textId="77777777" w:rsidR="00FD7ED5" w:rsidRPr="00646771" w:rsidRDefault="00FD7ED5" w:rsidP="00A86FE7">
            <w:pPr>
              <w:jc w:val="right"/>
              <w:rPr>
                <w:b/>
                <w:sz w:val="18"/>
                <w:szCs w:val="18"/>
              </w:rPr>
            </w:pPr>
            <w:r w:rsidRPr="00646771">
              <w:rPr>
                <w:b/>
                <w:sz w:val="18"/>
                <w:szCs w:val="18"/>
              </w:rPr>
              <w:t>0.4</w:t>
            </w:r>
          </w:p>
        </w:tc>
      </w:tr>
      <w:tr w:rsidR="00FD7ED5" w14:paraId="4DE6E6BF" w14:textId="77777777" w:rsidTr="00FD7ED5">
        <w:tc>
          <w:tcPr>
            <w:tcW w:w="5665" w:type="dxa"/>
            <w:tcBorders>
              <w:bottom w:val="single" w:sz="4" w:space="0" w:color="auto"/>
            </w:tcBorders>
          </w:tcPr>
          <w:p w14:paraId="4E647AE4" w14:textId="77777777" w:rsidR="00FD7ED5" w:rsidRPr="00CD1BE0" w:rsidRDefault="00FD7ED5" w:rsidP="00A86FE7">
            <w:pPr>
              <w:rPr>
                <w:sz w:val="18"/>
                <w:szCs w:val="18"/>
              </w:rPr>
            </w:pPr>
            <w:r>
              <w:rPr>
                <w:sz w:val="18"/>
                <w:szCs w:val="18"/>
              </w:rPr>
              <w:t>Lease liabilities</w:t>
            </w:r>
          </w:p>
        </w:tc>
        <w:tc>
          <w:tcPr>
            <w:tcW w:w="1344" w:type="dxa"/>
            <w:tcBorders>
              <w:bottom w:val="single" w:sz="4" w:space="0" w:color="auto"/>
            </w:tcBorders>
          </w:tcPr>
          <w:p w14:paraId="7FCB6340" w14:textId="77777777" w:rsidR="00FD7ED5" w:rsidRPr="00646771" w:rsidRDefault="00FD7ED5" w:rsidP="00A86FE7">
            <w:pPr>
              <w:jc w:val="right"/>
              <w:rPr>
                <w:b/>
                <w:sz w:val="18"/>
                <w:szCs w:val="18"/>
              </w:rPr>
            </w:pPr>
            <w:r w:rsidRPr="00646771">
              <w:rPr>
                <w:b/>
                <w:sz w:val="18"/>
                <w:szCs w:val="18"/>
              </w:rPr>
              <w:t>0.7</w:t>
            </w:r>
          </w:p>
        </w:tc>
        <w:tc>
          <w:tcPr>
            <w:tcW w:w="1344" w:type="dxa"/>
            <w:tcBorders>
              <w:bottom w:val="single" w:sz="4" w:space="0" w:color="auto"/>
            </w:tcBorders>
          </w:tcPr>
          <w:p w14:paraId="38AB9A11" w14:textId="77777777" w:rsidR="00FD7ED5" w:rsidRPr="00646771" w:rsidRDefault="00646771" w:rsidP="00A86FE7">
            <w:pPr>
              <w:jc w:val="right"/>
              <w:rPr>
                <w:b/>
                <w:sz w:val="18"/>
                <w:szCs w:val="18"/>
              </w:rPr>
            </w:pPr>
            <w:r w:rsidRPr="00646771">
              <w:rPr>
                <w:b/>
                <w:bCs/>
                <w:sz w:val="18"/>
                <w:szCs w:val="18"/>
              </w:rPr>
              <w:t>–</w:t>
            </w:r>
          </w:p>
        </w:tc>
        <w:tc>
          <w:tcPr>
            <w:tcW w:w="1393" w:type="dxa"/>
            <w:tcBorders>
              <w:bottom w:val="single" w:sz="4" w:space="0" w:color="auto"/>
            </w:tcBorders>
          </w:tcPr>
          <w:p w14:paraId="2A4255EB" w14:textId="77777777" w:rsidR="00FD7ED5" w:rsidRPr="00646771" w:rsidRDefault="00FD7ED5" w:rsidP="00A86FE7">
            <w:pPr>
              <w:jc w:val="right"/>
              <w:rPr>
                <w:b/>
                <w:sz w:val="18"/>
                <w:szCs w:val="18"/>
              </w:rPr>
            </w:pPr>
            <w:r w:rsidRPr="00646771">
              <w:rPr>
                <w:b/>
                <w:sz w:val="18"/>
                <w:szCs w:val="18"/>
              </w:rPr>
              <w:t>0.7</w:t>
            </w:r>
          </w:p>
        </w:tc>
      </w:tr>
      <w:tr w:rsidR="00FD7ED5" w14:paraId="279FDC77" w14:textId="77777777" w:rsidTr="00FD7ED5">
        <w:tc>
          <w:tcPr>
            <w:tcW w:w="5665" w:type="dxa"/>
            <w:tcBorders>
              <w:top w:val="single" w:sz="4" w:space="0" w:color="auto"/>
              <w:bottom w:val="single" w:sz="4" w:space="0" w:color="auto"/>
            </w:tcBorders>
          </w:tcPr>
          <w:p w14:paraId="2E2F0714" w14:textId="77777777" w:rsidR="00FD7ED5" w:rsidRPr="00CD1BE0" w:rsidRDefault="00FD7ED5" w:rsidP="00CD1BE0">
            <w:pPr>
              <w:rPr>
                <w:b/>
                <w:sz w:val="18"/>
                <w:szCs w:val="18"/>
              </w:rPr>
            </w:pPr>
            <w:r w:rsidRPr="00CD1BE0">
              <w:rPr>
                <w:b/>
                <w:sz w:val="18"/>
                <w:szCs w:val="18"/>
              </w:rPr>
              <w:t>Net assets and liabilities disposed of</w:t>
            </w:r>
          </w:p>
        </w:tc>
        <w:tc>
          <w:tcPr>
            <w:tcW w:w="1344" w:type="dxa"/>
            <w:tcBorders>
              <w:top w:val="single" w:sz="4" w:space="0" w:color="auto"/>
              <w:bottom w:val="single" w:sz="4" w:space="0" w:color="auto"/>
            </w:tcBorders>
          </w:tcPr>
          <w:p w14:paraId="5D2F4E00" w14:textId="77777777" w:rsidR="00FD7ED5" w:rsidRPr="00646771" w:rsidRDefault="00646771" w:rsidP="00CD1BE0">
            <w:pPr>
              <w:jc w:val="right"/>
              <w:rPr>
                <w:b/>
                <w:sz w:val="18"/>
                <w:szCs w:val="18"/>
              </w:rPr>
            </w:pPr>
            <w:r w:rsidRPr="00646771">
              <w:rPr>
                <w:b/>
                <w:sz w:val="18"/>
                <w:szCs w:val="18"/>
              </w:rPr>
              <w:t>(11.6)</w:t>
            </w:r>
          </w:p>
        </w:tc>
        <w:tc>
          <w:tcPr>
            <w:tcW w:w="1344" w:type="dxa"/>
            <w:tcBorders>
              <w:top w:val="single" w:sz="4" w:space="0" w:color="auto"/>
              <w:bottom w:val="single" w:sz="4" w:space="0" w:color="auto"/>
            </w:tcBorders>
          </w:tcPr>
          <w:p w14:paraId="7AD037A1" w14:textId="77777777" w:rsidR="00FD7ED5" w:rsidRPr="00646771" w:rsidRDefault="00646771" w:rsidP="00CD1BE0">
            <w:pPr>
              <w:jc w:val="right"/>
              <w:rPr>
                <w:b/>
                <w:sz w:val="18"/>
                <w:szCs w:val="18"/>
              </w:rPr>
            </w:pPr>
            <w:r w:rsidRPr="00646771">
              <w:rPr>
                <w:b/>
                <w:sz w:val="18"/>
                <w:szCs w:val="18"/>
              </w:rPr>
              <w:t>(1.5)</w:t>
            </w:r>
          </w:p>
        </w:tc>
        <w:tc>
          <w:tcPr>
            <w:tcW w:w="1393" w:type="dxa"/>
            <w:tcBorders>
              <w:top w:val="single" w:sz="4" w:space="0" w:color="auto"/>
              <w:bottom w:val="single" w:sz="4" w:space="0" w:color="auto"/>
            </w:tcBorders>
          </w:tcPr>
          <w:p w14:paraId="20F30F54" w14:textId="77777777" w:rsidR="00FD7ED5" w:rsidRPr="00646771" w:rsidRDefault="00FD7ED5" w:rsidP="00CD1BE0">
            <w:pPr>
              <w:jc w:val="right"/>
              <w:rPr>
                <w:b/>
                <w:sz w:val="18"/>
                <w:szCs w:val="18"/>
              </w:rPr>
            </w:pPr>
            <w:r w:rsidRPr="00646771">
              <w:rPr>
                <w:b/>
                <w:sz w:val="18"/>
                <w:szCs w:val="18"/>
              </w:rPr>
              <w:t>(13.1)</w:t>
            </w:r>
          </w:p>
        </w:tc>
      </w:tr>
      <w:tr w:rsidR="00FD7ED5" w14:paraId="157238F0" w14:textId="77777777" w:rsidTr="00FD7ED5">
        <w:tc>
          <w:tcPr>
            <w:tcW w:w="5665" w:type="dxa"/>
            <w:tcBorders>
              <w:top w:val="single" w:sz="4" w:space="0" w:color="auto"/>
            </w:tcBorders>
          </w:tcPr>
          <w:p w14:paraId="3AD977A1" w14:textId="77777777" w:rsidR="00FD7ED5" w:rsidRPr="00CD1BE0" w:rsidRDefault="00FD7ED5" w:rsidP="00CD1BE0">
            <w:pPr>
              <w:rPr>
                <w:sz w:val="18"/>
                <w:szCs w:val="18"/>
              </w:rPr>
            </w:pPr>
          </w:p>
        </w:tc>
        <w:tc>
          <w:tcPr>
            <w:tcW w:w="1344" w:type="dxa"/>
            <w:tcBorders>
              <w:top w:val="single" w:sz="4" w:space="0" w:color="auto"/>
            </w:tcBorders>
          </w:tcPr>
          <w:p w14:paraId="43CF3062" w14:textId="77777777" w:rsidR="00FD7ED5" w:rsidRPr="00646771" w:rsidRDefault="00FD7ED5" w:rsidP="00CD1BE0">
            <w:pPr>
              <w:jc w:val="right"/>
              <w:rPr>
                <w:b/>
                <w:sz w:val="18"/>
                <w:szCs w:val="18"/>
              </w:rPr>
            </w:pPr>
          </w:p>
        </w:tc>
        <w:tc>
          <w:tcPr>
            <w:tcW w:w="1344" w:type="dxa"/>
            <w:tcBorders>
              <w:top w:val="single" w:sz="4" w:space="0" w:color="auto"/>
            </w:tcBorders>
          </w:tcPr>
          <w:p w14:paraId="7E7FF1B8" w14:textId="77777777" w:rsidR="00FD7ED5" w:rsidRPr="00646771" w:rsidRDefault="00FD7ED5" w:rsidP="00CD1BE0">
            <w:pPr>
              <w:jc w:val="right"/>
              <w:rPr>
                <w:b/>
                <w:sz w:val="18"/>
                <w:szCs w:val="18"/>
              </w:rPr>
            </w:pPr>
          </w:p>
        </w:tc>
        <w:tc>
          <w:tcPr>
            <w:tcW w:w="1393" w:type="dxa"/>
            <w:tcBorders>
              <w:top w:val="single" w:sz="4" w:space="0" w:color="auto"/>
            </w:tcBorders>
          </w:tcPr>
          <w:p w14:paraId="0D69230C" w14:textId="77777777" w:rsidR="00FD7ED5" w:rsidRPr="00646771" w:rsidRDefault="00FD7ED5" w:rsidP="00CD1BE0">
            <w:pPr>
              <w:jc w:val="right"/>
              <w:rPr>
                <w:b/>
                <w:sz w:val="18"/>
                <w:szCs w:val="18"/>
              </w:rPr>
            </w:pPr>
          </w:p>
        </w:tc>
      </w:tr>
      <w:tr w:rsidR="00FD7ED5" w:rsidRPr="00491DDB" w14:paraId="1F013281" w14:textId="77777777" w:rsidTr="00FD7ED5">
        <w:tc>
          <w:tcPr>
            <w:tcW w:w="5665" w:type="dxa"/>
          </w:tcPr>
          <w:p w14:paraId="59FEFDCB" w14:textId="77777777" w:rsidR="00FD7ED5" w:rsidRPr="00491DDB" w:rsidRDefault="00FD7ED5" w:rsidP="00CD1BE0">
            <w:pPr>
              <w:rPr>
                <w:b/>
                <w:sz w:val="18"/>
                <w:szCs w:val="18"/>
              </w:rPr>
            </w:pPr>
            <w:r w:rsidRPr="00491DDB">
              <w:rPr>
                <w:b/>
                <w:sz w:val="18"/>
                <w:szCs w:val="18"/>
              </w:rPr>
              <w:t>Disposal consideration</w:t>
            </w:r>
          </w:p>
        </w:tc>
        <w:tc>
          <w:tcPr>
            <w:tcW w:w="1344" w:type="dxa"/>
          </w:tcPr>
          <w:p w14:paraId="265B2DD6" w14:textId="77777777" w:rsidR="00FD7ED5" w:rsidRPr="00646771" w:rsidRDefault="00FD7ED5" w:rsidP="00CD1BE0">
            <w:pPr>
              <w:jc w:val="right"/>
              <w:rPr>
                <w:b/>
                <w:sz w:val="18"/>
                <w:szCs w:val="18"/>
              </w:rPr>
            </w:pPr>
          </w:p>
        </w:tc>
        <w:tc>
          <w:tcPr>
            <w:tcW w:w="1344" w:type="dxa"/>
          </w:tcPr>
          <w:p w14:paraId="12FA4376" w14:textId="77777777" w:rsidR="00FD7ED5" w:rsidRPr="00646771" w:rsidRDefault="00FD7ED5" w:rsidP="00CD1BE0">
            <w:pPr>
              <w:jc w:val="right"/>
              <w:rPr>
                <w:b/>
                <w:sz w:val="18"/>
                <w:szCs w:val="18"/>
              </w:rPr>
            </w:pPr>
          </w:p>
        </w:tc>
        <w:tc>
          <w:tcPr>
            <w:tcW w:w="1393" w:type="dxa"/>
          </w:tcPr>
          <w:p w14:paraId="25FABBBE" w14:textId="77777777" w:rsidR="00FD7ED5" w:rsidRPr="00646771" w:rsidRDefault="00FD7ED5" w:rsidP="00CD1BE0">
            <w:pPr>
              <w:jc w:val="right"/>
              <w:rPr>
                <w:b/>
                <w:sz w:val="18"/>
                <w:szCs w:val="18"/>
              </w:rPr>
            </w:pPr>
          </w:p>
        </w:tc>
      </w:tr>
      <w:tr w:rsidR="00FD7ED5" w14:paraId="6536A6EE" w14:textId="77777777" w:rsidTr="00FD7ED5">
        <w:tc>
          <w:tcPr>
            <w:tcW w:w="5665" w:type="dxa"/>
          </w:tcPr>
          <w:p w14:paraId="0BFB4779" w14:textId="77777777" w:rsidR="00FD7ED5" w:rsidRPr="00CD1BE0" w:rsidRDefault="00FD7ED5" w:rsidP="00CD1BE0">
            <w:pPr>
              <w:rPr>
                <w:sz w:val="18"/>
                <w:szCs w:val="18"/>
              </w:rPr>
            </w:pPr>
            <w:r>
              <w:rPr>
                <w:sz w:val="18"/>
                <w:szCs w:val="18"/>
              </w:rPr>
              <w:t>Total consideration</w:t>
            </w:r>
          </w:p>
        </w:tc>
        <w:tc>
          <w:tcPr>
            <w:tcW w:w="1344" w:type="dxa"/>
          </w:tcPr>
          <w:p w14:paraId="41F1A0CF" w14:textId="77777777" w:rsidR="00FD7ED5" w:rsidRPr="00646771" w:rsidRDefault="00646771" w:rsidP="0028757E">
            <w:pPr>
              <w:jc w:val="right"/>
              <w:rPr>
                <w:b/>
                <w:sz w:val="18"/>
                <w:szCs w:val="18"/>
              </w:rPr>
            </w:pPr>
            <w:r w:rsidRPr="00646771">
              <w:rPr>
                <w:b/>
                <w:sz w:val="18"/>
                <w:szCs w:val="18"/>
              </w:rPr>
              <w:t>10.8</w:t>
            </w:r>
          </w:p>
        </w:tc>
        <w:tc>
          <w:tcPr>
            <w:tcW w:w="1344" w:type="dxa"/>
          </w:tcPr>
          <w:p w14:paraId="6DB2F359" w14:textId="77777777" w:rsidR="00FD7ED5" w:rsidRPr="00646771" w:rsidRDefault="00646771" w:rsidP="0028757E">
            <w:pPr>
              <w:jc w:val="right"/>
              <w:rPr>
                <w:b/>
                <w:sz w:val="18"/>
                <w:szCs w:val="18"/>
              </w:rPr>
            </w:pPr>
            <w:r w:rsidRPr="00646771">
              <w:rPr>
                <w:b/>
                <w:sz w:val="18"/>
                <w:szCs w:val="18"/>
              </w:rPr>
              <w:t>4.7</w:t>
            </w:r>
          </w:p>
        </w:tc>
        <w:tc>
          <w:tcPr>
            <w:tcW w:w="1393" w:type="dxa"/>
          </w:tcPr>
          <w:p w14:paraId="052E887C" w14:textId="77777777" w:rsidR="00FD7ED5" w:rsidRPr="00646771" w:rsidRDefault="0088383C" w:rsidP="0028757E">
            <w:pPr>
              <w:jc w:val="right"/>
              <w:rPr>
                <w:b/>
                <w:sz w:val="18"/>
                <w:szCs w:val="18"/>
              </w:rPr>
            </w:pPr>
            <w:r>
              <w:rPr>
                <w:b/>
                <w:sz w:val="18"/>
                <w:szCs w:val="18"/>
              </w:rPr>
              <w:t>15.5</w:t>
            </w:r>
          </w:p>
        </w:tc>
      </w:tr>
      <w:tr w:rsidR="00FD7ED5" w14:paraId="76D8BEEC" w14:textId="77777777" w:rsidTr="00FD7ED5">
        <w:tc>
          <w:tcPr>
            <w:tcW w:w="5665" w:type="dxa"/>
          </w:tcPr>
          <w:p w14:paraId="7CAEE6E7" w14:textId="77777777" w:rsidR="00FD7ED5" w:rsidRPr="00CD1BE0" w:rsidRDefault="00FD7ED5" w:rsidP="008A6BDE">
            <w:pPr>
              <w:rPr>
                <w:sz w:val="18"/>
                <w:szCs w:val="18"/>
              </w:rPr>
            </w:pPr>
            <w:r>
              <w:rPr>
                <w:sz w:val="18"/>
                <w:szCs w:val="18"/>
              </w:rPr>
              <w:t xml:space="preserve">Working </w:t>
            </w:r>
            <w:r w:rsidR="00D10260">
              <w:rPr>
                <w:sz w:val="18"/>
                <w:szCs w:val="18"/>
              </w:rPr>
              <w:t>c</w:t>
            </w:r>
            <w:r>
              <w:rPr>
                <w:sz w:val="18"/>
                <w:szCs w:val="18"/>
              </w:rPr>
              <w:t>apital</w:t>
            </w:r>
            <w:r w:rsidR="008A6BDE">
              <w:rPr>
                <w:sz w:val="18"/>
                <w:szCs w:val="18"/>
              </w:rPr>
              <w:t xml:space="preserve"> settlement</w:t>
            </w:r>
          </w:p>
        </w:tc>
        <w:tc>
          <w:tcPr>
            <w:tcW w:w="1344" w:type="dxa"/>
          </w:tcPr>
          <w:p w14:paraId="5CDD2214" w14:textId="77777777" w:rsidR="00FD7ED5" w:rsidRPr="00646771" w:rsidRDefault="00646771" w:rsidP="00CD1BE0">
            <w:pPr>
              <w:jc w:val="right"/>
              <w:rPr>
                <w:b/>
                <w:sz w:val="18"/>
                <w:szCs w:val="18"/>
              </w:rPr>
            </w:pPr>
            <w:r w:rsidRPr="00646771">
              <w:rPr>
                <w:b/>
                <w:sz w:val="18"/>
                <w:szCs w:val="18"/>
              </w:rPr>
              <w:t>1.9</w:t>
            </w:r>
          </w:p>
        </w:tc>
        <w:tc>
          <w:tcPr>
            <w:tcW w:w="1344" w:type="dxa"/>
          </w:tcPr>
          <w:p w14:paraId="2A714457" w14:textId="77777777" w:rsidR="00FD7ED5" w:rsidRPr="00646771" w:rsidRDefault="00646771" w:rsidP="00CD1BE0">
            <w:pPr>
              <w:jc w:val="right"/>
              <w:rPr>
                <w:b/>
                <w:sz w:val="18"/>
                <w:szCs w:val="18"/>
              </w:rPr>
            </w:pPr>
            <w:r w:rsidRPr="00646771">
              <w:rPr>
                <w:b/>
                <w:sz w:val="18"/>
                <w:szCs w:val="18"/>
              </w:rPr>
              <w:t>0.8</w:t>
            </w:r>
          </w:p>
        </w:tc>
        <w:tc>
          <w:tcPr>
            <w:tcW w:w="1393" w:type="dxa"/>
          </w:tcPr>
          <w:p w14:paraId="565786BC" w14:textId="77777777" w:rsidR="00FD7ED5" w:rsidRPr="00646771" w:rsidRDefault="00FD7ED5" w:rsidP="00CD1BE0">
            <w:pPr>
              <w:jc w:val="right"/>
              <w:rPr>
                <w:b/>
                <w:sz w:val="18"/>
                <w:szCs w:val="18"/>
              </w:rPr>
            </w:pPr>
            <w:r w:rsidRPr="00646771">
              <w:rPr>
                <w:b/>
                <w:sz w:val="18"/>
                <w:szCs w:val="18"/>
              </w:rPr>
              <w:t>2.7</w:t>
            </w:r>
          </w:p>
        </w:tc>
      </w:tr>
      <w:tr w:rsidR="00FD7ED5" w14:paraId="09731A62" w14:textId="77777777" w:rsidTr="00FD7ED5">
        <w:tc>
          <w:tcPr>
            <w:tcW w:w="5665" w:type="dxa"/>
            <w:tcBorders>
              <w:top w:val="single" w:sz="4" w:space="0" w:color="auto"/>
              <w:bottom w:val="single" w:sz="4" w:space="0" w:color="auto"/>
            </w:tcBorders>
          </w:tcPr>
          <w:p w14:paraId="742161C3" w14:textId="77777777" w:rsidR="00FD7ED5" w:rsidRDefault="00FD7ED5" w:rsidP="00CD1BE0">
            <w:pPr>
              <w:rPr>
                <w:b/>
                <w:sz w:val="18"/>
                <w:szCs w:val="18"/>
              </w:rPr>
            </w:pPr>
            <w:r>
              <w:rPr>
                <w:b/>
                <w:sz w:val="18"/>
                <w:szCs w:val="18"/>
              </w:rPr>
              <w:t>Total net consideration</w:t>
            </w:r>
          </w:p>
        </w:tc>
        <w:tc>
          <w:tcPr>
            <w:tcW w:w="1344" w:type="dxa"/>
            <w:tcBorders>
              <w:top w:val="single" w:sz="4" w:space="0" w:color="auto"/>
              <w:bottom w:val="single" w:sz="4" w:space="0" w:color="auto"/>
            </w:tcBorders>
          </w:tcPr>
          <w:p w14:paraId="3FB063C3" w14:textId="77777777" w:rsidR="00FD7ED5" w:rsidRPr="00646771" w:rsidRDefault="00646771" w:rsidP="00CD1BE0">
            <w:pPr>
              <w:jc w:val="right"/>
              <w:rPr>
                <w:b/>
                <w:sz w:val="18"/>
                <w:szCs w:val="18"/>
              </w:rPr>
            </w:pPr>
            <w:r w:rsidRPr="00646771">
              <w:rPr>
                <w:b/>
                <w:sz w:val="18"/>
                <w:szCs w:val="18"/>
              </w:rPr>
              <w:t>12.</w:t>
            </w:r>
            <w:r w:rsidR="009022B2">
              <w:rPr>
                <w:b/>
                <w:sz w:val="18"/>
                <w:szCs w:val="18"/>
              </w:rPr>
              <w:t>7</w:t>
            </w:r>
          </w:p>
        </w:tc>
        <w:tc>
          <w:tcPr>
            <w:tcW w:w="1344" w:type="dxa"/>
            <w:tcBorders>
              <w:top w:val="single" w:sz="4" w:space="0" w:color="auto"/>
              <w:bottom w:val="single" w:sz="4" w:space="0" w:color="auto"/>
            </w:tcBorders>
          </w:tcPr>
          <w:p w14:paraId="6CEFF54C" w14:textId="77777777" w:rsidR="00FD7ED5" w:rsidRPr="00646771" w:rsidRDefault="00646771" w:rsidP="00CD1BE0">
            <w:pPr>
              <w:jc w:val="right"/>
              <w:rPr>
                <w:b/>
                <w:sz w:val="18"/>
                <w:szCs w:val="18"/>
              </w:rPr>
            </w:pPr>
            <w:r w:rsidRPr="00646771">
              <w:rPr>
                <w:b/>
                <w:sz w:val="18"/>
                <w:szCs w:val="18"/>
              </w:rPr>
              <w:t>5.5</w:t>
            </w:r>
          </w:p>
        </w:tc>
        <w:tc>
          <w:tcPr>
            <w:tcW w:w="1393" w:type="dxa"/>
            <w:tcBorders>
              <w:top w:val="single" w:sz="4" w:space="0" w:color="auto"/>
              <w:bottom w:val="single" w:sz="4" w:space="0" w:color="auto"/>
            </w:tcBorders>
          </w:tcPr>
          <w:p w14:paraId="4CA24D0F" w14:textId="0FB78ADA" w:rsidR="00FD7ED5" w:rsidRPr="00646771" w:rsidRDefault="0088383C" w:rsidP="00874753">
            <w:pPr>
              <w:tabs>
                <w:tab w:val="center" w:pos="588"/>
                <w:tab w:val="right" w:pos="1177"/>
              </w:tabs>
              <w:jc w:val="right"/>
              <w:rPr>
                <w:b/>
                <w:sz w:val="18"/>
                <w:szCs w:val="18"/>
              </w:rPr>
            </w:pPr>
            <w:r>
              <w:rPr>
                <w:b/>
                <w:sz w:val="18"/>
                <w:szCs w:val="18"/>
              </w:rPr>
              <w:t>1</w:t>
            </w:r>
            <w:r w:rsidR="009022B2">
              <w:rPr>
                <w:b/>
                <w:sz w:val="18"/>
                <w:szCs w:val="18"/>
              </w:rPr>
              <w:t>8</w:t>
            </w:r>
            <w:r>
              <w:rPr>
                <w:b/>
                <w:sz w:val="18"/>
                <w:szCs w:val="18"/>
              </w:rPr>
              <w:t>.</w:t>
            </w:r>
            <w:r w:rsidR="009022B2">
              <w:rPr>
                <w:b/>
                <w:sz w:val="18"/>
                <w:szCs w:val="18"/>
              </w:rPr>
              <w:t>2</w:t>
            </w:r>
          </w:p>
        </w:tc>
      </w:tr>
      <w:tr w:rsidR="00FD7ED5" w14:paraId="61C27568" w14:textId="77777777" w:rsidTr="00FD7ED5">
        <w:tc>
          <w:tcPr>
            <w:tcW w:w="5665" w:type="dxa"/>
          </w:tcPr>
          <w:p w14:paraId="1FC7E497" w14:textId="77777777" w:rsidR="00FD7ED5" w:rsidRPr="00CD1BE0" w:rsidRDefault="00FD7ED5" w:rsidP="00CD1BE0">
            <w:pPr>
              <w:rPr>
                <w:sz w:val="18"/>
                <w:szCs w:val="18"/>
              </w:rPr>
            </w:pPr>
          </w:p>
        </w:tc>
        <w:tc>
          <w:tcPr>
            <w:tcW w:w="1344" w:type="dxa"/>
          </w:tcPr>
          <w:p w14:paraId="5299372B" w14:textId="77777777" w:rsidR="00FD7ED5" w:rsidRPr="00646771" w:rsidRDefault="00FD7ED5" w:rsidP="00CD1BE0">
            <w:pPr>
              <w:jc w:val="right"/>
              <w:rPr>
                <w:b/>
                <w:sz w:val="18"/>
                <w:szCs w:val="18"/>
              </w:rPr>
            </w:pPr>
          </w:p>
        </w:tc>
        <w:tc>
          <w:tcPr>
            <w:tcW w:w="1344" w:type="dxa"/>
          </w:tcPr>
          <w:p w14:paraId="5AE63CF1" w14:textId="77777777" w:rsidR="00FD7ED5" w:rsidRPr="00646771" w:rsidRDefault="00FD7ED5" w:rsidP="00CD1BE0">
            <w:pPr>
              <w:jc w:val="right"/>
              <w:rPr>
                <w:b/>
                <w:sz w:val="18"/>
                <w:szCs w:val="18"/>
              </w:rPr>
            </w:pPr>
          </w:p>
        </w:tc>
        <w:tc>
          <w:tcPr>
            <w:tcW w:w="1393" w:type="dxa"/>
          </w:tcPr>
          <w:p w14:paraId="4DBCDEF7" w14:textId="77777777" w:rsidR="00FD7ED5" w:rsidRPr="00646771" w:rsidRDefault="00FD7ED5" w:rsidP="00CD1BE0">
            <w:pPr>
              <w:jc w:val="right"/>
              <w:rPr>
                <w:b/>
                <w:sz w:val="18"/>
                <w:szCs w:val="18"/>
              </w:rPr>
            </w:pPr>
          </w:p>
        </w:tc>
      </w:tr>
      <w:tr w:rsidR="009022B2" w14:paraId="42CB95DA" w14:textId="77777777" w:rsidTr="00FD7ED5">
        <w:tc>
          <w:tcPr>
            <w:tcW w:w="5665" w:type="dxa"/>
          </w:tcPr>
          <w:p w14:paraId="7C1F0226" w14:textId="77777777" w:rsidR="009022B2" w:rsidRPr="00CD1BE0" w:rsidRDefault="009022B2" w:rsidP="00CD1BE0">
            <w:pPr>
              <w:rPr>
                <w:sz w:val="18"/>
                <w:szCs w:val="18"/>
              </w:rPr>
            </w:pPr>
            <w:r>
              <w:rPr>
                <w:sz w:val="18"/>
                <w:szCs w:val="18"/>
              </w:rPr>
              <w:t>Disposal related costs</w:t>
            </w:r>
          </w:p>
        </w:tc>
        <w:tc>
          <w:tcPr>
            <w:tcW w:w="1344" w:type="dxa"/>
          </w:tcPr>
          <w:p w14:paraId="4CA2772C" w14:textId="77777777" w:rsidR="009022B2" w:rsidRPr="00646771" w:rsidRDefault="009022B2" w:rsidP="00CD1BE0">
            <w:pPr>
              <w:jc w:val="right"/>
              <w:rPr>
                <w:b/>
                <w:sz w:val="18"/>
                <w:szCs w:val="18"/>
              </w:rPr>
            </w:pPr>
            <w:r>
              <w:rPr>
                <w:b/>
                <w:sz w:val="18"/>
                <w:szCs w:val="18"/>
              </w:rPr>
              <w:t>(0.6)</w:t>
            </w:r>
          </w:p>
        </w:tc>
        <w:tc>
          <w:tcPr>
            <w:tcW w:w="1344" w:type="dxa"/>
          </w:tcPr>
          <w:p w14:paraId="0FC2A722" w14:textId="77777777" w:rsidR="009022B2" w:rsidRPr="00646771" w:rsidRDefault="009022B2" w:rsidP="00CD1BE0">
            <w:pPr>
              <w:jc w:val="right"/>
              <w:rPr>
                <w:b/>
                <w:bCs/>
                <w:sz w:val="18"/>
                <w:szCs w:val="18"/>
              </w:rPr>
            </w:pPr>
            <w:r w:rsidRPr="00646771">
              <w:rPr>
                <w:b/>
                <w:bCs/>
                <w:sz w:val="18"/>
                <w:szCs w:val="18"/>
              </w:rPr>
              <w:t>–</w:t>
            </w:r>
          </w:p>
        </w:tc>
        <w:tc>
          <w:tcPr>
            <w:tcW w:w="1393" w:type="dxa"/>
          </w:tcPr>
          <w:p w14:paraId="39927627" w14:textId="77777777" w:rsidR="009022B2" w:rsidRPr="00646771" w:rsidRDefault="009022B2" w:rsidP="00CD1BE0">
            <w:pPr>
              <w:jc w:val="right"/>
              <w:rPr>
                <w:b/>
                <w:sz w:val="18"/>
                <w:szCs w:val="18"/>
              </w:rPr>
            </w:pPr>
            <w:r>
              <w:rPr>
                <w:b/>
                <w:sz w:val="18"/>
                <w:szCs w:val="18"/>
              </w:rPr>
              <w:t>(0.6)</w:t>
            </w:r>
          </w:p>
        </w:tc>
      </w:tr>
      <w:tr w:rsidR="00FD7ED5" w14:paraId="241621A3" w14:textId="77777777" w:rsidTr="00FD7ED5">
        <w:tc>
          <w:tcPr>
            <w:tcW w:w="5665" w:type="dxa"/>
          </w:tcPr>
          <w:p w14:paraId="1740A450" w14:textId="77777777" w:rsidR="00FD7ED5" w:rsidRPr="00CD1BE0" w:rsidRDefault="00FD7ED5" w:rsidP="00CD1BE0">
            <w:pPr>
              <w:rPr>
                <w:sz w:val="18"/>
                <w:szCs w:val="18"/>
              </w:rPr>
            </w:pPr>
            <w:r w:rsidRPr="00CD1BE0">
              <w:rPr>
                <w:sz w:val="18"/>
                <w:szCs w:val="18"/>
              </w:rPr>
              <w:t>Trans</w:t>
            </w:r>
            <w:r>
              <w:rPr>
                <w:sz w:val="18"/>
                <w:szCs w:val="18"/>
              </w:rPr>
              <w:t>lation reserve classification to Income Statement on disposal</w:t>
            </w:r>
          </w:p>
        </w:tc>
        <w:tc>
          <w:tcPr>
            <w:tcW w:w="1344" w:type="dxa"/>
          </w:tcPr>
          <w:p w14:paraId="25EC5BEB" w14:textId="77777777" w:rsidR="00FD7ED5" w:rsidRPr="00646771" w:rsidRDefault="00646771" w:rsidP="00CD1BE0">
            <w:pPr>
              <w:jc w:val="right"/>
              <w:rPr>
                <w:b/>
                <w:sz w:val="18"/>
                <w:szCs w:val="18"/>
              </w:rPr>
            </w:pPr>
            <w:r w:rsidRPr="00646771">
              <w:rPr>
                <w:b/>
                <w:sz w:val="18"/>
                <w:szCs w:val="18"/>
              </w:rPr>
              <w:t>1.0</w:t>
            </w:r>
          </w:p>
        </w:tc>
        <w:tc>
          <w:tcPr>
            <w:tcW w:w="1344" w:type="dxa"/>
          </w:tcPr>
          <w:p w14:paraId="778F0B74" w14:textId="77777777" w:rsidR="00FD7ED5" w:rsidRPr="00646771" w:rsidRDefault="00646771" w:rsidP="00CD1BE0">
            <w:pPr>
              <w:jc w:val="right"/>
              <w:rPr>
                <w:b/>
                <w:sz w:val="18"/>
                <w:szCs w:val="18"/>
              </w:rPr>
            </w:pPr>
            <w:r w:rsidRPr="00646771">
              <w:rPr>
                <w:b/>
                <w:bCs/>
                <w:sz w:val="18"/>
                <w:szCs w:val="18"/>
              </w:rPr>
              <w:t>–</w:t>
            </w:r>
          </w:p>
        </w:tc>
        <w:tc>
          <w:tcPr>
            <w:tcW w:w="1393" w:type="dxa"/>
          </w:tcPr>
          <w:p w14:paraId="45B74D1D" w14:textId="77777777" w:rsidR="00FD7ED5" w:rsidRPr="00646771" w:rsidRDefault="00FD7ED5" w:rsidP="00CD1BE0">
            <w:pPr>
              <w:jc w:val="right"/>
              <w:rPr>
                <w:b/>
                <w:sz w:val="18"/>
                <w:szCs w:val="18"/>
              </w:rPr>
            </w:pPr>
            <w:r w:rsidRPr="00646771">
              <w:rPr>
                <w:b/>
                <w:sz w:val="18"/>
                <w:szCs w:val="18"/>
              </w:rPr>
              <w:t>1.0</w:t>
            </w:r>
          </w:p>
        </w:tc>
      </w:tr>
      <w:tr w:rsidR="00FD7ED5" w14:paraId="2719CB95" w14:textId="77777777" w:rsidTr="00FD7ED5">
        <w:tc>
          <w:tcPr>
            <w:tcW w:w="5665" w:type="dxa"/>
            <w:tcBorders>
              <w:bottom w:val="single" w:sz="4" w:space="0" w:color="auto"/>
            </w:tcBorders>
          </w:tcPr>
          <w:p w14:paraId="0015245D" w14:textId="77777777" w:rsidR="00FD7ED5" w:rsidRPr="00CD1BE0" w:rsidRDefault="00FD7ED5" w:rsidP="00CD1BE0">
            <w:pPr>
              <w:rPr>
                <w:sz w:val="18"/>
                <w:szCs w:val="18"/>
              </w:rPr>
            </w:pPr>
            <w:r>
              <w:rPr>
                <w:sz w:val="18"/>
                <w:szCs w:val="18"/>
              </w:rPr>
              <w:t>Non-controlling interest classification to Income Statement on disposal</w:t>
            </w:r>
          </w:p>
        </w:tc>
        <w:tc>
          <w:tcPr>
            <w:tcW w:w="1344" w:type="dxa"/>
            <w:tcBorders>
              <w:bottom w:val="single" w:sz="4" w:space="0" w:color="auto"/>
            </w:tcBorders>
          </w:tcPr>
          <w:p w14:paraId="4620B576" w14:textId="77777777" w:rsidR="00FD7ED5" w:rsidRPr="00646771" w:rsidRDefault="00646771" w:rsidP="00CD1BE0">
            <w:pPr>
              <w:jc w:val="right"/>
              <w:rPr>
                <w:b/>
                <w:sz w:val="18"/>
                <w:szCs w:val="18"/>
              </w:rPr>
            </w:pPr>
            <w:r w:rsidRPr="00646771">
              <w:rPr>
                <w:b/>
                <w:sz w:val="18"/>
                <w:szCs w:val="18"/>
              </w:rPr>
              <w:t>5.8</w:t>
            </w:r>
          </w:p>
        </w:tc>
        <w:tc>
          <w:tcPr>
            <w:tcW w:w="1344" w:type="dxa"/>
            <w:tcBorders>
              <w:bottom w:val="single" w:sz="4" w:space="0" w:color="auto"/>
            </w:tcBorders>
          </w:tcPr>
          <w:p w14:paraId="6FDE5A1D" w14:textId="77777777" w:rsidR="00FD7ED5" w:rsidRPr="00646771" w:rsidRDefault="00646771" w:rsidP="00CD1BE0">
            <w:pPr>
              <w:jc w:val="right"/>
              <w:rPr>
                <w:b/>
                <w:sz w:val="18"/>
                <w:szCs w:val="18"/>
              </w:rPr>
            </w:pPr>
            <w:r w:rsidRPr="00646771">
              <w:rPr>
                <w:b/>
                <w:bCs/>
                <w:sz w:val="18"/>
                <w:szCs w:val="18"/>
              </w:rPr>
              <w:t>–</w:t>
            </w:r>
          </w:p>
        </w:tc>
        <w:tc>
          <w:tcPr>
            <w:tcW w:w="1393" w:type="dxa"/>
            <w:tcBorders>
              <w:bottom w:val="single" w:sz="4" w:space="0" w:color="auto"/>
            </w:tcBorders>
          </w:tcPr>
          <w:p w14:paraId="403407BE" w14:textId="77777777" w:rsidR="00FD7ED5" w:rsidRPr="00646771" w:rsidRDefault="00FD7ED5" w:rsidP="00CD1BE0">
            <w:pPr>
              <w:jc w:val="right"/>
              <w:rPr>
                <w:b/>
                <w:sz w:val="18"/>
                <w:szCs w:val="18"/>
              </w:rPr>
            </w:pPr>
            <w:r w:rsidRPr="00646771">
              <w:rPr>
                <w:b/>
                <w:sz w:val="18"/>
                <w:szCs w:val="18"/>
              </w:rPr>
              <w:t>5.8</w:t>
            </w:r>
          </w:p>
        </w:tc>
      </w:tr>
      <w:tr w:rsidR="00FD7ED5" w14:paraId="76FAE16D" w14:textId="77777777" w:rsidTr="00FD7ED5">
        <w:tc>
          <w:tcPr>
            <w:tcW w:w="5665" w:type="dxa"/>
            <w:tcBorders>
              <w:top w:val="single" w:sz="4" w:space="0" w:color="auto"/>
              <w:bottom w:val="single" w:sz="4" w:space="0" w:color="auto"/>
            </w:tcBorders>
          </w:tcPr>
          <w:p w14:paraId="23A3D884" w14:textId="77777777" w:rsidR="00FD7ED5" w:rsidRPr="00CD1BE0" w:rsidRDefault="00FD7ED5" w:rsidP="00CD1BE0">
            <w:pPr>
              <w:rPr>
                <w:b/>
                <w:sz w:val="18"/>
                <w:szCs w:val="18"/>
              </w:rPr>
            </w:pPr>
            <w:r w:rsidRPr="00CD1BE0">
              <w:rPr>
                <w:b/>
                <w:sz w:val="18"/>
                <w:szCs w:val="18"/>
              </w:rPr>
              <w:t>Profit on disposal</w:t>
            </w:r>
          </w:p>
        </w:tc>
        <w:tc>
          <w:tcPr>
            <w:tcW w:w="1344" w:type="dxa"/>
            <w:tcBorders>
              <w:top w:val="single" w:sz="4" w:space="0" w:color="auto"/>
              <w:bottom w:val="single" w:sz="4" w:space="0" w:color="auto"/>
            </w:tcBorders>
          </w:tcPr>
          <w:p w14:paraId="5FB5FB12" w14:textId="77777777" w:rsidR="00FD7ED5" w:rsidRPr="00646771" w:rsidRDefault="00646771" w:rsidP="0028757E">
            <w:pPr>
              <w:jc w:val="right"/>
              <w:rPr>
                <w:b/>
                <w:sz w:val="18"/>
                <w:szCs w:val="18"/>
              </w:rPr>
            </w:pPr>
            <w:r w:rsidRPr="00646771">
              <w:rPr>
                <w:b/>
                <w:sz w:val="18"/>
                <w:szCs w:val="18"/>
              </w:rPr>
              <w:t>7.3</w:t>
            </w:r>
          </w:p>
        </w:tc>
        <w:tc>
          <w:tcPr>
            <w:tcW w:w="1344" w:type="dxa"/>
            <w:tcBorders>
              <w:top w:val="single" w:sz="4" w:space="0" w:color="auto"/>
              <w:bottom w:val="single" w:sz="4" w:space="0" w:color="auto"/>
            </w:tcBorders>
          </w:tcPr>
          <w:p w14:paraId="636DC771" w14:textId="77777777" w:rsidR="00FD7ED5" w:rsidRPr="00646771" w:rsidRDefault="00646771" w:rsidP="0028757E">
            <w:pPr>
              <w:jc w:val="right"/>
              <w:rPr>
                <w:b/>
                <w:sz w:val="18"/>
                <w:szCs w:val="18"/>
              </w:rPr>
            </w:pPr>
            <w:r w:rsidRPr="00646771">
              <w:rPr>
                <w:b/>
                <w:sz w:val="18"/>
                <w:szCs w:val="18"/>
              </w:rPr>
              <w:t>4.0</w:t>
            </w:r>
          </w:p>
        </w:tc>
        <w:tc>
          <w:tcPr>
            <w:tcW w:w="1393" w:type="dxa"/>
            <w:tcBorders>
              <w:top w:val="single" w:sz="4" w:space="0" w:color="auto"/>
              <w:bottom w:val="single" w:sz="4" w:space="0" w:color="auto"/>
            </w:tcBorders>
          </w:tcPr>
          <w:p w14:paraId="05891518" w14:textId="77777777" w:rsidR="00FD7ED5" w:rsidRPr="00646771" w:rsidRDefault="00FD7ED5" w:rsidP="00646771">
            <w:pPr>
              <w:jc w:val="right"/>
              <w:rPr>
                <w:b/>
                <w:sz w:val="18"/>
                <w:szCs w:val="18"/>
              </w:rPr>
            </w:pPr>
            <w:r w:rsidRPr="00646771">
              <w:rPr>
                <w:b/>
                <w:sz w:val="18"/>
                <w:szCs w:val="18"/>
              </w:rPr>
              <w:t>11.</w:t>
            </w:r>
            <w:r w:rsidR="00646771" w:rsidRPr="00646771">
              <w:rPr>
                <w:b/>
                <w:sz w:val="18"/>
                <w:szCs w:val="18"/>
              </w:rPr>
              <w:t>3</w:t>
            </w:r>
          </w:p>
        </w:tc>
      </w:tr>
    </w:tbl>
    <w:p w14:paraId="11A71D25" w14:textId="77777777" w:rsidR="00EB44C4" w:rsidRDefault="00EB44C4" w:rsidP="005B3BEE">
      <w:pPr>
        <w:spacing w:before="160" w:after="120" w:line="240" w:lineRule="auto"/>
        <w:rPr>
          <w:b/>
          <w:sz w:val="18"/>
          <w:szCs w:val="18"/>
        </w:rPr>
      </w:pPr>
    </w:p>
    <w:p w14:paraId="5315C25F" w14:textId="77777777" w:rsidR="00C13F02" w:rsidRDefault="00CD1BE0" w:rsidP="005B3BEE">
      <w:pPr>
        <w:spacing w:before="160" w:after="120" w:line="240" w:lineRule="auto"/>
        <w:rPr>
          <w:b/>
          <w:sz w:val="18"/>
          <w:szCs w:val="18"/>
        </w:rPr>
      </w:pPr>
      <w:r>
        <w:rPr>
          <w:b/>
          <w:sz w:val="18"/>
          <w:szCs w:val="18"/>
        </w:rPr>
        <w:t>Reconciliation of consideration to cash received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370"/>
        <w:gridCol w:w="1370"/>
        <w:gridCol w:w="1371"/>
      </w:tblGrid>
      <w:tr w:rsidR="00646771" w14:paraId="506B8C2F" w14:textId="77777777" w:rsidTr="00EA17C6">
        <w:tc>
          <w:tcPr>
            <w:tcW w:w="5670" w:type="dxa"/>
          </w:tcPr>
          <w:p w14:paraId="04CE9D9E" w14:textId="77777777" w:rsidR="00646771" w:rsidRDefault="00646771" w:rsidP="00491DDB">
            <w:pPr>
              <w:rPr>
                <w:b/>
                <w:sz w:val="18"/>
                <w:szCs w:val="18"/>
              </w:rPr>
            </w:pPr>
          </w:p>
        </w:tc>
        <w:tc>
          <w:tcPr>
            <w:tcW w:w="4111" w:type="dxa"/>
            <w:gridSpan w:val="3"/>
          </w:tcPr>
          <w:p w14:paraId="0581677B" w14:textId="77777777" w:rsidR="00646771" w:rsidRDefault="00646771" w:rsidP="00646771">
            <w:pPr>
              <w:jc w:val="center"/>
              <w:rPr>
                <w:b/>
                <w:sz w:val="18"/>
                <w:szCs w:val="18"/>
              </w:rPr>
            </w:pPr>
            <w:r>
              <w:rPr>
                <w:b/>
                <w:sz w:val="18"/>
                <w:szCs w:val="18"/>
              </w:rPr>
              <w:t>Half Year 2021</w:t>
            </w:r>
          </w:p>
        </w:tc>
      </w:tr>
      <w:tr w:rsidR="00646771" w14:paraId="0E5277D7" w14:textId="77777777" w:rsidTr="00EA17C6">
        <w:tc>
          <w:tcPr>
            <w:tcW w:w="5670" w:type="dxa"/>
            <w:tcBorders>
              <w:bottom w:val="single" w:sz="4" w:space="0" w:color="auto"/>
            </w:tcBorders>
          </w:tcPr>
          <w:p w14:paraId="48EDD13F" w14:textId="77777777" w:rsidR="00646771" w:rsidRDefault="00646771" w:rsidP="00646771">
            <w:pPr>
              <w:rPr>
                <w:b/>
                <w:sz w:val="18"/>
                <w:szCs w:val="18"/>
              </w:rPr>
            </w:pPr>
          </w:p>
        </w:tc>
        <w:tc>
          <w:tcPr>
            <w:tcW w:w="1370" w:type="dxa"/>
            <w:tcBorders>
              <w:bottom w:val="single" w:sz="4" w:space="0" w:color="auto"/>
            </w:tcBorders>
            <w:vAlign w:val="bottom"/>
          </w:tcPr>
          <w:p w14:paraId="6681467C" w14:textId="77777777" w:rsidR="00646771" w:rsidRDefault="00646771" w:rsidP="00646771">
            <w:pPr>
              <w:jc w:val="right"/>
              <w:rPr>
                <w:b/>
                <w:sz w:val="18"/>
                <w:szCs w:val="18"/>
              </w:rPr>
            </w:pPr>
            <w:r>
              <w:rPr>
                <w:b/>
                <w:sz w:val="18"/>
                <w:szCs w:val="18"/>
              </w:rPr>
              <w:t>Premier Molasses</w:t>
            </w:r>
          </w:p>
          <w:p w14:paraId="0879F2C5" w14:textId="77777777" w:rsidR="00646771" w:rsidRDefault="00646771" w:rsidP="00646771">
            <w:pPr>
              <w:jc w:val="right"/>
              <w:rPr>
                <w:b/>
                <w:sz w:val="18"/>
                <w:szCs w:val="18"/>
              </w:rPr>
            </w:pPr>
            <w:r>
              <w:rPr>
                <w:b/>
                <w:sz w:val="18"/>
                <w:szCs w:val="18"/>
              </w:rPr>
              <w:t>£m</w:t>
            </w:r>
          </w:p>
        </w:tc>
        <w:tc>
          <w:tcPr>
            <w:tcW w:w="1370" w:type="dxa"/>
            <w:tcBorders>
              <w:bottom w:val="single" w:sz="4" w:space="0" w:color="auto"/>
            </w:tcBorders>
            <w:vAlign w:val="bottom"/>
          </w:tcPr>
          <w:p w14:paraId="49631C60" w14:textId="77777777" w:rsidR="00646771" w:rsidRDefault="00646771" w:rsidP="00646771">
            <w:pPr>
              <w:jc w:val="right"/>
              <w:rPr>
                <w:b/>
                <w:sz w:val="18"/>
                <w:szCs w:val="18"/>
              </w:rPr>
            </w:pPr>
            <w:r>
              <w:rPr>
                <w:b/>
                <w:sz w:val="18"/>
                <w:szCs w:val="18"/>
              </w:rPr>
              <w:t>UMI</w:t>
            </w:r>
          </w:p>
          <w:p w14:paraId="7A445A2D" w14:textId="77777777" w:rsidR="00646771" w:rsidRDefault="00646771" w:rsidP="00646771">
            <w:pPr>
              <w:jc w:val="right"/>
              <w:rPr>
                <w:b/>
                <w:sz w:val="18"/>
                <w:szCs w:val="18"/>
              </w:rPr>
            </w:pPr>
            <w:r>
              <w:rPr>
                <w:b/>
                <w:sz w:val="18"/>
                <w:szCs w:val="18"/>
              </w:rPr>
              <w:t>£m</w:t>
            </w:r>
          </w:p>
        </w:tc>
        <w:tc>
          <w:tcPr>
            <w:tcW w:w="1371" w:type="dxa"/>
            <w:tcBorders>
              <w:bottom w:val="single" w:sz="4" w:space="0" w:color="auto"/>
            </w:tcBorders>
            <w:vAlign w:val="bottom"/>
          </w:tcPr>
          <w:p w14:paraId="2B445F3E" w14:textId="77777777" w:rsidR="00646771" w:rsidRDefault="00646771" w:rsidP="00646771">
            <w:pPr>
              <w:jc w:val="right"/>
              <w:rPr>
                <w:b/>
                <w:sz w:val="18"/>
                <w:szCs w:val="18"/>
              </w:rPr>
            </w:pPr>
            <w:r>
              <w:rPr>
                <w:b/>
                <w:sz w:val="18"/>
                <w:szCs w:val="18"/>
              </w:rPr>
              <w:t xml:space="preserve">Total </w:t>
            </w:r>
          </w:p>
          <w:p w14:paraId="7906A0C4" w14:textId="77777777" w:rsidR="00646771" w:rsidRDefault="00646771" w:rsidP="00646771">
            <w:pPr>
              <w:jc w:val="right"/>
              <w:rPr>
                <w:b/>
                <w:sz w:val="18"/>
                <w:szCs w:val="18"/>
              </w:rPr>
            </w:pPr>
            <w:r>
              <w:rPr>
                <w:b/>
                <w:sz w:val="18"/>
                <w:szCs w:val="18"/>
              </w:rPr>
              <w:t>£m</w:t>
            </w:r>
          </w:p>
        </w:tc>
      </w:tr>
      <w:tr w:rsidR="00FD7ED5" w14:paraId="32E59179" w14:textId="77777777" w:rsidTr="00FD7ED5">
        <w:tc>
          <w:tcPr>
            <w:tcW w:w="5670" w:type="dxa"/>
            <w:tcBorders>
              <w:top w:val="single" w:sz="4" w:space="0" w:color="auto"/>
            </w:tcBorders>
          </w:tcPr>
          <w:p w14:paraId="0CCC37AB" w14:textId="77777777" w:rsidR="00FD7ED5" w:rsidRPr="00CD1BE0" w:rsidRDefault="00FD7ED5" w:rsidP="00491DDB">
            <w:pPr>
              <w:rPr>
                <w:sz w:val="18"/>
                <w:szCs w:val="18"/>
              </w:rPr>
            </w:pPr>
            <w:r>
              <w:rPr>
                <w:sz w:val="18"/>
                <w:szCs w:val="18"/>
              </w:rPr>
              <w:t>Total consideration</w:t>
            </w:r>
          </w:p>
        </w:tc>
        <w:tc>
          <w:tcPr>
            <w:tcW w:w="1370" w:type="dxa"/>
            <w:tcBorders>
              <w:top w:val="single" w:sz="4" w:space="0" w:color="auto"/>
            </w:tcBorders>
          </w:tcPr>
          <w:p w14:paraId="11805651" w14:textId="77777777" w:rsidR="00FD7ED5" w:rsidRPr="00646771" w:rsidRDefault="00646771" w:rsidP="00ED04C7">
            <w:pPr>
              <w:jc w:val="right"/>
              <w:rPr>
                <w:b/>
                <w:sz w:val="18"/>
                <w:szCs w:val="18"/>
              </w:rPr>
            </w:pPr>
            <w:r w:rsidRPr="00646771">
              <w:rPr>
                <w:b/>
                <w:sz w:val="18"/>
                <w:szCs w:val="18"/>
              </w:rPr>
              <w:t>10.8</w:t>
            </w:r>
          </w:p>
        </w:tc>
        <w:tc>
          <w:tcPr>
            <w:tcW w:w="1370" w:type="dxa"/>
            <w:tcBorders>
              <w:top w:val="single" w:sz="4" w:space="0" w:color="auto"/>
            </w:tcBorders>
          </w:tcPr>
          <w:p w14:paraId="037C27F0" w14:textId="77777777" w:rsidR="00FD7ED5" w:rsidRPr="00646771" w:rsidRDefault="00646771" w:rsidP="00ED04C7">
            <w:pPr>
              <w:jc w:val="right"/>
              <w:rPr>
                <w:b/>
                <w:sz w:val="18"/>
                <w:szCs w:val="18"/>
              </w:rPr>
            </w:pPr>
            <w:r w:rsidRPr="00646771">
              <w:rPr>
                <w:b/>
                <w:sz w:val="18"/>
                <w:szCs w:val="18"/>
              </w:rPr>
              <w:t>4.7</w:t>
            </w:r>
          </w:p>
        </w:tc>
        <w:tc>
          <w:tcPr>
            <w:tcW w:w="1371" w:type="dxa"/>
            <w:tcBorders>
              <w:top w:val="single" w:sz="4" w:space="0" w:color="auto"/>
            </w:tcBorders>
          </w:tcPr>
          <w:p w14:paraId="4D14D2BE" w14:textId="77777777" w:rsidR="00FD7ED5" w:rsidRPr="00646771" w:rsidRDefault="005D0B94" w:rsidP="00ED04C7">
            <w:pPr>
              <w:jc w:val="right"/>
              <w:rPr>
                <w:b/>
                <w:sz w:val="18"/>
                <w:szCs w:val="18"/>
              </w:rPr>
            </w:pPr>
            <w:r>
              <w:rPr>
                <w:b/>
                <w:sz w:val="18"/>
                <w:szCs w:val="18"/>
              </w:rPr>
              <w:t>15.5</w:t>
            </w:r>
          </w:p>
        </w:tc>
      </w:tr>
      <w:tr w:rsidR="00FD7ED5" w14:paraId="599EBFD2" w14:textId="77777777" w:rsidTr="00FD7ED5">
        <w:tc>
          <w:tcPr>
            <w:tcW w:w="5670" w:type="dxa"/>
          </w:tcPr>
          <w:p w14:paraId="2C0AAF9E" w14:textId="77777777" w:rsidR="00FD7ED5" w:rsidRPr="00CD1BE0" w:rsidRDefault="00FD7ED5" w:rsidP="008A6BDE">
            <w:pPr>
              <w:rPr>
                <w:sz w:val="18"/>
                <w:szCs w:val="18"/>
              </w:rPr>
            </w:pPr>
            <w:r>
              <w:rPr>
                <w:sz w:val="18"/>
                <w:szCs w:val="18"/>
              </w:rPr>
              <w:t xml:space="preserve">Cash received in respect of working capital </w:t>
            </w:r>
            <w:r w:rsidR="008A6BDE">
              <w:rPr>
                <w:sz w:val="18"/>
                <w:szCs w:val="18"/>
              </w:rPr>
              <w:t>settlement</w:t>
            </w:r>
          </w:p>
        </w:tc>
        <w:tc>
          <w:tcPr>
            <w:tcW w:w="1370" w:type="dxa"/>
          </w:tcPr>
          <w:p w14:paraId="31000004" w14:textId="77777777" w:rsidR="00FD7ED5" w:rsidRPr="00646771" w:rsidRDefault="00646771" w:rsidP="00491DDB">
            <w:pPr>
              <w:jc w:val="right"/>
              <w:rPr>
                <w:b/>
                <w:sz w:val="18"/>
                <w:szCs w:val="18"/>
              </w:rPr>
            </w:pPr>
            <w:r w:rsidRPr="00646771">
              <w:rPr>
                <w:b/>
                <w:sz w:val="18"/>
                <w:szCs w:val="18"/>
              </w:rPr>
              <w:t>1.9</w:t>
            </w:r>
          </w:p>
        </w:tc>
        <w:tc>
          <w:tcPr>
            <w:tcW w:w="1370" w:type="dxa"/>
          </w:tcPr>
          <w:p w14:paraId="680D5518" w14:textId="77777777" w:rsidR="00FD7ED5" w:rsidRPr="00646771" w:rsidRDefault="00646771" w:rsidP="00491DDB">
            <w:pPr>
              <w:jc w:val="right"/>
              <w:rPr>
                <w:b/>
                <w:sz w:val="18"/>
                <w:szCs w:val="18"/>
              </w:rPr>
            </w:pPr>
            <w:r w:rsidRPr="00646771">
              <w:rPr>
                <w:b/>
                <w:sz w:val="18"/>
                <w:szCs w:val="18"/>
              </w:rPr>
              <w:t>0.8</w:t>
            </w:r>
          </w:p>
        </w:tc>
        <w:tc>
          <w:tcPr>
            <w:tcW w:w="1371" w:type="dxa"/>
          </w:tcPr>
          <w:p w14:paraId="62866A09" w14:textId="77777777" w:rsidR="00FD7ED5" w:rsidRPr="00646771" w:rsidRDefault="00FD7ED5" w:rsidP="00491DDB">
            <w:pPr>
              <w:jc w:val="right"/>
              <w:rPr>
                <w:b/>
                <w:sz w:val="18"/>
                <w:szCs w:val="18"/>
              </w:rPr>
            </w:pPr>
            <w:r w:rsidRPr="00646771">
              <w:rPr>
                <w:b/>
                <w:sz w:val="18"/>
                <w:szCs w:val="18"/>
              </w:rPr>
              <w:t>2.7</w:t>
            </w:r>
          </w:p>
        </w:tc>
      </w:tr>
      <w:tr w:rsidR="00FD7ED5" w14:paraId="08718F8D" w14:textId="77777777" w:rsidTr="00FD7ED5">
        <w:tc>
          <w:tcPr>
            <w:tcW w:w="5670" w:type="dxa"/>
            <w:tcBorders>
              <w:bottom w:val="single" w:sz="4" w:space="0" w:color="auto"/>
            </w:tcBorders>
          </w:tcPr>
          <w:p w14:paraId="3A31D25A" w14:textId="77777777" w:rsidR="00FD7ED5" w:rsidRPr="00CD1BE0" w:rsidRDefault="00FD7ED5" w:rsidP="00491DDB">
            <w:pPr>
              <w:rPr>
                <w:sz w:val="18"/>
                <w:szCs w:val="18"/>
              </w:rPr>
            </w:pPr>
            <w:r>
              <w:rPr>
                <w:sz w:val="18"/>
                <w:szCs w:val="18"/>
              </w:rPr>
              <w:t>Transaction costs paid</w:t>
            </w:r>
          </w:p>
        </w:tc>
        <w:tc>
          <w:tcPr>
            <w:tcW w:w="1370" w:type="dxa"/>
            <w:tcBorders>
              <w:bottom w:val="single" w:sz="4" w:space="0" w:color="auto"/>
            </w:tcBorders>
          </w:tcPr>
          <w:p w14:paraId="245F923A" w14:textId="77777777" w:rsidR="00FD7ED5" w:rsidRPr="00646771" w:rsidRDefault="00646771" w:rsidP="00491DDB">
            <w:pPr>
              <w:jc w:val="right"/>
              <w:rPr>
                <w:b/>
                <w:sz w:val="18"/>
                <w:szCs w:val="18"/>
              </w:rPr>
            </w:pPr>
            <w:r w:rsidRPr="00646771">
              <w:rPr>
                <w:b/>
                <w:sz w:val="18"/>
                <w:szCs w:val="18"/>
              </w:rPr>
              <w:t>(0.3)</w:t>
            </w:r>
          </w:p>
        </w:tc>
        <w:tc>
          <w:tcPr>
            <w:tcW w:w="1370" w:type="dxa"/>
            <w:tcBorders>
              <w:bottom w:val="single" w:sz="4" w:space="0" w:color="auto"/>
            </w:tcBorders>
          </w:tcPr>
          <w:p w14:paraId="01797226" w14:textId="77777777" w:rsidR="00FD7ED5" w:rsidRPr="00646771" w:rsidRDefault="00646771" w:rsidP="00491DDB">
            <w:pPr>
              <w:jc w:val="right"/>
              <w:rPr>
                <w:b/>
                <w:sz w:val="18"/>
                <w:szCs w:val="18"/>
              </w:rPr>
            </w:pPr>
            <w:r w:rsidRPr="00646771">
              <w:rPr>
                <w:b/>
                <w:sz w:val="18"/>
                <w:szCs w:val="18"/>
              </w:rPr>
              <w:t>(0.1)</w:t>
            </w:r>
          </w:p>
        </w:tc>
        <w:tc>
          <w:tcPr>
            <w:tcW w:w="1371" w:type="dxa"/>
            <w:tcBorders>
              <w:bottom w:val="single" w:sz="4" w:space="0" w:color="auto"/>
            </w:tcBorders>
          </w:tcPr>
          <w:p w14:paraId="2B1CBC53" w14:textId="77777777" w:rsidR="00FD7ED5" w:rsidRPr="00646771" w:rsidRDefault="00FD7ED5" w:rsidP="00491DDB">
            <w:pPr>
              <w:jc w:val="right"/>
              <w:rPr>
                <w:b/>
                <w:sz w:val="18"/>
                <w:szCs w:val="18"/>
              </w:rPr>
            </w:pPr>
            <w:r w:rsidRPr="00646771">
              <w:rPr>
                <w:b/>
                <w:sz w:val="18"/>
                <w:szCs w:val="18"/>
              </w:rPr>
              <w:t>(0.4)</w:t>
            </w:r>
          </w:p>
        </w:tc>
      </w:tr>
      <w:tr w:rsidR="00FD7ED5" w14:paraId="30650261" w14:textId="77777777" w:rsidTr="00FD7ED5">
        <w:tc>
          <w:tcPr>
            <w:tcW w:w="5670" w:type="dxa"/>
            <w:tcBorders>
              <w:top w:val="single" w:sz="4" w:space="0" w:color="auto"/>
              <w:bottom w:val="single" w:sz="4" w:space="0" w:color="auto"/>
            </w:tcBorders>
          </w:tcPr>
          <w:p w14:paraId="079CD993" w14:textId="77777777" w:rsidR="00FD7ED5" w:rsidRPr="00AA7E3E" w:rsidRDefault="00FD7ED5" w:rsidP="00491DDB">
            <w:pPr>
              <w:rPr>
                <w:b/>
                <w:sz w:val="18"/>
                <w:szCs w:val="18"/>
              </w:rPr>
            </w:pPr>
            <w:r w:rsidRPr="00AA7E3E">
              <w:rPr>
                <w:b/>
                <w:sz w:val="18"/>
                <w:szCs w:val="18"/>
              </w:rPr>
              <w:t>Net consideration received on completion</w:t>
            </w:r>
          </w:p>
        </w:tc>
        <w:tc>
          <w:tcPr>
            <w:tcW w:w="1370" w:type="dxa"/>
            <w:tcBorders>
              <w:top w:val="single" w:sz="4" w:space="0" w:color="auto"/>
              <w:bottom w:val="single" w:sz="4" w:space="0" w:color="auto"/>
            </w:tcBorders>
          </w:tcPr>
          <w:p w14:paraId="275380DB" w14:textId="77777777" w:rsidR="00FD7ED5" w:rsidRPr="00646771" w:rsidRDefault="00646771" w:rsidP="00491DDB">
            <w:pPr>
              <w:jc w:val="right"/>
              <w:rPr>
                <w:b/>
                <w:sz w:val="18"/>
                <w:szCs w:val="18"/>
              </w:rPr>
            </w:pPr>
            <w:r w:rsidRPr="00646771">
              <w:rPr>
                <w:b/>
                <w:sz w:val="18"/>
                <w:szCs w:val="18"/>
              </w:rPr>
              <w:t>12.4</w:t>
            </w:r>
          </w:p>
        </w:tc>
        <w:tc>
          <w:tcPr>
            <w:tcW w:w="1370" w:type="dxa"/>
            <w:tcBorders>
              <w:top w:val="single" w:sz="4" w:space="0" w:color="auto"/>
              <w:bottom w:val="single" w:sz="4" w:space="0" w:color="auto"/>
            </w:tcBorders>
          </w:tcPr>
          <w:p w14:paraId="49832657" w14:textId="77777777" w:rsidR="00FD7ED5" w:rsidRPr="00646771" w:rsidRDefault="00646771" w:rsidP="00491DDB">
            <w:pPr>
              <w:jc w:val="right"/>
              <w:rPr>
                <w:b/>
                <w:sz w:val="18"/>
                <w:szCs w:val="18"/>
              </w:rPr>
            </w:pPr>
            <w:r w:rsidRPr="00646771">
              <w:rPr>
                <w:b/>
                <w:sz w:val="18"/>
                <w:szCs w:val="18"/>
              </w:rPr>
              <w:t>5.4</w:t>
            </w:r>
          </w:p>
        </w:tc>
        <w:tc>
          <w:tcPr>
            <w:tcW w:w="1371" w:type="dxa"/>
            <w:tcBorders>
              <w:top w:val="single" w:sz="4" w:space="0" w:color="auto"/>
              <w:bottom w:val="single" w:sz="4" w:space="0" w:color="auto"/>
            </w:tcBorders>
          </w:tcPr>
          <w:p w14:paraId="4762B275" w14:textId="77777777" w:rsidR="00FD7ED5" w:rsidRPr="00646771" w:rsidRDefault="005D0B94" w:rsidP="00491DDB">
            <w:pPr>
              <w:jc w:val="right"/>
              <w:rPr>
                <w:b/>
                <w:sz w:val="18"/>
                <w:szCs w:val="18"/>
              </w:rPr>
            </w:pPr>
            <w:r>
              <w:rPr>
                <w:b/>
                <w:sz w:val="18"/>
                <w:szCs w:val="18"/>
              </w:rPr>
              <w:t>17.8</w:t>
            </w:r>
          </w:p>
        </w:tc>
      </w:tr>
      <w:tr w:rsidR="00FD7ED5" w14:paraId="7EA83FEA" w14:textId="77777777" w:rsidTr="00FD7ED5">
        <w:tc>
          <w:tcPr>
            <w:tcW w:w="5670" w:type="dxa"/>
            <w:tcBorders>
              <w:top w:val="single" w:sz="4" w:space="0" w:color="auto"/>
              <w:bottom w:val="single" w:sz="4" w:space="0" w:color="auto"/>
            </w:tcBorders>
          </w:tcPr>
          <w:p w14:paraId="2E190ED8" w14:textId="77777777" w:rsidR="00FD7ED5" w:rsidRDefault="00FD7ED5" w:rsidP="00491DDB">
            <w:pPr>
              <w:rPr>
                <w:sz w:val="18"/>
                <w:szCs w:val="18"/>
              </w:rPr>
            </w:pPr>
            <w:r>
              <w:rPr>
                <w:sz w:val="18"/>
                <w:szCs w:val="18"/>
              </w:rPr>
              <w:t>Cash and cash equivalents disposed of</w:t>
            </w:r>
          </w:p>
        </w:tc>
        <w:tc>
          <w:tcPr>
            <w:tcW w:w="1370" w:type="dxa"/>
            <w:tcBorders>
              <w:top w:val="single" w:sz="4" w:space="0" w:color="auto"/>
              <w:bottom w:val="single" w:sz="4" w:space="0" w:color="auto"/>
            </w:tcBorders>
          </w:tcPr>
          <w:p w14:paraId="125B3283" w14:textId="77777777" w:rsidR="00FD7ED5" w:rsidRPr="00646771" w:rsidRDefault="00646771" w:rsidP="00491DDB">
            <w:pPr>
              <w:jc w:val="right"/>
              <w:rPr>
                <w:b/>
                <w:sz w:val="18"/>
                <w:szCs w:val="18"/>
              </w:rPr>
            </w:pPr>
            <w:r w:rsidRPr="00646771">
              <w:rPr>
                <w:b/>
                <w:sz w:val="18"/>
                <w:szCs w:val="18"/>
              </w:rPr>
              <w:t>(1.5)</w:t>
            </w:r>
          </w:p>
        </w:tc>
        <w:tc>
          <w:tcPr>
            <w:tcW w:w="1370" w:type="dxa"/>
            <w:tcBorders>
              <w:top w:val="single" w:sz="4" w:space="0" w:color="auto"/>
              <w:bottom w:val="single" w:sz="4" w:space="0" w:color="auto"/>
            </w:tcBorders>
          </w:tcPr>
          <w:p w14:paraId="4FAD8E5A" w14:textId="77777777" w:rsidR="00FD7ED5" w:rsidRPr="00646771" w:rsidRDefault="00646771" w:rsidP="00491DDB">
            <w:pPr>
              <w:jc w:val="right"/>
              <w:rPr>
                <w:b/>
                <w:sz w:val="18"/>
                <w:szCs w:val="18"/>
              </w:rPr>
            </w:pPr>
            <w:r w:rsidRPr="00646771">
              <w:rPr>
                <w:b/>
                <w:bCs/>
                <w:sz w:val="18"/>
                <w:szCs w:val="18"/>
              </w:rPr>
              <w:t>–</w:t>
            </w:r>
          </w:p>
        </w:tc>
        <w:tc>
          <w:tcPr>
            <w:tcW w:w="1371" w:type="dxa"/>
            <w:tcBorders>
              <w:top w:val="single" w:sz="4" w:space="0" w:color="auto"/>
              <w:bottom w:val="single" w:sz="4" w:space="0" w:color="auto"/>
            </w:tcBorders>
          </w:tcPr>
          <w:p w14:paraId="503AE677" w14:textId="77777777" w:rsidR="00FD7ED5" w:rsidRPr="00646771" w:rsidRDefault="00FD7ED5" w:rsidP="00491DDB">
            <w:pPr>
              <w:jc w:val="right"/>
              <w:rPr>
                <w:b/>
                <w:sz w:val="18"/>
                <w:szCs w:val="18"/>
              </w:rPr>
            </w:pPr>
            <w:r w:rsidRPr="00646771">
              <w:rPr>
                <w:b/>
                <w:sz w:val="18"/>
                <w:szCs w:val="18"/>
              </w:rPr>
              <w:t>(1.5)</w:t>
            </w:r>
          </w:p>
        </w:tc>
      </w:tr>
      <w:tr w:rsidR="00FD7ED5" w14:paraId="7F5FA51C" w14:textId="77777777" w:rsidTr="00FD7ED5">
        <w:tc>
          <w:tcPr>
            <w:tcW w:w="5670" w:type="dxa"/>
            <w:tcBorders>
              <w:top w:val="single" w:sz="4" w:space="0" w:color="auto"/>
              <w:bottom w:val="single" w:sz="4" w:space="0" w:color="auto"/>
            </w:tcBorders>
          </w:tcPr>
          <w:p w14:paraId="17A8E84D" w14:textId="77777777" w:rsidR="00FD7ED5" w:rsidRPr="00AA7E3E" w:rsidRDefault="00FD7ED5" w:rsidP="00491DDB">
            <w:pPr>
              <w:rPr>
                <w:b/>
                <w:sz w:val="18"/>
                <w:szCs w:val="18"/>
              </w:rPr>
            </w:pPr>
            <w:r w:rsidRPr="00AA7E3E">
              <w:rPr>
                <w:b/>
                <w:sz w:val="18"/>
                <w:szCs w:val="18"/>
              </w:rPr>
              <w:t>Net cash inflow arising on disposal</w:t>
            </w:r>
          </w:p>
        </w:tc>
        <w:tc>
          <w:tcPr>
            <w:tcW w:w="1370" w:type="dxa"/>
            <w:tcBorders>
              <w:top w:val="single" w:sz="4" w:space="0" w:color="auto"/>
              <w:bottom w:val="single" w:sz="4" w:space="0" w:color="auto"/>
            </w:tcBorders>
          </w:tcPr>
          <w:p w14:paraId="45E481DA" w14:textId="77777777" w:rsidR="00FD7ED5" w:rsidRPr="00646771" w:rsidRDefault="00646771" w:rsidP="00491DDB">
            <w:pPr>
              <w:jc w:val="right"/>
              <w:rPr>
                <w:b/>
                <w:sz w:val="18"/>
                <w:szCs w:val="18"/>
              </w:rPr>
            </w:pPr>
            <w:r w:rsidRPr="00646771">
              <w:rPr>
                <w:b/>
                <w:sz w:val="18"/>
                <w:szCs w:val="18"/>
              </w:rPr>
              <w:t>10.9</w:t>
            </w:r>
          </w:p>
        </w:tc>
        <w:tc>
          <w:tcPr>
            <w:tcW w:w="1370" w:type="dxa"/>
            <w:tcBorders>
              <w:top w:val="single" w:sz="4" w:space="0" w:color="auto"/>
              <w:bottom w:val="single" w:sz="4" w:space="0" w:color="auto"/>
            </w:tcBorders>
          </w:tcPr>
          <w:p w14:paraId="6A5664A8" w14:textId="77777777" w:rsidR="00FD7ED5" w:rsidRPr="00646771" w:rsidRDefault="00646771" w:rsidP="00491DDB">
            <w:pPr>
              <w:jc w:val="right"/>
              <w:rPr>
                <w:b/>
                <w:sz w:val="18"/>
                <w:szCs w:val="18"/>
              </w:rPr>
            </w:pPr>
            <w:r w:rsidRPr="00646771">
              <w:rPr>
                <w:b/>
                <w:sz w:val="18"/>
                <w:szCs w:val="18"/>
              </w:rPr>
              <w:t>5.4</w:t>
            </w:r>
          </w:p>
        </w:tc>
        <w:tc>
          <w:tcPr>
            <w:tcW w:w="1371" w:type="dxa"/>
            <w:tcBorders>
              <w:top w:val="single" w:sz="4" w:space="0" w:color="auto"/>
              <w:bottom w:val="single" w:sz="4" w:space="0" w:color="auto"/>
            </w:tcBorders>
          </w:tcPr>
          <w:p w14:paraId="0F60606B" w14:textId="77777777" w:rsidR="00FD7ED5" w:rsidRPr="00646771" w:rsidRDefault="005D0B94" w:rsidP="00491DDB">
            <w:pPr>
              <w:jc w:val="right"/>
              <w:rPr>
                <w:b/>
                <w:sz w:val="18"/>
                <w:szCs w:val="18"/>
              </w:rPr>
            </w:pPr>
            <w:r>
              <w:rPr>
                <w:b/>
                <w:sz w:val="18"/>
                <w:szCs w:val="18"/>
              </w:rPr>
              <w:t>16.3</w:t>
            </w:r>
          </w:p>
        </w:tc>
      </w:tr>
    </w:tbl>
    <w:p w14:paraId="134E24E0" w14:textId="77777777" w:rsidR="00C13F02" w:rsidRDefault="00C13F02" w:rsidP="005B3BEE">
      <w:pPr>
        <w:pStyle w:val="SectionH3"/>
      </w:pPr>
    </w:p>
    <w:p w14:paraId="37E96909" w14:textId="77777777" w:rsidR="00773F7B" w:rsidRPr="00313181" w:rsidRDefault="00773F7B" w:rsidP="005B3BEE">
      <w:pPr>
        <w:pStyle w:val="SectionH3"/>
      </w:pPr>
      <w:r w:rsidRPr="00313181">
        <w:t>1</w:t>
      </w:r>
      <w:r w:rsidR="00E126B5">
        <w:t>5</w:t>
      </w:r>
      <w:r w:rsidRPr="00313181">
        <w:t>.</w:t>
      </w:r>
      <w:r w:rsidR="001D4796">
        <w:tab/>
      </w:r>
      <w:r w:rsidRPr="00451D3D">
        <w:t>Contingencies</w:t>
      </w:r>
    </w:p>
    <w:p w14:paraId="106F58F0" w14:textId="77777777" w:rsidR="00773F7B" w:rsidRDefault="00773F7B" w:rsidP="005B3BEE">
      <w:pPr>
        <w:spacing w:after="120" w:line="240" w:lineRule="auto"/>
        <w:jc w:val="both"/>
        <w:rPr>
          <w:sz w:val="18"/>
          <w:szCs w:val="18"/>
        </w:rPr>
      </w:pPr>
      <w:r w:rsidRPr="00F91BA7">
        <w:rPr>
          <w:sz w:val="18"/>
          <w:szCs w:val="18"/>
        </w:rPr>
        <w:t>The Company and certain subsidiaries have given guarantees in respect of borrowings and other obligations arising in the ordinary course of business of the Company and other Group undertakings. The Company and other Group undertakings consider these guarantees to be insurance contracts and account for them as such. The Company treats these guarantee contracts as contingent liabilities until such time as it becomes probable that a payment will be required under such guarantees.</w:t>
      </w:r>
    </w:p>
    <w:p w14:paraId="1AB39A6C" w14:textId="77777777" w:rsidR="00773F7B" w:rsidRDefault="00773F7B" w:rsidP="005B3BEE">
      <w:pPr>
        <w:spacing w:after="120" w:line="240" w:lineRule="auto"/>
        <w:jc w:val="both"/>
        <w:rPr>
          <w:sz w:val="18"/>
          <w:szCs w:val="18"/>
        </w:rPr>
      </w:pPr>
      <w:r w:rsidRPr="00F91BA7">
        <w:rPr>
          <w:sz w:val="18"/>
          <w:szCs w:val="18"/>
        </w:rPr>
        <w:t>The Group and certain of its subsidiaries continue to be subject to various legal proceedings relating to its current and former activities. Provisions for anticipated settlement costs and associated expenses arising from legal and other disputes are made where a reliable estimate can be made of the probable outcome of the proceedings.</w:t>
      </w:r>
    </w:p>
    <w:p w14:paraId="7737F3A7" w14:textId="77777777" w:rsidR="006E683D" w:rsidRDefault="006E683D" w:rsidP="006E683D">
      <w:pPr>
        <w:spacing w:after="120" w:line="240" w:lineRule="auto"/>
        <w:jc w:val="both"/>
        <w:rPr>
          <w:sz w:val="18"/>
          <w:szCs w:val="18"/>
        </w:rPr>
      </w:pPr>
      <w:r w:rsidRPr="00F91BA7">
        <w:rPr>
          <w:sz w:val="18"/>
          <w:szCs w:val="18"/>
        </w:rPr>
        <w:t xml:space="preserve">The </w:t>
      </w:r>
      <w:r>
        <w:rPr>
          <w:sz w:val="18"/>
          <w:szCs w:val="18"/>
        </w:rPr>
        <w:t>G</w:t>
      </w:r>
      <w:r w:rsidRPr="00F91BA7">
        <w:rPr>
          <w:sz w:val="18"/>
          <w:szCs w:val="18"/>
        </w:rPr>
        <w:t xml:space="preserve">roup has provided bank guarantees to </w:t>
      </w:r>
      <w:r w:rsidRPr="00CF7576">
        <w:rPr>
          <w:sz w:val="18"/>
          <w:szCs w:val="18"/>
        </w:rPr>
        <w:t>the</w:t>
      </w:r>
      <w:r>
        <w:rPr>
          <w:sz w:val="18"/>
          <w:szCs w:val="18"/>
        </w:rPr>
        <w:t xml:space="preserve"> Group’s insurance providers </w:t>
      </w:r>
      <w:r w:rsidRPr="00F91BA7">
        <w:rPr>
          <w:sz w:val="18"/>
          <w:szCs w:val="18"/>
        </w:rPr>
        <w:t xml:space="preserve">for an </w:t>
      </w:r>
      <w:r w:rsidRPr="00CF7576">
        <w:rPr>
          <w:sz w:val="18"/>
          <w:szCs w:val="18"/>
        </w:rPr>
        <w:t xml:space="preserve">amount of £5.8m </w:t>
      </w:r>
      <w:r>
        <w:rPr>
          <w:sz w:val="18"/>
          <w:szCs w:val="18"/>
        </w:rPr>
        <w:t>(Sept 2020</w:t>
      </w:r>
      <w:r w:rsidRPr="00F91BA7">
        <w:rPr>
          <w:sz w:val="18"/>
          <w:szCs w:val="18"/>
        </w:rPr>
        <w:t>: £</w:t>
      </w:r>
      <w:r>
        <w:rPr>
          <w:sz w:val="18"/>
          <w:szCs w:val="18"/>
        </w:rPr>
        <w:t>8.2</w:t>
      </w:r>
      <w:r w:rsidRPr="00F91BA7">
        <w:rPr>
          <w:sz w:val="18"/>
          <w:szCs w:val="18"/>
        </w:rPr>
        <w:t>m).</w:t>
      </w:r>
    </w:p>
    <w:p w14:paraId="388B4661" w14:textId="77777777" w:rsidR="0041734A" w:rsidRDefault="0041734A" w:rsidP="005B3BEE">
      <w:pPr>
        <w:pStyle w:val="SectionH3"/>
      </w:pPr>
    </w:p>
    <w:p w14:paraId="5217C2B1" w14:textId="77777777" w:rsidR="00773F7B" w:rsidRPr="005B3BEE" w:rsidRDefault="00773F7B" w:rsidP="005B3BEE">
      <w:pPr>
        <w:rPr>
          <w:rFonts w:ascii="Calibri" w:eastAsia="Calibri" w:hAnsi="Calibri" w:cs="Arial"/>
          <w:b/>
          <w:bCs/>
          <w:sz w:val="18"/>
          <w:szCs w:val="18"/>
          <w:lang w:val="en-US" w:eastAsia="en-GB" w:bidi="en-GB"/>
        </w:rPr>
      </w:pPr>
      <w:r w:rsidRPr="005B3BEE">
        <w:rPr>
          <w:rFonts w:ascii="Calibri" w:eastAsia="Calibri" w:hAnsi="Calibri" w:cs="Arial"/>
          <w:b/>
          <w:bCs/>
          <w:sz w:val="18"/>
          <w:szCs w:val="18"/>
          <w:lang w:val="en-US" w:eastAsia="en-GB" w:bidi="en-GB"/>
        </w:rPr>
        <w:t>1</w:t>
      </w:r>
      <w:r w:rsidR="00CA563B">
        <w:rPr>
          <w:rFonts w:ascii="Calibri" w:eastAsia="Calibri" w:hAnsi="Calibri" w:cs="Arial"/>
          <w:b/>
          <w:bCs/>
          <w:sz w:val="18"/>
          <w:szCs w:val="18"/>
          <w:lang w:val="en-US" w:eastAsia="en-GB" w:bidi="en-GB"/>
        </w:rPr>
        <w:t>6</w:t>
      </w:r>
      <w:r w:rsidRPr="005B3BEE">
        <w:rPr>
          <w:rFonts w:ascii="Calibri" w:eastAsia="Calibri" w:hAnsi="Calibri" w:cs="Arial"/>
          <w:b/>
          <w:bCs/>
          <w:sz w:val="18"/>
          <w:szCs w:val="18"/>
          <w:lang w:val="en-US" w:eastAsia="en-GB" w:bidi="en-GB"/>
        </w:rPr>
        <w:t>.</w:t>
      </w:r>
      <w:r w:rsidR="001D4796" w:rsidRPr="005B3BEE">
        <w:rPr>
          <w:rFonts w:ascii="Calibri" w:eastAsia="Calibri" w:hAnsi="Calibri" w:cs="Arial"/>
          <w:b/>
          <w:bCs/>
          <w:sz w:val="18"/>
          <w:szCs w:val="18"/>
          <w:lang w:val="en-US" w:eastAsia="en-GB" w:bidi="en-GB"/>
        </w:rPr>
        <w:tab/>
      </w:r>
      <w:r w:rsidRPr="005B3BEE">
        <w:rPr>
          <w:rFonts w:ascii="Calibri" w:eastAsia="Calibri" w:hAnsi="Calibri" w:cs="Arial"/>
          <w:b/>
          <w:bCs/>
          <w:sz w:val="18"/>
          <w:szCs w:val="18"/>
          <w:lang w:val="en-US" w:eastAsia="en-GB" w:bidi="en-GB"/>
        </w:rPr>
        <w:t>Information</w:t>
      </w:r>
    </w:p>
    <w:p w14:paraId="7494D6C4" w14:textId="77777777" w:rsidR="00773F7B" w:rsidRDefault="00773F7B" w:rsidP="005B3BEE">
      <w:pPr>
        <w:spacing w:after="120" w:line="240" w:lineRule="auto"/>
        <w:rPr>
          <w:sz w:val="18"/>
          <w:szCs w:val="18"/>
        </w:rPr>
      </w:pPr>
      <w:r w:rsidRPr="00DD4291">
        <w:rPr>
          <w:sz w:val="18"/>
          <w:szCs w:val="18"/>
        </w:rPr>
        <w:t xml:space="preserve">Copies of the </w:t>
      </w:r>
      <w:r w:rsidR="00D9430C">
        <w:rPr>
          <w:sz w:val="18"/>
          <w:szCs w:val="18"/>
        </w:rPr>
        <w:t>Interim</w:t>
      </w:r>
      <w:r w:rsidRPr="00DD4291">
        <w:rPr>
          <w:sz w:val="18"/>
          <w:szCs w:val="18"/>
        </w:rPr>
        <w:t xml:space="preserve"> Financial Report are available for download from the Group's website at www.greencore.com.</w:t>
      </w:r>
    </w:p>
    <w:p w14:paraId="0D000E93" w14:textId="77777777" w:rsidR="00EB44C4" w:rsidRDefault="00EB44C4" w:rsidP="00EB44C4">
      <w:pPr>
        <w:tabs>
          <w:tab w:val="left" w:pos="207"/>
          <w:tab w:val="right" w:pos="9746"/>
        </w:tabs>
        <w:rPr>
          <w:b/>
          <w:color w:val="002060"/>
          <w:sz w:val="20"/>
          <w:szCs w:val="20"/>
        </w:rPr>
      </w:pPr>
    </w:p>
    <w:p w14:paraId="563BCA22" w14:textId="77777777" w:rsidR="00EB44C4" w:rsidRPr="00EB44C4" w:rsidRDefault="00EB44C4" w:rsidP="00EB44C4">
      <w:pPr>
        <w:tabs>
          <w:tab w:val="left" w:pos="207"/>
          <w:tab w:val="right" w:pos="9746"/>
        </w:tabs>
        <w:rPr>
          <w:b/>
          <w:color w:val="002060"/>
          <w:sz w:val="20"/>
          <w:szCs w:val="20"/>
        </w:rPr>
      </w:pPr>
      <w:r w:rsidRPr="00EB44C4">
        <w:rPr>
          <w:b/>
          <w:color w:val="002060"/>
          <w:sz w:val="20"/>
          <w:szCs w:val="20"/>
        </w:rPr>
        <w:t>APPENDIX: ALTERNATIVE PERFORMANCE MEASURES</w:t>
      </w:r>
    </w:p>
    <w:p w14:paraId="4EC6650D" w14:textId="77777777" w:rsidR="00773F7B" w:rsidRDefault="00773F7B" w:rsidP="00773F7B">
      <w:pPr>
        <w:spacing w:before="160" w:after="0" w:line="240" w:lineRule="auto"/>
        <w:jc w:val="both"/>
        <w:rPr>
          <w:sz w:val="18"/>
          <w:szCs w:val="18"/>
        </w:rPr>
      </w:pPr>
      <w:r w:rsidRPr="00196436">
        <w:rPr>
          <w:sz w:val="18"/>
          <w:szCs w:val="18"/>
        </w:rPr>
        <w:t>The Group uses the following Alternative Performance Measures (‘APMs’) which are non</w:t>
      </w:r>
      <w:r>
        <w:rPr>
          <w:sz w:val="18"/>
          <w:szCs w:val="18"/>
        </w:rPr>
        <w:t>–</w:t>
      </w:r>
      <w:r w:rsidRPr="00196436">
        <w:rPr>
          <w:sz w:val="18"/>
          <w:szCs w:val="18"/>
        </w:rPr>
        <w:t xml:space="preserve">IFRS measures to monitor the performance of its operations and of the Group as a whole: Pro Forma Sales Growth, Adjusted EBITDA, Adjusted Operating Profit, Adjusted Operating Margin, Adjusted Profit before Tax (‘PBT’), Adjusted Earnings, Adjusted Earnings per Share, Maintenance and Strategic Capital Expenditure, </w:t>
      </w:r>
      <w:r>
        <w:rPr>
          <w:sz w:val="18"/>
          <w:szCs w:val="18"/>
        </w:rPr>
        <w:t>Free Cash Flow, Free Cash Flow Conversion</w:t>
      </w:r>
      <w:r w:rsidRPr="00196436">
        <w:rPr>
          <w:sz w:val="18"/>
          <w:szCs w:val="18"/>
        </w:rPr>
        <w:t>, Net Debt</w:t>
      </w:r>
      <w:r>
        <w:rPr>
          <w:sz w:val="18"/>
          <w:szCs w:val="18"/>
        </w:rPr>
        <w:t>, Net Debt excluding lease</w:t>
      </w:r>
      <w:r w:rsidR="0068359D">
        <w:rPr>
          <w:sz w:val="18"/>
          <w:szCs w:val="18"/>
        </w:rPr>
        <w:t xml:space="preserve"> liabilities</w:t>
      </w:r>
      <w:r w:rsidRPr="00196436">
        <w:rPr>
          <w:sz w:val="18"/>
          <w:szCs w:val="18"/>
        </w:rPr>
        <w:t xml:space="preserve"> and Return on Invested Capital (‘ROIC’). </w:t>
      </w:r>
      <w:r w:rsidR="001D2A7F">
        <w:rPr>
          <w:sz w:val="18"/>
          <w:szCs w:val="18"/>
        </w:rPr>
        <w:t xml:space="preserve">There have been no adjustments made to existing APMs being reported and no new APMs have been included in this report. </w:t>
      </w:r>
      <w:r w:rsidR="00D9430C">
        <w:rPr>
          <w:sz w:val="18"/>
          <w:szCs w:val="18"/>
        </w:rPr>
        <w:t>Free Cashflow Conversion is measured and reported on an annual basis at year end.</w:t>
      </w:r>
      <w:r w:rsidR="001D2A7F">
        <w:rPr>
          <w:sz w:val="18"/>
          <w:szCs w:val="18"/>
        </w:rPr>
        <w:t xml:space="preserve"> The APMs used provide a fair review of the development and performance of the business and of the position regarding the financial position, cash flows </w:t>
      </w:r>
      <w:r w:rsidR="009B1032">
        <w:rPr>
          <w:sz w:val="18"/>
          <w:szCs w:val="18"/>
        </w:rPr>
        <w:t>and</w:t>
      </w:r>
      <w:r w:rsidR="001D2A7F">
        <w:rPr>
          <w:sz w:val="18"/>
          <w:szCs w:val="18"/>
        </w:rPr>
        <w:t xml:space="preserve"> financial performance. </w:t>
      </w:r>
    </w:p>
    <w:p w14:paraId="2C1F7060" w14:textId="77777777" w:rsidR="000948AD" w:rsidRDefault="000948AD" w:rsidP="00773F7B">
      <w:pPr>
        <w:spacing w:before="160" w:after="0" w:line="240" w:lineRule="auto"/>
        <w:jc w:val="both"/>
        <w:rPr>
          <w:b/>
          <w:sz w:val="18"/>
          <w:szCs w:val="18"/>
        </w:rPr>
      </w:pPr>
    </w:p>
    <w:p w14:paraId="4D26E5BF" w14:textId="77777777" w:rsidR="00773F7B" w:rsidRDefault="00773F7B" w:rsidP="00773F7B">
      <w:pPr>
        <w:spacing w:before="160" w:after="0" w:line="240" w:lineRule="auto"/>
        <w:jc w:val="both"/>
        <w:rPr>
          <w:b/>
          <w:sz w:val="18"/>
          <w:szCs w:val="18"/>
        </w:rPr>
      </w:pPr>
      <w:r w:rsidRPr="007870A7">
        <w:rPr>
          <w:b/>
          <w:sz w:val="18"/>
          <w:szCs w:val="18"/>
        </w:rPr>
        <w:t>PRO</w:t>
      </w:r>
      <w:r>
        <w:rPr>
          <w:b/>
          <w:sz w:val="18"/>
          <w:szCs w:val="18"/>
        </w:rPr>
        <w:t xml:space="preserve"> </w:t>
      </w:r>
      <w:r w:rsidRPr="007870A7">
        <w:rPr>
          <w:b/>
          <w:sz w:val="18"/>
          <w:szCs w:val="18"/>
        </w:rPr>
        <w:t>FORMA REVENUE GROWTH</w:t>
      </w:r>
      <w:r>
        <w:rPr>
          <w:b/>
          <w:sz w:val="18"/>
          <w:szCs w:val="18"/>
        </w:rPr>
        <w:t xml:space="preserve"> </w:t>
      </w:r>
    </w:p>
    <w:p w14:paraId="6848A62D" w14:textId="77777777" w:rsidR="00773F7B" w:rsidRDefault="00773F7B" w:rsidP="00773F7B">
      <w:pPr>
        <w:spacing w:before="160" w:after="0" w:line="240" w:lineRule="auto"/>
        <w:jc w:val="both"/>
        <w:rPr>
          <w:sz w:val="18"/>
          <w:szCs w:val="18"/>
        </w:rPr>
      </w:pPr>
      <w:r w:rsidRPr="003A6352">
        <w:rPr>
          <w:sz w:val="18"/>
          <w:szCs w:val="18"/>
        </w:rPr>
        <w:t xml:space="preserve">The Group uses Pro Forma Revenue Growth as a supplemental measure of its performance. The Group believes that Pro Forma Revenue Growth provides a more accurate guide to underlying revenue </w:t>
      </w:r>
      <w:r w:rsidRPr="005C7C70">
        <w:rPr>
          <w:sz w:val="18"/>
          <w:szCs w:val="18"/>
        </w:rPr>
        <w:t xml:space="preserve">performance. </w:t>
      </w:r>
    </w:p>
    <w:p w14:paraId="461C0BBA" w14:textId="77777777" w:rsidR="00773F7B" w:rsidRDefault="00773F7B" w:rsidP="00773F7B">
      <w:pPr>
        <w:spacing w:before="160" w:after="0" w:line="240" w:lineRule="auto"/>
        <w:jc w:val="both"/>
        <w:rPr>
          <w:sz w:val="18"/>
          <w:szCs w:val="18"/>
        </w:rPr>
      </w:pPr>
      <w:r w:rsidRPr="003A6352">
        <w:rPr>
          <w:sz w:val="18"/>
          <w:szCs w:val="18"/>
        </w:rPr>
        <w:t xml:space="preserve">Pro Forma Revenue Growth adjusts </w:t>
      </w:r>
      <w:r w:rsidRPr="00196436">
        <w:rPr>
          <w:sz w:val="18"/>
          <w:szCs w:val="18"/>
        </w:rPr>
        <w:t xml:space="preserve">reported revenue to reflect the </w:t>
      </w:r>
      <w:r w:rsidR="00BC71DA">
        <w:rPr>
          <w:sz w:val="18"/>
          <w:szCs w:val="18"/>
        </w:rPr>
        <w:t xml:space="preserve">disposal of Premier Molasses </w:t>
      </w:r>
      <w:r w:rsidR="00B41C0F">
        <w:rPr>
          <w:sz w:val="18"/>
          <w:szCs w:val="18"/>
        </w:rPr>
        <w:t xml:space="preserve">Company </w:t>
      </w:r>
      <w:r w:rsidR="00BC71DA">
        <w:rPr>
          <w:sz w:val="18"/>
          <w:szCs w:val="18"/>
        </w:rPr>
        <w:t xml:space="preserve">Limited </w:t>
      </w:r>
      <w:r w:rsidRPr="00196436">
        <w:rPr>
          <w:sz w:val="18"/>
          <w:szCs w:val="18"/>
        </w:rPr>
        <w:t xml:space="preserve">for the </w:t>
      </w:r>
      <w:r w:rsidR="002A76A7">
        <w:rPr>
          <w:sz w:val="18"/>
          <w:szCs w:val="18"/>
        </w:rPr>
        <w:t xml:space="preserve">six-month </w:t>
      </w:r>
      <w:r w:rsidRPr="00196436">
        <w:rPr>
          <w:sz w:val="18"/>
          <w:szCs w:val="18"/>
        </w:rPr>
        <w:t xml:space="preserve">period </w:t>
      </w:r>
      <w:r w:rsidR="002A76A7">
        <w:rPr>
          <w:sz w:val="18"/>
          <w:szCs w:val="18"/>
        </w:rPr>
        <w:t>to 27 March</w:t>
      </w:r>
      <w:r w:rsidR="002A76A7" w:rsidRPr="00196436">
        <w:rPr>
          <w:sz w:val="18"/>
          <w:szCs w:val="18"/>
        </w:rPr>
        <w:t xml:space="preserve"> </w:t>
      </w:r>
      <w:r w:rsidR="002A76A7">
        <w:rPr>
          <w:sz w:val="18"/>
          <w:szCs w:val="18"/>
        </w:rPr>
        <w:t xml:space="preserve">2020 </w:t>
      </w:r>
      <w:r w:rsidR="00BC71DA">
        <w:rPr>
          <w:sz w:val="18"/>
          <w:szCs w:val="18"/>
        </w:rPr>
        <w:t xml:space="preserve">and </w:t>
      </w:r>
      <w:r w:rsidR="002A76A7">
        <w:rPr>
          <w:sz w:val="18"/>
          <w:szCs w:val="18"/>
        </w:rPr>
        <w:t xml:space="preserve">revenue in </w:t>
      </w:r>
      <w:r w:rsidR="00BC71DA">
        <w:rPr>
          <w:sz w:val="18"/>
          <w:szCs w:val="18"/>
        </w:rPr>
        <w:t>FY21 up to the date of disposal</w:t>
      </w:r>
      <w:r w:rsidRPr="00196436">
        <w:rPr>
          <w:sz w:val="18"/>
          <w:szCs w:val="18"/>
        </w:rPr>
        <w:t xml:space="preserve">. It also presents the </w:t>
      </w:r>
      <w:r w:rsidR="00AB30A2">
        <w:rPr>
          <w:sz w:val="18"/>
          <w:szCs w:val="18"/>
        </w:rPr>
        <w:t xml:space="preserve">revenue </w:t>
      </w:r>
      <w:r w:rsidRPr="00196436">
        <w:rPr>
          <w:sz w:val="18"/>
          <w:szCs w:val="18"/>
        </w:rPr>
        <w:t>on a constant currency basis</w:t>
      </w:r>
      <w:r>
        <w:rPr>
          <w:sz w:val="18"/>
          <w:szCs w:val="18"/>
        </w:rPr>
        <w:t>.</w:t>
      </w:r>
    </w:p>
    <w:p w14:paraId="3CFAB051" w14:textId="77777777" w:rsidR="00BC71DA" w:rsidRPr="00196436" w:rsidRDefault="00BC71DA" w:rsidP="00773F7B">
      <w:pPr>
        <w:spacing w:before="160" w:after="0" w:line="240" w:lineRule="auto"/>
        <w:jc w:val="both"/>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34"/>
        <w:gridCol w:w="1134"/>
        <w:gridCol w:w="2081"/>
      </w:tblGrid>
      <w:tr w:rsidR="00773F7B" w14:paraId="5468DA27" w14:textId="77777777" w:rsidTr="00773F7B">
        <w:tc>
          <w:tcPr>
            <w:tcW w:w="5387" w:type="dxa"/>
          </w:tcPr>
          <w:p w14:paraId="784AF3C8" w14:textId="77777777" w:rsidR="00773F7B" w:rsidRPr="00931330" w:rsidRDefault="00773F7B" w:rsidP="00773F7B">
            <w:pPr>
              <w:pStyle w:val="T2"/>
            </w:pPr>
          </w:p>
        </w:tc>
        <w:tc>
          <w:tcPr>
            <w:tcW w:w="1134" w:type="dxa"/>
          </w:tcPr>
          <w:p w14:paraId="6E77301F" w14:textId="77777777" w:rsidR="00773F7B" w:rsidRPr="00931330" w:rsidRDefault="00773F7B" w:rsidP="00773F7B">
            <w:pPr>
              <w:pStyle w:val="T2"/>
              <w:rPr>
                <w:b/>
              </w:rPr>
            </w:pPr>
          </w:p>
        </w:tc>
        <w:tc>
          <w:tcPr>
            <w:tcW w:w="1134" w:type="dxa"/>
          </w:tcPr>
          <w:p w14:paraId="6D7E07D3" w14:textId="77777777" w:rsidR="00773F7B" w:rsidRPr="00931330" w:rsidRDefault="00773F7B" w:rsidP="00773F7B">
            <w:pPr>
              <w:pStyle w:val="T2"/>
              <w:rPr>
                <w:b/>
              </w:rPr>
            </w:pPr>
          </w:p>
        </w:tc>
        <w:tc>
          <w:tcPr>
            <w:tcW w:w="2081" w:type="dxa"/>
          </w:tcPr>
          <w:p w14:paraId="16FF1F84" w14:textId="77777777" w:rsidR="00773F7B" w:rsidRPr="00931330" w:rsidRDefault="00773F7B" w:rsidP="000948AD">
            <w:pPr>
              <w:pStyle w:val="T2"/>
              <w:jc w:val="right"/>
              <w:rPr>
                <w:b/>
              </w:rPr>
            </w:pPr>
            <w:r w:rsidRPr="00931330">
              <w:rPr>
                <w:b/>
              </w:rPr>
              <w:t xml:space="preserve">Half </w:t>
            </w:r>
            <w:r w:rsidR="00B41E40">
              <w:rPr>
                <w:b/>
              </w:rPr>
              <w:t>y</w:t>
            </w:r>
            <w:r w:rsidR="00B41E40" w:rsidRPr="00931330">
              <w:rPr>
                <w:b/>
              </w:rPr>
              <w:t xml:space="preserve">ear </w:t>
            </w:r>
            <w:r w:rsidRPr="00931330">
              <w:rPr>
                <w:b/>
              </w:rPr>
              <w:t>20</w:t>
            </w:r>
            <w:r>
              <w:rPr>
                <w:b/>
              </w:rPr>
              <w:t>2</w:t>
            </w:r>
            <w:r w:rsidR="000948AD">
              <w:rPr>
                <w:b/>
              </w:rPr>
              <w:t>1</w:t>
            </w:r>
          </w:p>
        </w:tc>
      </w:tr>
      <w:tr w:rsidR="00773F7B" w14:paraId="7FEABA22" w14:textId="77777777" w:rsidTr="00773F7B">
        <w:tc>
          <w:tcPr>
            <w:tcW w:w="5387" w:type="dxa"/>
          </w:tcPr>
          <w:p w14:paraId="5585E3C8" w14:textId="77777777" w:rsidR="00773F7B" w:rsidRPr="00931330" w:rsidRDefault="00773F7B" w:rsidP="00773F7B">
            <w:pPr>
              <w:pStyle w:val="T2"/>
            </w:pPr>
          </w:p>
        </w:tc>
        <w:tc>
          <w:tcPr>
            <w:tcW w:w="1134" w:type="dxa"/>
            <w:vAlign w:val="bottom"/>
          </w:tcPr>
          <w:p w14:paraId="0C8052CA" w14:textId="77777777" w:rsidR="00773F7B" w:rsidRPr="00931330" w:rsidRDefault="00773F7B" w:rsidP="00773F7B">
            <w:pPr>
              <w:pStyle w:val="T2"/>
              <w:jc w:val="right"/>
              <w:rPr>
                <w:b/>
              </w:rPr>
            </w:pPr>
          </w:p>
        </w:tc>
        <w:tc>
          <w:tcPr>
            <w:tcW w:w="1134" w:type="dxa"/>
            <w:vAlign w:val="bottom"/>
          </w:tcPr>
          <w:p w14:paraId="31F4CEC6" w14:textId="77777777" w:rsidR="00773F7B" w:rsidRPr="00931330" w:rsidRDefault="00773F7B" w:rsidP="00773F7B">
            <w:pPr>
              <w:pStyle w:val="T2"/>
              <w:jc w:val="right"/>
              <w:rPr>
                <w:b/>
              </w:rPr>
            </w:pPr>
          </w:p>
        </w:tc>
        <w:tc>
          <w:tcPr>
            <w:tcW w:w="2081" w:type="dxa"/>
            <w:vAlign w:val="bottom"/>
          </w:tcPr>
          <w:p w14:paraId="17AD4F09" w14:textId="77777777" w:rsidR="00773F7B" w:rsidRDefault="00773F7B" w:rsidP="00773F7B">
            <w:pPr>
              <w:pStyle w:val="T2"/>
              <w:jc w:val="right"/>
              <w:rPr>
                <w:b/>
              </w:rPr>
            </w:pPr>
            <w:r>
              <w:rPr>
                <w:b/>
              </w:rPr>
              <w:t xml:space="preserve">Convenience Foods </w:t>
            </w:r>
          </w:p>
          <w:p w14:paraId="6EBDBC39" w14:textId="77777777" w:rsidR="00773F7B" w:rsidRPr="00931330" w:rsidRDefault="00773F7B" w:rsidP="00773F7B">
            <w:pPr>
              <w:pStyle w:val="T2"/>
              <w:jc w:val="right"/>
              <w:rPr>
                <w:b/>
              </w:rPr>
            </w:pPr>
            <w:r>
              <w:rPr>
                <w:b/>
              </w:rPr>
              <w:t>UK &amp; Ireland</w:t>
            </w:r>
          </w:p>
        </w:tc>
      </w:tr>
      <w:tr w:rsidR="00773F7B" w14:paraId="59C53C19" w14:textId="77777777" w:rsidTr="00773F7B">
        <w:tc>
          <w:tcPr>
            <w:tcW w:w="5387" w:type="dxa"/>
            <w:tcBorders>
              <w:bottom w:val="single" w:sz="2" w:space="0" w:color="auto"/>
            </w:tcBorders>
          </w:tcPr>
          <w:p w14:paraId="6AF3AC0D" w14:textId="77777777" w:rsidR="00773F7B" w:rsidRPr="00931330" w:rsidRDefault="00773F7B" w:rsidP="00773F7B">
            <w:pPr>
              <w:pStyle w:val="T2"/>
            </w:pPr>
          </w:p>
        </w:tc>
        <w:tc>
          <w:tcPr>
            <w:tcW w:w="1134" w:type="dxa"/>
            <w:tcBorders>
              <w:bottom w:val="single" w:sz="2" w:space="0" w:color="auto"/>
            </w:tcBorders>
            <w:vAlign w:val="bottom"/>
          </w:tcPr>
          <w:p w14:paraId="211C58C0" w14:textId="77777777" w:rsidR="00773F7B" w:rsidRPr="00931330" w:rsidRDefault="00773F7B" w:rsidP="00773F7B">
            <w:pPr>
              <w:pStyle w:val="T2"/>
              <w:jc w:val="right"/>
              <w:rPr>
                <w:b/>
              </w:rPr>
            </w:pPr>
          </w:p>
        </w:tc>
        <w:tc>
          <w:tcPr>
            <w:tcW w:w="1134" w:type="dxa"/>
            <w:tcBorders>
              <w:bottom w:val="single" w:sz="2" w:space="0" w:color="auto"/>
            </w:tcBorders>
            <w:vAlign w:val="bottom"/>
          </w:tcPr>
          <w:p w14:paraId="57857220" w14:textId="77777777" w:rsidR="00773F7B" w:rsidRPr="00931330" w:rsidRDefault="00773F7B" w:rsidP="00773F7B">
            <w:pPr>
              <w:pStyle w:val="T2"/>
              <w:jc w:val="right"/>
              <w:rPr>
                <w:b/>
              </w:rPr>
            </w:pPr>
          </w:p>
        </w:tc>
        <w:tc>
          <w:tcPr>
            <w:tcW w:w="2081" w:type="dxa"/>
            <w:tcBorders>
              <w:bottom w:val="single" w:sz="2" w:space="0" w:color="auto"/>
            </w:tcBorders>
            <w:vAlign w:val="bottom"/>
          </w:tcPr>
          <w:p w14:paraId="35780E31" w14:textId="77777777" w:rsidR="00773F7B" w:rsidRPr="00931330" w:rsidRDefault="00773F7B" w:rsidP="00773F7B">
            <w:pPr>
              <w:pStyle w:val="T2"/>
              <w:jc w:val="right"/>
              <w:rPr>
                <w:b/>
              </w:rPr>
            </w:pPr>
            <w:r w:rsidRPr="00931330">
              <w:rPr>
                <w:b/>
              </w:rPr>
              <w:t>%</w:t>
            </w:r>
          </w:p>
        </w:tc>
      </w:tr>
      <w:tr w:rsidR="000948AD" w14:paraId="0FD5E249" w14:textId="77777777" w:rsidTr="00592BB5">
        <w:tc>
          <w:tcPr>
            <w:tcW w:w="5387" w:type="dxa"/>
            <w:tcBorders>
              <w:top w:val="single" w:sz="2" w:space="0" w:color="auto"/>
            </w:tcBorders>
            <w:vAlign w:val="bottom"/>
          </w:tcPr>
          <w:p w14:paraId="7E9F842A" w14:textId="77777777" w:rsidR="000948AD" w:rsidRPr="00931330" w:rsidRDefault="000948AD" w:rsidP="000948AD">
            <w:pPr>
              <w:pStyle w:val="T2"/>
              <w:jc w:val="left"/>
            </w:pPr>
            <w:r w:rsidRPr="00931330">
              <w:t>Reported revenue</w:t>
            </w:r>
          </w:p>
        </w:tc>
        <w:tc>
          <w:tcPr>
            <w:tcW w:w="1134" w:type="dxa"/>
            <w:tcBorders>
              <w:top w:val="single" w:sz="2" w:space="0" w:color="auto"/>
            </w:tcBorders>
            <w:vAlign w:val="bottom"/>
          </w:tcPr>
          <w:p w14:paraId="489E2D7A" w14:textId="77777777" w:rsidR="000948AD" w:rsidRPr="00931330" w:rsidRDefault="000948AD" w:rsidP="000948AD">
            <w:pPr>
              <w:pStyle w:val="T2"/>
              <w:jc w:val="right"/>
            </w:pPr>
          </w:p>
        </w:tc>
        <w:tc>
          <w:tcPr>
            <w:tcW w:w="1134" w:type="dxa"/>
            <w:tcBorders>
              <w:top w:val="single" w:sz="2" w:space="0" w:color="auto"/>
            </w:tcBorders>
            <w:vAlign w:val="bottom"/>
          </w:tcPr>
          <w:p w14:paraId="774382A6" w14:textId="77777777" w:rsidR="000948AD" w:rsidRPr="00931330" w:rsidRDefault="000948AD" w:rsidP="000948AD">
            <w:pPr>
              <w:pStyle w:val="T2"/>
              <w:jc w:val="right"/>
            </w:pPr>
          </w:p>
        </w:tc>
        <w:tc>
          <w:tcPr>
            <w:tcW w:w="2081" w:type="dxa"/>
            <w:tcBorders>
              <w:top w:val="single" w:sz="2" w:space="0" w:color="auto"/>
            </w:tcBorders>
          </w:tcPr>
          <w:p w14:paraId="73F818A2" w14:textId="77777777" w:rsidR="000948AD" w:rsidRPr="003A6352" w:rsidRDefault="00646771">
            <w:pPr>
              <w:pStyle w:val="T2"/>
              <w:jc w:val="right"/>
              <w:rPr>
                <w:b/>
              </w:rPr>
            </w:pPr>
            <w:r>
              <w:rPr>
                <w:b/>
              </w:rPr>
              <w:t>(</w:t>
            </w:r>
            <w:r w:rsidR="005726F7">
              <w:rPr>
                <w:b/>
              </w:rPr>
              <w:t>19.0</w:t>
            </w:r>
            <w:r>
              <w:rPr>
                <w:b/>
              </w:rPr>
              <w:t>%)</w:t>
            </w:r>
          </w:p>
        </w:tc>
      </w:tr>
      <w:tr w:rsidR="000948AD" w14:paraId="0487D844" w14:textId="77777777" w:rsidTr="00592BB5">
        <w:tc>
          <w:tcPr>
            <w:tcW w:w="5387" w:type="dxa"/>
            <w:vAlign w:val="bottom"/>
          </w:tcPr>
          <w:p w14:paraId="1B56BF7F" w14:textId="77777777" w:rsidR="000948AD" w:rsidRPr="00931330" w:rsidRDefault="000948AD" w:rsidP="008A6BDE">
            <w:pPr>
              <w:pStyle w:val="T2"/>
              <w:jc w:val="left"/>
            </w:pPr>
            <w:r w:rsidRPr="00931330">
              <w:t xml:space="preserve">Impact of </w:t>
            </w:r>
            <w:r>
              <w:t xml:space="preserve">disposals </w:t>
            </w:r>
          </w:p>
        </w:tc>
        <w:tc>
          <w:tcPr>
            <w:tcW w:w="1134" w:type="dxa"/>
            <w:vAlign w:val="bottom"/>
          </w:tcPr>
          <w:p w14:paraId="69FD2EB8" w14:textId="77777777" w:rsidR="000948AD" w:rsidRPr="00931330" w:rsidRDefault="000948AD" w:rsidP="000948AD">
            <w:pPr>
              <w:pStyle w:val="T2"/>
              <w:jc w:val="right"/>
            </w:pPr>
          </w:p>
        </w:tc>
        <w:tc>
          <w:tcPr>
            <w:tcW w:w="1134" w:type="dxa"/>
            <w:vAlign w:val="bottom"/>
          </w:tcPr>
          <w:p w14:paraId="30F642E7" w14:textId="77777777" w:rsidR="000948AD" w:rsidRPr="00931330" w:rsidRDefault="000948AD" w:rsidP="000948AD">
            <w:pPr>
              <w:pStyle w:val="T2"/>
              <w:jc w:val="right"/>
            </w:pPr>
          </w:p>
        </w:tc>
        <w:tc>
          <w:tcPr>
            <w:tcW w:w="2081" w:type="dxa"/>
          </w:tcPr>
          <w:p w14:paraId="72716DA2" w14:textId="77777777" w:rsidR="000948AD" w:rsidRPr="003A6352" w:rsidRDefault="00646771" w:rsidP="000948AD">
            <w:pPr>
              <w:pStyle w:val="T2"/>
              <w:jc w:val="right"/>
              <w:rPr>
                <w:b/>
              </w:rPr>
            </w:pPr>
            <w:r>
              <w:rPr>
                <w:b/>
              </w:rPr>
              <w:t>0.5%</w:t>
            </w:r>
          </w:p>
        </w:tc>
      </w:tr>
      <w:tr w:rsidR="000948AD" w14:paraId="4C4A5310" w14:textId="77777777" w:rsidTr="00592BB5">
        <w:tc>
          <w:tcPr>
            <w:tcW w:w="5387" w:type="dxa"/>
            <w:tcBorders>
              <w:bottom w:val="single" w:sz="4" w:space="0" w:color="auto"/>
            </w:tcBorders>
            <w:vAlign w:val="bottom"/>
          </w:tcPr>
          <w:p w14:paraId="6A805848" w14:textId="77777777" w:rsidR="000948AD" w:rsidRPr="00931330" w:rsidRDefault="000948AD" w:rsidP="000948AD">
            <w:pPr>
              <w:pStyle w:val="T2"/>
              <w:jc w:val="left"/>
            </w:pPr>
            <w:r w:rsidRPr="00931330">
              <w:t>Impact of currency</w:t>
            </w:r>
          </w:p>
        </w:tc>
        <w:tc>
          <w:tcPr>
            <w:tcW w:w="1134" w:type="dxa"/>
            <w:tcBorders>
              <w:bottom w:val="single" w:sz="4" w:space="0" w:color="auto"/>
            </w:tcBorders>
            <w:vAlign w:val="bottom"/>
          </w:tcPr>
          <w:p w14:paraId="58C7A91B" w14:textId="77777777" w:rsidR="000948AD" w:rsidRPr="00931330" w:rsidRDefault="000948AD" w:rsidP="000948AD">
            <w:pPr>
              <w:pStyle w:val="T2"/>
              <w:jc w:val="right"/>
            </w:pPr>
          </w:p>
        </w:tc>
        <w:tc>
          <w:tcPr>
            <w:tcW w:w="1134" w:type="dxa"/>
            <w:tcBorders>
              <w:bottom w:val="single" w:sz="4" w:space="0" w:color="auto"/>
            </w:tcBorders>
            <w:vAlign w:val="bottom"/>
          </w:tcPr>
          <w:p w14:paraId="7EAF60AC" w14:textId="77777777" w:rsidR="000948AD" w:rsidRPr="00931330" w:rsidRDefault="000948AD" w:rsidP="000948AD">
            <w:pPr>
              <w:pStyle w:val="T2"/>
              <w:jc w:val="right"/>
            </w:pPr>
          </w:p>
        </w:tc>
        <w:tc>
          <w:tcPr>
            <w:tcW w:w="2081" w:type="dxa"/>
            <w:tcBorders>
              <w:bottom w:val="single" w:sz="4" w:space="0" w:color="auto"/>
            </w:tcBorders>
          </w:tcPr>
          <w:p w14:paraId="291CADF5" w14:textId="77777777" w:rsidR="000948AD" w:rsidRPr="003A6352" w:rsidRDefault="00646771" w:rsidP="000948AD">
            <w:pPr>
              <w:pStyle w:val="T2"/>
              <w:jc w:val="right"/>
              <w:rPr>
                <w:b/>
              </w:rPr>
            </w:pPr>
            <w:r>
              <w:rPr>
                <w:b/>
              </w:rPr>
              <w:t>(0.1%)</w:t>
            </w:r>
          </w:p>
        </w:tc>
      </w:tr>
      <w:tr w:rsidR="000948AD" w14:paraId="735B1E6A" w14:textId="77777777" w:rsidTr="00592BB5">
        <w:tc>
          <w:tcPr>
            <w:tcW w:w="5387" w:type="dxa"/>
            <w:tcBorders>
              <w:top w:val="single" w:sz="4" w:space="0" w:color="auto"/>
              <w:bottom w:val="single" w:sz="8" w:space="0" w:color="auto"/>
            </w:tcBorders>
            <w:vAlign w:val="bottom"/>
          </w:tcPr>
          <w:p w14:paraId="5A617C74" w14:textId="77777777" w:rsidR="000948AD" w:rsidRPr="00931330" w:rsidRDefault="000948AD" w:rsidP="000948AD">
            <w:pPr>
              <w:pStyle w:val="T2"/>
              <w:jc w:val="left"/>
              <w:rPr>
                <w:b/>
              </w:rPr>
            </w:pPr>
            <w:r w:rsidRPr="00931330">
              <w:rPr>
                <w:b/>
              </w:rPr>
              <w:t>Pro</w:t>
            </w:r>
            <w:r>
              <w:rPr>
                <w:b/>
              </w:rPr>
              <w:t xml:space="preserve"> F</w:t>
            </w:r>
            <w:r w:rsidRPr="00931330">
              <w:rPr>
                <w:b/>
              </w:rPr>
              <w:t xml:space="preserve">orma </w:t>
            </w:r>
            <w:r>
              <w:rPr>
                <w:b/>
              </w:rPr>
              <w:t>R</w:t>
            </w:r>
            <w:r w:rsidRPr="00931330">
              <w:rPr>
                <w:b/>
              </w:rPr>
              <w:t>evenue</w:t>
            </w:r>
            <w:r>
              <w:rPr>
                <w:b/>
              </w:rPr>
              <w:t xml:space="preserve"> Growth (%)</w:t>
            </w:r>
          </w:p>
        </w:tc>
        <w:tc>
          <w:tcPr>
            <w:tcW w:w="1134" w:type="dxa"/>
            <w:tcBorders>
              <w:top w:val="single" w:sz="4" w:space="0" w:color="auto"/>
              <w:bottom w:val="single" w:sz="8" w:space="0" w:color="auto"/>
            </w:tcBorders>
            <w:vAlign w:val="bottom"/>
          </w:tcPr>
          <w:p w14:paraId="68F060B4" w14:textId="77777777" w:rsidR="000948AD" w:rsidRPr="00931330" w:rsidRDefault="000948AD" w:rsidP="000948AD">
            <w:pPr>
              <w:pStyle w:val="T2"/>
              <w:jc w:val="right"/>
              <w:rPr>
                <w:b/>
              </w:rPr>
            </w:pPr>
          </w:p>
        </w:tc>
        <w:tc>
          <w:tcPr>
            <w:tcW w:w="1134" w:type="dxa"/>
            <w:tcBorders>
              <w:top w:val="single" w:sz="4" w:space="0" w:color="auto"/>
              <w:bottom w:val="single" w:sz="8" w:space="0" w:color="auto"/>
            </w:tcBorders>
            <w:vAlign w:val="bottom"/>
          </w:tcPr>
          <w:p w14:paraId="68BACF2D" w14:textId="77777777" w:rsidR="000948AD" w:rsidRPr="00931330" w:rsidRDefault="000948AD" w:rsidP="000948AD">
            <w:pPr>
              <w:pStyle w:val="T2"/>
              <w:jc w:val="right"/>
              <w:rPr>
                <w:b/>
              </w:rPr>
            </w:pPr>
          </w:p>
        </w:tc>
        <w:tc>
          <w:tcPr>
            <w:tcW w:w="2081" w:type="dxa"/>
            <w:tcBorders>
              <w:top w:val="single" w:sz="4" w:space="0" w:color="auto"/>
              <w:bottom w:val="single" w:sz="8" w:space="0" w:color="auto"/>
            </w:tcBorders>
          </w:tcPr>
          <w:p w14:paraId="61AADFDD" w14:textId="77777777" w:rsidR="000948AD" w:rsidRPr="00931330" w:rsidRDefault="00646771">
            <w:pPr>
              <w:pStyle w:val="T2"/>
              <w:jc w:val="right"/>
              <w:rPr>
                <w:b/>
              </w:rPr>
            </w:pPr>
            <w:r>
              <w:rPr>
                <w:b/>
              </w:rPr>
              <w:t>(18.</w:t>
            </w:r>
            <w:r w:rsidR="005726F7">
              <w:rPr>
                <w:b/>
              </w:rPr>
              <w:t>6</w:t>
            </w:r>
            <w:r>
              <w:rPr>
                <w:b/>
              </w:rPr>
              <w:t>%)</w:t>
            </w:r>
          </w:p>
        </w:tc>
      </w:tr>
    </w:tbl>
    <w:p w14:paraId="09AAAF63" w14:textId="77777777" w:rsidR="00773F7B" w:rsidRDefault="0068359D" w:rsidP="00BC71DA">
      <w:pPr>
        <w:spacing w:before="160" w:after="0" w:line="240" w:lineRule="auto"/>
        <w:jc w:val="both"/>
        <w:rPr>
          <w:sz w:val="18"/>
          <w:szCs w:val="18"/>
        </w:rPr>
      </w:pPr>
      <w:r>
        <w:rPr>
          <w:sz w:val="18"/>
          <w:szCs w:val="18"/>
        </w:rPr>
        <w:t xml:space="preserve">The table below shows the Pro Forma Revenue split by food to go categories and other convenience categories. This is in line with the disclosure requirements in IFRS 15 </w:t>
      </w:r>
      <w:r w:rsidRPr="00543F57">
        <w:rPr>
          <w:i/>
          <w:sz w:val="18"/>
          <w:szCs w:val="18"/>
        </w:rPr>
        <w:t xml:space="preserve">Revenue from </w:t>
      </w:r>
      <w:r>
        <w:rPr>
          <w:i/>
          <w:sz w:val="18"/>
          <w:szCs w:val="18"/>
        </w:rPr>
        <w:t xml:space="preserve">Contracts </w:t>
      </w:r>
      <w:r w:rsidRPr="00543F57">
        <w:rPr>
          <w:i/>
          <w:sz w:val="18"/>
          <w:szCs w:val="18"/>
        </w:rPr>
        <w:t xml:space="preserve">with </w:t>
      </w:r>
      <w:r>
        <w:rPr>
          <w:i/>
          <w:sz w:val="18"/>
          <w:szCs w:val="18"/>
        </w:rPr>
        <w:t>C</w:t>
      </w:r>
      <w:r w:rsidRPr="00543F57">
        <w:rPr>
          <w:i/>
          <w:sz w:val="18"/>
          <w:szCs w:val="18"/>
        </w:rPr>
        <w:t>ustomers</w:t>
      </w:r>
      <w:r>
        <w:rPr>
          <w:sz w:val="18"/>
          <w:szCs w:val="18"/>
        </w:rPr>
        <w:t xml:space="preserve"> requiring revenue to be disaggregated.</w:t>
      </w:r>
    </w:p>
    <w:p w14:paraId="74172B93" w14:textId="77777777" w:rsidR="00BC71DA" w:rsidRDefault="00BC71DA" w:rsidP="00BC71DA">
      <w:pPr>
        <w:spacing w:before="160" w:after="0" w:line="240" w:lineRule="auto"/>
        <w:jc w:val="both"/>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34"/>
        <w:gridCol w:w="1417"/>
        <w:gridCol w:w="1798"/>
      </w:tblGrid>
      <w:tr w:rsidR="00773F7B" w14:paraId="4D2DEEA3" w14:textId="77777777" w:rsidTr="00773F7B">
        <w:tc>
          <w:tcPr>
            <w:tcW w:w="5387" w:type="dxa"/>
          </w:tcPr>
          <w:p w14:paraId="37EF929A" w14:textId="77777777" w:rsidR="00773F7B" w:rsidRPr="00931330" w:rsidRDefault="00773F7B" w:rsidP="00773F7B">
            <w:pPr>
              <w:pStyle w:val="T2"/>
            </w:pPr>
          </w:p>
        </w:tc>
        <w:tc>
          <w:tcPr>
            <w:tcW w:w="1134" w:type="dxa"/>
          </w:tcPr>
          <w:p w14:paraId="7CD7DC82" w14:textId="77777777" w:rsidR="00773F7B" w:rsidRPr="00931330" w:rsidRDefault="00773F7B" w:rsidP="00773F7B">
            <w:pPr>
              <w:pStyle w:val="T2"/>
              <w:rPr>
                <w:b/>
              </w:rPr>
            </w:pPr>
          </w:p>
        </w:tc>
        <w:tc>
          <w:tcPr>
            <w:tcW w:w="3215" w:type="dxa"/>
            <w:gridSpan w:val="2"/>
          </w:tcPr>
          <w:p w14:paraId="00335AC5" w14:textId="77777777" w:rsidR="00773F7B" w:rsidRPr="00931330" w:rsidRDefault="00773F7B" w:rsidP="00773F7B">
            <w:pPr>
              <w:pStyle w:val="T2"/>
              <w:rPr>
                <w:b/>
              </w:rPr>
            </w:pPr>
            <w:r w:rsidRPr="00931330">
              <w:rPr>
                <w:b/>
              </w:rPr>
              <w:t xml:space="preserve">Half </w:t>
            </w:r>
            <w:r w:rsidR="00B41E40">
              <w:rPr>
                <w:b/>
              </w:rPr>
              <w:t>y</w:t>
            </w:r>
            <w:r w:rsidRPr="00931330">
              <w:rPr>
                <w:b/>
              </w:rPr>
              <w:t>ear 20</w:t>
            </w:r>
            <w:r w:rsidR="000948AD">
              <w:rPr>
                <w:b/>
              </w:rPr>
              <w:t>21</w:t>
            </w:r>
          </w:p>
        </w:tc>
      </w:tr>
      <w:tr w:rsidR="00773F7B" w14:paraId="74D0CADB" w14:textId="77777777" w:rsidTr="00773F7B">
        <w:tc>
          <w:tcPr>
            <w:tcW w:w="5387" w:type="dxa"/>
          </w:tcPr>
          <w:p w14:paraId="7628D075" w14:textId="77777777" w:rsidR="00773F7B" w:rsidRPr="00931330" w:rsidRDefault="00773F7B" w:rsidP="00773F7B">
            <w:pPr>
              <w:pStyle w:val="T2"/>
            </w:pPr>
          </w:p>
        </w:tc>
        <w:tc>
          <w:tcPr>
            <w:tcW w:w="1134" w:type="dxa"/>
            <w:vAlign w:val="bottom"/>
          </w:tcPr>
          <w:p w14:paraId="16D220A7" w14:textId="77777777" w:rsidR="00773F7B" w:rsidRPr="00931330" w:rsidRDefault="00773F7B" w:rsidP="00773F7B">
            <w:pPr>
              <w:pStyle w:val="T2"/>
              <w:jc w:val="right"/>
              <w:rPr>
                <w:b/>
              </w:rPr>
            </w:pPr>
          </w:p>
        </w:tc>
        <w:tc>
          <w:tcPr>
            <w:tcW w:w="1417" w:type="dxa"/>
            <w:vAlign w:val="bottom"/>
          </w:tcPr>
          <w:p w14:paraId="163B5BCC" w14:textId="77777777" w:rsidR="00773F7B" w:rsidRDefault="00773F7B" w:rsidP="00773F7B">
            <w:pPr>
              <w:pStyle w:val="T2"/>
              <w:jc w:val="right"/>
              <w:rPr>
                <w:b/>
              </w:rPr>
            </w:pPr>
            <w:r w:rsidRPr="00931330">
              <w:rPr>
                <w:b/>
              </w:rPr>
              <w:t xml:space="preserve">Food to </w:t>
            </w:r>
            <w:r>
              <w:rPr>
                <w:b/>
              </w:rPr>
              <w:t>g</w:t>
            </w:r>
            <w:r w:rsidRPr="00931330">
              <w:rPr>
                <w:b/>
              </w:rPr>
              <w:t xml:space="preserve">o </w:t>
            </w:r>
          </w:p>
          <w:p w14:paraId="7E3D4C44" w14:textId="77777777" w:rsidR="00773F7B" w:rsidRPr="00931330" w:rsidRDefault="00773F7B" w:rsidP="00773F7B">
            <w:pPr>
              <w:pStyle w:val="T2"/>
              <w:jc w:val="right"/>
              <w:rPr>
                <w:b/>
              </w:rPr>
            </w:pPr>
            <w:r w:rsidRPr="00931330">
              <w:rPr>
                <w:b/>
              </w:rPr>
              <w:t>categories</w:t>
            </w:r>
          </w:p>
        </w:tc>
        <w:tc>
          <w:tcPr>
            <w:tcW w:w="1798" w:type="dxa"/>
            <w:vAlign w:val="bottom"/>
          </w:tcPr>
          <w:p w14:paraId="10A3BE86" w14:textId="77777777" w:rsidR="00773F7B" w:rsidRPr="00931330" w:rsidRDefault="00773F7B" w:rsidP="00773F7B">
            <w:pPr>
              <w:pStyle w:val="T2"/>
              <w:jc w:val="right"/>
              <w:rPr>
                <w:b/>
              </w:rPr>
            </w:pPr>
            <w:r w:rsidRPr="00931330">
              <w:rPr>
                <w:b/>
              </w:rPr>
              <w:t>Other</w:t>
            </w:r>
            <w:r>
              <w:rPr>
                <w:b/>
              </w:rPr>
              <w:t xml:space="preserve"> convenience</w:t>
            </w:r>
            <w:r w:rsidRPr="00931330">
              <w:rPr>
                <w:b/>
              </w:rPr>
              <w:br/>
              <w:t xml:space="preserve"> categories</w:t>
            </w:r>
          </w:p>
        </w:tc>
      </w:tr>
      <w:tr w:rsidR="00773F7B" w14:paraId="364550A2" w14:textId="77777777" w:rsidTr="00773F7B">
        <w:tc>
          <w:tcPr>
            <w:tcW w:w="5387" w:type="dxa"/>
            <w:tcBorders>
              <w:bottom w:val="single" w:sz="2" w:space="0" w:color="auto"/>
            </w:tcBorders>
          </w:tcPr>
          <w:p w14:paraId="09032BE6" w14:textId="77777777" w:rsidR="00773F7B" w:rsidRPr="00931330" w:rsidRDefault="00773F7B" w:rsidP="00773F7B">
            <w:pPr>
              <w:pStyle w:val="T2"/>
            </w:pPr>
          </w:p>
        </w:tc>
        <w:tc>
          <w:tcPr>
            <w:tcW w:w="1134" w:type="dxa"/>
            <w:tcBorders>
              <w:bottom w:val="single" w:sz="2" w:space="0" w:color="auto"/>
            </w:tcBorders>
            <w:vAlign w:val="bottom"/>
          </w:tcPr>
          <w:p w14:paraId="59B7BF3D" w14:textId="77777777" w:rsidR="00773F7B" w:rsidRPr="00931330" w:rsidRDefault="00773F7B" w:rsidP="00773F7B">
            <w:pPr>
              <w:pStyle w:val="T2"/>
              <w:jc w:val="right"/>
              <w:rPr>
                <w:b/>
              </w:rPr>
            </w:pPr>
          </w:p>
        </w:tc>
        <w:tc>
          <w:tcPr>
            <w:tcW w:w="1417" w:type="dxa"/>
            <w:tcBorders>
              <w:bottom w:val="single" w:sz="2" w:space="0" w:color="auto"/>
            </w:tcBorders>
            <w:vAlign w:val="bottom"/>
          </w:tcPr>
          <w:p w14:paraId="79307933" w14:textId="77777777" w:rsidR="00773F7B" w:rsidRPr="00931330" w:rsidRDefault="00773F7B" w:rsidP="00773F7B">
            <w:pPr>
              <w:pStyle w:val="T2"/>
              <w:jc w:val="right"/>
              <w:rPr>
                <w:b/>
              </w:rPr>
            </w:pPr>
            <w:r w:rsidRPr="00931330">
              <w:rPr>
                <w:b/>
              </w:rPr>
              <w:t>%</w:t>
            </w:r>
          </w:p>
        </w:tc>
        <w:tc>
          <w:tcPr>
            <w:tcW w:w="1798" w:type="dxa"/>
            <w:tcBorders>
              <w:bottom w:val="single" w:sz="2" w:space="0" w:color="auto"/>
            </w:tcBorders>
            <w:vAlign w:val="bottom"/>
          </w:tcPr>
          <w:p w14:paraId="53A684E6" w14:textId="77777777" w:rsidR="00773F7B" w:rsidRPr="00931330" w:rsidRDefault="00773F7B" w:rsidP="00773F7B">
            <w:pPr>
              <w:pStyle w:val="T2"/>
              <w:jc w:val="right"/>
              <w:rPr>
                <w:b/>
              </w:rPr>
            </w:pPr>
            <w:r w:rsidRPr="00931330">
              <w:rPr>
                <w:b/>
              </w:rPr>
              <w:t>%</w:t>
            </w:r>
          </w:p>
        </w:tc>
      </w:tr>
      <w:tr w:rsidR="000948AD" w14:paraId="360A5338" w14:textId="77777777" w:rsidTr="00592BB5">
        <w:tc>
          <w:tcPr>
            <w:tcW w:w="5387" w:type="dxa"/>
            <w:tcBorders>
              <w:top w:val="single" w:sz="2" w:space="0" w:color="auto"/>
            </w:tcBorders>
            <w:vAlign w:val="bottom"/>
          </w:tcPr>
          <w:p w14:paraId="1C3331F8" w14:textId="77777777" w:rsidR="000948AD" w:rsidRPr="00931330" w:rsidRDefault="000948AD" w:rsidP="000948AD">
            <w:pPr>
              <w:pStyle w:val="T2"/>
              <w:jc w:val="left"/>
            </w:pPr>
            <w:r w:rsidRPr="00931330">
              <w:t>Reported revenue</w:t>
            </w:r>
          </w:p>
        </w:tc>
        <w:tc>
          <w:tcPr>
            <w:tcW w:w="1134" w:type="dxa"/>
            <w:tcBorders>
              <w:top w:val="single" w:sz="2" w:space="0" w:color="auto"/>
            </w:tcBorders>
            <w:vAlign w:val="bottom"/>
          </w:tcPr>
          <w:p w14:paraId="7310A5C5" w14:textId="77777777" w:rsidR="000948AD" w:rsidRPr="00931330" w:rsidRDefault="000948AD" w:rsidP="000948AD">
            <w:pPr>
              <w:pStyle w:val="T2"/>
              <w:jc w:val="right"/>
            </w:pPr>
          </w:p>
        </w:tc>
        <w:tc>
          <w:tcPr>
            <w:tcW w:w="1417" w:type="dxa"/>
            <w:tcBorders>
              <w:top w:val="single" w:sz="2" w:space="0" w:color="auto"/>
            </w:tcBorders>
          </w:tcPr>
          <w:p w14:paraId="60B47CFC" w14:textId="77777777" w:rsidR="000948AD" w:rsidRPr="003A6352" w:rsidRDefault="00646771">
            <w:pPr>
              <w:pStyle w:val="T2"/>
              <w:jc w:val="right"/>
              <w:rPr>
                <w:b/>
              </w:rPr>
            </w:pPr>
            <w:r>
              <w:rPr>
                <w:b/>
              </w:rPr>
              <w:t>(2</w:t>
            </w:r>
            <w:r w:rsidR="005726F7">
              <w:rPr>
                <w:b/>
              </w:rPr>
              <w:t>5.6</w:t>
            </w:r>
            <w:r>
              <w:rPr>
                <w:b/>
              </w:rPr>
              <w:t>%)</w:t>
            </w:r>
          </w:p>
        </w:tc>
        <w:tc>
          <w:tcPr>
            <w:tcW w:w="1798" w:type="dxa"/>
            <w:tcBorders>
              <w:top w:val="single" w:sz="2" w:space="0" w:color="auto"/>
            </w:tcBorders>
          </w:tcPr>
          <w:p w14:paraId="072BCAA8" w14:textId="77777777" w:rsidR="000948AD" w:rsidRPr="003A6352" w:rsidRDefault="00646771" w:rsidP="000948AD">
            <w:pPr>
              <w:pStyle w:val="T2"/>
              <w:jc w:val="right"/>
              <w:rPr>
                <w:b/>
              </w:rPr>
            </w:pPr>
            <w:r>
              <w:rPr>
                <w:b/>
              </w:rPr>
              <w:t>(7.4%)</w:t>
            </w:r>
          </w:p>
        </w:tc>
      </w:tr>
      <w:tr w:rsidR="000948AD" w14:paraId="3523477E" w14:textId="77777777" w:rsidTr="00592BB5">
        <w:tc>
          <w:tcPr>
            <w:tcW w:w="5387" w:type="dxa"/>
            <w:vAlign w:val="bottom"/>
          </w:tcPr>
          <w:p w14:paraId="45274A0F" w14:textId="77777777" w:rsidR="000948AD" w:rsidRPr="00931330" w:rsidRDefault="000948AD" w:rsidP="008A6BDE">
            <w:pPr>
              <w:pStyle w:val="T2"/>
              <w:jc w:val="left"/>
            </w:pPr>
            <w:r w:rsidRPr="00931330">
              <w:t xml:space="preserve">Impact of </w:t>
            </w:r>
            <w:r>
              <w:t>d</w:t>
            </w:r>
            <w:r w:rsidRPr="00931330">
              <w:t>isposals</w:t>
            </w:r>
          </w:p>
        </w:tc>
        <w:tc>
          <w:tcPr>
            <w:tcW w:w="1134" w:type="dxa"/>
            <w:vAlign w:val="bottom"/>
          </w:tcPr>
          <w:p w14:paraId="0F50FC91" w14:textId="77777777" w:rsidR="000948AD" w:rsidRPr="00931330" w:rsidRDefault="000948AD" w:rsidP="000948AD">
            <w:pPr>
              <w:pStyle w:val="T2"/>
              <w:jc w:val="right"/>
            </w:pPr>
          </w:p>
        </w:tc>
        <w:tc>
          <w:tcPr>
            <w:tcW w:w="1417" w:type="dxa"/>
          </w:tcPr>
          <w:p w14:paraId="30F5F55B" w14:textId="77777777" w:rsidR="000948AD" w:rsidRPr="003A6352" w:rsidRDefault="000948AD" w:rsidP="000948AD">
            <w:pPr>
              <w:pStyle w:val="T2"/>
              <w:jc w:val="right"/>
              <w:rPr>
                <w:b/>
              </w:rPr>
            </w:pPr>
            <w:r w:rsidRPr="00065DD4">
              <w:rPr>
                <w:b/>
              </w:rPr>
              <w:t>–</w:t>
            </w:r>
          </w:p>
        </w:tc>
        <w:tc>
          <w:tcPr>
            <w:tcW w:w="1798" w:type="dxa"/>
          </w:tcPr>
          <w:p w14:paraId="66D2841D" w14:textId="77777777" w:rsidR="000948AD" w:rsidRPr="003A6352" w:rsidRDefault="00646771" w:rsidP="000948AD">
            <w:pPr>
              <w:pStyle w:val="T2"/>
              <w:jc w:val="right"/>
              <w:rPr>
                <w:b/>
              </w:rPr>
            </w:pPr>
            <w:r>
              <w:rPr>
                <w:b/>
              </w:rPr>
              <w:t>2.1%</w:t>
            </w:r>
          </w:p>
        </w:tc>
      </w:tr>
      <w:tr w:rsidR="000948AD" w14:paraId="54E48087" w14:textId="77777777" w:rsidTr="00592BB5">
        <w:tc>
          <w:tcPr>
            <w:tcW w:w="5387" w:type="dxa"/>
            <w:tcBorders>
              <w:bottom w:val="single" w:sz="4" w:space="0" w:color="auto"/>
            </w:tcBorders>
            <w:vAlign w:val="bottom"/>
          </w:tcPr>
          <w:p w14:paraId="257A8963" w14:textId="77777777" w:rsidR="000948AD" w:rsidRPr="00931330" w:rsidRDefault="000948AD" w:rsidP="000948AD">
            <w:pPr>
              <w:pStyle w:val="T2"/>
              <w:jc w:val="left"/>
            </w:pPr>
            <w:r w:rsidRPr="00931330">
              <w:t>Impact of currency</w:t>
            </w:r>
          </w:p>
        </w:tc>
        <w:tc>
          <w:tcPr>
            <w:tcW w:w="1134" w:type="dxa"/>
            <w:tcBorders>
              <w:bottom w:val="single" w:sz="4" w:space="0" w:color="auto"/>
            </w:tcBorders>
            <w:vAlign w:val="bottom"/>
          </w:tcPr>
          <w:p w14:paraId="68F561EB" w14:textId="77777777" w:rsidR="000948AD" w:rsidRPr="00931330" w:rsidRDefault="000948AD" w:rsidP="000948AD">
            <w:pPr>
              <w:pStyle w:val="T2"/>
              <w:jc w:val="right"/>
            </w:pPr>
          </w:p>
        </w:tc>
        <w:tc>
          <w:tcPr>
            <w:tcW w:w="1417" w:type="dxa"/>
            <w:tcBorders>
              <w:bottom w:val="single" w:sz="4" w:space="0" w:color="auto"/>
            </w:tcBorders>
          </w:tcPr>
          <w:p w14:paraId="28BA751A" w14:textId="77777777" w:rsidR="000948AD" w:rsidRPr="003A6352" w:rsidRDefault="000948AD" w:rsidP="000948AD">
            <w:pPr>
              <w:pStyle w:val="T2"/>
              <w:jc w:val="right"/>
              <w:rPr>
                <w:b/>
              </w:rPr>
            </w:pPr>
            <w:r w:rsidRPr="00065DD4">
              <w:rPr>
                <w:b/>
              </w:rPr>
              <w:t>–</w:t>
            </w:r>
          </w:p>
        </w:tc>
        <w:tc>
          <w:tcPr>
            <w:tcW w:w="1798" w:type="dxa"/>
            <w:tcBorders>
              <w:bottom w:val="single" w:sz="4" w:space="0" w:color="auto"/>
            </w:tcBorders>
          </w:tcPr>
          <w:p w14:paraId="142B1C2C" w14:textId="77777777" w:rsidR="000948AD" w:rsidRPr="003A6352" w:rsidRDefault="00646771" w:rsidP="000948AD">
            <w:pPr>
              <w:pStyle w:val="T2"/>
              <w:jc w:val="right"/>
              <w:rPr>
                <w:b/>
              </w:rPr>
            </w:pPr>
            <w:r>
              <w:rPr>
                <w:b/>
              </w:rPr>
              <w:t>(0.3%)</w:t>
            </w:r>
          </w:p>
        </w:tc>
      </w:tr>
      <w:tr w:rsidR="000948AD" w14:paraId="1D22D4EE" w14:textId="77777777" w:rsidTr="00592BB5">
        <w:tc>
          <w:tcPr>
            <w:tcW w:w="5387" w:type="dxa"/>
            <w:tcBorders>
              <w:top w:val="single" w:sz="4" w:space="0" w:color="auto"/>
              <w:bottom w:val="single" w:sz="8" w:space="0" w:color="auto"/>
            </w:tcBorders>
            <w:vAlign w:val="bottom"/>
          </w:tcPr>
          <w:p w14:paraId="5D238BE4" w14:textId="77777777" w:rsidR="000948AD" w:rsidRPr="00931330" w:rsidRDefault="000948AD" w:rsidP="000948AD">
            <w:pPr>
              <w:pStyle w:val="T2"/>
              <w:jc w:val="left"/>
              <w:rPr>
                <w:b/>
              </w:rPr>
            </w:pPr>
            <w:r w:rsidRPr="00931330">
              <w:rPr>
                <w:b/>
              </w:rPr>
              <w:t>Pro</w:t>
            </w:r>
            <w:r>
              <w:rPr>
                <w:b/>
              </w:rPr>
              <w:t xml:space="preserve"> F</w:t>
            </w:r>
            <w:r w:rsidRPr="00931330">
              <w:rPr>
                <w:b/>
              </w:rPr>
              <w:t xml:space="preserve">orma </w:t>
            </w:r>
            <w:r>
              <w:rPr>
                <w:b/>
              </w:rPr>
              <w:t>R</w:t>
            </w:r>
            <w:r w:rsidRPr="00931330">
              <w:rPr>
                <w:b/>
              </w:rPr>
              <w:t>evenue</w:t>
            </w:r>
            <w:r>
              <w:rPr>
                <w:b/>
              </w:rPr>
              <w:t xml:space="preserve"> Growth (%)</w:t>
            </w:r>
          </w:p>
        </w:tc>
        <w:tc>
          <w:tcPr>
            <w:tcW w:w="1134" w:type="dxa"/>
            <w:tcBorders>
              <w:top w:val="single" w:sz="4" w:space="0" w:color="auto"/>
              <w:bottom w:val="single" w:sz="8" w:space="0" w:color="auto"/>
            </w:tcBorders>
            <w:vAlign w:val="bottom"/>
          </w:tcPr>
          <w:p w14:paraId="37BA834B" w14:textId="77777777" w:rsidR="000948AD" w:rsidRPr="00931330" w:rsidRDefault="000948AD" w:rsidP="000948AD">
            <w:pPr>
              <w:pStyle w:val="T2"/>
              <w:jc w:val="right"/>
              <w:rPr>
                <w:b/>
              </w:rPr>
            </w:pPr>
          </w:p>
        </w:tc>
        <w:tc>
          <w:tcPr>
            <w:tcW w:w="1417" w:type="dxa"/>
            <w:tcBorders>
              <w:top w:val="single" w:sz="4" w:space="0" w:color="auto"/>
              <w:bottom w:val="single" w:sz="8" w:space="0" w:color="auto"/>
            </w:tcBorders>
          </w:tcPr>
          <w:p w14:paraId="094BA971" w14:textId="77777777" w:rsidR="000948AD" w:rsidRPr="00931330" w:rsidRDefault="00646771">
            <w:pPr>
              <w:pStyle w:val="T2"/>
              <w:jc w:val="right"/>
              <w:rPr>
                <w:b/>
              </w:rPr>
            </w:pPr>
            <w:r>
              <w:rPr>
                <w:b/>
              </w:rPr>
              <w:t>(2</w:t>
            </w:r>
            <w:r w:rsidR="005726F7">
              <w:rPr>
                <w:b/>
              </w:rPr>
              <w:t>5.6</w:t>
            </w:r>
            <w:r>
              <w:rPr>
                <w:b/>
              </w:rPr>
              <w:t>%)</w:t>
            </w:r>
          </w:p>
        </w:tc>
        <w:tc>
          <w:tcPr>
            <w:tcW w:w="1798" w:type="dxa"/>
            <w:tcBorders>
              <w:top w:val="single" w:sz="4" w:space="0" w:color="auto"/>
              <w:bottom w:val="single" w:sz="8" w:space="0" w:color="auto"/>
            </w:tcBorders>
          </w:tcPr>
          <w:p w14:paraId="36B01BAF" w14:textId="77777777" w:rsidR="000948AD" w:rsidRPr="00931330" w:rsidRDefault="00646771" w:rsidP="000948AD">
            <w:pPr>
              <w:pStyle w:val="T2"/>
              <w:jc w:val="right"/>
              <w:rPr>
                <w:b/>
              </w:rPr>
            </w:pPr>
            <w:r>
              <w:rPr>
                <w:b/>
              </w:rPr>
              <w:t>(5.6%)</w:t>
            </w:r>
          </w:p>
        </w:tc>
      </w:tr>
    </w:tbl>
    <w:p w14:paraId="5C4F6575" w14:textId="77777777" w:rsidR="00773F7B" w:rsidRDefault="00773F7B" w:rsidP="00773F7B">
      <w:pPr>
        <w:rPr>
          <w:b/>
          <w:sz w:val="18"/>
          <w:szCs w:val="18"/>
        </w:rPr>
      </w:pPr>
    </w:p>
    <w:p w14:paraId="6CF41FC7" w14:textId="77777777" w:rsidR="00773F7B" w:rsidRPr="00775F03" w:rsidRDefault="00773F7B" w:rsidP="00773F7B">
      <w:pPr>
        <w:pStyle w:val="Paragraph"/>
        <w:rPr>
          <w:b/>
        </w:rPr>
      </w:pPr>
      <w:r w:rsidRPr="00775F03">
        <w:rPr>
          <w:b/>
        </w:rPr>
        <w:t>ADJUSTED EBITDA, ADJUSTED OPERATING PROFIT AND ADJUSTED OPERATING MARGIN</w:t>
      </w:r>
    </w:p>
    <w:p w14:paraId="6C74132C" w14:textId="77777777" w:rsidR="00773F7B" w:rsidRDefault="00773F7B" w:rsidP="00773F7B">
      <w:pPr>
        <w:pStyle w:val="Paragraph"/>
        <w:jc w:val="both"/>
      </w:pPr>
      <w:r w:rsidRPr="00775F03">
        <w:t>Adjusted EBITDA, Adjusted Operating Profit and Adjusted Operating Margin are used by the Group to measure the underlying and ongoing operating performance of each business</w:t>
      </w:r>
      <w:r>
        <w:t xml:space="preserve"> </w:t>
      </w:r>
      <w:r w:rsidRPr="00775F03">
        <w:t>and of the Group as a whole.</w:t>
      </w:r>
    </w:p>
    <w:p w14:paraId="3C105ED1" w14:textId="77777777" w:rsidR="00773F7B" w:rsidRDefault="00773F7B" w:rsidP="00773F7B">
      <w:pPr>
        <w:pStyle w:val="Paragraph"/>
        <w:jc w:val="both"/>
      </w:pPr>
      <w:r w:rsidRPr="00775F03">
        <w:t xml:space="preserve">The Group calculates Adjusted Operating Profit as operating profit </w:t>
      </w:r>
      <w:r w:rsidR="009B1032">
        <w:t xml:space="preserve">before </w:t>
      </w:r>
      <w:r w:rsidRPr="00775F03">
        <w:t xml:space="preserve">acquisition related </w:t>
      </w:r>
      <w:r w:rsidR="009B1032">
        <w:t xml:space="preserve">amortisation </w:t>
      </w:r>
      <w:r w:rsidRPr="00775F03">
        <w:t>and exceptional charges. Adjusted EBITDA is calculated as Adjusted Operating Profit plus depreciation and amortisation</w:t>
      </w:r>
      <w:r>
        <w:t xml:space="preserve"> of intangible assets</w:t>
      </w:r>
      <w:r w:rsidRPr="00775F03">
        <w:t>. Adjusted Operating Margin is calculated as Adjusted Operating Profit divided by reported revenue.</w:t>
      </w:r>
    </w:p>
    <w:p w14:paraId="5B125E0D" w14:textId="77777777" w:rsidR="00773F7B" w:rsidRDefault="00773F7B" w:rsidP="00773F7B">
      <w:pPr>
        <w:pStyle w:val="Paragraph"/>
        <w:jc w:val="both"/>
      </w:pPr>
      <w:r w:rsidRPr="00775F03">
        <w:t xml:space="preserve">The following table sets forth a reconciliation from the Group’s </w:t>
      </w:r>
      <w:r>
        <w:t>p</w:t>
      </w:r>
      <w:r w:rsidRPr="00775F03">
        <w:t>rofit for the financial year to Adjusted Operating Profit, Adjusted EBITDA and Adjusted Operating Margin:</w:t>
      </w:r>
    </w:p>
    <w:p w14:paraId="6AAF08AA" w14:textId="77777777" w:rsidR="00AE497B" w:rsidRPr="00775F03" w:rsidRDefault="00AE497B" w:rsidP="00AE497B">
      <w:pPr>
        <w:pStyle w:val="Paragraph"/>
        <w:rPr>
          <w:b/>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962"/>
        <w:gridCol w:w="963"/>
        <w:gridCol w:w="963"/>
        <w:gridCol w:w="537"/>
        <w:gridCol w:w="1276"/>
        <w:gridCol w:w="1134"/>
      </w:tblGrid>
      <w:tr w:rsidR="00773F7B" w14:paraId="5054C887" w14:textId="77777777" w:rsidTr="00BC71DA">
        <w:trPr>
          <w:trHeight w:val="379"/>
        </w:trPr>
        <w:tc>
          <w:tcPr>
            <w:tcW w:w="3946" w:type="dxa"/>
            <w:vAlign w:val="bottom"/>
          </w:tcPr>
          <w:p w14:paraId="57EC49D5" w14:textId="77777777" w:rsidR="00773F7B" w:rsidRPr="00775F03" w:rsidRDefault="00773F7B" w:rsidP="00773F7B">
            <w:pPr>
              <w:pStyle w:val="T2"/>
              <w:jc w:val="left"/>
            </w:pPr>
          </w:p>
        </w:tc>
        <w:tc>
          <w:tcPr>
            <w:tcW w:w="962" w:type="dxa"/>
            <w:vAlign w:val="bottom"/>
          </w:tcPr>
          <w:p w14:paraId="1ED955AF" w14:textId="77777777" w:rsidR="00773F7B" w:rsidRPr="00E61418" w:rsidRDefault="00773F7B" w:rsidP="00BC71DA">
            <w:pPr>
              <w:pStyle w:val="T2"/>
              <w:jc w:val="right"/>
              <w:rPr>
                <w:b/>
              </w:rPr>
            </w:pPr>
          </w:p>
        </w:tc>
        <w:tc>
          <w:tcPr>
            <w:tcW w:w="963" w:type="dxa"/>
            <w:vAlign w:val="bottom"/>
          </w:tcPr>
          <w:p w14:paraId="12B8E43B" w14:textId="77777777" w:rsidR="00773F7B" w:rsidRPr="00E61418" w:rsidRDefault="00773F7B" w:rsidP="00BC71DA">
            <w:pPr>
              <w:pStyle w:val="T2"/>
              <w:jc w:val="right"/>
              <w:rPr>
                <w:b/>
              </w:rPr>
            </w:pPr>
          </w:p>
        </w:tc>
        <w:tc>
          <w:tcPr>
            <w:tcW w:w="963" w:type="dxa"/>
            <w:vAlign w:val="bottom"/>
          </w:tcPr>
          <w:p w14:paraId="5A18741D" w14:textId="77777777" w:rsidR="00773F7B" w:rsidRPr="00E61418" w:rsidRDefault="00773F7B" w:rsidP="00BC71DA">
            <w:pPr>
              <w:pStyle w:val="T2"/>
              <w:jc w:val="right"/>
              <w:rPr>
                <w:b/>
              </w:rPr>
            </w:pPr>
          </w:p>
        </w:tc>
        <w:tc>
          <w:tcPr>
            <w:tcW w:w="537" w:type="dxa"/>
            <w:vAlign w:val="bottom"/>
          </w:tcPr>
          <w:p w14:paraId="772B5DB7" w14:textId="77777777" w:rsidR="00773F7B" w:rsidRPr="00775F03" w:rsidRDefault="00773F7B" w:rsidP="00BC71DA">
            <w:pPr>
              <w:pStyle w:val="T2"/>
              <w:jc w:val="right"/>
            </w:pPr>
          </w:p>
        </w:tc>
        <w:tc>
          <w:tcPr>
            <w:tcW w:w="1276" w:type="dxa"/>
            <w:vAlign w:val="bottom"/>
          </w:tcPr>
          <w:p w14:paraId="55B725DF" w14:textId="77777777" w:rsidR="009B1032" w:rsidRDefault="009B1032" w:rsidP="00BC71DA">
            <w:pPr>
              <w:pStyle w:val="T2"/>
              <w:jc w:val="right"/>
              <w:rPr>
                <w:b/>
              </w:rPr>
            </w:pPr>
          </w:p>
          <w:p w14:paraId="6E34C788" w14:textId="77777777" w:rsidR="00DA6313" w:rsidRDefault="000948AD" w:rsidP="00BC71DA">
            <w:pPr>
              <w:pStyle w:val="T2"/>
              <w:jc w:val="right"/>
              <w:rPr>
                <w:b/>
              </w:rPr>
            </w:pPr>
            <w:r>
              <w:rPr>
                <w:b/>
              </w:rPr>
              <w:t xml:space="preserve">Half Year </w:t>
            </w:r>
          </w:p>
          <w:p w14:paraId="79D79F58" w14:textId="77777777" w:rsidR="00773F7B" w:rsidRPr="000948AD" w:rsidRDefault="000948AD" w:rsidP="00BC71DA">
            <w:pPr>
              <w:pStyle w:val="T2"/>
              <w:jc w:val="right"/>
              <w:rPr>
                <w:b/>
              </w:rPr>
            </w:pPr>
            <w:r>
              <w:rPr>
                <w:b/>
              </w:rPr>
              <w:t>2021</w:t>
            </w:r>
          </w:p>
        </w:tc>
        <w:tc>
          <w:tcPr>
            <w:tcW w:w="1134" w:type="dxa"/>
            <w:vAlign w:val="bottom"/>
          </w:tcPr>
          <w:p w14:paraId="6008E562" w14:textId="77777777" w:rsidR="00773F7B" w:rsidRPr="004F4EB9" w:rsidRDefault="000948AD" w:rsidP="00BC71DA">
            <w:pPr>
              <w:pStyle w:val="T2"/>
              <w:jc w:val="right"/>
            </w:pPr>
            <w:r>
              <w:t>Half Year 2020</w:t>
            </w:r>
          </w:p>
        </w:tc>
      </w:tr>
      <w:tr w:rsidR="00773F7B" w14:paraId="58716FAF" w14:textId="77777777" w:rsidTr="00DA6313">
        <w:trPr>
          <w:trHeight w:val="208"/>
        </w:trPr>
        <w:tc>
          <w:tcPr>
            <w:tcW w:w="3946" w:type="dxa"/>
            <w:tcBorders>
              <w:bottom w:val="single" w:sz="2" w:space="0" w:color="auto"/>
            </w:tcBorders>
            <w:vAlign w:val="bottom"/>
          </w:tcPr>
          <w:p w14:paraId="5F9DBA68" w14:textId="77777777" w:rsidR="00773F7B" w:rsidRPr="00775F03" w:rsidRDefault="00773F7B" w:rsidP="00773F7B">
            <w:pPr>
              <w:pStyle w:val="T2"/>
              <w:jc w:val="left"/>
            </w:pPr>
          </w:p>
        </w:tc>
        <w:tc>
          <w:tcPr>
            <w:tcW w:w="962" w:type="dxa"/>
            <w:tcBorders>
              <w:bottom w:val="single" w:sz="2" w:space="0" w:color="auto"/>
            </w:tcBorders>
          </w:tcPr>
          <w:p w14:paraId="4105200B" w14:textId="77777777" w:rsidR="00773F7B" w:rsidRPr="007E6155" w:rsidRDefault="00773F7B" w:rsidP="00773F7B">
            <w:pPr>
              <w:pStyle w:val="T2"/>
              <w:jc w:val="right"/>
              <w:rPr>
                <w:b/>
              </w:rPr>
            </w:pPr>
          </w:p>
        </w:tc>
        <w:tc>
          <w:tcPr>
            <w:tcW w:w="963" w:type="dxa"/>
            <w:tcBorders>
              <w:bottom w:val="single" w:sz="2" w:space="0" w:color="auto"/>
            </w:tcBorders>
          </w:tcPr>
          <w:p w14:paraId="7CAB0DED" w14:textId="77777777" w:rsidR="00773F7B" w:rsidRPr="007E6155" w:rsidRDefault="00773F7B" w:rsidP="00773F7B">
            <w:pPr>
              <w:pStyle w:val="T2"/>
              <w:jc w:val="right"/>
              <w:rPr>
                <w:b/>
              </w:rPr>
            </w:pPr>
          </w:p>
        </w:tc>
        <w:tc>
          <w:tcPr>
            <w:tcW w:w="963" w:type="dxa"/>
            <w:tcBorders>
              <w:bottom w:val="single" w:sz="2" w:space="0" w:color="auto"/>
            </w:tcBorders>
            <w:vAlign w:val="bottom"/>
          </w:tcPr>
          <w:p w14:paraId="49422553" w14:textId="77777777" w:rsidR="00773F7B" w:rsidRPr="007E6155" w:rsidRDefault="00773F7B" w:rsidP="00773F7B">
            <w:pPr>
              <w:pStyle w:val="T2"/>
              <w:jc w:val="right"/>
              <w:rPr>
                <w:b/>
              </w:rPr>
            </w:pPr>
          </w:p>
        </w:tc>
        <w:tc>
          <w:tcPr>
            <w:tcW w:w="537" w:type="dxa"/>
            <w:tcBorders>
              <w:bottom w:val="single" w:sz="2" w:space="0" w:color="auto"/>
            </w:tcBorders>
            <w:vAlign w:val="bottom"/>
          </w:tcPr>
          <w:p w14:paraId="099EAE1B" w14:textId="77777777" w:rsidR="00773F7B" w:rsidRPr="00775F03" w:rsidRDefault="00773F7B" w:rsidP="00773F7B">
            <w:pPr>
              <w:pStyle w:val="T2"/>
              <w:jc w:val="right"/>
            </w:pPr>
          </w:p>
        </w:tc>
        <w:tc>
          <w:tcPr>
            <w:tcW w:w="1276" w:type="dxa"/>
            <w:tcBorders>
              <w:bottom w:val="single" w:sz="2" w:space="0" w:color="auto"/>
            </w:tcBorders>
          </w:tcPr>
          <w:p w14:paraId="278A0A31" w14:textId="77777777" w:rsidR="00773F7B" w:rsidRPr="000948AD" w:rsidRDefault="00773F7B" w:rsidP="00773F7B">
            <w:pPr>
              <w:pStyle w:val="T2"/>
              <w:jc w:val="right"/>
              <w:rPr>
                <w:b/>
              </w:rPr>
            </w:pPr>
            <w:r w:rsidRPr="000948AD">
              <w:rPr>
                <w:b/>
              </w:rPr>
              <w:t>£m</w:t>
            </w:r>
          </w:p>
        </w:tc>
        <w:tc>
          <w:tcPr>
            <w:tcW w:w="1134" w:type="dxa"/>
            <w:tcBorders>
              <w:bottom w:val="single" w:sz="2" w:space="0" w:color="auto"/>
            </w:tcBorders>
          </w:tcPr>
          <w:p w14:paraId="75B5BF1B" w14:textId="77777777" w:rsidR="00773F7B" w:rsidRPr="00775F03" w:rsidRDefault="00773F7B" w:rsidP="00773F7B">
            <w:pPr>
              <w:pStyle w:val="T2"/>
              <w:jc w:val="right"/>
            </w:pPr>
            <w:r w:rsidRPr="00775F03">
              <w:t>£m</w:t>
            </w:r>
          </w:p>
        </w:tc>
      </w:tr>
      <w:tr w:rsidR="000948AD" w14:paraId="135B317F" w14:textId="77777777" w:rsidTr="00DA6313">
        <w:trPr>
          <w:trHeight w:val="198"/>
        </w:trPr>
        <w:tc>
          <w:tcPr>
            <w:tcW w:w="3946" w:type="dxa"/>
            <w:tcBorders>
              <w:top w:val="single" w:sz="2" w:space="0" w:color="auto"/>
              <w:bottom w:val="single" w:sz="2" w:space="0" w:color="auto"/>
            </w:tcBorders>
            <w:vAlign w:val="bottom"/>
          </w:tcPr>
          <w:p w14:paraId="12D6769A" w14:textId="77777777" w:rsidR="000948AD" w:rsidRPr="003A6352" w:rsidRDefault="000948AD" w:rsidP="000948AD">
            <w:pPr>
              <w:pStyle w:val="T2"/>
              <w:jc w:val="left"/>
              <w:rPr>
                <w:b/>
              </w:rPr>
            </w:pPr>
            <w:r w:rsidRPr="003A6352">
              <w:rPr>
                <w:b/>
              </w:rPr>
              <w:t>Profit for the financial year</w:t>
            </w:r>
          </w:p>
        </w:tc>
        <w:tc>
          <w:tcPr>
            <w:tcW w:w="962" w:type="dxa"/>
            <w:tcBorders>
              <w:top w:val="single" w:sz="2" w:space="0" w:color="auto"/>
              <w:bottom w:val="single" w:sz="2" w:space="0" w:color="auto"/>
            </w:tcBorders>
          </w:tcPr>
          <w:p w14:paraId="4890A63F" w14:textId="77777777" w:rsidR="000948AD" w:rsidRPr="00FC568F" w:rsidRDefault="000948AD" w:rsidP="000948AD">
            <w:pPr>
              <w:pStyle w:val="T2"/>
              <w:jc w:val="right"/>
              <w:rPr>
                <w:b/>
                <w:bCs/>
              </w:rPr>
            </w:pPr>
          </w:p>
        </w:tc>
        <w:tc>
          <w:tcPr>
            <w:tcW w:w="963" w:type="dxa"/>
            <w:tcBorders>
              <w:top w:val="single" w:sz="2" w:space="0" w:color="auto"/>
              <w:bottom w:val="single" w:sz="2" w:space="0" w:color="auto"/>
            </w:tcBorders>
          </w:tcPr>
          <w:p w14:paraId="7046907B" w14:textId="77777777" w:rsidR="000948AD" w:rsidRPr="00FC568F" w:rsidRDefault="000948AD" w:rsidP="000948AD">
            <w:pPr>
              <w:pStyle w:val="T2"/>
              <w:jc w:val="right"/>
              <w:rPr>
                <w:b/>
                <w:bCs/>
              </w:rPr>
            </w:pPr>
          </w:p>
        </w:tc>
        <w:tc>
          <w:tcPr>
            <w:tcW w:w="963" w:type="dxa"/>
            <w:tcBorders>
              <w:top w:val="single" w:sz="2" w:space="0" w:color="auto"/>
              <w:bottom w:val="single" w:sz="2" w:space="0" w:color="auto"/>
            </w:tcBorders>
          </w:tcPr>
          <w:p w14:paraId="5E21B777" w14:textId="77777777" w:rsidR="000948AD" w:rsidRPr="00FC568F" w:rsidRDefault="000948AD" w:rsidP="000948AD">
            <w:pPr>
              <w:pStyle w:val="T2"/>
              <w:jc w:val="right"/>
              <w:rPr>
                <w:b/>
                <w:bCs/>
              </w:rPr>
            </w:pPr>
          </w:p>
        </w:tc>
        <w:tc>
          <w:tcPr>
            <w:tcW w:w="537" w:type="dxa"/>
            <w:tcBorders>
              <w:top w:val="single" w:sz="2" w:space="0" w:color="auto"/>
              <w:bottom w:val="single" w:sz="2" w:space="0" w:color="auto"/>
            </w:tcBorders>
            <w:vAlign w:val="bottom"/>
          </w:tcPr>
          <w:p w14:paraId="4E8848F0" w14:textId="77777777" w:rsidR="000948AD" w:rsidRPr="00775F03" w:rsidRDefault="000948AD" w:rsidP="000948AD">
            <w:pPr>
              <w:pStyle w:val="T2"/>
              <w:jc w:val="right"/>
            </w:pPr>
          </w:p>
        </w:tc>
        <w:tc>
          <w:tcPr>
            <w:tcW w:w="1276" w:type="dxa"/>
            <w:tcBorders>
              <w:top w:val="single" w:sz="2" w:space="0" w:color="auto"/>
              <w:bottom w:val="single" w:sz="2" w:space="0" w:color="auto"/>
            </w:tcBorders>
          </w:tcPr>
          <w:p w14:paraId="5D6310ED" w14:textId="77777777" w:rsidR="000948AD" w:rsidRPr="0096767F" w:rsidRDefault="00646771">
            <w:pPr>
              <w:pStyle w:val="T2"/>
              <w:jc w:val="right"/>
              <w:rPr>
                <w:bCs/>
              </w:rPr>
            </w:pPr>
            <w:r>
              <w:rPr>
                <w:b/>
                <w:bCs/>
              </w:rPr>
              <w:t>0.</w:t>
            </w:r>
            <w:r w:rsidR="00F2457C">
              <w:rPr>
                <w:b/>
                <w:bCs/>
              </w:rPr>
              <w:t>4</w:t>
            </w:r>
          </w:p>
        </w:tc>
        <w:tc>
          <w:tcPr>
            <w:tcW w:w="1134" w:type="dxa"/>
            <w:tcBorders>
              <w:top w:val="single" w:sz="2" w:space="0" w:color="auto"/>
              <w:bottom w:val="single" w:sz="2" w:space="0" w:color="auto"/>
            </w:tcBorders>
          </w:tcPr>
          <w:p w14:paraId="3C8D49F6" w14:textId="77777777" w:rsidR="000948AD" w:rsidRPr="000948AD" w:rsidRDefault="000948AD" w:rsidP="000948AD">
            <w:pPr>
              <w:pStyle w:val="T2"/>
              <w:jc w:val="right"/>
              <w:rPr>
                <w:bCs/>
              </w:rPr>
            </w:pPr>
            <w:r w:rsidRPr="000948AD">
              <w:rPr>
                <w:bCs/>
              </w:rPr>
              <w:t>24.2</w:t>
            </w:r>
          </w:p>
        </w:tc>
      </w:tr>
      <w:tr w:rsidR="000948AD" w14:paraId="52C0FCBE" w14:textId="77777777" w:rsidTr="00DA6313">
        <w:trPr>
          <w:trHeight w:val="175"/>
        </w:trPr>
        <w:tc>
          <w:tcPr>
            <w:tcW w:w="3946" w:type="dxa"/>
            <w:tcBorders>
              <w:top w:val="single" w:sz="2" w:space="0" w:color="auto"/>
            </w:tcBorders>
            <w:vAlign w:val="bottom"/>
          </w:tcPr>
          <w:p w14:paraId="2C86816C" w14:textId="77777777" w:rsidR="000948AD" w:rsidRPr="00775F03" w:rsidRDefault="000948AD" w:rsidP="000948AD">
            <w:pPr>
              <w:pStyle w:val="T2"/>
              <w:jc w:val="left"/>
            </w:pPr>
            <w:r w:rsidRPr="00775F03">
              <w:t>Taxation</w:t>
            </w:r>
            <w:r w:rsidRPr="00775F03">
              <w:rPr>
                <w:vertAlign w:val="superscript"/>
              </w:rPr>
              <w:t>(A)</w:t>
            </w:r>
          </w:p>
        </w:tc>
        <w:tc>
          <w:tcPr>
            <w:tcW w:w="962" w:type="dxa"/>
            <w:tcBorders>
              <w:top w:val="single" w:sz="2" w:space="0" w:color="auto"/>
            </w:tcBorders>
          </w:tcPr>
          <w:p w14:paraId="3F1FCD1F" w14:textId="77777777" w:rsidR="000948AD" w:rsidRPr="00FC568F" w:rsidRDefault="000948AD" w:rsidP="000948AD">
            <w:pPr>
              <w:pStyle w:val="T2"/>
              <w:jc w:val="right"/>
              <w:rPr>
                <w:b/>
                <w:bCs/>
              </w:rPr>
            </w:pPr>
          </w:p>
        </w:tc>
        <w:tc>
          <w:tcPr>
            <w:tcW w:w="963" w:type="dxa"/>
            <w:tcBorders>
              <w:top w:val="single" w:sz="2" w:space="0" w:color="auto"/>
            </w:tcBorders>
          </w:tcPr>
          <w:p w14:paraId="420D03A4" w14:textId="77777777" w:rsidR="000948AD" w:rsidRPr="005D0EFF" w:rsidRDefault="000948AD" w:rsidP="000948AD">
            <w:pPr>
              <w:pStyle w:val="T2"/>
              <w:jc w:val="right"/>
              <w:rPr>
                <w:bCs/>
              </w:rPr>
            </w:pPr>
          </w:p>
        </w:tc>
        <w:tc>
          <w:tcPr>
            <w:tcW w:w="963" w:type="dxa"/>
            <w:tcBorders>
              <w:top w:val="single" w:sz="2" w:space="0" w:color="auto"/>
            </w:tcBorders>
          </w:tcPr>
          <w:p w14:paraId="08517B34" w14:textId="77777777" w:rsidR="000948AD" w:rsidRPr="005D0EFF" w:rsidRDefault="000948AD" w:rsidP="000948AD">
            <w:pPr>
              <w:pStyle w:val="T2"/>
              <w:jc w:val="right"/>
              <w:rPr>
                <w:bCs/>
              </w:rPr>
            </w:pPr>
          </w:p>
        </w:tc>
        <w:tc>
          <w:tcPr>
            <w:tcW w:w="537" w:type="dxa"/>
            <w:tcBorders>
              <w:top w:val="single" w:sz="2" w:space="0" w:color="auto"/>
            </w:tcBorders>
            <w:vAlign w:val="bottom"/>
          </w:tcPr>
          <w:p w14:paraId="38F03E73" w14:textId="77777777" w:rsidR="000948AD" w:rsidRPr="00775F03" w:rsidRDefault="000948AD" w:rsidP="000948AD">
            <w:pPr>
              <w:pStyle w:val="T2"/>
              <w:jc w:val="right"/>
            </w:pPr>
          </w:p>
        </w:tc>
        <w:tc>
          <w:tcPr>
            <w:tcW w:w="1276" w:type="dxa"/>
            <w:tcBorders>
              <w:top w:val="single" w:sz="2" w:space="0" w:color="auto"/>
            </w:tcBorders>
          </w:tcPr>
          <w:p w14:paraId="7398A355" w14:textId="77777777" w:rsidR="000948AD" w:rsidRPr="0096767F" w:rsidRDefault="00646771">
            <w:pPr>
              <w:pStyle w:val="T2"/>
              <w:jc w:val="right"/>
              <w:rPr>
                <w:bCs/>
              </w:rPr>
            </w:pPr>
            <w:r>
              <w:rPr>
                <w:b/>
                <w:bCs/>
              </w:rPr>
              <w:t>(</w:t>
            </w:r>
            <w:r w:rsidR="005D3EAC">
              <w:rPr>
                <w:b/>
                <w:bCs/>
              </w:rPr>
              <w:t>2.</w:t>
            </w:r>
            <w:r w:rsidR="00F2457C">
              <w:rPr>
                <w:b/>
                <w:bCs/>
              </w:rPr>
              <w:t>2</w:t>
            </w:r>
            <w:r>
              <w:rPr>
                <w:b/>
                <w:bCs/>
              </w:rPr>
              <w:t>)</w:t>
            </w:r>
          </w:p>
        </w:tc>
        <w:tc>
          <w:tcPr>
            <w:tcW w:w="1134" w:type="dxa"/>
            <w:tcBorders>
              <w:top w:val="single" w:sz="2" w:space="0" w:color="auto"/>
            </w:tcBorders>
          </w:tcPr>
          <w:p w14:paraId="41BEE0C0" w14:textId="77777777" w:rsidR="000948AD" w:rsidRPr="000948AD" w:rsidRDefault="000948AD" w:rsidP="000948AD">
            <w:pPr>
              <w:pStyle w:val="T2"/>
              <w:jc w:val="right"/>
              <w:rPr>
                <w:bCs/>
              </w:rPr>
            </w:pPr>
            <w:r w:rsidRPr="000948AD">
              <w:rPr>
                <w:bCs/>
              </w:rPr>
              <w:t>3.1</w:t>
            </w:r>
          </w:p>
        </w:tc>
      </w:tr>
      <w:tr w:rsidR="000948AD" w14:paraId="5B141E46" w14:textId="77777777" w:rsidTr="001F1616">
        <w:trPr>
          <w:trHeight w:val="208"/>
        </w:trPr>
        <w:tc>
          <w:tcPr>
            <w:tcW w:w="3946" w:type="dxa"/>
            <w:vAlign w:val="bottom"/>
          </w:tcPr>
          <w:p w14:paraId="50ACDA71" w14:textId="77777777" w:rsidR="000948AD" w:rsidRPr="00775F03" w:rsidRDefault="000948AD" w:rsidP="000948AD">
            <w:pPr>
              <w:pStyle w:val="T2"/>
              <w:jc w:val="left"/>
            </w:pPr>
            <w:r w:rsidRPr="00775F03">
              <w:t>Net finance costs</w:t>
            </w:r>
            <w:r w:rsidRPr="00775F03">
              <w:rPr>
                <w:vertAlign w:val="superscript"/>
              </w:rPr>
              <w:t>(B)</w:t>
            </w:r>
          </w:p>
        </w:tc>
        <w:tc>
          <w:tcPr>
            <w:tcW w:w="962" w:type="dxa"/>
          </w:tcPr>
          <w:p w14:paraId="1244FD97" w14:textId="77777777" w:rsidR="000948AD" w:rsidRPr="00FC568F" w:rsidRDefault="000948AD" w:rsidP="000948AD">
            <w:pPr>
              <w:pStyle w:val="T2"/>
              <w:jc w:val="right"/>
              <w:rPr>
                <w:b/>
                <w:bCs/>
              </w:rPr>
            </w:pPr>
          </w:p>
        </w:tc>
        <w:tc>
          <w:tcPr>
            <w:tcW w:w="963" w:type="dxa"/>
          </w:tcPr>
          <w:p w14:paraId="7BC149D7" w14:textId="77777777" w:rsidR="000948AD" w:rsidRPr="005D0EFF" w:rsidRDefault="000948AD" w:rsidP="000948AD">
            <w:pPr>
              <w:pStyle w:val="T2"/>
              <w:jc w:val="right"/>
              <w:rPr>
                <w:bCs/>
              </w:rPr>
            </w:pPr>
          </w:p>
        </w:tc>
        <w:tc>
          <w:tcPr>
            <w:tcW w:w="963" w:type="dxa"/>
          </w:tcPr>
          <w:p w14:paraId="413AC1F4" w14:textId="77777777" w:rsidR="000948AD" w:rsidRPr="005D0EFF" w:rsidRDefault="000948AD" w:rsidP="000948AD">
            <w:pPr>
              <w:pStyle w:val="T2"/>
              <w:jc w:val="right"/>
              <w:rPr>
                <w:bCs/>
              </w:rPr>
            </w:pPr>
          </w:p>
        </w:tc>
        <w:tc>
          <w:tcPr>
            <w:tcW w:w="537" w:type="dxa"/>
            <w:vAlign w:val="bottom"/>
          </w:tcPr>
          <w:p w14:paraId="062F896E" w14:textId="77777777" w:rsidR="000948AD" w:rsidRPr="00775F03" w:rsidRDefault="000948AD" w:rsidP="000948AD">
            <w:pPr>
              <w:pStyle w:val="T2"/>
              <w:jc w:val="right"/>
            </w:pPr>
          </w:p>
        </w:tc>
        <w:tc>
          <w:tcPr>
            <w:tcW w:w="1276" w:type="dxa"/>
          </w:tcPr>
          <w:p w14:paraId="68B807FE" w14:textId="77777777" w:rsidR="000948AD" w:rsidRPr="0096767F" w:rsidRDefault="00646771" w:rsidP="000948AD">
            <w:pPr>
              <w:pStyle w:val="T2"/>
              <w:jc w:val="right"/>
              <w:rPr>
                <w:bCs/>
              </w:rPr>
            </w:pPr>
            <w:r>
              <w:rPr>
                <w:b/>
                <w:bCs/>
              </w:rPr>
              <w:t>9.7</w:t>
            </w:r>
          </w:p>
        </w:tc>
        <w:tc>
          <w:tcPr>
            <w:tcW w:w="1134" w:type="dxa"/>
          </w:tcPr>
          <w:p w14:paraId="77177C9A" w14:textId="77777777" w:rsidR="000948AD" w:rsidRPr="000948AD" w:rsidRDefault="000948AD" w:rsidP="000948AD">
            <w:pPr>
              <w:pStyle w:val="T2"/>
              <w:jc w:val="right"/>
              <w:rPr>
                <w:bCs/>
              </w:rPr>
            </w:pPr>
            <w:r w:rsidRPr="000948AD">
              <w:rPr>
                <w:bCs/>
              </w:rPr>
              <w:t>8.7</w:t>
            </w:r>
          </w:p>
        </w:tc>
      </w:tr>
      <w:tr w:rsidR="000948AD" w14:paraId="2D1BB50A" w14:textId="77777777" w:rsidTr="00DA6313">
        <w:trPr>
          <w:trHeight w:val="208"/>
        </w:trPr>
        <w:tc>
          <w:tcPr>
            <w:tcW w:w="3946" w:type="dxa"/>
            <w:vAlign w:val="bottom"/>
          </w:tcPr>
          <w:p w14:paraId="2DDA46DC" w14:textId="77777777" w:rsidR="000948AD" w:rsidRPr="00775F03" w:rsidRDefault="000948AD" w:rsidP="000948AD">
            <w:pPr>
              <w:pStyle w:val="T2"/>
              <w:jc w:val="left"/>
            </w:pPr>
            <w:r w:rsidRPr="00775F03">
              <w:t>Share of profit of associates after tax</w:t>
            </w:r>
          </w:p>
        </w:tc>
        <w:tc>
          <w:tcPr>
            <w:tcW w:w="962" w:type="dxa"/>
          </w:tcPr>
          <w:p w14:paraId="29DD4130" w14:textId="77777777" w:rsidR="000948AD" w:rsidRPr="00FC568F" w:rsidRDefault="000948AD" w:rsidP="000948AD">
            <w:pPr>
              <w:pStyle w:val="T2"/>
              <w:jc w:val="right"/>
              <w:rPr>
                <w:b/>
                <w:bCs/>
              </w:rPr>
            </w:pPr>
          </w:p>
        </w:tc>
        <w:tc>
          <w:tcPr>
            <w:tcW w:w="963" w:type="dxa"/>
          </w:tcPr>
          <w:p w14:paraId="281A8B0E" w14:textId="77777777" w:rsidR="000948AD" w:rsidRPr="005D0EFF" w:rsidRDefault="000948AD" w:rsidP="000948AD">
            <w:pPr>
              <w:pStyle w:val="T2"/>
              <w:jc w:val="right"/>
              <w:rPr>
                <w:bCs/>
              </w:rPr>
            </w:pPr>
          </w:p>
        </w:tc>
        <w:tc>
          <w:tcPr>
            <w:tcW w:w="963" w:type="dxa"/>
          </w:tcPr>
          <w:p w14:paraId="1D556FE8" w14:textId="77777777" w:rsidR="000948AD" w:rsidRPr="005D0EFF" w:rsidRDefault="000948AD" w:rsidP="000948AD">
            <w:pPr>
              <w:pStyle w:val="T2"/>
              <w:jc w:val="right"/>
              <w:rPr>
                <w:bCs/>
              </w:rPr>
            </w:pPr>
          </w:p>
        </w:tc>
        <w:tc>
          <w:tcPr>
            <w:tcW w:w="537" w:type="dxa"/>
            <w:vAlign w:val="bottom"/>
          </w:tcPr>
          <w:p w14:paraId="71B2C642" w14:textId="77777777" w:rsidR="000948AD" w:rsidRPr="00775F03" w:rsidRDefault="000948AD" w:rsidP="000948AD">
            <w:pPr>
              <w:pStyle w:val="T2"/>
              <w:jc w:val="right"/>
            </w:pPr>
          </w:p>
        </w:tc>
        <w:tc>
          <w:tcPr>
            <w:tcW w:w="1276" w:type="dxa"/>
          </w:tcPr>
          <w:p w14:paraId="726CCDE8" w14:textId="77777777" w:rsidR="000948AD" w:rsidRPr="0096767F" w:rsidRDefault="000948AD" w:rsidP="000948AD">
            <w:pPr>
              <w:pStyle w:val="T2"/>
              <w:jc w:val="right"/>
              <w:rPr>
                <w:bCs/>
              </w:rPr>
            </w:pPr>
            <w:r w:rsidRPr="001F6040">
              <w:rPr>
                <w:b/>
                <w:bCs/>
              </w:rPr>
              <w:t>–</w:t>
            </w:r>
          </w:p>
        </w:tc>
        <w:tc>
          <w:tcPr>
            <w:tcW w:w="1134" w:type="dxa"/>
          </w:tcPr>
          <w:p w14:paraId="532427E7" w14:textId="77777777" w:rsidR="000948AD" w:rsidRPr="000948AD" w:rsidRDefault="000948AD" w:rsidP="000948AD">
            <w:pPr>
              <w:pStyle w:val="T2"/>
              <w:jc w:val="right"/>
              <w:rPr>
                <w:bCs/>
              </w:rPr>
            </w:pPr>
            <w:r w:rsidRPr="000948AD">
              <w:rPr>
                <w:bCs/>
              </w:rPr>
              <w:t>(0.4)</w:t>
            </w:r>
          </w:p>
        </w:tc>
      </w:tr>
      <w:tr w:rsidR="00B41C0F" w14:paraId="69BCD71A" w14:textId="77777777" w:rsidTr="001F1616">
        <w:trPr>
          <w:trHeight w:val="208"/>
        </w:trPr>
        <w:tc>
          <w:tcPr>
            <w:tcW w:w="3946" w:type="dxa"/>
            <w:tcBorders>
              <w:bottom w:val="single" w:sz="4" w:space="0" w:color="auto"/>
            </w:tcBorders>
            <w:vAlign w:val="bottom"/>
          </w:tcPr>
          <w:p w14:paraId="1AFD1E98" w14:textId="77777777" w:rsidR="00B41C0F" w:rsidRPr="00775F03" w:rsidRDefault="00B41C0F" w:rsidP="000948AD">
            <w:pPr>
              <w:pStyle w:val="T2"/>
              <w:jc w:val="left"/>
            </w:pPr>
            <w:r>
              <w:t>Profit on disposal of associates (exceptional)</w:t>
            </w:r>
          </w:p>
        </w:tc>
        <w:tc>
          <w:tcPr>
            <w:tcW w:w="962" w:type="dxa"/>
            <w:tcBorders>
              <w:bottom w:val="single" w:sz="4" w:space="0" w:color="auto"/>
            </w:tcBorders>
          </w:tcPr>
          <w:p w14:paraId="7B8B7E83" w14:textId="77777777" w:rsidR="00B41C0F" w:rsidRPr="00FC568F" w:rsidRDefault="00B41C0F" w:rsidP="000948AD">
            <w:pPr>
              <w:pStyle w:val="T2"/>
              <w:jc w:val="right"/>
              <w:rPr>
                <w:b/>
                <w:bCs/>
              </w:rPr>
            </w:pPr>
          </w:p>
        </w:tc>
        <w:tc>
          <w:tcPr>
            <w:tcW w:w="963" w:type="dxa"/>
            <w:tcBorders>
              <w:bottom w:val="single" w:sz="4" w:space="0" w:color="auto"/>
            </w:tcBorders>
          </w:tcPr>
          <w:p w14:paraId="31816ADE" w14:textId="77777777" w:rsidR="00B41C0F" w:rsidRPr="005D0EFF" w:rsidRDefault="00B41C0F" w:rsidP="000948AD">
            <w:pPr>
              <w:pStyle w:val="T2"/>
              <w:jc w:val="right"/>
              <w:rPr>
                <w:bCs/>
              </w:rPr>
            </w:pPr>
          </w:p>
        </w:tc>
        <w:tc>
          <w:tcPr>
            <w:tcW w:w="963" w:type="dxa"/>
            <w:tcBorders>
              <w:bottom w:val="single" w:sz="4" w:space="0" w:color="auto"/>
            </w:tcBorders>
          </w:tcPr>
          <w:p w14:paraId="4CED831D" w14:textId="77777777" w:rsidR="00B41C0F" w:rsidRPr="005D0EFF" w:rsidRDefault="00B41C0F" w:rsidP="000948AD">
            <w:pPr>
              <w:pStyle w:val="T2"/>
              <w:jc w:val="right"/>
              <w:rPr>
                <w:bCs/>
              </w:rPr>
            </w:pPr>
          </w:p>
        </w:tc>
        <w:tc>
          <w:tcPr>
            <w:tcW w:w="537" w:type="dxa"/>
            <w:tcBorders>
              <w:bottom w:val="single" w:sz="4" w:space="0" w:color="auto"/>
            </w:tcBorders>
            <w:vAlign w:val="bottom"/>
          </w:tcPr>
          <w:p w14:paraId="4ECBDFC7" w14:textId="77777777" w:rsidR="00B41C0F" w:rsidRPr="00775F03" w:rsidRDefault="00B41C0F" w:rsidP="000948AD">
            <w:pPr>
              <w:pStyle w:val="T2"/>
              <w:jc w:val="right"/>
            </w:pPr>
          </w:p>
        </w:tc>
        <w:tc>
          <w:tcPr>
            <w:tcW w:w="1276" w:type="dxa"/>
            <w:tcBorders>
              <w:bottom w:val="single" w:sz="4" w:space="0" w:color="auto"/>
            </w:tcBorders>
          </w:tcPr>
          <w:p w14:paraId="7E54B2E0" w14:textId="77777777" w:rsidR="00B41C0F" w:rsidRDefault="00B41C0F">
            <w:pPr>
              <w:pStyle w:val="T2"/>
              <w:jc w:val="right"/>
              <w:rPr>
                <w:b/>
                <w:bCs/>
              </w:rPr>
            </w:pPr>
            <w:r>
              <w:rPr>
                <w:b/>
                <w:bCs/>
              </w:rPr>
              <w:t>(4.0)</w:t>
            </w:r>
          </w:p>
        </w:tc>
        <w:tc>
          <w:tcPr>
            <w:tcW w:w="1134" w:type="dxa"/>
            <w:tcBorders>
              <w:bottom w:val="single" w:sz="4" w:space="0" w:color="auto"/>
            </w:tcBorders>
          </w:tcPr>
          <w:p w14:paraId="125F368F" w14:textId="77777777" w:rsidR="00B41C0F" w:rsidRPr="000948AD" w:rsidRDefault="00B41C0F" w:rsidP="000948AD">
            <w:pPr>
              <w:pStyle w:val="T2"/>
              <w:jc w:val="right"/>
              <w:rPr>
                <w:bCs/>
              </w:rPr>
            </w:pPr>
            <w:r w:rsidRPr="000948AD">
              <w:rPr>
                <w:bCs/>
              </w:rPr>
              <w:t>–</w:t>
            </w:r>
          </w:p>
        </w:tc>
      </w:tr>
      <w:tr w:rsidR="00B41C0F" w14:paraId="5E609BDE" w14:textId="77777777" w:rsidTr="001F1616">
        <w:trPr>
          <w:trHeight w:val="208"/>
        </w:trPr>
        <w:tc>
          <w:tcPr>
            <w:tcW w:w="3946" w:type="dxa"/>
            <w:tcBorders>
              <w:top w:val="single" w:sz="4" w:space="0" w:color="auto"/>
            </w:tcBorders>
            <w:vAlign w:val="bottom"/>
          </w:tcPr>
          <w:p w14:paraId="0C94E168" w14:textId="77777777" w:rsidR="00B41C0F" w:rsidRPr="001F1616" w:rsidRDefault="00B41C0F" w:rsidP="000948AD">
            <w:pPr>
              <w:pStyle w:val="T2"/>
              <w:jc w:val="left"/>
              <w:rPr>
                <w:b/>
              </w:rPr>
            </w:pPr>
            <w:r w:rsidRPr="001F1616">
              <w:rPr>
                <w:b/>
              </w:rPr>
              <w:t>Group operating (loss)/profit</w:t>
            </w:r>
          </w:p>
        </w:tc>
        <w:tc>
          <w:tcPr>
            <w:tcW w:w="962" w:type="dxa"/>
            <w:tcBorders>
              <w:top w:val="single" w:sz="4" w:space="0" w:color="auto"/>
            </w:tcBorders>
          </w:tcPr>
          <w:p w14:paraId="469807E8" w14:textId="77777777" w:rsidR="00B41C0F" w:rsidRPr="00FC568F" w:rsidRDefault="00B41C0F" w:rsidP="000948AD">
            <w:pPr>
              <w:pStyle w:val="T2"/>
              <w:jc w:val="right"/>
              <w:rPr>
                <w:b/>
                <w:bCs/>
              </w:rPr>
            </w:pPr>
          </w:p>
        </w:tc>
        <w:tc>
          <w:tcPr>
            <w:tcW w:w="963" w:type="dxa"/>
            <w:tcBorders>
              <w:top w:val="single" w:sz="4" w:space="0" w:color="auto"/>
            </w:tcBorders>
          </w:tcPr>
          <w:p w14:paraId="517420CD" w14:textId="77777777" w:rsidR="00B41C0F" w:rsidRPr="005D0EFF" w:rsidRDefault="00B41C0F" w:rsidP="000948AD">
            <w:pPr>
              <w:pStyle w:val="T2"/>
              <w:jc w:val="right"/>
              <w:rPr>
                <w:bCs/>
              </w:rPr>
            </w:pPr>
          </w:p>
        </w:tc>
        <w:tc>
          <w:tcPr>
            <w:tcW w:w="963" w:type="dxa"/>
            <w:tcBorders>
              <w:top w:val="single" w:sz="4" w:space="0" w:color="auto"/>
            </w:tcBorders>
          </w:tcPr>
          <w:p w14:paraId="6F1B4A49" w14:textId="77777777" w:rsidR="00B41C0F" w:rsidRPr="005D0EFF" w:rsidRDefault="00B41C0F" w:rsidP="000948AD">
            <w:pPr>
              <w:pStyle w:val="T2"/>
              <w:jc w:val="right"/>
              <w:rPr>
                <w:bCs/>
              </w:rPr>
            </w:pPr>
          </w:p>
        </w:tc>
        <w:tc>
          <w:tcPr>
            <w:tcW w:w="537" w:type="dxa"/>
            <w:tcBorders>
              <w:top w:val="single" w:sz="4" w:space="0" w:color="auto"/>
            </w:tcBorders>
            <w:vAlign w:val="bottom"/>
          </w:tcPr>
          <w:p w14:paraId="04FDCF5B" w14:textId="77777777" w:rsidR="00B41C0F" w:rsidRPr="00775F03" w:rsidRDefault="00B41C0F" w:rsidP="000948AD">
            <w:pPr>
              <w:pStyle w:val="T2"/>
              <w:jc w:val="right"/>
            </w:pPr>
          </w:p>
        </w:tc>
        <w:tc>
          <w:tcPr>
            <w:tcW w:w="1276" w:type="dxa"/>
            <w:tcBorders>
              <w:top w:val="single" w:sz="4" w:space="0" w:color="auto"/>
            </w:tcBorders>
          </w:tcPr>
          <w:p w14:paraId="18087ADA" w14:textId="77777777" w:rsidR="00B41C0F" w:rsidRDefault="00B41C0F">
            <w:pPr>
              <w:pStyle w:val="T2"/>
              <w:jc w:val="right"/>
              <w:rPr>
                <w:b/>
                <w:bCs/>
              </w:rPr>
            </w:pPr>
            <w:r>
              <w:rPr>
                <w:b/>
                <w:bCs/>
              </w:rPr>
              <w:t>3.9</w:t>
            </w:r>
          </w:p>
        </w:tc>
        <w:tc>
          <w:tcPr>
            <w:tcW w:w="1134" w:type="dxa"/>
            <w:tcBorders>
              <w:top w:val="single" w:sz="4" w:space="0" w:color="auto"/>
            </w:tcBorders>
          </w:tcPr>
          <w:p w14:paraId="185DB7CB" w14:textId="77777777" w:rsidR="00B41C0F" w:rsidRPr="000948AD" w:rsidRDefault="00B41C0F" w:rsidP="000948AD">
            <w:pPr>
              <w:pStyle w:val="T2"/>
              <w:jc w:val="right"/>
              <w:rPr>
                <w:bCs/>
              </w:rPr>
            </w:pPr>
            <w:r>
              <w:rPr>
                <w:bCs/>
              </w:rPr>
              <w:t>35.6</w:t>
            </w:r>
          </w:p>
        </w:tc>
      </w:tr>
      <w:tr w:rsidR="000948AD" w14:paraId="67B899F9" w14:textId="77777777" w:rsidTr="00DA6313">
        <w:trPr>
          <w:trHeight w:val="208"/>
        </w:trPr>
        <w:tc>
          <w:tcPr>
            <w:tcW w:w="3946" w:type="dxa"/>
            <w:vAlign w:val="bottom"/>
          </w:tcPr>
          <w:p w14:paraId="3B488B89" w14:textId="77777777" w:rsidR="000948AD" w:rsidRPr="00775F03" w:rsidRDefault="000948AD" w:rsidP="000948AD">
            <w:pPr>
              <w:pStyle w:val="T2"/>
              <w:jc w:val="left"/>
            </w:pPr>
            <w:r w:rsidRPr="00775F03">
              <w:t>Exceptional items</w:t>
            </w:r>
          </w:p>
        </w:tc>
        <w:tc>
          <w:tcPr>
            <w:tcW w:w="962" w:type="dxa"/>
          </w:tcPr>
          <w:p w14:paraId="691DD238" w14:textId="77777777" w:rsidR="000948AD" w:rsidRPr="00FC568F" w:rsidRDefault="000948AD" w:rsidP="000948AD">
            <w:pPr>
              <w:pStyle w:val="T2"/>
              <w:jc w:val="right"/>
              <w:rPr>
                <w:b/>
                <w:bCs/>
              </w:rPr>
            </w:pPr>
          </w:p>
        </w:tc>
        <w:tc>
          <w:tcPr>
            <w:tcW w:w="963" w:type="dxa"/>
          </w:tcPr>
          <w:p w14:paraId="3816AB2D" w14:textId="77777777" w:rsidR="000948AD" w:rsidRPr="005D0EFF" w:rsidRDefault="000948AD" w:rsidP="000948AD">
            <w:pPr>
              <w:pStyle w:val="T2"/>
              <w:jc w:val="right"/>
              <w:rPr>
                <w:bCs/>
              </w:rPr>
            </w:pPr>
          </w:p>
        </w:tc>
        <w:tc>
          <w:tcPr>
            <w:tcW w:w="963" w:type="dxa"/>
          </w:tcPr>
          <w:p w14:paraId="58B1A85A" w14:textId="77777777" w:rsidR="000948AD" w:rsidRPr="005D0EFF" w:rsidRDefault="000948AD" w:rsidP="000948AD">
            <w:pPr>
              <w:pStyle w:val="T2"/>
              <w:jc w:val="right"/>
              <w:rPr>
                <w:bCs/>
              </w:rPr>
            </w:pPr>
          </w:p>
        </w:tc>
        <w:tc>
          <w:tcPr>
            <w:tcW w:w="537" w:type="dxa"/>
            <w:vAlign w:val="bottom"/>
          </w:tcPr>
          <w:p w14:paraId="329457B8" w14:textId="77777777" w:rsidR="000948AD" w:rsidRPr="00775F03" w:rsidRDefault="000948AD" w:rsidP="000948AD">
            <w:pPr>
              <w:pStyle w:val="T2"/>
              <w:jc w:val="right"/>
            </w:pPr>
          </w:p>
        </w:tc>
        <w:tc>
          <w:tcPr>
            <w:tcW w:w="1276" w:type="dxa"/>
          </w:tcPr>
          <w:p w14:paraId="7FF5EB35" w14:textId="77777777" w:rsidR="000948AD" w:rsidRPr="0096767F" w:rsidRDefault="00646771" w:rsidP="008F529E">
            <w:pPr>
              <w:pStyle w:val="T2"/>
              <w:jc w:val="right"/>
              <w:rPr>
                <w:bCs/>
              </w:rPr>
            </w:pPr>
            <w:r>
              <w:rPr>
                <w:b/>
                <w:bCs/>
              </w:rPr>
              <w:t>(</w:t>
            </w:r>
            <w:r w:rsidR="00B41C0F">
              <w:rPr>
                <w:b/>
                <w:bCs/>
              </w:rPr>
              <w:t>5</w:t>
            </w:r>
            <w:r>
              <w:rPr>
                <w:b/>
                <w:bCs/>
              </w:rPr>
              <w:t>.7)</w:t>
            </w:r>
          </w:p>
        </w:tc>
        <w:tc>
          <w:tcPr>
            <w:tcW w:w="1134" w:type="dxa"/>
          </w:tcPr>
          <w:p w14:paraId="184D4765" w14:textId="77777777" w:rsidR="000948AD" w:rsidRPr="000948AD" w:rsidRDefault="000948AD" w:rsidP="000948AD">
            <w:pPr>
              <w:pStyle w:val="T2"/>
              <w:jc w:val="right"/>
              <w:rPr>
                <w:bCs/>
              </w:rPr>
            </w:pPr>
            <w:r w:rsidRPr="000948AD">
              <w:rPr>
                <w:bCs/>
              </w:rPr>
              <w:t>–</w:t>
            </w:r>
          </w:p>
        </w:tc>
      </w:tr>
      <w:tr w:rsidR="000948AD" w14:paraId="0B413BE1" w14:textId="77777777" w:rsidTr="00DA6313">
        <w:trPr>
          <w:trHeight w:val="208"/>
        </w:trPr>
        <w:tc>
          <w:tcPr>
            <w:tcW w:w="3946" w:type="dxa"/>
            <w:tcBorders>
              <w:bottom w:val="single" w:sz="2" w:space="0" w:color="auto"/>
            </w:tcBorders>
            <w:vAlign w:val="bottom"/>
          </w:tcPr>
          <w:p w14:paraId="2FF7CCB6" w14:textId="77777777" w:rsidR="000948AD" w:rsidRPr="00775F03" w:rsidRDefault="000948AD" w:rsidP="000948AD">
            <w:pPr>
              <w:pStyle w:val="T2"/>
              <w:jc w:val="left"/>
            </w:pPr>
            <w:r w:rsidRPr="00775F03">
              <w:t>Amortisation of acquisition related intangibles</w:t>
            </w:r>
          </w:p>
        </w:tc>
        <w:tc>
          <w:tcPr>
            <w:tcW w:w="962" w:type="dxa"/>
            <w:tcBorders>
              <w:bottom w:val="single" w:sz="2" w:space="0" w:color="auto"/>
            </w:tcBorders>
          </w:tcPr>
          <w:p w14:paraId="50752122" w14:textId="77777777" w:rsidR="000948AD" w:rsidRPr="00FC568F" w:rsidRDefault="000948AD" w:rsidP="000948AD">
            <w:pPr>
              <w:pStyle w:val="T2"/>
              <w:jc w:val="right"/>
              <w:rPr>
                <w:b/>
                <w:bCs/>
              </w:rPr>
            </w:pPr>
          </w:p>
        </w:tc>
        <w:tc>
          <w:tcPr>
            <w:tcW w:w="963" w:type="dxa"/>
            <w:tcBorders>
              <w:bottom w:val="single" w:sz="2" w:space="0" w:color="auto"/>
            </w:tcBorders>
          </w:tcPr>
          <w:p w14:paraId="3884E5FA" w14:textId="77777777" w:rsidR="000948AD" w:rsidRPr="005D0EFF" w:rsidRDefault="000948AD" w:rsidP="000948AD">
            <w:pPr>
              <w:pStyle w:val="T2"/>
              <w:jc w:val="right"/>
              <w:rPr>
                <w:bCs/>
              </w:rPr>
            </w:pPr>
          </w:p>
        </w:tc>
        <w:tc>
          <w:tcPr>
            <w:tcW w:w="963" w:type="dxa"/>
            <w:tcBorders>
              <w:bottom w:val="single" w:sz="2" w:space="0" w:color="auto"/>
            </w:tcBorders>
          </w:tcPr>
          <w:p w14:paraId="5D776C61" w14:textId="77777777" w:rsidR="000948AD" w:rsidRPr="005D0EFF" w:rsidRDefault="000948AD" w:rsidP="000948AD">
            <w:pPr>
              <w:pStyle w:val="T2"/>
              <w:jc w:val="right"/>
              <w:rPr>
                <w:bCs/>
              </w:rPr>
            </w:pPr>
          </w:p>
        </w:tc>
        <w:tc>
          <w:tcPr>
            <w:tcW w:w="537" w:type="dxa"/>
            <w:tcBorders>
              <w:bottom w:val="single" w:sz="2" w:space="0" w:color="auto"/>
            </w:tcBorders>
            <w:vAlign w:val="bottom"/>
          </w:tcPr>
          <w:p w14:paraId="4985A6CB" w14:textId="77777777" w:rsidR="000948AD" w:rsidRPr="00775F03" w:rsidRDefault="000948AD" w:rsidP="000948AD">
            <w:pPr>
              <w:pStyle w:val="T2"/>
              <w:jc w:val="right"/>
            </w:pPr>
          </w:p>
        </w:tc>
        <w:tc>
          <w:tcPr>
            <w:tcW w:w="1276" w:type="dxa"/>
            <w:tcBorders>
              <w:bottom w:val="single" w:sz="2" w:space="0" w:color="auto"/>
            </w:tcBorders>
          </w:tcPr>
          <w:p w14:paraId="275CA69E" w14:textId="77777777" w:rsidR="000948AD" w:rsidRPr="0096767F" w:rsidRDefault="00646771" w:rsidP="000948AD">
            <w:pPr>
              <w:pStyle w:val="T2"/>
              <w:jc w:val="right"/>
              <w:rPr>
                <w:bCs/>
              </w:rPr>
            </w:pPr>
            <w:r>
              <w:rPr>
                <w:b/>
                <w:bCs/>
              </w:rPr>
              <w:t>2.0</w:t>
            </w:r>
          </w:p>
        </w:tc>
        <w:tc>
          <w:tcPr>
            <w:tcW w:w="1134" w:type="dxa"/>
            <w:tcBorders>
              <w:bottom w:val="single" w:sz="2" w:space="0" w:color="auto"/>
            </w:tcBorders>
          </w:tcPr>
          <w:p w14:paraId="2870D251" w14:textId="77777777" w:rsidR="000948AD" w:rsidRPr="000948AD" w:rsidRDefault="000948AD" w:rsidP="000948AD">
            <w:pPr>
              <w:pStyle w:val="T2"/>
              <w:jc w:val="right"/>
              <w:rPr>
                <w:bCs/>
              </w:rPr>
            </w:pPr>
            <w:r w:rsidRPr="000948AD">
              <w:rPr>
                <w:bCs/>
              </w:rPr>
              <w:t>2.7</w:t>
            </w:r>
          </w:p>
        </w:tc>
      </w:tr>
      <w:tr w:rsidR="000948AD" w14:paraId="21B864DE" w14:textId="77777777" w:rsidTr="00DA6313">
        <w:trPr>
          <w:trHeight w:val="198"/>
        </w:trPr>
        <w:tc>
          <w:tcPr>
            <w:tcW w:w="3946" w:type="dxa"/>
            <w:tcBorders>
              <w:top w:val="single" w:sz="2" w:space="0" w:color="auto"/>
            </w:tcBorders>
            <w:vAlign w:val="bottom"/>
          </w:tcPr>
          <w:p w14:paraId="60A2E108" w14:textId="77777777" w:rsidR="000948AD" w:rsidRPr="002C40EB" w:rsidRDefault="000948AD" w:rsidP="000948AD">
            <w:pPr>
              <w:pStyle w:val="T2"/>
              <w:jc w:val="left"/>
              <w:rPr>
                <w:b/>
              </w:rPr>
            </w:pPr>
            <w:r w:rsidRPr="002C40EB">
              <w:rPr>
                <w:b/>
              </w:rPr>
              <w:t>Adjusted Operating Profit</w:t>
            </w:r>
          </w:p>
        </w:tc>
        <w:tc>
          <w:tcPr>
            <w:tcW w:w="962" w:type="dxa"/>
            <w:tcBorders>
              <w:top w:val="single" w:sz="2" w:space="0" w:color="auto"/>
            </w:tcBorders>
          </w:tcPr>
          <w:p w14:paraId="639FD5E2" w14:textId="77777777" w:rsidR="000948AD" w:rsidRPr="00FC568F" w:rsidRDefault="000948AD" w:rsidP="000948AD">
            <w:pPr>
              <w:pStyle w:val="T2"/>
              <w:jc w:val="right"/>
              <w:rPr>
                <w:b/>
                <w:bCs/>
              </w:rPr>
            </w:pPr>
          </w:p>
        </w:tc>
        <w:tc>
          <w:tcPr>
            <w:tcW w:w="963" w:type="dxa"/>
            <w:tcBorders>
              <w:top w:val="single" w:sz="2" w:space="0" w:color="auto"/>
            </w:tcBorders>
          </w:tcPr>
          <w:p w14:paraId="05DD211D" w14:textId="77777777" w:rsidR="000948AD" w:rsidRPr="005D0EFF" w:rsidRDefault="000948AD" w:rsidP="000948AD">
            <w:pPr>
              <w:pStyle w:val="T2"/>
              <w:jc w:val="right"/>
              <w:rPr>
                <w:bCs/>
              </w:rPr>
            </w:pPr>
          </w:p>
        </w:tc>
        <w:tc>
          <w:tcPr>
            <w:tcW w:w="963" w:type="dxa"/>
            <w:tcBorders>
              <w:top w:val="single" w:sz="2" w:space="0" w:color="auto"/>
            </w:tcBorders>
          </w:tcPr>
          <w:p w14:paraId="0F4BF921" w14:textId="77777777" w:rsidR="000948AD" w:rsidRPr="005D0EFF" w:rsidRDefault="000948AD" w:rsidP="000948AD">
            <w:pPr>
              <w:pStyle w:val="T2"/>
              <w:jc w:val="right"/>
              <w:rPr>
                <w:bCs/>
              </w:rPr>
            </w:pPr>
          </w:p>
        </w:tc>
        <w:tc>
          <w:tcPr>
            <w:tcW w:w="537" w:type="dxa"/>
            <w:tcBorders>
              <w:top w:val="single" w:sz="2" w:space="0" w:color="auto"/>
            </w:tcBorders>
            <w:vAlign w:val="bottom"/>
          </w:tcPr>
          <w:p w14:paraId="70A1252D" w14:textId="77777777" w:rsidR="000948AD" w:rsidRPr="00775F03" w:rsidRDefault="000948AD" w:rsidP="000948AD">
            <w:pPr>
              <w:pStyle w:val="T2"/>
              <w:jc w:val="right"/>
            </w:pPr>
          </w:p>
        </w:tc>
        <w:tc>
          <w:tcPr>
            <w:tcW w:w="1276" w:type="dxa"/>
            <w:tcBorders>
              <w:top w:val="single" w:sz="2" w:space="0" w:color="auto"/>
            </w:tcBorders>
          </w:tcPr>
          <w:p w14:paraId="711C2668" w14:textId="77777777" w:rsidR="000948AD" w:rsidRPr="0096767F" w:rsidRDefault="00F2457C" w:rsidP="005D3EAC">
            <w:pPr>
              <w:pStyle w:val="T2"/>
              <w:jc w:val="right"/>
              <w:rPr>
                <w:bCs/>
              </w:rPr>
            </w:pPr>
            <w:r>
              <w:rPr>
                <w:b/>
                <w:bCs/>
              </w:rPr>
              <w:t>0</w:t>
            </w:r>
            <w:r w:rsidR="00646771">
              <w:rPr>
                <w:b/>
                <w:bCs/>
              </w:rPr>
              <w:t>.</w:t>
            </w:r>
            <w:r w:rsidR="005D3EAC">
              <w:rPr>
                <w:b/>
                <w:bCs/>
              </w:rPr>
              <w:t>2</w:t>
            </w:r>
          </w:p>
        </w:tc>
        <w:tc>
          <w:tcPr>
            <w:tcW w:w="1134" w:type="dxa"/>
            <w:tcBorders>
              <w:top w:val="single" w:sz="2" w:space="0" w:color="auto"/>
            </w:tcBorders>
          </w:tcPr>
          <w:p w14:paraId="5FFA55BF" w14:textId="77777777" w:rsidR="000948AD" w:rsidRPr="000948AD" w:rsidRDefault="000948AD" w:rsidP="000948AD">
            <w:pPr>
              <w:pStyle w:val="T2"/>
              <w:jc w:val="right"/>
              <w:rPr>
                <w:bCs/>
              </w:rPr>
            </w:pPr>
            <w:r w:rsidRPr="000948AD">
              <w:rPr>
                <w:bCs/>
              </w:rPr>
              <w:t>38.3</w:t>
            </w:r>
          </w:p>
        </w:tc>
      </w:tr>
      <w:tr w:rsidR="000948AD" w14:paraId="1A1A3A66" w14:textId="77777777" w:rsidTr="00DA6313">
        <w:trPr>
          <w:trHeight w:val="208"/>
        </w:trPr>
        <w:tc>
          <w:tcPr>
            <w:tcW w:w="3946" w:type="dxa"/>
            <w:tcBorders>
              <w:bottom w:val="single" w:sz="2" w:space="0" w:color="auto"/>
            </w:tcBorders>
            <w:vAlign w:val="bottom"/>
          </w:tcPr>
          <w:p w14:paraId="3A026261" w14:textId="77777777" w:rsidR="000948AD" w:rsidRPr="00775F03" w:rsidRDefault="000948AD" w:rsidP="000948AD">
            <w:pPr>
              <w:pStyle w:val="T2"/>
              <w:jc w:val="left"/>
            </w:pPr>
            <w:r w:rsidRPr="00775F03">
              <w:t xml:space="preserve">Depreciation and amortisation </w:t>
            </w:r>
            <w:r w:rsidRPr="00775F03">
              <w:rPr>
                <w:vertAlign w:val="superscript"/>
              </w:rPr>
              <w:t>(</w:t>
            </w:r>
            <w:r>
              <w:rPr>
                <w:vertAlign w:val="superscript"/>
              </w:rPr>
              <w:t>C</w:t>
            </w:r>
            <w:r w:rsidRPr="00775F03">
              <w:rPr>
                <w:vertAlign w:val="superscript"/>
              </w:rPr>
              <w:t>)</w:t>
            </w:r>
          </w:p>
        </w:tc>
        <w:tc>
          <w:tcPr>
            <w:tcW w:w="962" w:type="dxa"/>
            <w:tcBorders>
              <w:bottom w:val="single" w:sz="2" w:space="0" w:color="auto"/>
            </w:tcBorders>
          </w:tcPr>
          <w:p w14:paraId="0884F2E4" w14:textId="77777777" w:rsidR="000948AD" w:rsidRPr="00FC568F" w:rsidRDefault="000948AD" w:rsidP="000948AD">
            <w:pPr>
              <w:pStyle w:val="T2"/>
              <w:jc w:val="right"/>
              <w:rPr>
                <w:b/>
                <w:bCs/>
              </w:rPr>
            </w:pPr>
          </w:p>
        </w:tc>
        <w:tc>
          <w:tcPr>
            <w:tcW w:w="963" w:type="dxa"/>
            <w:tcBorders>
              <w:bottom w:val="single" w:sz="2" w:space="0" w:color="auto"/>
            </w:tcBorders>
          </w:tcPr>
          <w:p w14:paraId="6F66CB86" w14:textId="77777777" w:rsidR="000948AD" w:rsidRPr="005D0EFF" w:rsidRDefault="000948AD" w:rsidP="000948AD">
            <w:pPr>
              <w:pStyle w:val="T2"/>
              <w:jc w:val="right"/>
              <w:rPr>
                <w:bCs/>
              </w:rPr>
            </w:pPr>
          </w:p>
        </w:tc>
        <w:tc>
          <w:tcPr>
            <w:tcW w:w="963" w:type="dxa"/>
            <w:tcBorders>
              <w:bottom w:val="single" w:sz="2" w:space="0" w:color="auto"/>
            </w:tcBorders>
          </w:tcPr>
          <w:p w14:paraId="559AC472" w14:textId="77777777" w:rsidR="000948AD" w:rsidRPr="005D0EFF" w:rsidRDefault="000948AD" w:rsidP="000948AD">
            <w:pPr>
              <w:pStyle w:val="T2"/>
              <w:jc w:val="right"/>
              <w:rPr>
                <w:bCs/>
              </w:rPr>
            </w:pPr>
          </w:p>
        </w:tc>
        <w:tc>
          <w:tcPr>
            <w:tcW w:w="537" w:type="dxa"/>
            <w:tcBorders>
              <w:bottom w:val="single" w:sz="2" w:space="0" w:color="auto"/>
            </w:tcBorders>
            <w:vAlign w:val="bottom"/>
          </w:tcPr>
          <w:p w14:paraId="2D6F317E" w14:textId="77777777" w:rsidR="000948AD" w:rsidRPr="00775F03" w:rsidRDefault="000948AD" w:rsidP="000948AD">
            <w:pPr>
              <w:pStyle w:val="T2"/>
              <w:jc w:val="right"/>
            </w:pPr>
          </w:p>
        </w:tc>
        <w:tc>
          <w:tcPr>
            <w:tcW w:w="1276" w:type="dxa"/>
            <w:tcBorders>
              <w:bottom w:val="single" w:sz="2" w:space="0" w:color="auto"/>
            </w:tcBorders>
          </w:tcPr>
          <w:p w14:paraId="1DCA6DB7" w14:textId="77777777" w:rsidR="000948AD" w:rsidRPr="0096767F" w:rsidRDefault="00646771" w:rsidP="000948AD">
            <w:pPr>
              <w:pStyle w:val="T2"/>
              <w:jc w:val="right"/>
              <w:rPr>
                <w:bCs/>
              </w:rPr>
            </w:pPr>
            <w:r>
              <w:rPr>
                <w:b/>
                <w:bCs/>
              </w:rPr>
              <w:t>26.3</w:t>
            </w:r>
          </w:p>
        </w:tc>
        <w:tc>
          <w:tcPr>
            <w:tcW w:w="1134" w:type="dxa"/>
            <w:tcBorders>
              <w:bottom w:val="single" w:sz="2" w:space="0" w:color="auto"/>
            </w:tcBorders>
          </w:tcPr>
          <w:p w14:paraId="79DFCF22" w14:textId="77777777" w:rsidR="000948AD" w:rsidRPr="000948AD" w:rsidRDefault="000948AD" w:rsidP="000948AD">
            <w:pPr>
              <w:pStyle w:val="T2"/>
              <w:jc w:val="right"/>
              <w:rPr>
                <w:bCs/>
              </w:rPr>
            </w:pPr>
            <w:r w:rsidRPr="000948AD">
              <w:rPr>
                <w:bCs/>
              </w:rPr>
              <w:t>25.5</w:t>
            </w:r>
          </w:p>
        </w:tc>
      </w:tr>
      <w:tr w:rsidR="000948AD" w14:paraId="5A8468C2" w14:textId="77777777" w:rsidTr="00DA6313">
        <w:trPr>
          <w:trHeight w:val="208"/>
        </w:trPr>
        <w:tc>
          <w:tcPr>
            <w:tcW w:w="3946" w:type="dxa"/>
            <w:tcBorders>
              <w:top w:val="single" w:sz="2" w:space="0" w:color="auto"/>
              <w:bottom w:val="single" w:sz="8" w:space="0" w:color="auto"/>
            </w:tcBorders>
            <w:vAlign w:val="bottom"/>
          </w:tcPr>
          <w:p w14:paraId="7B3F1605" w14:textId="77777777" w:rsidR="000948AD" w:rsidRPr="002C40EB" w:rsidRDefault="000948AD" w:rsidP="000948AD">
            <w:pPr>
              <w:pStyle w:val="T2"/>
              <w:jc w:val="left"/>
              <w:rPr>
                <w:b/>
              </w:rPr>
            </w:pPr>
            <w:r w:rsidRPr="002C40EB">
              <w:rPr>
                <w:b/>
              </w:rPr>
              <w:t>Adjusted EBITDA</w:t>
            </w:r>
          </w:p>
        </w:tc>
        <w:tc>
          <w:tcPr>
            <w:tcW w:w="962" w:type="dxa"/>
            <w:tcBorders>
              <w:top w:val="single" w:sz="2" w:space="0" w:color="auto"/>
              <w:bottom w:val="single" w:sz="8" w:space="0" w:color="auto"/>
            </w:tcBorders>
          </w:tcPr>
          <w:p w14:paraId="3E3CBC25" w14:textId="77777777" w:rsidR="000948AD" w:rsidRPr="00FC568F" w:rsidRDefault="000948AD" w:rsidP="000948AD">
            <w:pPr>
              <w:pStyle w:val="T2"/>
              <w:jc w:val="right"/>
              <w:rPr>
                <w:b/>
                <w:bCs/>
              </w:rPr>
            </w:pPr>
          </w:p>
        </w:tc>
        <w:tc>
          <w:tcPr>
            <w:tcW w:w="963" w:type="dxa"/>
            <w:tcBorders>
              <w:top w:val="single" w:sz="2" w:space="0" w:color="auto"/>
              <w:bottom w:val="single" w:sz="8" w:space="0" w:color="auto"/>
            </w:tcBorders>
          </w:tcPr>
          <w:p w14:paraId="3B0ABADF" w14:textId="77777777" w:rsidR="000948AD" w:rsidRPr="005D0EFF" w:rsidRDefault="000948AD" w:rsidP="000948AD">
            <w:pPr>
              <w:pStyle w:val="T2"/>
              <w:jc w:val="right"/>
              <w:rPr>
                <w:bCs/>
              </w:rPr>
            </w:pPr>
          </w:p>
        </w:tc>
        <w:tc>
          <w:tcPr>
            <w:tcW w:w="963" w:type="dxa"/>
            <w:tcBorders>
              <w:top w:val="single" w:sz="2" w:space="0" w:color="auto"/>
              <w:bottom w:val="single" w:sz="8" w:space="0" w:color="auto"/>
            </w:tcBorders>
          </w:tcPr>
          <w:p w14:paraId="25AFD847" w14:textId="77777777" w:rsidR="000948AD" w:rsidRPr="005D0EFF" w:rsidRDefault="000948AD" w:rsidP="000948AD">
            <w:pPr>
              <w:pStyle w:val="T2"/>
              <w:jc w:val="right"/>
              <w:rPr>
                <w:bCs/>
              </w:rPr>
            </w:pPr>
          </w:p>
        </w:tc>
        <w:tc>
          <w:tcPr>
            <w:tcW w:w="537" w:type="dxa"/>
            <w:tcBorders>
              <w:top w:val="single" w:sz="2" w:space="0" w:color="auto"/>
              <w:bottom w:val="single" w:sz="8" w:space="0" w:color="auto"/>
            </w:tcBorders>
            <w:vAlign w:val="bottom"/>
          </w:tcPr>
          <w:p w14:paraId="6608D868" w14:textId="77777777" w:rsidR="000948AD" w:rsidRPr="00775F03" w:rsidRDefault="000948AD" w:rsidP="000948AD">
            <w:pPr>
              <w:pStyle w:val="T2"/>
              <w:jc w:val="right"/>
            </w:pPr>
          </w:p>
        </w:tc>
        <w:tc>
          <w:tcPr>
            <w:tcW w:w="1276" w:type="dxa"/>
            <w:tcBorders>
              <w:top w:val="single" w:sz="2" w:space="0" w:color="auto"/>
              <w:bottom w:val="single" w:sz="8" w:space="0" w:color="auto"/>
            </w:tcBorders>
          </w:tcPr>
          <w:p w14:paraId="7C630BF5" w14:textId="77777777" w:rsidR="000948AD" w:rsidRPr="0096767F" w:rsidRDefault="00F2457C">
            <w:pPr>
              <w:pStyle w:val="T2"/>
              <w:jc w:val="right"/>
              <w:rPr>
                <w:bCs/>
              </w:rPr>
            </w:pPr>
            <w:r>
              <w:rPr>
                <w:b/>
                <w:bCs/>
              </w:rPr>
              <w:t>26</w:t>
            </w:r>
            <w:r w:rsidR="00646771">
              <w:rPr>
                <w:b/>
                <w:bCs/>
              </w:rPr>
              <w:t>.</w:t>
            </w:r>
            <w:r w:rsidR="005D3EAC">
              <w:rPr>
                <w:b/>
                <w:bCs/>
              </w:rPr>
              <w:t>5</w:t>
            </w:r>
          </w:p>
        </w:tc>
        <w:tc>
          <w:tcPr>
            <w:tcW w:w="1134" w:type="dxa"/>
            <w:tcBorders>
              <w:top w:val="single" w:sz="2" w:space="0" w:color="auto"/>
              <w:bottom w:val="single" w:sz="8" w:space="0" w:color="auto"/>
            </w:tcBorders>
          </w:tcPr>
          <w:p w14:paraId="7ECEB1B5" w14:textId="77777777" w:rsidR="000948AD" w:rsidRPr="000948AD" w:rsidRDefault="000948AD" w:rsidP="000948AD">
            <w:pPr>
              <w:pStyle w:val="T2"/>
              <w:jc w:val="right"/>
              <w:rPr>
                <w:bCs/>
              </w:rPr>
            </w:pPr>
            <w:r w:rsidRPr="000948AD">
              <w:rPr>
                <w:bCs/>
              </w:rPr>
              <w:t>63.8</w:t>
            </w:r>
          </w:p>
        </w:tc>
      </w:tr>
      <w:tr w:rsidR="000948AD" w14:paraId="0872D4A5" w14:textId="77777777" w:rsidTr="00DA6313">
        <w:trPr>
          <w:trHeight w:val="208"/>
        </w:trPr>
        <w:tc>
          <w:tcPr>
            <w:tcW w:w="3946" w:type="dxa"/>
            <w:tcBorders>
              <w:top w:val="single" w:sz="8" w:space="0" w:color="auto"/>
              <w:bottom w:val="single" w:sz="8" w:space="0" w:color="auto"/>
            </w:tcBorders>
            <w:vAlign w:val="bottom"/>
          </w:tcPr>
          <w:p w14:paraId="24B3CBFF" w14:textId="77777777" w:rsidR="000948AD" w:rsidRPr="002C40EB" w:rsidRDefault="000948AD" w:rsidP="000948AD">
            <w:pPr>
              <w:pStyle w:val="T2"/>
              <w:jc w:val="left"/>
              <w:rPr>
                <w:b/>
              </w:rPr>
            </w:pPr>
            <w:r w:rsidRPr="002C40EB">
              <w:rPr>
                <w:b/>
              </w:rPr>
              <w:t xml:space="preserve">Adjusted Operating Margin (%) </w:t>
            </w:r>
          </w:p>
        </w:tc>
        <w:tc>
          <w:tcPr>
            <w:tcW w:w="962" w:type="dxa"/>
            <w:tcBorders>
              <w:top w:val="single" w:sz="8" w:space="0" w:color="auto"/>
              <w:bottom w:val="single" w:sz="8" w:space="0" w:color="auto"/>
            </w:tcBorders>
          </w:tcPr>
          <w:p w14:paraId="20A5B03C" w14:textId="77777777" w:rsidR="000948AD" w:rsidRPr="00FC568F" w:rsidRDefault="000948AD" w:rsidP="000948AD">
            <w:pPr>
              <w:pStyle w:val="T2"/>
              <w:jc w:val="right"/>
              <w:rPr>
                <w:b/>
                <w:bCs/>
              </w:rPr>
            </w:pPr>
          </w:p>
        </w:tc>
        <w:tc>
          <w:tcPr>
            <w:tcW w:w="963" w:type="dxa"/>
            <w:tcBorders>
              <w:top w:val="single" w:sz="8" w:space="0" w:color="auto"/>
              <w:bottom w:val="single" w:sz="8" w:space="0" w:color="auto"/>
            </w:tcBorders>
          </w:tcPr>
          <w:p w14:paraId="0F66A2ED" w14:textId="77777777" w:rsidR="000948AD" w:rsidRPr="005D0EFF" w:rsidRDefault="000948AD" w:rsidP="000948AD">
            <w:pPr>
              <w:pStyle w:val="T2"/>
              <w:jc w:val="right"/>
              <w:rPr>
                <w:bCs/>
              </w:rPr>
            </w:pPr>
          </w:p>
        </w:tc>
        <w:tc>
          <w:tcPr>
            <w:tcW w:w="963" w:type="dxa"/>
            <w:tcBorders>
              <w:top w:val="single" w:sz="8" w:space="0" w:color="auto"/>
              <w:bottom w:val="single" w:sz="8" w:space="0" w:color="auto"/>
            </w:tcBorders>
          </w:tcPr>
          <w:p w14:paraId="6F850941" w14:textId="77777777" w:rsidR="000948AD" w:rsidRPr="005D0EFF" w:rsidRDefault="000948AD" w:rsidP="000948AD">
            <w:pPr>
              <w:pStyle w:val="T2"/>
              <w:jc w:val="right"/>
              <w:rPr>
                <w:bCs/>
              </w:rPr>
            </w:pPr>
          </w:p>
        </w:tc>
        <w:tc>
          <w:tcPr>
            <w:tcW w:w="537" w:type="dxa"/>
            <w:tcBorders>
              <w:top w:val="single" w:sz="8" w:space="0" w:color="auto"/>
              <w:bottom w:val="single" w:sz="8" w:space="0" w:color="auto"/>
            </w:tcBorders>
            <w:vAlign w:val="bottom"/>
          </w:tcPr>
          <w:p w14:paraId="5DC0F46E" w14:textId="77777777" w:rsidR="000948AD" w:rsidRPr="00775F03" w:rsidRDefault="000948AD" w:rsidP="000948AD">
            <w:pPr>
              <w:pStyle w:val="T2"/>
              <w:jc w:val="right"/>
            </w:pPr>
          </w:p>
        </w:tc>
        <w:tc>
          <w:tcPr>
            <w:tcW w:w="1276" w:type="dxa"/>
            <w:tcBorders>
              <w:top w:val="single" w:sz="8" w:space="0" w:color="auto"/>
              <w:bottom w:val="single" w:sz="8" w:space="0" w:color="auto"/>
            </w:tcBorders>
          </w:tcPr>
          <w:p w14:paraId="4E6DF681" w14:textId="77777777" w:rsidR="000948AD" w:rsidRPr="0096767F" w:rsidRDefault="00646771">
            <w:pPr>
              <w:pStyle w:val="T2"/>
              <w:jc w:val="right"/>
              <w:rPr>
                <w:bCs/>
              </w:rPr>
            </w:pPr>
            <w:r>
              <w:rPr>
                <w:b/>
                <w:bCs/>
              </w:rPr>
              <w:t>0.</w:t>
            </w:r>
            <w:r w:rsidR="00F2457C">
              <w:rPr>
                <w:b/>
                <w:bCs/>
              </w:rPr>
              <w:t>0</w:t>
            </w:r>
            <w:r>
              <w:rPr>
                <w:b/>
                <w:bCs/>
              </w:rPr>
              <w:t>%</w:t>
            </w:r>
          </w:p>
        </w:tc>
        <w:tc>
          <w:tcPr>
            <w:tcW w:w="1134" w:type="dxa"/>
            <w:tcBorders>
              <w:top w:val="single" w:sz="8" w:space="0" w:color="auto"/>
              <w:bottom w:val="single" w:sz="8" w:space="0" w:color="auto"/>
            </w:tcBorders>
          </w:tcPr>
          <w:p w14:paraId="6B9684D5" w14:textId="77777777" w:rsidR="000948AD" w:rsidRPr="000948AD" w:rsidRDefault="000948AD" w:rsidP="000948AD">
            <w:pPr>
              <w:pStyle w:val="T2"/>
              <w:jc w:val="right"/>
              <w:rPr>
                <w:bCs/>
              </w:rPr>
            </w:pPr>
            <w:r w:rsidRPr="000948AD">
              <w:rPr>
                <w:bCs/>
              </w:rPr>
              <w:t>5.4%</w:t>
            </w:r>
          </w:p>
        </w:tc>
      </w:tr>
    </w:tbl>
    <w:p w14:paraId="38547BC2" w14:textId="77777777" w:rsidR="00773F7B" w:rsidRDefault="00773F7B" w:rsidP="00773F7B">
      <w:pPr>
        <w:pStyle w:val="Paragraph"/>
        <w:spacing w:before="0"/>
        <w:ind w:left="714"/>
        <w:rPr>
          <w:sz w:val="16"/>
          <w:szCs w:val="16"/>
        </w:rPr>
      </w:pPr>
    </w:p>
    <w:p w14:paraId="1C1C95B3" w14:textId="77777777" w:rsidR="00773F7B" w:rsidRPr="0095437C" w:rsidRDefault="00773F7B" w:rsidP="00F55D04">
      <w:pPr>
        <w:pStyle w:val="Paragraph"/>
        <w:numPr>
          <w:ilvl w:val="0"/>
          <w:numId w:val="4"/>
        </w:numPr>
        <w:spacing w:before="0"/>
        <w:ind w:left="714" w:hanging="357"/>
        <w:rPr>
          <w:sz w:val="15"/>
          <w:szCs w:val="15"/>
        </w:rPr>
      </w:pPr>
      <w:r w:rsidRPr="0095437C">
        <w:rPr>
          <w:sz w:val="15"/>
          <w:szCs w:val="15"/>
        </w:rPr>
        <w:t>Includes tax cre</w:t>
      </w:r>
      <w:r w:rsidR="00646771" w:rsidRPr="0095437C">
        <w:rPr>
          <w:sz w:val="15"/>
          <w:szCs w:val="15"/>
        </w:rPr>
        <w:t>dit on exceptional items of £0.2</w:t>
      </w:r>
      <w:r w:rsidRPr="0095437C">
        <w:rPr>
          <w:sz w:val="15"/>
          <w:szCs w:val="15"/>
        </w:rPr>
        <w:t>m (20</w:t>
      </w:r>
      <w:r w:rsidR="00DA6313" w:rsidRPr="0095437C">
        <w:rPr>
          <w:sz w:val="15"/>
          <w:szCs w:val="15"/>
        </w:rPr>
        <w:t>20</w:t>
      </w:r>
      <w:r w:rsidRPr="0095437C">
        <w:rPr>
          <w:sz w:val="15"/>
          <w:szCs w:val="15"/>
        </w:rPr>
        <w:t>: £0.</w:t>
      </w:r>
      <w:r w:rsidR="00DA6313" w:rsidRPr="0095437C">
        <w:rPr>
          <w:sz w:val="15"/>
          <w:szCs w:val="15"/>
        </w:rPr>
        <w:t>4</w:t>
      </w:r>
      <w:r w:rsidRPr="0095437C">
        <w:rPr>
          <w:sz w:val="15"/>
          <w:szCs w:val="15"/>
        </w:rPr>
        <w:t>m)</w:t>
      </w:r>
    </w:p>
    <w:p w14:paraId="0FA7ADCD" w14:textId="77777777" w:rsidR="00773F7B" w:rsidRPr="0095437C" w:rsidRDefault="00773F7B" w:rsidP="00F55D04">
      <w:pPr>
        <w:pStyle w:val="Paragraph"/>
        <w:numPr>
          <w:ilvl w:val="0"/>
          <w:numId w:val="4"/>
        </w:numPr>
        <w:spacing w:before="0"/>
        <w:ind w:left="714" w:hanging="357"/>
        <w:rPr>
          <w:sz w:val="15"/>
          <w:szCs w:val="15"/>
        </w:rPr>
      </w:pPr>
      <w:r w:rsidRPr="0095437C">
        <w:rPr>
          <w:sz w:val="15"/>
          <w:szCs w:val="15"/>
        </w:rPr>
        <w:t xml:space="preserve">Finance costs less finance income </w:t>
      </w:r>
    </w:p>
    <w:p w14:paraId="2EC346AC" w14:textId="77777777" w:rsidR="00773F7B" w:rsidRPr="0095437C" w:rsidRDefault="00773F7B" w:rsidP="00F55D04">
      <w:pPr>
        <w:pStyle w:val="Paragraph"/>
        <w:numPr>
          <w:ilvl w:val="0"/>
          <w:numId w:val="4"/>
        </w:numPr>
        <w:spacing w:before="0"/>
        <w:ind w:hanging="357"/>
        <w:rPr>
          <w:sz w:val="15"/>
          <w:szCs w:val="15"/>
        </w:rPr>
      </w:pPr>
      <w:r w:rsidRPr="0095437C">
        <w:rPr>
          <w:sz w:val="15"/>
          <w:szCs w:val="15"/>
        </w:rPr>
        <w:lastRenderedPageBreak/>
        <w:t>Excludes amortisation of acquisition related intangibles</w:t>
      </w:r>
      <w:r w:rsidR="00B41E40" w:rsidRPr="0095437C">
        <w:rPr>
          <w:sz w:val="15"/>
          <w:szCs w:val="15"/>
        </w:rPr>
        <w:t xml:space="preserve"> </w:t>
      </w:r>
    </w:p>
    <w:p w14:paraId="147B0CFA" w14:textId="77777777" w:rsidR="00773F7B" w:rsidRDefault="00773F7B" w:rsidP="00773F7B">
      <w:pPr>
        <w:pStyle w:val="Paragraph"/>
        <w:rPr>
          <w:b/>
        </w:rPr>
      </w:pPr>
      <w:r w:rsidRPr="00BE3FBD">
        <w:rPr>
          <w:b/>
        </w:rPr>
        <w:t xml:space="preserve">ADJUSTED PROFIT BEFORE TAX ('PBT') </w:t>
      </w:r>
    </w:p>
    <w:p w14:paraId="4FAD9A27" w14:textId="77777777" w:rsidR="00773F7B" w:rsidRDefault="00773F7B" w:rsidP="00773F7B">
      <w:pPr>
        <w:pStyle w:val="Paragraph"/>
        <w:jc w:val="both"/>
      </w:pPr>
      <w:r w:rsidRPr="00BE3FBD">
        <w:t>Adjusted PBT is used as a measure by the Group to measure overall performance before associated tax charge and exceptional items.</w:t>
      </w:r>
    </w:p>
    <w:p w14:paraId="51FFA102" w14:textId="77777777" w:rsidR="00773F7B" w:rsidRDefault="00773F7B" w:rsidP="00773F7B">
      <w:pPr>
        <w:pStyle w:val="Paragraph"/>
        <w:jc w:val="both"/>
      </w:pPr>
      <w:r w:rsidRPr="00BE3FBD">
        <w:t>The Group calculates Adjusted PBT as profit before taxation, excluding tax on share of profit of associates and before exceptional items, pension finance items, amortisation of acquisition related intangibles, FX on inter</w:t>
      </w:r>
      <w:r>
        <w:t>–</w:t>
      </w:r>
      <w:r w:rsidRPr="00BE3FBD">
        <w:t>company and certain external balances and the movement on the fair value of all derivative financial instruments and related debt adjustments.</w:t>
      </w:r>
    </w:p>
    <w:p w14:paraId="56D0B792" w14:textId="77777777" w:rsidR="00773F7B" w:rsidRDefault="00773F7B" w:rsidP="00773F7B">
      <w:pPr>
        <w:pStyle w:val="Paragraph"/>
        <w:jc w:val="both"/>
      </w:pPr>
      <w:r w:rsidRPr="005638C0">
        <w:t>The following table sets out the calculation of Adjusted PBT:</w:t>
      </w:r>
    </w:p>
    <w:tbl>
      <w:tblPr>
        <w:tblStyle w:val="TableGrid"/>
        <w:tblW w:w="9844" w:type="dxa"/>
        <w:tblInd w:w="-108" w:type="dxa"/>
        <w:tblLook w:val="04A0" w:firstRow="1" w:lastRow="0" w:firstColumn="1" w:lastColumn="0" w:noHBand="0" w:noVBand="1"/>
      </w:tblPr>
      <w:tblGrid>
        <w:gridCol w:w="108"/>
        <w:gridCol w:w="7371"/>
        <w:gridCol w:w="1276"/>
        <w:gridCol w:w="981"/>
        <w:gridCol w:w="108"/>
      </w:tblGrid>
      <w:tr w:rsidR="00773F7B" w14:paraId="74D7A642" w14:textId="77777777" w:rsidTr="00592BB5">
        <w:trPr>
          <w:gridBefore w:val="1"/>
          <w:wBefore w:w="108" w:type="dxa"/>
        </w:trPr>
        <w:tc>
          <w:tcPr>
            <w:tcW w:w="7371" w:type="dxa"/>
            <w:tcBorders>
              <w:top w:val="nil"/>
              <w:left w:val="nil"/>
              <w:bottom w:val="nil"/>
              <w:right w:val="nil"/>
            </w:tcBorders>
          </w:tcPr>
          <w:p w14:paraId="201F40D2" w14:textId="77777777" w:rsidR="00773F7B" w:rsidRPr="004F4EB9" w:rsidRDefault="00773F7B" w:rsidP="00773F7B">
            <w:pPr>
              <w:pStyle w:val="T2"/>
            </w:pPr>
          </w:p>
        </w:tc>
        <w:tc>
          <w:tcPr>
            <w:tcW w:w="1276" w:type="dxa"/>
            <w:tcBorders>
              <w:top w:val="nil"/>
              <w:left w:val="nil"/>
              <w:bottom w:val="nil"/>
              <w:right w:val="nil"/>
            </w:tcBorders>
            <w:vAlign w:val="bottom"/>
          </w:tcPr>
          <w:p w14:paraId="6A067787" w14:textId="77777777" w:rsidR="009B1032" w:rsidRDefault="009B1032" w:rsidP="000948AD">
            <w:pPr>
              <w:pStyle w:val="T2"/>
              <w:jc w:val="right"/>
              <w:rPr>
                <w:b/>
              </w:rPr>
            </w:pPr>
          </w:p>
          <w:p w14:paraId="15245B93" w14:textId="77777777" w:rsidR="00773F7B" w:rsidRPr="004F4EB9" w:rsidRDefault="00773F7B" w:rsidP="000948AD">
            <w:pPr>
              <w:pStyle w:val="T2"/>
              <w:jc w:val="right"/>
              <w:rPr>
                <w:b/>
              </w:rPr>
            </w:pPr>
            <w:r w:rsidRPr="004F4EB9">
              <w:rPr>
                <w:b/>
              </w:rPr>
              <w:t xml:space="preserve">Half year </w:t>
            </w:r>
            <w:r w:rsidRPr="004F4EB9">
              <w:rPr>
                <w:b/>
              </w:rPr>
              <w:br/>
              <w:t>20</w:t>
            </w:r>
            <w:r>
              <w:rPr>
                <w:b/>
              </w:rPr>
              <w:t>2</w:t>
            </w:r>
            <w:r w:rsidR="000948AD">
              <w:rPr>
                <w:b/>
              </w:rPr>
              <w:t>1</w:t>
            </w:r>
          </w:p>
        </w:tc>
        <w:tc>
          <w:tcPr>
            <w:tcW w:w="1089" w:type="dxa"/>
            <w:gridSpan w:val="2"/>
            <w:tcBorders>
              <w:top w:val="nil"/>
              <w:left w:val="nil"/>
              <w:bottom w:val="nil"/>
              <w:right w:val="nil"/>
            </w:tcBorders>
            <w:vAlign w:val="bottom"/>
          </w:tcPr>
          <w:p w14:paraId="2ED9CE9A" w14:textId="77777777" w:rsidR="00773F7B" w:rsidRPr="004F4EB9" w:rsidRDefault="00773F7B" w:rsidP="000948AD">
            <w:pPr>
              <w:pStyle w:val="T2"/>
              <w:jc w:val="right"/>
            </w:pPr>
            <w:r w:rsidRPr="004F4EB9">
              <w:t xml:space="preserve">Half year </w:t>
            </w:r>
            <w:r w:rsidRPr="004F4EB9">
              <w:br/>
              <w:t>20</w:t>
            </w:r>
            <w:r w:rsidR="000948AD">
              <w:t>20</w:t>
            </w:r>
            <w:r w:rsidRPr="004F4EB9">
              <w:t xml:space="preserve"> </w:t>
            </w:r>
          </w:p>
        </w:tc>
      </w:tr>
      <w:tr w:rsidR="00773F7B" w14:paraId="56558D69" w14:textId="77777777" w:rsidTr="00592BB5">
        <w:trPr>
          <w:gridBefore w:val="1"/>
          <w:wBefore w:w="108" w:type="dxa"/>
        </w:trPr>
        <w:tc>
          <w:tcPr>
            <w:tcW w:w="7371" w:type="dxa"/>
            <w:tcBorders>
              <w:top w:val="nil"/>
              <w:left w:val="nil"/>
              <w:bottom w:val="single" w:sz="2" w:space="0" w:color="auto"/>
              <w:right w:val="nil"/>
            </w:tcBorders>
            <w:vAlign w:val="bottom"/>
          </w:tcPr>
          <w:p w14:paraId="10123AA6" w14:textId="77777777" w:rsidR="00773F7B" w:rsidRPr="000D1D55" w:rsidRDefault="00773F7B" w:rsidP="00773F7B">
            <w:pPr>
              <w:pStyle w:val="T2"/>
              <w:jc w:val="left"/>
            </w:pPr>
          </w:p>
        </w:tc>
        <w:tc>
          <w:tcPr>
            <w:tcW w:w="1276" w:type="dxa"/>
            <w:tcBorders>
              <w:top w:val="nil"/>
              <w:left w:val="nil"/>
              <w:bottom w:val="single" w:sz="2" w:space="0" w:color="auto"/>
              <w:right w:val="nil"/>
            </w:tcBorders>
            <w:vAlign w:val="bottom"/>
          </w:tcPr>
          <w:p w14:paraId="2660B1C5" w14:textId="77777777" w:rsidR="00773F7B" w:rsidRPr="004F4EB9" w:rsidRDefault="00773F7B" w:rsidP="00773F7B">
            <w:pPr>
              <w:pStyle w:val="T2"/>
              <w:jc w:val="right"/>
              <w:rPr>
                <w:b/>
              </w:rPr>
            </w:pPr>
            <w:r w:rsidRPr="004F4EB9">
              <w:rPr>
                <w:b/>
              </w:rPr>
              <w:t>£m</w:t>
            </w:r>
          </w:p>
        </w:tc>
        <w:tc>
          <w:tcPr>
            <w:tcW w:w="1089" w:type="dxa"/>
            <w:gridSpan w:val="2"/>
            <w:tcBorders>
              <w:top w:val="nil"/>
              <w:left w:val="nil"/>
              <w:bottom w:val="single" w:sz="2" w:space="0" w:color="auto"/>
              <w:right w:val="nil"/>
            </w:tcBorders>
            <w:vAlign w:val="bottom"/>
          </w:tcPr>
          <w:p w14:paraId="6690A6A2" w14:textId="77777777" w:rsidR="00773F7B" w:rsidRPr="004F4EB9" w:rsidRDefault="00773F7B" w:rsidP="00773F7B">
            <w:pPr>
              <w:pStyle w:val="T2"/>
              <w:jc w:val="right"/>
            </w:pPr>
            <w:r w:rsidRPr="004F4EB9">
              <w:t>£m</w:t>
            </w:r>
          </w:p>
        </w:tc>
      </w:tr>
      <w:tr w:rsidR="000948AD" w14:paraId="5FD5D17D" w14:textId="77777777" w:rsidTr="00592BB5">
        <w:trPr>
          <w:gridBefore w:val="1"/>
          <w:wBefore w:w="108" w:type="dxa"/>
        </w:trPr>
        <w:tc>
          <w:tcPr>
            <w:tcW w:w="7371" w:type="dxa"/>
            <w:tcBorders>
              <w:top w:val="single" w:sz="2" w:space="0" w:color="auto"/>
              <w:left w:val="nil"/>
              <w:bottom w:val="nil"/>
              <w:right w:val="nil"/>
            </w:tcBorders>
            <w:vAlign w:val="bottom"/>
          </w:tcPr>
          <w:p w14:paraId="2B1ED8F3" w14:textId="77777777" w:rsidR="000948AD" w:rsidRPr="003479B7" w:rsidRDefault="000123F9">
            <w:pPr>
              <w:pStyle w:val="T2"/>
              <w:jc w:val="left"/>
              <w:rPr>
                <w:b/>
              </w:rPr>
            </w:pPr>
            <w:r>
              <w:rPr>
                <w:b/>
              </w:rPr>
              <w:t>(Loss)/p</w:t>
            </w:r>
            <w:r w:rsidR="000948AD" w:rsidRPr="003479B7">
              <w:rPr>
                <w:b/>
              </w:rPr>
              <w:t xml:space="preserve">rofit before taxation </w:t>
            </w:r>
          </w:p>
        </w:tc>
        <w:tc>
          <w:tcPr>
            <w:tcW w:w="1276" w:type="dxa"/>
            <w:tcBorders>
              <w:top w:val="single" w:sz="2" w:space="0" w:color="auto"/>
              <w:left w:val="nil"/>
              <w:bottom w:val="nil"/>
              <w:right w:val="nil"/>
            </w:tcBorders>
          </w:tcPr>
          <w:p w14:paraId="5975BA04" w14:textId="77777777" w:rsidR="000948AD" w:rsidRPr="000948AD" w:rsidRDefault="00646771" w:rsidP="005D3EAC">
            <w:pPr>
              <w:jc w:val="right"/>
              <w:rPr>
                <w:b/>
                <w:bCs/>
                <w:sz w:val="18"/>
                <w:szCs w:val="18"/>
              </w:rPr>
            </w:pPr>
            <w:r>
              <w:rPr>
                <w:b/>
                <w:bCs/>
                <w:sz w:val="18"/>
                <w:szCs w:val="18"/>
              </w:rPr>
              <w:t>(1.</w:t>
            </w:r>
            <w:r w:rsidR="005D3EAC">
              <w:rPr>
                <w:b/>
                <w:bCs/>
                <w:sz w:val="18"/>
                <w:szCs w:val="18"/>
              </w:rPr>
              <w:t>8</w:t>
            </w:r>
            <w:r>
              <w:rPr>
                <w:b/>
                <w:bCs/>
                <w:sz w:val="18"/>
                <w:szCs w:val="18"/>
              </w:rPr>
              <w:t>)</w:t>
            </w:r>
          </w:p>
        </w:tc>
        <w:tc>
          <w:tcPr>
            <w:tcW w:w="1089" w:type="dxa"/>
            <w:gridSpan w:val="2"/>
            <w:tcBorders>
              <w:top w:val="single" w:sz="2" w:space="0" w:color="auto"/>
              <w:left w:val="nil"/>
              <w:bottom w:val="nil"/>
              <w:right w:val="nil"/>
            </w:tcBorders>
            <w:vAlign w:val="bottom"/>
          </w:tcPr>
          <w:p w14:paraId="146E2032" w14:textId="77777777" w:rsidR="000948AD" w:rsidRPr="000948AD" w:rsidRDefault="000948AD" w:rsidP="000948AD">
            <w:pPr>
              <w:pStyle w:val="T2"/>
              <w:jc w:val="right"/>
            </w:pPr>
            <w:r w:rsidRPr="000948AD">
              <w:rPr>
                <w:bCs/>
              </w:rPr>
              <w:t>27.3</w:t>
            </w:r>
          </w:p>
        </w:tc>
      </w:tr>
      <w:tr w:rsidR="000948AD" w14:paraId="3E7BC2DA" w14:textId="77777777" w:rsidTr="00592BB5">
        <w:trPr>
          <w:gridBefore w:val="1"/>
          <w:wBefore w:w="108" w:type="dxa"/>
        </w:trPr>
        <w:tc>
          <w:tcPr>
            <w:tcW w:w="7371" w:type="dxa"/>
            <w:tcBorders>
              <w:top w:val="nil"/>
              <w:left w:val="nil"/>
              <w:bottom w:val="nil"/>
              <w:right w:val="nil"/>
            </w:tcBorders>
            <w:vAlign w:val="bottom"/>
          </w:tcPr>
          <w:p w14:paraId="28D29283" w14:textId="77777777" w:rsidR="000948AD" w:rsidRPr="000D1D55" w:rsidRDefault="000948AD" w:rsidP="000948AD">
            <w:pPr>
              <w:pStyle w:val="T2"/>
              <w:jc w:val="left"/>
            </w:pPr>
            <w:r w:rsidRPr="000D1D55">
              <w:t>Taxation on share of profit of associates</w:t>
            </w:r>
          </w:p>
        </w:tc>
        <w:tc>
          <w:tcPr>
            <w:tcW w:w="1276" w:type="dxa"/>
            <w:tcBorders>
              <w:top w:val="nil"/>
              <w:left w:val="nil"/>
              <w:bottom w:val="nil"/>
              <w:right w:val="nil"/>
            </w:tcBorders>
          </w:tcPr>
          <w:p w14:paraId="314B66DC" w14:textId="77777777" w:rsidR="000948AD" w:rsidRPr="000948AD" w:rsidRDefault="000948AD" w:rsidP="000948AD">
            <w:pPr>
              <w:jc w:val="right"/>
              <w:rPr>
                <w:b/>
                <w:bCs/>
                <w:sz w:val="18"/>
                <w:szCs w:val="18"/>
              </w:rPr>
            </w:pPr>
            <w:r w:rsidRPr="000948AD">
              <w:rPr>
                <w:b/>
                <w:bCs/>
                <w:sz w:val="18"/>
                <w:szCs w:val="18"/>
              </w:rPr>
              <w:t>–</w:t>
            </w:r>
          </w:p>
        </w:tc>
        <w:tc>
          <w:tcPr>
            <w:tcW w:w="1089" w:type="dxa"/>
            <w:gridSpan w:val="2"/>
            <w:tcBorders>
              <w:top w:val="nil"/>
              <w:left w:val="nil"/>
              <w:bottom w:val="nil"/>
              <w:right w:val="nil"/>
            </w:tcBorders>
            <w:vAlign w:val="bottom"/>
          </w:tcPr>
          <w:p w14:paraId="34B5D366" w14:textId="77777777" w:rsidR="000948AD" w:rsidRPr="000948AD" w:rsidRDefault="000948AD" w:rsidP="000948AD">
            <w:pPr>
              <w:pStyle w:val="T2"/>
              <w:jc w:val="right"/>
            </w:pPr>
            <w:r w:rsidRPr="000948AD">
              <w:rPr>
                <w:bCs/>
              </w:rPr>
              <w:t>0.1</w:t>
            </w:r>
          </w:p>
        </w:tc>
      </w:tr>
      <w:tr w:rsidR="000948AD" w14:paraId="29B030F9" w14:textId="77777777" w:rsidTr="00592BB5">
        <w:trPr>
          <w:gridBefore w:val="1"/>
          <w:wBefore w:w="108" w:type="dxa"/>
        </w:trPr>
        <w:tc>
          <w:tcPr>
            <w:tcW w:w="7371" w:type="dxa"/>
            <w:tcBorders>
              <w:top w:val="nil"/>
              <w:left w:val="nil"/>
              <w:bottom w:val="nil"/>
              <w:right w:val="nil"/>
            </w:tcBorders>
            <w:vAlign w:val="bottom"/>
          </w:tcPr>
          <w:p w14:paraId="2CEEF405" w14:textId="77777777" w:rsidR="000948AD" w:rsidRPr="000D1D55" w:rsidRDefault="000948AD" w:rsidP="000948AD">
            <w:pPr>
              <w:pStyle w:val="T2"/>
              <w:jc w:val="left"/>
            </w:pPr>
            <w:r w:rsidRPr="000D1D55">
              <w:t xml:space="preserve">Exceptional items </w:t>
            </w:r>
          </w:p>
        </w:tc>
        <w:tc>
          <w:tcPr>
            <w:tcW w:w="1276" w:type="dxa"/>
            <w:tcBorders>
              <w:top w:val="nil"/>
              <w:left w:val="nil"/>
              <w:bottom w:val="nil"/>
              <w:right w:val="nil"/>
            </w:tcBorders>
          </w:tcPr>
          <w:p w14:paraId="661440F3" w14:textId="77777777" w:rsidR="000948AD" w:rsidRPr="000948AD" w:rsidRDefault="00646771" w:rsidP="000948AD">
            <w:pPr>
              <w:jc w:val="right"/>
              <w:rPr>
                <w:b/>
                <w:bCs/>
                <w:sz w:val="18"/>
                <w:szCs w:val="18"/>
              </w:rPr>
            </w:pPr>
            <w:r>
              <w:rPr>
                <w:b/>
                <w:bCs/>
                <w:sz w:val="18"/>
                <w:szCs w:val="18"/>
              </w:rPr>
              <w:t>(</w:t>
            </w:r>
            <w:r w:rsidR="00BA6D22">
              <w:rPr>
                <w:b/>
                <w:bCs/>
                <w:sz w:val="18"/>
                <w:szCs w:val="18"/>
              </w:rPr>
              <w:t>9</w:t>
            </w:r>
            <w:r>
              <w:rPr>
                <w:b/>
                <w:bCs/>
                <w:sz w:val="18"/>
                <w:szCs w:val="18"/>
              </w:rPr>
              <w:t>.7)</w:t>
            </w:r>
          </w:p>
        </w:tc>
        <w:tc>
          <w:tcPr>
            <w:tcW w:w="1089" w:type="dxa"/>
            <w:gridSpan w:val="2"/>
            <w:tcBorders>
              <w:top w:val="nil"/>
              <w:left w:val="nil"/>
              <w:bottom w:val="nil"/>
              <w:right w:val="nil"/>
            </w:tcBorders>
            <w:vAlign w:val="bottom"/>
          </w:tcPr>
          <w:p w14:paraId="320CA204" w14:textId="77777777" w:rsidR="000948AD" w:rsidRPr="000948AD" w:rsidRDefault="000948AD" w:rsidP="000948AD">
            <w:pPr>
              <w:pStyle w:val="T2"/>
              <w:jc w:val="right"/>
            </w:pPr>
            <w:r w:rsidRPr="000948AD">
              <w:rPr>
                <w:bCs/>
              </w:rPr>
              <w:t>–</w:t>
            </w:r>
          </w:p>
        </w:tc>
      </w:tr>
      <w:tr w:rsidR="000948AD" w14:paraId="25BE9473" w14:textId="77777777" w:rsidTr="00592BB5">
        <w:trPr>
          <w:gridBefore w:val="1"/>
          <w:wBefore w:w="108" w:type="dxa"/>
        </w:trPr>
        <w:tc>
          <w:tcPr>
            <w:tcW w:w="7371" w:type="dxa"/>
            <w:tcBorders>
              <w:top w:val="nil"/>
              <w:left w:val="nil"/>
              <w:bottom w:val="nil"/>
              <w:right w:val="nil"/>
            </w:tcBorders>
            <w:vAlign w:val="bottom"/>
          </w:tcPr>
          <w:p w14:paraId="675378CD" w14:textId="77777777" w:rsidR="000948AD" w:rsidRPr="000D1D55" w:rsidRDefault="000948AD" w:rsidP="000948AD">
            <w:pPr>
              <w:pStyle w:val="T2"/>
              <w:jc w:val="left"/>
            </w:pPr>
            <w:r w:rsidRPr="000D1D55">
              <w:t xml:space="preserve">Pension finance items </w:t>
            </w:r>
          </w:p>
        </w:tc>
        <w:tc>
          <w:tcPr>
            <w:tcW w:w="1276" w:type="dxa"/>
            <w:tcBorders>
              <w:top w:val="nil"/>
              <w:left w:val="nil"/>
              <w:bottom w:val="nil"/>
              <w:right w:val="nil"/>
            </w:tcBorders>
          </w:tcPr>
          <w:p w14:paraId="084E4118" w14:textId="77777777" w:rsidR="000948AD" w:rsidRPr="000948AD" w:rsidRDefault="00646771" w:rsidP="000948AD">
            <w:pPr>
              <w:jc w:val="right"/>
              <w:rPr>
                <w:b/>
                <w:bCs/>
                <w:sz w:val="18"/>
                <w:szCs w:val="18"/>
              </w:rPr>
            </w:pPr>
            <w:r>
              <w:rPr>
                <w:b/>
                <w:bCs/>
                <w:sz w:val="18"/>
                <w:szCs w:val="18"/>
              </w:rPr>
              <w:t>0.9</w:t>
            </w:r>
          </w:p>
        </w:tc>
        <w:tc>
          <w:tcPr>
            <w:tcW w:w="1089" w:type="dxa"/>
            <w:gridSpan w:val="2"/>
            <w:tcBorders>
              <w:top w:val="nil"/>
              <w:left w:val="nil"/>
              <w:bottom w:val="nil"/>
              <w:right w:val="nil"/>
            </w:tcBorders>
            <w:vAlign w:val="bottom"/>
          </w:tcPr>
          <w:p w14:paraId="3D23E96B" w14:textId="77777777" w:rsidR="000948AD" w:rsidRPr="000948AD" w:rsidRDefault="000948AD" w:rsidP="000948AD">
            <w:pPr>
              <w:pStyle w:val="T2"/>
              <w:jc w:val="right"/>
            </w:pPr>
            <w:r w:rsidRPr="000948AD">
              <w:rPr>
                <w:bCs/>
              </w:rPr>
              <w:t>1.0</w:t>
            </w:r>
          </w:p>
        </w:tc>
      </w:tr>
      <w:tr w:rsidR="000948AD" w14:paraId="620A5903" w14:textId="77777777" w:rsidTr="00592BB5">
        <w:trPr>
          <w:gridBefore w:val="1"/>
          <w:wBefore w:w="108" w:type="dxa"/>
        </w:trPr>
        <w:tc>
          <w:tcPr>
            <w:tcW w:w="7371" w:type="dxa"/>
            <w:tcBorders>
              <w:top w:val="nil"/>
              <w:left w:val="nil"/>
              <w:bottom w:val="nil"/>
              <w:right w:val="nil"/>
            </w:tcBorders>
            <w:vAlign w:val="bottom"/>
          </w:tcPr>
          <w:p w14:paraId="1B51CCCE" w14:textId="77777777" w:rsidR="000948AD" w:rsidRPr="000D1D55" w:rsidRDefault="000948AD" w:rsidP="000948AD">
            <w:pPr>
              <w:pStyle w:val="T2"/>
              <w:jc w:val="left"/>
            </w:pPr>
            <w:r w:rsidRPr="000D1D55">
              <w:t xml:space="preserve">Amortisation of acquisition related intangibles </w:t>
            </w:r>
          </w:p>
        </w:tc>
        <w:tc>
          <w:tcPr>
            <w:tcW w:w="1276" w:type="dxa"/>
            <w:tcBorders>
              <w:top w:val="nil"/>
              <w:left w:val="nil"/>
              <w:bottom w:val="nil"/>
              <w:right w:val="nil"/>
            </w:tcBorders>
          </w:tcPr>
          <w:p w14:paraId="2C2ACA30" w14:textId="77777777" w:rsidR="000948AD" w:rsidRPr="000948AD" w:rsidRDefault="00646771" w:rsidP="000948AD">
            <w:pPr>
              <w:jc w:val="right"/>
              <w:rPr>
                <w:b/>
                <w:bCs/>
                <w:sz w:val="18"/>
                <w:szCs w:val="18"/>
              </w:rPr>
            </w:pPr>
            <w:r>
              <w:rPr>
                <w:b/>
                <w:bCs/>
                <w:sz w:val="18"/>
                <w:szCs w:val="18"/>
              </w:rPr>
              <w:t>2.0</w:t>
            </w:r>
          </w:p>
        </w:tc>
        <w:tc>
          <w:tcPr>
            <w:tcW w:w="1089" w:type="dxa"/>
            <w:gridSpan w:val="2"/>
            <w:tcBorders>
              <w:top w:val="nil"/>
              <w:left w:val="nil"/>
              <w:bottom w:val="nil"/>
              <w:right w:val="nil"/>
            </w:tcBorders>
            <w:vAlign w:val="bottom"/>
          </w:tcPr>
          <w:p w14:paraId="009B54A1" w14:textId="77777777" w:rsidR="000948AD" w:rsidRPr="000948AD" w:rsidRDefault="000948AD" w:rsidP="000948AD">
            <w:pPr>
              <w:pStyle w:val="T2"/>
              <w:jc w:val="right"/>
            </w:pPr>
            <w:r w:rsidRPr="000948AD">
              <w:rPr>
                <w:bCs/>
              </w:rPr>
              <w:t>2.7</w:t>
            </w:r>
          </w:p>
        </w:tc>
      </w:tr>
      <w:tr w:rsidR="000948AD" w14:paraId="3B6B90DD" w14:textId="77777777" w:rsidTr="00592BB5">
        <w:trPr>
          <w:gridBefore w:val="1"/>
          <w:wBefore w:w="108" w:type="dxa"/>
        </w:trPr>
        <w:tc>
          <w:tcPr>
            <w:tcW w:w="7371" w:type="dxa"/>
            <w:tcBorders>
              <w:top w:val="nil"/>
              <w:left w:val="nil"/>
              <w:bottom w:val="single" w:sz="2" w:space="0" w:color="auto"/>
              <w:right w:val="nil"/>
            </w:tcBorders>
            <w:vAlign w:val="bottom"/>
          </w:tcPr>
          <w:p w14:paraId="4205AE98" w14:textId="77777777" w:rsidR="000948AD" w:rsidRPr="000D1D55" w:rsidRDefault="000948AD" w:rsidP="000948AD">
            <w:pPr>
              <w:pStyle w:val="T2"/>
              <w:jc w:val="left"/>
            </w:pPr>
            <w:r w:rsidRPr="000D1D55">
              <w:t>FX and fair value movements</w:t>
            </w:r>
            <w:r w:rsidRPr="005C6269">
              <w:rPr>
                <w:vertAlign w:val="superscript"/>
              </w:rPr>
              <w:t>(A)</w:t>
            </w:r>
            <w:r w:rsidRPr="000D1D55">
              <w:t xml:space="preserve"> </w:t>
            </w:r>
          </w:p>
        </w:tc>
        <w:tc>
          <w:tcPr>
            <w:tcW w:w="1276" w:type="dxa"/>
            <w:tcBorders>
              <w:top w:val="nil"/>
              <w:left w:val="nil"/>
              <w:bottom w:val="single" w:sz="2" w:space="0" w:color="auto"/>
              <w:right w:val="nil"/>
            </w:tcBorders>
          </w:tcPr>
          <w:p w14:paraId="6F07CEBD" w14:textId="77777777" w:rsidR="000948AD" w:rsidRPr="000948AD" w:rsidRDefault="00646771" w:rsidP="000948AD">
            <w:pPr>
              <w:jc w:val="right"/>
              <w:rPr>
                <w:b/>
                <w:bCs/>
                <w:sz w:val="18"/>
                <w:szCs w:val="18"/>
              </w:rPr>
            </w:pPr>
            <w:r>
              <w:rPr>
                <w:b/>
                <w:bCs/>
                <w:sz w:val="18"/>
                <w:szCs w:val="18"/>
              </w:rPr>
              <w:t>0.7</w:t>
            </w:r>
          </w:p>
        </w:tc>
        <w:tc>
          <w:tcPr>
            <w:tcW w:w="1089" w:type="dxa"/>
            <w:gridSpan w:val="2"/>
            <w:tcBorders>
              <w:top w:val="nil"/>
              <w:left w:val="nil"/>
              <w:bottom w:val="single" w:sz="2" w:space="0" w:color="auto"/>
              <w:right w:val="nil"/>
            </w:tcBorders>
            <w:vAlign w:val="bottom"/>
          </w:tcPr>
          <w:p w14:paraId="19931A7B" w14:textId="77777777" w:rsidR="000948AD" w:rsidRPr="000948AD" w:rsidRDefault="000948AD" w:rsidP="000948AD">
            <w:pPr>
              <w:pStyle w:val="T2"/>
              <w:jc w:val="right"/>
            </w:pPr>
            <w:r w:rsidRPr="000948AD">
              <w:rPr>
                <w:bCs/>
              </w:rPr>
              <w:t>–</w:t>
            </w:r>
          </w:p>
        </w:tc>
      </w:tr>
      <w:tr w:rsidR="000948AD" w14:paraId="39BFBEEF" w14:textId="77777777" w:rsidTr="00592BB5">
        <w:trPr>
          <w:gridBefore w:val="1"/>
          <w:wBefore w:w="108" w:type="dxa"/>
        </w:trPr>
        <w:tc>
          <w:tcPr>
            <w:tcW w:w="7371" w:type="dxa"/>
            <w:tcBorders>
              <w:top w:val="single" w:sz="2" w:space="0" w:color="auto"/>
              <w:left w:val="nil"/>
              <w:bottom w:val="single" w:sz="8" w:space="0" w:color="auto"/>
              <w:right w:val="nil"/>
            </w:tcBorders>
            <w:vAlign w:val="bottom"/>
          </w:tcPr>
          <w:p w14:paraId="28A14042" w14:textId="77777777" w:rsidR="000948AD" w:rsidRPr="003479B7" w:rsidRDefault="000948AD" w:rsidP="00A774AF">
            <w:pPr>
              <w:pStyle w:val="T2"/>
              <w:jc w:val="left"/>
              <w:rPr>
                <w:b/>
              </w:rPr>
            </w:pPr>
            <w:r w:rsidRPr="003479B7">
              <w:rPr>
                <w:b/>
              </w:rPr>
              <w:t xml:space="preserve">Adjusted </w:t>
            </w:r>
            <w:r w:rsidR="00D10260">
              <w:rPr>
                <w:b/>
              </w:rPr>
              <w:t>(Loss)/</w:t>
            </w:r>
            <w:r w:rsidRPr="003479B7">
              <w:rPr>
                <w:b/>
              </w:rPr>
              <w:t xml:space="preserve">Profit Before Tax </w:t>
            </w:r>
          </w:p>
        </w:tc>
        <w:tc>
          <w:tcPr>
            <w:tcW w:w="1276" w:type="dxa"/>
            <w:tcBorders>
              <w:top w:val="single" w:sz="2" w:space="0" w:color="auto"/>
              <w:left w:val="nil"/>
              <w:bottom w:val="single" w:sz="8" w:space="0" w:color="auto"/>
              <w:right w:val="nil"/>
            </w:tcBorders>
          </w:tcPr>
          <w:p w14:paraId="4D2AF2E0" w14:textId="77777777" w:rsidR="000948AD" w:rsidRPr="000948AD" w:rsidRDefault="00646771">
            <w:pPr>
              <w:jc w:val="right"/>
              <w:rPr>
                <w:b/>
                <w:bCs/>
                <w:sz w:val="18"/>
                <w:szCs w:val="18"/>
              </w:rPr>
            </w:pPr>
            <w:r>
              <w:rPr>
                <w:b/>
                <w:bCs/>
                <w:sz w:val="18"/>
                <w:szCs w:val="18"/>
              </w:rPr>
              <w:t>(</w:t>
            </w:r>
            <w:r w:rsidR="00BA6D22">
              <w:rPr>
                <w:b/>
                <w:bCs/>
                <w:sz w:val="18"/>
                <w:szCs w:val="18"/>
              </w:rPr>
              <w:t>7</w:t>
            </w:r>
            <w:r>
              <w:rPr>
                <w:b/>
                <w:bCs/>
                <w:sz w:val="18"/>
                <w:szCs w:val="18"/>
              </w:rPr>
              <w:t>.</w:t>
            </w:r>
            <w:r w:rsidR="005D3EAC">
              <w:rPr>
                <w:b/>
                <w:bCs/>
                <w:sz w:val="18"/>
                <w:szCs w:val="18"/>
              </w:rPr>
              <w:t>9</w:t>
            </w:r>
            <w:r>
              <w:rPr>
                <w:b/>
                <w:bCs/>
                <w:sz w:val="18"/>
                <w:szCs w:val="18"/>
              </w:rPr>
              <w:t>)</w:t>
            </w:r>
          </w:p>
        </w:tc>
        <w:tc>
          <w:tcPr>
            <w:tcW w:w="1089" w:type="dxa"/>
            <w:gridSpan w:val="2"/>
            <w:tcBorders>
              <w:top w:val="single" w:sz="2" w:space="0" w:color="auto"/>
              <w:left w:val="nil"/>
              <w:bottom w:val="single" w:sz="8" w:space="0" w:color="auto"/>
              <w:right w:val="nil"/>
            </w:tcBorders>
            <w:vAlign w:val="bottom"/>
          </w:tcPr>
          <w:p w14:paraId="03B45F7C" w14:textId="77777777" w:rsidR="000948AD" w:rsidRPr="000948AD" w:rsidRDefault="000948AD" w:rsidP="000948AD">
            <w:pPr>
              <w:pStyle w:val="T2"/>
              <w:jc w:val="right"/>
            </w:pPr>
            <w:r w:rsidRPr="000948AD">
              <w:rPr>
                <w:bCs/>
              </w:rPr>
              <w:t>31.1</w:t>
            </w:r>
          </w:p>
        </w:tc>
      </w:tr>
      <w:tr w:rsidR="000948AD" w14:paraId="2B4A4327" w14:textId="77777777" w:rsidTr="005B3BEE">
        <w:trPr>
          <w:gridAfter w:val="1"/>
          <w:wAfter w:w="108" w:type="dxa"/>
        </w:trPr>
        <w:tc>
          <w:tcPr>
            <w:tcW w:w="9736" w:type="dxa"/>
            <w:gridSpan w:val="4"/>
            <w:tcBorders>
              <w:top w:val="single" w:sz="8" w:space="0" w:color="auto"/>
              <w:left w:val="nil"/>
              <w:bottom w:val="nil"/>
              <w:right w:val="nil"/>
            </w:tcBorders>
            <w:vAlign w:val="center"/>
          </w:tcPr>
          <w:p w14:paraId="0C0CBB15" w14:textId="77777777" w:rsidR="000948AD" w:rsidRDefault="000948AD" w:rsidP="000948AD">
            <w:pPr>
              <w:pStyle w:val="T2"/>
              <w:ind w:left="176"/>
              <w:jc w:val="left"/>
              <w:rPr>
                <w:sz w:val="15"/>
                <w:szCs w:val="15"/>
              </w:rPr>
            </w:pPr>
          </w:p>
          <w:p w14:paraId="5F71C974" w14:textId="77777777" w:rsidR="000948AD" w:rsidRPr="005B3BEE" w:rsidRDefault="000948AD" w:rsidP="00F55D04">
            <w:pPr>
              <w:pStyle w:val="T2"/>
              <w:numPr>
                <w:ilvl w:val="0"/>
                <w:numId w:val="7"/>
              </w:numPr>
              <w:jc w:val="left"/>
              <w:rPr>
                <w:sz w:val="15"/>
                <w:szCs w:val="15"/>
              </w:rPr>
            </w:pPr>
            <w:r>
              <w:rPr>
                <w:sz w:val="15"/>
                <w:szCs w:val="15"/>
              </w:rPr>
              <w:t xml:space="preserve"> </w:t>
            </w:r>
            <w:r w:rsidRPr="005B3BEE">
              <w:rPr>
                <w:sz w:val="15"/>
                <w:szCs w:val="15"/>
              </w:rPr>
              <w:t xml:space="preserve">FX on inter–company and certain external balances and the movement in the fair value of all derivative financial instruments and related debt </w:t>
            </w:r>
            <w:r>
              <w:rPr>
                <w:sz w:val="15"/>
                <w:szCs w:val="15"/>
              </w:rPr>
              <w:t xml:space="preserve">                 </w:t>
            </w:r>
            <w:r w:rsidRPr="005B3BEE">
              <w:rPr>
                <w:sz w:val="15"/>
                <w:szCs w:val="15"/>
              </w:rPr>
              <w:t>adjustments</w:t>
            </w:r>
          </w:p>
        </w:tc>
      </w:tr>
    </w:tbl>
    <w:p w14:paraId="5AFF0B1B" w14:textId="77777777" w:rsidR="00773F7B" w:rsidRDefault="00773F7B" w:rsidP="00773F7B">
      <w:pPr>
        <w:pStyle w:val="Paragraph"/>
        <w:rPr>
          <w:b/>
        </w:rPr>
      </w:pPr>
      <w:r w:rsidRPr="00B8126A">
        <w:rPr>
          <w:b/>
        </w:rPr>
        <w:t>ADJUSTED EARNINGS PER SHARE ('EPS')</w:t>
      </w:r>
    </w:p>
    <w:p w14:paraId="0559DFC8" w14:textId="77777777" w:rsidR="00773F7B" w:rsidRDefault="00773F7B" w:rsidP="00773F7B">
      <w:pPr>
        <w:pStyle w:val="Paragraph"/>
        <w:jc w:val="both"/>
      </w:pPr>
      <w:r>
        <w:t>The Group uses Adjusted Earnings and Adjusted EPS as key measures of the overall underlying performance of the Group and returns generated for each share.</w:t>
      </w:r>
    </w:p>
    <w:p w14:paraId="63EAAE61" w14:textId="77777777" w:rsidR="00773F7B" w:rsidRDefault="00773F7B" w:rsidP="00773F7B">
      <w:pPr>
        <w:pStyle w:val="Paragraph"/>
        <w:jc w:val="both"/>
      </w:pPr>
      <w:r>
        <w:t>Adjusted Earnings is calculated as Profit attributable to equity holders (as shown on the Group’s Income Statement) adjusted to exclude exceptional items (net of tax), the effect of foreign exchange (FX) on inter–company and external balances where hedge accounting is not applied, the movement in the fair value of all derivative financial instruments and related debt adjustments, the amortisation of acquisition related intangible assets (net of tax) and the interest expense relating to legacy defined benefit pension liabilities (net of tax). Adjusted EPS is calculated by dividing Adjusted Earnings by the weighted average number of Ordinary Shares in issue during the year, excluding Ordinary Shares purchased by Greencore and held in trust in respect of the Annual Bonus Plan and the Performance Share Plan. Adjusted EPS described as an APM here is Adjusted Basic EPS.</w:t>
      </w:r>
    </w:p>
    <w:p w14:paraId="3D30BE51" w14:textId="77777777" w:rsidR="00EB44C4" w:rsidRDefault="00773F7B" w:rsidP="00773F7B">
      <w:pPr>
        <w:pStyle w:val="Paragraph"/>
        <w:jc w:val="both"/>
      </w:pPr>
      <w:r w:rsidRPr="00B8126A">
        <w:t xml:space="preserve">The following table sets forth a reconciliation of the Group’s Profit attributable to equity holders of </w:t>
      </w:r>
      <w:r>
        <w:t>the Company</w:t>
      </w:r>
      <w:r w:rsidRPr="00B8126A">
        <w:t xml:space="preserve"> to its Adjusted Earnings for the financial years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5"/>
        <w:gridCol w:w="1282"/>
        <w:gridCol w:w="1099"/>
      </w:tblGrid>
      <w:tr w:rsidR="00773F7B" w14:paraId="61E720E4" w14:textId="77777777" w:rsidTr="00773F7B">
        <w:tc>
          <w:tcPr>
            <w:tcW w:w="7365" w:type="dxa"/>
            <w:vAlign w:val="bottom"/>
          </w:tcPr>
          <w:p w14:paraId="120205AA" w14:textId="77777777" w:rsidR="00773F7B" w:rsidRPr="00E5128C" w:rsidRDefault="00773F7B" w:rsidP="00773F7B">
            <w:pPr>
              <w:pStyle w:val="T2"/>
              <w:jc w:val="left"/>
            </w:pPr>
          </w:p>
        </w:tc>
        <w:tc>
          <w:tcPr>
            <w:tcW w:w="1282" w:type="dxa"/>
            <w:vAlign w:val="bottom"/>
          </w:tcPr>
          <w:p w14:paraId="72A0153C" w14:textId="77777777" w:rsidR="00AE497B" w:rsidRDefault="00AE497B" w:rsidP="005D0B94">
            <w:pPr>
              <w:pStyle w:val="T2"/>
              <w:jc w:val="right"/>
              <w:rPr>
                <w:b/>
              </w:rPr>
            </w:pPr>
          </w:p>
          <w:p w14:paraId="025B8DC5" w14:textId="77777777" w:rsidR="00773F7B" w:rsidRPr="003A5223" w:rsidRDefault="00773F7B" w:rsidP="005D0B94">
            <w:pPr>
              <w:pStyle w:val="T2"/>
              <w:jc w:val="right"/>
              <w:rPr>
                <w:b/>
              </w:rPr>
            </w:pPr>
            <w:r w:rsidRPr="003A5223">
              <w:rPr>
                <w:b/>
              </w:rPr>
              <w:t>Half year</w:t>
            </w:r>
            <w:r w:rsidRPr="003A5223">
              <w:rPr>
                <w:b/>
              </w:rPr>
              <w:br/>
              <w:t>20</w:t>
            </w:r>
            <w:r>
              <w:rPr>
                <w:b/>
              </w:rPr>
              <w:t>2</w:t>
            </w:r>
            <w:r w:rsidR="005D0B94">
              <w:rPr>
                <w:b/>
              </w:rPr>
              <w:t>1</w:t>
            </w:r>
          </w:p>
        </w:tc>
        <w:tc>
          <w:tcPr>
            <w:tcW w:w="1099" w:type="dxa"/>
            <w:vAlign w:val="bottom"/>
          </w:tcPr>
          <w:p w14:paraId="0D5A727F" w14:textId="77777777" w:rsidR="00773F7B" w:rsidRPr="00E5128C" w:rsidRDefault="00773F7B" w:rsidP="000948AD">
            <w:pPr>
              <w:pStyle w:val="T2"/>
              <w:jc w:val="right"/>
            </w:pPr>
            <w:r w:rsidRPr="00E5128C">
              <w:t>Half year</w:t>
            </w:r>
            <w:r w:rsidRPr="00E5128C">
              <w:br/>
              <w:t>20</w:t>
            </w:r>
            <w:r w:rsidR="000948AD">
              <w:t>20</w:t>
            </w:r>
          </w:p>
        </w:tc>
      </w:tr>
      <w:tr w:rsidR="00773F7B" w14:paraId="1B3E3CC0" w14:textId="77777777" w:rsidTr="00773F7B">
        <w:tc>
          <w:tcPr>
            <w:tcW w:w="7365" w:type="dxa"/>
            <w:tcBorders>
              <w:bottom w:val="single" w:sz="2" w:space="0" w:color="auto"/>
            </w:tcBorders>
            <w:vAlign w:val="bottom"/>
          </w:tcPr>
          <w:p w14:paraId="7AE5C8DB" w14:textId="77777777" w:rsidR="00773F7B" w:rsidRPr="00E5128C" w:rsidRDefault="00773F7B" w:rsidP="00773F7B">
            <w:pPr>
              <w:pStyle w:val="T2"/>
              <w:jc w:val="left"/>
            </w:pPr>
          </w:p>
        </w:tc>
        <w:tc>
          <w:tcPr>
            <w:tcW w:w="1282" w:type="dxa"/>
            <w:tcBorders>
              <w:bottom w:val="single" w:sz="2" w:space="0" w:color="auto"/>
            </w:tcBorders>
            <w:vAlign w:val="bottom"/>
          </w:tcPr>
          <w:p w14:paraId="5C576754" w14:textId="77777777" w:rsidR="00773F7B" w:rsidRPr="003A5223" w:rsidRDefault="00773F7B" w:rsidP="00773F7B">
            <w:pPr>
              <w:pStyle w:val="T2"/>
              <w:jc w:val="right"/>
              <w:rPr>
                <w:b/>
              </w:rPr>
            </w:pPr>
            <w:r w:rsidRPr="003A5223">
              <w:rPr>
                <w:b/>
              </w:rPr>
              <w:t>£m</w:t>
            </w:r>
          </w:p>
        </w:tc>
        <w:tc>
          <w:tcPr>
            <w:tcW w:w="1099" w:type="dxa"/>
            <w:tcBorders>
              <w:bottom w:val="single" w:sz="2" w:space="0" w:color="auto"/>
            </w:tcBorders>
            <w:vAlign w:val="bottom"/>
          </w:tcPr>
          <w:p w14:paraId="2023DF67" w14:textId="77777777" w:rsidR="00773F7B" w:rsidRPr="00E5128C" w:rsidRDefault="00773F7B" w:rsidP="00773F7B">
            <w:pPr>
              <w:pStyle w:val="T2"/>
              <w:jc w:val="right"/>
            </w:pPr>
            <w:r w:rsidRPr="00E5128C">
              <w:t>£m</w:t>
            </w:r>
          </w:p>
        </w:tc>
      </w:tr>
      <w:tr w:rsidR="000948AD" w14:paraId="6C10F932" w14:textId="77777777" w:rsidTr="00592BB5">
        <w:tc>
          <w:tcPr>
            <w:tcW w:w="7365" w:type="dxa"/>
            <w:tcBorders>
              <w:top w:val="single" w:sz="2" w:space="0" w:color="auto"/>
            </w:tcBorders>
            <w:vAlign w:val="bottom"/>
          </w:tcPr>
          <w:p w14:paraId="3DAD4C6B" w14:textId="77777777" w:rsidR="000948AD" w:rsidRPr="003A5223" w:rsidRDefault="000948AD" w:rsidP="000948AD">
            <w:pPr>
              <w:pStyle w:val="T2"/>
              <w:jc w:val="left"/>
              <w:rPr>
                <w:b/>
              </w:rPr>
            </w:pPr>
            <w:r w:rsidRPr="003A5223">
              <w:rPr>
                <w:b/>
              </w:rPr>
              <w:t xml:space="preserve">Profit attributable to equity holders of </w:t>
            </w:r>
            <w:r>
              <w:rPr>
                <w:b/>
              </w:rPr>
              <w:t>the Company</w:t>
            </w:r>
          </w:p>
        </w:tc>
        <w:tc>
          <w:tcPr>
            <w:tcW w:w="1282" w:type="dxa"/>
            <w:tcBorders>
              <w:top w:val="single" w:sz="2" w:space="0" w:color="auto"/>
            </w:tcBorders>
          </w:tcPr>
          <w:p w14:paraId="3C598754" w14:textId="77777777" w:rsidR="000948AD" w:rsidRPr="005C6269" w:rsidRDefault="00646771">
            <w:pPr>
              <w:jc w:val="right"/>
              <w:rPr>
                <w:b/>
                <w:sz w:val="18"/>
                <w:szCs w:val="18"/>
              </w:rPr>
            </w:pPr>
            <w:r>
              <w:rPr>
                <w:b/>
                <w:sz w:val="18"/>
                <w:szCs w:val="18"/>
              </w:rPr>
              <w:t>0.1</w:t>
            </w:r>
          </w:p>
        </w:tc>
        <w:tc>
          <w:tcPr>
            <w:tcW w:w="1099" w:type="dxa"/>
            <w:tcBorders>
              <w:top w:val="single" w:sz="2" w:space="0" w:color="auto"/>
            </w:tcBorders>
            <w:vAlign w:val="bottom"/>
          </w:tcPr>
          <w:p w14:paraId="51A96EEA" w14:textId="77777777" w:rsidR="000948AD" w:rsidRPr="000948AD" w:rsidRDefault="000948AD" w:rsidP="000948AD">
            <w:pPr>
              <w:pStyle w:val="T2"/>
              <w:jc w:val="right"/>
              <w:rPr>
                <w:bCs/>
              </w:rPr>
            </w:pPr>
            <w:r w:rsidRPr="000948AD">
              <w:t>23.3</w:t>
            </w:r>
          </w:p>
        </w:tc>
      </w:tr>
      <w:tr w:rsidR="000948AD" w14:paraId="5CAB03AC" w14:textId="77777777" w:rsidTr="00592BB5">
        <w:tc>
          <w:tcPr>
            <w:tcW w:w="7365" w:type="dxa"/>
            <w:vAlign w:val="bottom"/>
          </w:tcPr>
          <w:p w14:paraId="6234EC79" w14:textId="77777777" w:rsidR="000948AD" w:rsidRPr="00E5128C" w:rsidRDefault="000948AD" w:rsidP="000948AD">
            <w:pPr>
              <w:pStyle w:val="T2"/>
              <w:jc w:val="left"/>
            </w:pPr>
            <w:r w:rsidRPr="00E5128C">
              <w:t>Exceptional items (net of tax)</w:t>
            </w:r>
          </w:p>
        </w:tc>
        <w:tc>
          <w:tcPr>
            <w:tcW w:w="1282" w:type="dxa"/>
          </w:tcPr>
          <w:p w14:paraId="2360BACC" w14:textId="77777777" w:rsidR="000948AD" w:rsidRPr="005C6269" w:rsidRDefault="00646771">
            <w:pPr>
              <w:jc w:val="right"/>
              <w:rPr>
                <w:b/>
                <w:sz w:val="18"/>
                <w:szCs w:val="18"/>
              </w:rPr>
            </w:pPr>
            <w:r>
              <w:rPr>
                <w:b/>
                <w:bCs/>
                <w:sz w:val="18"/>
                <w:szCs w:val="18"/>
              </w:rPr>
              <w:t>(</w:t>
            </w:r>
            <w:r w:rsidR="00BA6D22">
              <w:rPr>
                <w:b/>
                <w:bCs/>
                <w:sz w:val="18"/>
                <w:szCs w:val="18"/>
              </w:rPr>
              <w:t>9</w:t>
            </w:r>
            <w:r>
              <w:rPr>
                <w:b/>
                <w:bCs/>
                <w:sz w:val="18"/>
                <w:szCs w:val="18"/>
              </w:rPr>
              <w:t>.9)</w:t>
            </w:r>
          </w:p>
        </w:tc>
        <w:tc>
          <w:tcPr>
            <w:tcW w:w="1099" w:type="dxa"/>
            <w:vAlign w:val="bottom"/>
          </w:tcPr>
          <w:p w14:paraId="50EAD99C" w14:textId="77777777" w:rsidR="000948AD" w:rsidRPr="000948AD" w:rsidRDefault="000948AD" w:rsidP="000948AD">
            <w:pPr>
              <w:pStyle w:val="T2"/>
              <w:jc w:val="right"/>
              <w:rPr>
                <w:bCs/>
              </w:rPr>
            </w:pPr>
            <w:r w:rsidRPr="000948AD">
              <w:t>(0.4)</w:t>
            </w:r>
          </w:p>
        </w:tc>
      </w:tr>
      <w:tr w:rsidR="000948AD" w14:paraId="7DD4C17E" w14:textId="77777777" w:rsidTr="00592BB5">
        <w:tc>
          <w:tcPr>
            <w:tcW w:w="7365" w:type="dxa"/>
            <w:vAlign w:val="bottom"/>
          </w:tcPr>
          <w:p w14:paraId="27B8BAB2" w14:textId="77777777" w:rsidR="000948AD" w:rsidRPr="00E5128C" w:rsidRDefault="000948AD" w:rsidP="000948AD">
            <w:pPr>
              <w:pStyle w:val="T2"/>
              <w:jc w:val="left"/>
            </w:pPr>
            <w:r w:rsidRPr="00E5128C">
              <w:t>FX effect on inter</w:t>
            </w:r>
            <w:r>
              <w:t>–</w:t>
            </w:r>
            <w:r w:rsidRPr="00E5128C">
              <w:t>company and external balances where hedge accounting is not applied</w:t>
            </w:r>
          </w:p>
        </w:tc>
        <w:tc>
          <w:tcPr>
            <w:tcW w:w="1282" w:type="dxa"/>
          </w:tcPr>
          <w:p w14:paraId="74DF1700" w14:textId="77777777" w:rsidR="000948AD" w:rsidRPr="005C6269" w:rsidRDefault="00646771" w:rsidP="000948AD">
            <w:pPr>
              <w:jc w:val="right"/>
              <w:rPr>
                <w:b/>
                <w:sz w:val="18"/>
                <w:szCs w:val="18"/>
              </w:rPr>
            </w:pPr>
            <w:r>
              <w:rPr>
                <w:b/>
                <w:bCs/>
                <w:sz w:val="18"/>
                <w:szCs w:val="18"/>
              </w:rPr>
              <w:t>(0.4)</w:t>
            </w:r>
          </w:p>
        </w:tc>
        <w:tc>
          <w:tcPr>
            <w:tcW w:w="1099" w:type="dxa"/>
            <w:vAlign w:val="bottom"/>
          </w:tcPr>
          <w:p w14:paraId="2D826120" w14:textId="77777777" w:rsidR="000948AD" w:rsidRPr="000948AD" w:rsidRDefault="000948AD" w:rsidP="000948AD">
            <w:pPr>
              <w:pStyle w:val="T2"/>
              <w:jc w:val="right"/>
              <w:rPr>
                <w:bCs/>
              </w:rPr>
            </w:pPr>
            <w:r w:rsidRPr="000948AD">
              <w:t>0.4</w:t>
            </w:r>
          </w:p>
        </w:tc>
      </w:tr>
      <w:tr w:rsidR="000948AD" w14:paraId="2CB9BC46" w14:textId="77777777" w:rsidTr="00592BB5">
        <w:tc>
          <w:tcPr>
            <w:tcW w:w="7365" w:type="dxa"/>
            <w:vAlign w:val="bottom"/>
          </w:tcPr>
          <w:p w14:paraId="660FF9CE" w14:textId="77777777" w:rsidR="000948AD" w:rsidRPr="00E5128C" w:rsidRDefault="000948AD" w:rsidP="000948AD">
            <w:pPr>
              <w:pStyle w:val="T2"/>
              <w:jc w:val="left"/>
            </w:pPr>
            <w:r w:rsidRPr="00E5128C">
              <w:t>Movement in fair value of derivative financial instruments and related debt adjustments</w:t>
            </w:r>
          </w:p>
        </w:tc>
        <w:tc>
          <w:tcPr>
            <w:tcW w:w="1282" w:type="dxa"/>
          </w:tcPr>
          <w:p w14:paraId="0DEF3792" w14:textId="77777777" w:rsidR="000948AD" w:rsidRPr="005C6269" w:rsidRDefault="00646771" w:rsidP="000948AD">
            <w:pPr>
              <w:jc w:val="right"/>
              <w:rPr>
                <w:b/>
                <w:sz w:val="18"/>
                <w:szCs w:val="18"/>
              </w:rPr>
            </w:pPr>
            <w:r>
              <w:rPr>
                <w:b/>
                <w:bCs/>
                <w:sz w:val="18"/>
                <w:szCs w:val="18"/>
              </w:rPr>
              <w:t>1.1</w:t>
            </w:r>
          </w:p>
        </w:tc>
        <w:tc>
          <w:tcPr>
            <w:tcW w:w="1099" w:type="dxa"/>
            <w:vAlign w:val="bottom"/>
          </w:tcPr>
          <w:p w14:paraId="2D338673" w14:textId="77777777" w:rsidR="000948AD" w:rsidRPr="000948AD" w:rsidRDefault="000948AD" w:rsidP="000948AD">
            <w:pPr>
              <w:pStyle w:val="T2"/>
              <w:jc w:val="right"/>
              <w:rPr>
                <w:bCs/>
              </w:rPr>
            </w:pPr>
            <w:r w:rsidRPr="000948AD">
              <w:t>(0.4)</w:t>
            </w:r>
          </w:p>
        </w:tc>
      </w:tr>
      <w:tr w:rsidR="000948AD" w14:paraId="6AE20279" w14:textId="77777777" w:rsidTr="00592BB5">
        <w:tc>
          <w:tcPr>
            <w:tcW w:w="7365" w:type="dxa"/>
            <w:vAlign w:val="bottom"/>
          </w:tcPr>
          <w:p w14:paraId="6C78A2BE" w14:textId="77777777" w:rsidR="000948AD" w:rsidRPr="00E5128C" w:rsidRDefault="000948AD" w:rsidP="000948AD">
            <w:pPr>
              <w:pStyle w:val="T2"/>
              <w:jc w:val="left"/>
            </w:pPr>
            <w:r w:rsidRPr="00E5128C">
              <w:t>Amortisation of acquisition related intangible assets (net of tax)</w:t>
            </w:r>
          </w:p>
        </w:tc>
        <w:tc>
          <w:tcPr>
            <w:tcW w:w="1282" w:type="dxa"/>
          </w:tcPr>
          <w:p w14:paraId="6B0840A4" w14:textId="77777777" w:rsidR="000948AD" w:rsidRPr="005C6269" w:rsidRDefault="00646771" w:rsidP="000948AD">
            <w:pPr>
              <w:jc w:val="right"/>
              <w:rPr>
                <w:b/>
                <w:sz w:val="18"/>
                <w:szCs w:val="18"/>
              </w:rPr>
            </w:pPr>
            <w:r>
              <w:rPr>
                <w:b/>
                <w:bCs/>
                <w:sz w:val="18"/>
                <w:szCs w:val="18"/>
              </w:rPr>
              <w:t>1.6</w:t>
            </w:r>
          </w:p>
        </w:tc>
        <w:tc>
          <w:tcPr>
            <w:tcW w:w="1099" w:type="dxa"/>
            <w:vAlign w:val="bottom"/>
          </w:tcPr>
          <w:p w14:paraId="36A4C9E4" w14:textId="77777777" w:rsidR="000948AD" w:rsidRPr="000948AD" w:rsidRDefault="000948AD" w:rsidP="000948AD">
            <w:pPr>
              <w:pStyle w:val="T2"/>
              <w:jc w:val="right"/>
              <w:rPr>
                <w:bCs/>
              </w:rPr>
            </w:pPr>
            <w:r w:rsidRPr="000948AD">
              <w:t>2.2</w:t>
            </w:r>
          </w:p>
        </w:tc>
      </w:tr>
      <w:tr w:rsidR="000948AD" w14:paraId="47E0F088" w14:textId="77777777" w:rsidTr="001F1616">
        <w:tc>
          <w:tcPr>
            <w:tcW w:w="7365" w:type="dxa"/>
            <w:tcBorders>
              <w:bottom w:val="single" w:sz="2" w:space="0" w:color="auto"/>
            </w:tcBorders>
            <w:vAlign w:val="bottom"/>
          </w:tcPr>
          <w:p w14:paraId="7B85C334" w14:textId="77777777" w:rsidR="000948AD" w:rsidRPr="00E5128C" w:rsidRDefault="000948AD" w:rsidP="000948AD">
            <w:pPr>
              <w:pStyle w:val="T2"/>
              <w:jc w:val="left"/>
            </w:pPr>
            <w:r w:rsidRPr="00E5128C">
              <w:t>Pension financing (net of tax)</w:t>
            </w:r>
          </w:p>
        </w:tc>
        <w:tc>
          <w:tcPr>
            <w:tcW w:w="1282" w:type="dxa"/>
            <w:tcBorders>
              <w:bottom w:val="single" w:sz="2" w:space="0" w:color="auto"/>
            </w:tcBorders>
          </w:tcPr>
          <w:p w14:paraId="559EADC8" w14:textId="77777777" w:rsidR="000948AD" w:rsidRPr="005C6269" w:rsidRDefault="00646771" w:rsidP="000948AD">
            <w:pPr>
              <w:jc w:val="right"/>
              <w:rPr>
                <w:b/>
                <w:sz w:val="18"/>
                <w:szCs w:val="18"/>
              </w:rPr>
            </w:pPr>
            <w:r>
              <w:rPr>
                <w:b/>
                <w:bCs/>
                <w:sz w:val="18"/>
                <w:szCs w:val="18"/>
              </w:rPr>
              <w:t>0.7</w:t>
            </w:r>
          </w:p>
        </w:tc>
        <w:tc>
          <w:tcPr>
            <w:tcW w:w="1099" w:type="dxa"/>
            <w:tcBorders>
              <w:bottom w:val="single" w:sz="2" w:space="0" w:color="auto"/>
            </w:tcBorders>
            <w:vAlign w:val="bottom"/>
          </w:tcPr>
          <w:p w14:paraId="437DB04A" w14:textId="77777777" w:rsidR="000948AD" w:rsidRPr="000948AD" w:rsidRDefault="000948AD" w:rsidP="000948AD">
            <w:pPr>
              <w:pStyle w:val="T2"/>
              <w:jc w:val="right"/>
              <w:rPr>
                <w:bCs/>
              </w:rPr>
            </w:pPr>
            <w:r w:rsidRPr="000948AD">
              <w:t>0.8</w:t>
            </w:r>
          </w:p>
        </w:tc>
      </w:tr>
      <w:tr w:rsidR="000948AD" w14:paraId="0B87B7AB" w14:textId="77777777" w:rsidTr="001F1616">
        <w:tc>
          <w:tcPr>
            <w:tcW w:w="7365" w:type="dxa"/>
            <w:tcBorders>
              <w:top w:val="single" w:sz="2" w:space="0" w:color="auto"/>
              <w:bottom w:val="single" w:sz="2" w:space="0" w:color="auto"/>
            </w:tcBorders>
            <w:vAlign w:val="bottom"/>
          </w:tcPr>
          <w:p w14:paraId="1B786F98" w14:textId="77777777" w:rsidR="000948AD" w:rsidRPr="003A5223" w:rsidRDefault="000948AD" w:rsidP="008F529E">
            <w:pPr>
              <w:pStyle w:val="T2"/>
              <w:jc w:val="left"/>
              <w:rPr>
                <w:b/>
              </w:rPr>
            </w:pPr>
            <w:r w:rsidRPr="003A5223">
              <w:rPr>
                <w:b/>
              </w:rPr>
              <w:t>Adjusted</w:t>
            </w:r>
            <w:r w:rsidR="008F529E">
              <w:rPr>
                <w:b/>
              </w:rPr>
              <w:t xml:space="preserve"> (Loss)/</w:t>
            </w:r>
            <w:r w:rsidRPr="003A5223">
              <w:rPr>
                <w:b/>
              </w:rPr>
              <w:t>Earnings</w:t>
            </w:r>
          </w:p>
        </w:tc>
        <w:tc>
          <w:tcPr>
            <w:tcW w:w="1282" w:type="dxa"/>
            <w:tcBorders>
              <w:top w:val="single" w:sz="2" w:space="0" w:color="auto"/>
              <w:bottom w:val="single" w:sz="2" w:space="0" w:color="auto"/>
            </w:tcBorders>
          </w:tcPr>
          <w:p w14:paraId="765DDA0E" w14:textId="77777777" w:rsidR="000948AD" w:rsidRPr="005C6269" w:rsidRDefault="00646771">
            <w:pPr>
              <w:jc w:val="right"/>
              <w:rPr>
                <w:b/>
                <w:sz w:val="18"/>
                <w:szCs w:val="18"/>
              </w:rPr>
            </w:pPr>
            <w:r>
              <w:rPr>
                <w:b/>
                <w:bCs/>
                <w:sz w:val="18"/>
                <w:szCs w:val="18"/>
              </w:rPr>
              <w:t>(6.</w:t>
            </w:r>
            <w:r w:rsidR="00BA6D22">
              <w:rPr>
                <w:b/>
                <w:bCs/>
                <w:sz w:val="18"/>
                <w:szCs w:val="18"/>
              </w:rPr>
              <w:t>8</w:t>
            </w:r>
            <w:r>
              <w:rPr>
                <w:b/>
                <w:bCs/>
                <w:sz w:val="18"/>
                <w:szCs w:val="18"/>
              </w:rPr>
              <w:t>)</w:t>
            </w:r>
          </w:p>
        </w:tc>
        <w:tc>
          <w:tcPr>
            <w:tcW w:w="1099" w:type="dxa"/>
            <w:tcBorders>
              <w:top w:val="single" w:sz="2" w:space="0" w:color="auto"/>
              <w:bottom w:val="single" w:sz="2" w:space="0" w:color="auto"/>
            </w:tcBorders>
            <w:vAlign w:val="bottom"/>
          </w:tcPr>
          <w:p w14:paraId="09834200" w14:textId="77777777" w:rsidR="000948AD" w:rsidRPr="000948AD" w:rsidRDefault="000948AD" w:rsidP="000948AD">
            <w:pPr>
              <w:pStyle w:val="T2"/>
              <w:jc w:val="right"/>
              <w:rPr>
                <w:bCs/>
              </w:rPr>
            </w:pPr>
            <w:r w:rsidRPr="000948AD">
              <w:t>25.9</w:t>
            </w:r>
          </w:p>
        </w:tc>
      </w:tr>
      <w:tr w:rsidR="00773F7B" w14:paraId="029A4F6F" w14:textId="77777777" w:rsidTr="001F1616">
        <w:tc>
          <w:tcPr>
            <w:tcW w:w="7365" w:type="dxa"/>
            <w:tcBorders>
              <w:top w:val="single" w:sz="2" w:space="0" w:color="auto"/>
            </w:tcBorders>
            <w:vAlign w:val="bottom"/>
          </w:tcPr>
          <w:p w14:paraId="709DE167" w14:textId="77777777" w:rsidR="00773F7B" w:rsidRPr="00E5128C" w:rsidRDefault="00773F7B" w:rsidP="00773F7B">
            <w:pPr>
              <w:pStyle w:val="T2"/>
              <w:jc w:val="left"/>
            </w:pPr>
          </w:p>
        </w:tc>
        <w:tc>
          <w:tcPr>
            <w:tcW w:w="1282" w:type="dxa"/>
            <w:tcBorders>
              <w:top w:val="single" w:sz="2" w:space="0" w:color="auto"/>
            </w:tcBorders>
            <w:vAlign w:val="bottom"/>
          </w:tcPr>
          <w:p w14:paraId="73DD14CA" w14:textId="77777777" w:rsidR="00773F7B" w:rsidRPr="003A5223" w:rsidRDefault="00773F7B" w:rsidP="00773F7B">
            <w:pPr>
              <w:jc w:val="right"/>
              <w:rPr>
                <w:b/>
              </w:rPr>
            </w:pPr>
          </w:p>
        </w:tc>
        <w:tc>
          <w:tcPr>
            <w:tcW w:w="1099" w:type="dxa"/>
            <w:tcBorders>
              <w:top w:val="single" w:sz="2" w:space="0" w:color="auto"/>
            </w:tcBorders>
            <w:vAlign w:val="bottom"/>
          </w:tcPr>
          <w:p w14:paraId="03738AA3" w14:textId="77777777" w:rsidR="00773F7B" w:rsidRPr="00E5128C" w:rsidRDefault="00773F7B" w:rsidP="00773F7B">
            <w:pPr>
              <w:pStyle w:val="T2"/>
              <w:jc w:val="right"/>
            </w:pPr>
          </w:p>
        </w:tc>
      </w:tr>
      <w:tr w:rsidR="00773F7B" w14:paraId="01FB753B" w14:textId="77777777" w:rsidTr="00773F7B">
        <w:tc>
          <w:tcPr>
            <w:tcW w:w="7365" w:type="dxa"/>
            <w:vAlign w:val="bottom"/>
          </w:tcPr>
          <w:p w14:paraId="74E5FBFC" w14:textId="77777777" w:rsidR="00773F7B" w:rsidRPr="00A934DC" w:rsidRDefault="00773F7B" w:rsidP="00773F7B">
            <w:pPr>
              <w:pStyle w:val="T2"/>
            </w:pPr>
          </w:p>
        </w:tc>
        <w:tc>
          <w:tcPr>
            <w:tcW w:w="1282" w:type="dxa"/>
            <w:vAlign w:val="bottom"/>
          </w:tcPr>
          <w:p w14:paraId="3600E843" w14:textId="77777777" w:rsidR="00773F7B" w:rsidRPr="003A5223" w:rsidRDefault="00773F7B" w:rsidP="005D0B94">
            <w:pPr>
              <w:pStyle w:val="T2"/>
              <w:jc w:val="right"/>
              <w:rPr>
                <w:b/>
              </w:rPr>
            </w:pPr>
            <w:r w:rsidRPr="003A5223">
              <w:rPr>
                <w:b/>
              </w:rPr>
              <w:t>Half year</w:t>
            </w:r>
            <w:r w:rsidRPr="003A5223">
              <w:rPr>
                <w:b/>
              </w:rPr>
              <w:br/>
              <w:t>20</w:t>
            </w:r>
            <w:r>
              <w:rPr>
                <w:b/>
              </w:rPr>
              <w:t>2</w:t>
            </w:r>
            <w:r w:rsidR="005D0B94">
              <w:rPr>
                <w:b/>
              </w:rPr>
              <w:t>1</w:t>
            </w:r>
          </w:p>
        </w:tc>
        <w:tc>
          <w:tcPr>
            <w:tcW w:w="1099" w:type="dxa"/>
            <w:vAlign w:val="bottom"/>
          </w:tcPr>
          <w:p w14:paraId="5BDB2A87" w14:textId="77777777" w:rsidR="00773F7B" w:rsidRPr="00A934DC" w:rsidRDefault="00773F7B" w:rsidP="000948AD">
            <w:pPr>
              <w:pStyle w:val="T2"/>
              <w:jc w:val="right"/>
            </w:pPr>
            <w:r w:rsidRPr="00A934DC">
              <w:t>Half year</w:t>
            </w:r>
            <w:r w:rsidRPr="00A934DC">
              <w:br/>
              <w:t>20</w:t>
            </w:r>
            <w:r w:rsidR="000948AD">
              <w:t>20</w:t>
            </w:r>
          </w:p>
        </w:tc>
      </w:tr>
      <w:tr w:rsidR="00773F7B" w14:paraId="5BA25BF2" w14:textId="77777777" w:rsidTr="001F1616">
        <w:tc>
          <w:tcPr>
            <w:tcW w:w="7365" w:type="dxa"/>
            <w:tcBorders>
              <w:bottom w:val="single" w:sz="2" w:space="0" w:color="auto"/>
            </w:tcBorders>
            <w:vAlign w:val="bottom"/>
          </w:tcPr>
          <w:p w14:paraId="26CD1966" w14:textId="77777777" w:rsidR="00773F7B" w:rsidRPr="00A934DC" w:rsidRDefault="00773F7B" w:rsidP="00773F7B">
            <w:pPr>
              <w:pStyle w:val="T2"/>
            </w:pPr>
          </w:p>
        </w:tc>
        <w:tc>
          <w:tcPr>
            <w:tcW w:w="1282" w:type="dxa"/>
            <w:tcBorders>
              <w:bottom w:val="single" w:sz="2" w:space="0" w:color="auto"/>
            </w:tcBorders>
            <w:vAlign w:val="bottom"/>
          </w:tcPr>
          <w:p w14:paraId="2554240B" w14:textId="77777777" w:rsidR="00773F7B" w:rsidRPr="003A5223" w:rsidRDefault="00773F7B" w:rsidP="00773F7B">
            <w:pPr>
              <w:pStyle w:val="T2"/>
              <w:jc w:val="right"/>
              <w:rPr>
                <w:b/>
              </w:rPr>
            </w:pPr>
            <w:r w:rsidRPr="003A5223">
              <w:rPr>
                <w:b/>
              </w:rPr>
              <w:t>‘000</w:t>
            </w:r>
          </w:p>
        </w:tc>
        <w:tc>
          <w:tcPr>
            <w:tcW w:w="1099" w:type="dxa"/>
            <w:tcBorders>
              <w:bottom w:val="single" w:sz="2" w:space="0" w:color="auto"/>
            </w:tcBorders>
            <w:vAlign w:val="bottom"/>
          </w:tcPr>
          <w:p w14:paraId="27F77724" w14:textId="77777777" w:rsidR="00773F7B" w:rsidRPr="00A934DC" w:rsidRDefault="00773F7B" w:rsidP="00773F7B">
            <w:pPr>
              <w:pStyle w:val="T2"/>
              <w:jc w:val="right"/>
            </w:pPr>
            <w:r w:rsidRPr="00A934DC">
              <w:t>‘000</w:t>
            </w:r>
          </w:p>
        </w:tc>
      </w:tr>
      <w:tr w:rsidR="00773F7B" w14:paraId="2E99C0E7" w14:textId="77777777" w:rsidTr="001F1616">
        <w:tc>
          <w:tcPr>
            <w:tcW w:w="7365" w:type="dxa"/>
            <w:tcBorders>
              <w:top w:val="single" w:sz="2" w:space="0" w:color="auto"/>
              <w:bottom w:val="single" w:sz="2" w:space="0" w:color="auto"/>
            </w:tcBorders>
            <w:vAlign w:val="bottom"/>
          </w:tcPr>
          <w:p w14:paraId="7EAE31C5" w14:textId="77777777" w:rsidR="00773F7B" w:rsidRPr="003A5223" w:rsidRDefault="00773F7B" w:rsidP="00773F7B">
            <w:pPr>
              <w:pStyle w:val="T2"/>
              <w:jc w:val="left"/>
              <w:rPr>
                <w:b/>
              </w:rPr>
            </w:pPr>
            <w:r w:rsidRPr="003A5223">
              <w:rPr>
                <w:b/>
              </w:rPr>
              <w:t>Weighted average number of ordinary shares in issue during the year</w:t>
            </w:r>
          </w:p>
        </w:tc>
        <w:tc>
          <w:tcPr>
            <w:tcW w:w="1282" w:type="dxa"/>
            <w:tcBorders>
              <w:top w:val="single" w:sz="2" w:space="0" w:color="auto"/>
              <w:bottom w:val="single" w:sz="2" w:space="0" w:color="auto"/>
            </w:tcBorders>
            <w:vAlign w:val="bottom"/>
          </w:tcPr>
          <w:p w14:paraId="7BB8511E" w14:textId="77777777" w:rsidR="00773F7B" w:rsidRPr="00FC568F" w:rsidRDefault="00646771" w:rsidP="00773F7B">
            <w:pPr>
              <w:pStyle w:val="T2"/>
              <w:jc w:val="right"/>
              <w:rPr>
                <w:b/>
                <w:bCs/>
              </w:rPr>
            </w:pPr>
            <w:r>
              <w:rPr>
                <w:b/>
                <w:bCs/>
              </w:rPr>
              <w:t>498,048</w:t>
            </w:r>
          </w:p>
        </w:tc>
        <w:tc>
          <w:tcPr>
            <w:tcW w:w="1099" w:type="dxa"/>
            <w:tcBorders>
              <w:top w:val="single" w:sz="2" w:space="0" w:color="auto"/>
              <w:bottom w:val="single" w:sz="2" w:space="0" w:color="auto"/>
            </w:tcBorders>
            <w:vAlign w:val="bottom"/>
          </w:tcPr>
          <w:p w14:paraId="690CE428" w14:textId="77777777" w:rsidR="00773F7B" w:rsidRPr="00A934DC" w:rsidRDefault="00773F7B" w:rsidP="000948AD">
            <w:pPr>
              <w:pStyle w:val="T2"/>
              <w:jc w:val="right"/>
            </w:pPr>
            <w:r w:rsidRPr="0096767F">
              <w:rPr>
                <w:bCs/>
              </w:rPr>
              <w:t xml:space="preserve"> </w:t>
            </w:r>
            <w:r w:rsidR="000948AD">
              <w:rPr>
                <w:bCs/>
              </w:rPr>
              <w:t>443,304</w:t>
            </w:r>
          </w:p>
        </w:tc>
      </w:tr>
      <w:tr w:rsidR="00773F7B" w14:paraId="3BAAC45D" w14:textId="77777777" w:rsidTr="001F1616">
        <w:tc>
          <w:tcPr>
            <w:tcW w:w="7365" w:type="dxa"/>
            <w:tcBorders>
              <w:top w:val="single" w:sz="2" w:space="0" w:color="auto"/>
            </w:tcBorders>
            <w:vAlign w:val="bottom"/>
          </w:tcPr>
          <w:p w14:paraId="5B8A26BF" w14:textId="77777777" w:rsidR="00773F7B" w:rsidRPr="00A934DC" w:rsidRDefault="00773F7B" w:rsidP="00773F7B">
            <w:pPr>
              <w:pStyle w:val="T2"/>
              <w:jc w:val="left"/>
            </w:pPr>
          </w:p>
        </w:tc>
        <w:tc>
          <w:tcPr>
            <w:tcW w:w="1282" w:type="dxa"/>
            <w:tcBorders>
              <w:top w:val="single" w:sz="2" w:space="0" w:color="auto"/>
            </w:tcBorders>
            <w:vAlign w:val="bottom"/>
          </w:tcPr>
          <w:p w14:paraId="5DFD5C81" w14:textId="77777777" w:rsidR="00773F7B" w:rsidRPr="005D0EFF" w:rsidRDefault="00773F7B" w:rsidP="00773F7B">
            <w:pPr>
              <w:pStyle w:val="T2"/>
              <w:jc w:val="right"/>
              <w:rPr>
                <w:bCs/>
              </w:rPr>
            </w:pPr>
          </w:p>
        </w:tc>
        <w:tc>
          <w:tcPr>
            <w:tcW w:w="1099" w:type="dxa"/>
            <w:tcBorders>
              <w:top w:val="single" w:sz="2" w:space="0" w:color="auto"/>
            </w:tcBorders>
            <w:vAlign w:val="bottom"/>
          </w:tcPr>
          <w:p w14:paraId="5BD2A903" w14:textId="77777777" w:rsidR="00773F7B" w:rsidRPr="00A934DC" w:rsidRDefault="00773F7B" w:rsidP="00773F7B">
            <w:pPr>
              <w:pStyle w:val="T2"/>
              <w:jc w:val="right"/>
            </w:pPr>
          </w:p>
        </w:tc>
      </w:tr>
      <w:tr w:rsidR="00773F7B" w14:paraId="679548C6" w14:textId="77777777" w:rsidTr="001F1616">
        <w:tc>
          <w:tcPr>
            <w:tcW w:w="7365" w:type="dxa"/>
            <w:tcBorders>
              <w:bottom w:val="single" w:sz="2" w:space="0" w:color="auto"/>
            </w:tcBorders>
            <w:vAlign w:val="bottom"/>
          </w:tcPr>
          <w:p w14:paraId="213BE952" w14:textId="77777777" w:rsidR="00773F7B" w:rsidRPr="00A934DC" w:rsidRDefault="00773F7B" w:rsidP="00773F7B">
            <w:pPr>
              <w:pStyle w:val="T2"/>
              <w:jc w:val="left"/>
            </w:pPr>
          </w:p>
        </w:tc>
        <w:tc>
          <w:tcPr>
            <w:tcW w:w="1282" w:type="dxa"/>
            <w:tcBorders>
              <w:bottom w:val="single" w:sz="2" w:space="0" w:color="auto"/>
            </w:tcBorders>
            <w:vAlign w:val="bottom"/>
          </w:tcPr>
          <w:p w14:paraId="1272B7D9" w14:textId="77777777" w:rsidR="00773F7B" w:rsidRPr="002E0E9E" w:rsidRDefault="00B41E40" w:rsidP="00773F7B">
            <w:pPr>
              <w:pStyle w:val="T2"/>
              <w:jc w:val="right"/>
              <w:rPr>
                <w:b/>
                <w:bCs/>
              </w:rPr>
            </w:pPr>
            <w:r w:rsidRPr="002E0E9E">
              <w:rPr>
                <w:b/>
                <w:bCs/>
              </w:rPr>
              <w:t>Pence</w:t>
            </w:r>
          </w:p>
        </w:tc>
        <w:tc>
          <w:tcPr>
            <w:tcW w:w="1099" w:type="dxa"/>
            <w:tcBorders>
              <w:bottom w:val="single" w:sz="2" w:space="0" w:color="auto"/>
            </w:tcBorders>
            <w:vAlign w:val="bottom"/>
          </w:tcPr>
          <w:p w14:paraId="5603B721" w14:textId="77777777" w:rsidR="00773F7B" w:rsidRPr="00A934DC" w:rsidRDefault="00773F7B" w:rsidP="00773F7B">
            <w:pPr>
              <w:pStyle w:val="T2"/>
              <w:jc w:val="right"/>
            </w:pPr>
            <w:r w:rsidRPr="0096767F">
              <w:rPr>
                <w:bCs/>
              </w:rPr>
              <w:t>Pence</w:t>
            </w:r>
          </w:p>
        </w:tc>
      </w:tr>
      <w:tr w:rsidR="00773F7B" w14:paraId="11884D5F" w14:textId="77777777" w:rsidTr="001F1616">
        <w:tc>
          <w:tcPr>
            <w:tcW w:w="7365" w:type="dxa"/>
            <w:tcBorders>
              <w:top w:val="single" w:sz="2" w:space="0" w:color="auto"/>
              <w:bottom w:val="single" w:sz="2" w:space="0" w:color="auto"/>
            </w:tcBorders>
            <w:vAlign w:val="bottom"/>
          </w:tcPr>
          <w:p w14:paraId="6515C153" w14:textId="77777777" w:rsidR="00773F7B" w:rsidRPr="003A5223" w:rsidRDefault="00773F7B" w:rsidP="00773F7B">
            <w:pPr>
              <w:pStyle w:val="T2"/>
              <w:jc w:val="left"/>
              <w:rPr>
                <w:b/>
              </w:rPr>
            </w:pPr>
            <w:r w:rsidRPr="003A5223">
              <w:rPr>
                <w:b/>
              </w:rPr>
              <w:t xml:space="preserve">Adjusted </w:t>
            </w:r>
            <w:r w:rsidR="008F529E">
              <w:rPr>
                <w:b/>
              </w:rPr>
              <w:t>(Loss)/</w:t>
            </w:r>
            <w:r w:rsidRPr="003A5223">
              <w:rPr>
                <w:b/>
              </w:rPr>
              <w:t>Earnings Per Share</w:t>
            </w:r>
          </w:p>
        </w:tc>
        <w:tc>
          <w:tcPr>
            <w:tcW w:w="1282" w:type="dxa"/>
            <w:tcBorders>
              <w:top w:val="single" w:sz="2" w:space="0" w:color="auto"/>
              <w:bottom w:val="single" w:sz="2" w:space="0" w:color="auto"/>
            </w:tcBorders>
            <w:vAlign w:val="bottom"/>
          </w:tcPr>
          <w:p w14:paraId="0EA66E7D" w14:textId="77777777" w:rsidR="00773F7B" w:rsidRPr="00FC568F" w:rsidRDefault="00646771">
            <w:pPr>
              <w:pStyle w:val="T2"/>
              <w:jc w:val="right"/>
              <w:rPr>
                <w:b/>
                <w:bCs/>
              </w:rPr>
            </w:pPr>
            <w:r>
              <w:rPr>
                <w:b/>
                <w:bCs/>
              </w:rPr>
              <w:t>(1.</w:t>
            </w:r>
            <w:r w:rsidR="00BA6D22">
              <w:rPr>
                <w:b/>
                <w:bCs/>
              </w:rPr>
              <w:t>4</w:t>
            </w:r>
            <w:r>
              <w:rPr>
                <w:b/>
                <w:bCs/>
              </w:rPr>
              <w:t>)</w:t>
            </w:r>
          </w:p>
        </w:tc>
        <w:tc>
          <w:tcPr>
            <w:tcW w:w="1099" w:type="dxa"/>
            <w:tcBorders>
              <w:top w:val="single" w:sz="2" w:space="0" w:color="auto"/>
              <w:bottom w:val="single" w:sz="2" w:space="0" w:color="auto"/>
            </w:tcBorders>
            <w:vAlign w:val="bottom"/>
          </w:tcPr>
          <w:p w14:paraId="21E96304" w14:textId="77777777" w:rsidR="00773F7B" w:rsidRPr="00A934DC" w:rsidRDefault="000948AD" w:rsidP="00773F7B">
            <w:pPr>
              <w:pStyle w:val="T2"/>
              <w:jc w:val="right"/>
            </w:pPr>
            <w:r>
              <w:rPr>
                <w:bCs/>
              </w:rPr>
              <w:t>5.8</w:t>
            </w:r>
          </w:p>
        </w:tc>
      </w:tr>
    </w:tbl>
    <w:p w14:paraId="350D02D7" w14:textId="77777777" w:rsidR="00773F7B" w:rsidRDefault="00773F7B" w:rsidP="00773F7B">
      <w:pPr>
        <w:pStyle w:val="Paragraph"/>
        <w:rPr>
          <w:b/>
        </w:rPr>
      </w:pPr>
    </w:p>
    <w:p w14:paraId="4F32B6F7" w14:textId="77777777" w:rsidR="00773F7B" w:rsidRDefault="00773F7B" w:rsidP="00773F7B">
      <w:pPr>
        <w:pStyle w:val="Paragraph"/>
        <w:rPr>
          <w:b/>
        </w:rPr>
      </w:pPr>
      <w:r w:rsidRPr="00E743B0">
        <w:rPr>
          <w:b/>
        </w:rPr>
        <w:t>CAPITAL EXPENDITURE</w:t>
      </w:r>
    </w:p>
    <w:p w14:paraId="67A1F8CC" w14:textId="77777777" w:rsidR="00773F7B" w:rsidRDefault="00773F7B" w:rsidP="00773F7B">
      <w:pPr>
        <w:pStyle w:val="Paragraph"/>
        <w:rPr>
          <w:b/>
        </w:rPr>
      </w:pPr>
      <w:r w:rsidRPr="00E743B0">
        <w:rPr>
          <w:b/>
        </w:rPr>
        <w:t>MAINTENANCE CAPITAL EXPENDITURE</w:t>
      </w:r>
    </w:p>
    <w:p w14:paraId="4BD2867F" w14:textId="77777777" w:rsidR="00773F7B" w:rsidRDefault="00773F7B" w:rsidP="00773F7B">
      <w:pPr>
        <w:pStyle w:val="Paragraph"/>
        <w:jc w:val="both"/>
      </w:pPr>
      <w:r w:rsidRPr="00E743B0">
        <w:lastRenderedPageBreak/>
        <w:t xml:space="preserve">The Group defines Maintenance Capital Expenditure as the expenditure required for the purpose of sustaining the operating capacity and asset base of the Group, and </w:t>
      </w:r>
      <w:r>
        <w:t xml:space="preserve">to </w:t>
      </w:r>
      <w:r w:rsidRPr="00E743B0">
        <w:t>comply with applicable laws and regulations. It includes continuous improvement projects of less than £1m that will generate additional returns for the Group.</w:t>
      </w:r>
    </w:p>
    <w:p w14:paraId="667E8E8D" w14:textId="77777777" w:rsidR="00773F7B" w:rsidRDefault="00773F7B" w:rsidP="00773F7B">
      <w:pPr>
        <w:pStyle w:val="Paragraph"/>
        <w:jc w:val="both"/>
      </w:pPr>
      <w:r w:rsidRPr="007B035B">
        <w:rPr>
          <w:b/>
        </w:rPr>
        <w:t>STRATEGIC CAPITAL EXPENDITURE</w:t>
      </w:r>
    </w:p>
    <w:p w14:paraId="202F9DF4" w14:textId="77777777" w:rsidR="00773F7B" w:rsidRDefault="00773F7B" w:rsidP="00773F7B">
      <w:pPr>
        <w:pStyle w:val="Paragraph"/>
        <w:jc w:val="both"/>
      </w:pPr>
      <w:r w:rsidRPr="007B035B">
        <w:t>The Group defines Strategic Capital Expenditure as the expenditure required for the purpose of facilitating growth and developing and enhancing relationships with existing and new customers. It includes continuous improvement projects of greater than £1m that will generate additional returns for the Group. Strategic Capital Expenditure is generally expansionary expenditure creating additional capacity beyond what is necessary to maintain the Group’s current competitive position and enables the Group to service new customers and/or contracts or to enter into new categories and/or new manufacturing competencies.</w:t>
      </w:r>
    </w:p>
    <w:p w14:paraId="5DCB4E3D" w14:textId="77777777" w:rsidR="000948AD" w:rsidRDefault="00773F7B" w:rsidP="00773F7B">
      <w:pPr>
        <w:pStyle w:val="Paragraph"/>
        <w:jc w:val="both"/>
      </w:pPr>
      <w:r w:rsidRPr="007B035B">
        <w:t>The following table sets forth the breakdown of the Group</w:t>
      </w:r>
      <w:r>
        <w:t>’</w:t>
      </w:r>
      <w:r w:rsidRPr="007B035B">
        <w:t>s purchase of property, plant and equipment and purchase of intangible assets between Strategic Capital Expenditure and Maintenance Capital Expenditure:</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850"/>
        <w:gridCol w:w="851"/>
        <w:gridCol w:w="850"/>
        <w:gridCol w:w="851"/>
        <w:gridCol w:w="1276"/>
        <w:gridCol w:w="1134"/>
      </w:tblGrid>
      <w:tr w:rsidR="00773F7B" w:rsidRPr="00D61AE9" w14:paraId="52D70B42" w14:textId="77777777" w:rsidTr="00592BB5">
        <w:trPr>
          <w:trHeight w:val="645"/>
        </w:trPr>
        <w:tc>
          <w:tcPr>
            <w:tcW w:w="3969" w:type="dxa"/>
            <w:vAlign w:val="bottom"/>
          </w:tcPr>
          <w:p w14:paraId="5B8567A1" w14:textId="77777777" w:rsidR="00773F7B" w:rsidRPr="00D61AE9" w:rsidRDefault="00773F7B" w:rsidP="00773F7B">
            <w:pPr>
              <w:pStyle w:val="T2"/>
              <w:rPr>
                <w:rFonts w:ascii="Calibri" w:hAnsi="Calibri" w:cs="Calibri"/>
              </w:rPr>
            </w:pPr>
          </w:p>
        </w:tc>
        <w:tc>
          <w:tcPr>
            <w:tcW w:w="850" w:type="dxa"/>
            <w:vAlign w:val="bottom"/>
          </w:tcPr>
          <w:p w14:paraId="27E573CA" w14:textId="77777777" w:rsidR="00773F7B" w:rsidRPr="00737A18" w:rsidRDefault="00773F7B" w:rsidP="00592BB5">
            <w:pPr>
              <w:pStyle w:val="T2"/>
              <w:jc w:val="right"/>
              <w:rPr>
                <w:b/>
              </w:rPr>
            </w:pPr>
          </w:p>
        </w:tc>
        <w:tc>
          <w:tcPr>
            <w:tcW w:w="851" w:type="dxa"/>
            <w:vAlign w:val="bottom"/>
          </w:tcPr>
          <w:p w14:paraId="2897E03B" w14:textId="77777777" w:rsidR="00773F7B" w:rsidRPr="00737A18" w:rsidRDefault="00773F7B" w:rsidP="00592BB5">
            <w:pPr>
              <w:pStyle w:val="T2"/>
              <w:jc w:val="right"/>
              <w:rPr>
                <w:b/>
              </w:rPr>
            </w:pPr>
          </w:p>
        </w:tc>
        <w:tc>
          <w:tcPr>
            <w:tcW w:w="850" w:type="dxa"/>
            <w:vAlign w:val="bottom"/>
          </w:tcPr>
          <w:p w14:paraId="6581F4B9" w14:textId="77777777" w:rsidR="00773F7B" w:rsidRPr="00737A18" w:rsidRDefault="00773F7B" w:rsidP="00592BB5">
            <w:pPr>
              <w:pStyle w:val="T2"/>
              <w:jc w:val="right"/>
              <w:rPr>
                <w:b/>
              </w:rPr>
            </w:pPr>
          </w:p>
        </w:tc>
        <w:tc>
          <w:tcPr>
            <w:tcW w:w="851" w:type="dxa"/>
            <w:vAlign w:val="bottom"/>
          </w:tcPr>
          <w:p w14:paraId="45964D60" w14:textId="77777777" w:rsidR="00773F7B" w:rsidRPr="00D61AE9" w:rsidRDefault="00773F7B" w:rsidP="00592BB5">
            <w:pPr>
              <w:pStyle w:val="T2"/>
              <w:jc w:val="right"/>
            </w:pPr>
          </w:p>
        </w:tc>
        <w:tc>
          <w:tcPr>
            <w:tcW w:w="1276" w:type="dxa"/>
            <w:vAlign w:val="bottom"/>
          </w:tcPr>
          <w:p w14:paraId="3223327E" w14:textId="77777777" w:rsidR="00773F7B" w:rsidRPr="000948AD" w:rsidRDefault="000948AD" w:rsidP="000948AD">
            <w:pPr>
              <w:pStyle w:val="T2"/>
              <w:jc w:val="right"/>
              <w:rPr>
                <w:b/>
              </w:rPr>
            </w:pPr>
            <w:r w:rsidRPr="000948AD">
              <w:rPr>
                <w:b/>
              </w:rPr>
              <w:t>Half year 2021</w:t>
            </w:r>
          </w:p>
        </w:tc>
        <w:tc>
          <w:tcPr>
            <w:tcW w:w="1134" w:type="dxa"/>
            <w:vAlign w:val="bottom"/>
          </w:tcPr>
          <w:p w14:paraId="0B54E4B8" w14:textId="77777777" w:rsidR="00773F7B" w:rsidRPr="00E5128C" w:rsidRDefault="000948AD" w:rsidP="000948AD">
            <w:pPr>
              <w:pStyle w:val="T2"/>
              <w:jc w:val="right"/>
            </w:pPr>
            <w:r>
              <w:t>Half year 2020</w:t>
            </w:r>
          </w:p>
        </w:tc>
      </w:tr>
      <w:tr w:rsidR="00773F7B" w:rsidRPr="00D61AE9" w14:paraId="7FB1B508" w14:textId="77777777" w:rsidTr="00592BB5">
        <w:trPr>
          <w:trHeight w:val="218"/>
        </w:trPr>
        <w:tc>
          <w:tcPr>
            <w:tcW w:w="3969" w:type="dxa"/>
            <w:tcBorders>
              <w:bottom w:val="single" w:sz="2" w:space="0" w:color="auto"/>
            </w:tcBorders>
            <w:vAlign w:val="bottom"/>
          </w:tcPr>
          <w:p w14:paraId="1ED7C775" w14:textId="77777777" w:rsidR="00773F7B" w:rsidRPr="00D61AE9" w:rsidRDefault="00773F7B" w:rsidP="00773F7B">
            <w:pPr>
              <w:pStyle w:val="T2"/>
              <w:rPr>
                <w:rFonts w:ascii="Calibri" w:hAnsi="Calibri" w:cs="Calibri"/>
              </w:rPr>
            </w:pPr>
          </w:p>
        </w:tc>
        <w:tc>
          <w:tcPr>
            <w:tcW w:w="850" w:type="dxa"/>
            <w:tcBorders>
              <w:bottom w:val="single" w:sz="2" w:space="0" w:color="auto"/>
            </w:tcBorders>
            <w:vAlign w:val="bottom"/>
          </w:tcPr>
          <w:p w14:paraId="570B9D3B" w14:textId="77777777" w:rsidR="00773F7B" w:rsidRPr="00737A18" w:rsidRDefault="00773F7B" w:rsidP="00592BB5">
            <w:pPr>
              <w:pStyle w:val="T2"/>
              <w:jc w:val="right"/>
            </w:pPr>
          </w:p>
        </w:tc>
        <w:tc>
          <w:tcPr>
            <w:tcW w:w="851" w:type="dxa"/>
            <w:tcBorders>
              <w:bottom w:val="single" w:sz="2" w:space="0" w:color="auto"/>
            </w:tcBorders>
            <w:vAlign w:val="bottom"/>
          </w:tcPr>
          <w:p w14:paraId="739BD671" w14:textId="77777777" w:rsidR="00773F7B" w:rsidRPr="00143344" w:rsidRDefault="00773F7B" w:rsidP="00592BB5">
            <w:pPr>
              <w:pStyle w:val="T2"/>
              <w:jc w:val="right"/>
              <w:rPr>
                <w:b/>
              </w:rPr>
            </w:pPr>
          </w:p>
        </w:tc>
        <w:tc>
          <w:tcPr>
            <w:tcW w:w="850" w:type="dxa"/>
            <w:tcBorders>
              <w:bottom w:val="single" w:sz="2" w:space="0" w:color="auto"/>
            </w:tcBorders>
            <w:vAlign w:val="bottom"/>
          </w:tcPr>
          <w:p w14:paraId="3C7EB07A" w14:textId="77777777" w:rsidR="00773F7B" w:rsidRPr="00143344" w:rsidRDefault="00773F7B" w:rsidP="00592BB5">
            <w:pPr>
              <w:pStyle w:val="T2"/>
              <w:jc w:val="right"/>
              <w:rPr>
                <w:b/>
              </w:rPr>
            </w:pPr>
          </w:p>
        </w:tc>
        <w:tc>
          <w:tcPr>
            <w:tcW w:w="851" w:type="dxa"/>
            <w:tcBorders>
              <w:bottom w:val="single" w:sz="2" w:space="0" w:color="auto"/>
            </w:tcBorders>
            <w:vAlign w:val="bottom"/>
          </w:tcPr>
          <w:p w14:paraId="634502DF" w14:textId="77777777" w:rsidR="00773F7B" w:rsidRPr="00D61AE9" w:rsidRDefault="00773F7B" w:rsidP="00592BB5">
            <w:pPr>
              <w:pStyle w:val="T2"/>
              <w:jc w:val="right"/>
            </w:pPr>
          </w:p>
        </w:tc>
        <w:tc>
          <w:tcPr>
            <w:tcW w:w="1276" w:type="dxa"/>
            <w:tcBorders>
              <w:bottom w:val="single" w:sz="2" w:space="0" w:color="auto"/>
            </w:tcBorders>
          </w:tcPr>
          <w:p w14:paraId="698C1AF2" w14:textId="77777777" w:rsidR="00773F7B" w:rsidRPr="000948AD" w:rsidRDefault="00773F7B" w:rsidP="00773F7B">
            <w:pPr>
              <w:pStyle w:val="T2"/>
              <w:jc w:val="right"/>
              <w:rPr>
                <w:b/>
              </w:rPr>
            </w:pPr>
            <w:r w:rsidRPr="000948AD">
              <w:rPr>
                <w:b/>
              </w:rPr>
              <w:t>£m</w:t>
            </w:r>
          </w:p>
        </w:tc>
        <w:tc>
          <w:tcPr>
            <w:tcW w:w="1134" w:type="dxa"/>
            <w:tcBorders>
              <w:bottom w:val="single" w:sz="2" w:space="0" w:color="auto"/>
            </w:tcBorders>
          </w:tcPr>
          <w:p w14:paraId="3EF2B25F" w14:textId="77777777" w:rsidR="00773F7B" w:rsidRPr="00D61AE9" w:rsidRDefault="00773F7B" w:rsidP="00773F7B">
            <w:pPr>
              <w:pStyle w:val="T2"/>
              <w:jc w:val="right"/>
            </w:pPr>
            <w:r w:rsidRPr="00D61AE9">
              <w:t>£m</w:t>
            </w:r>
          </w:p>
        </w:tc>
      </w:tr>
      <w:tr w:rsidR="00773F7B" w:rsidRPr="00D61AE9" w14:paraId="5724DE24" w14:textId="77777777" w:rsidTr="00592BB5">
        <w:trPr>
          <w:trHeight w:val="174"/>
        </w:trPr>
        <w:tc>
          <w:tcPr>
            <w:tcW w:w="3969" w:type="dxa"/>
            <w:tcBorders>
              <w:top w:val="single" w:sz="2" w:space="0" w:color="auto"/>
            </w:tcBorders>
            <w:vAlign w:val="bottom"/>
          </w:tcPr>
          <w:p w14:paraId="5F7B01E5" w14:textId="77777777" w:rsidR="00773F7B" w:rsidRPr="00D61AE9" w:rsidRDefault="00773F7B" w:rsidP="00773F7B">
            <w:pPr>
              <w:pStyle w:val="T2"/>
              <w:jc w:val="left"/>
              <w:rPr>
                <w:rFonts w:ascii="Calibri" w:hAnsi="Calibri" w:cs="Calibri"/>
              </w:rPr>
            </w:pPr>
            <w:r w:rsidRPr="00D61AE9">
              <w:rPr>
                <w:rFonts w:ascii="Calibri" w:hAnsi="Calibri" w:cs="Calibri"/>
              </w:rPr>
              <w:t>Purchase of property, plant and equipment</w:t>
            </w:r>
          </w:p>
        </w:tc>
        <w:tc>
          <w:tcPr>
            <w:tcW w:w="850" w:type="dxa"/>
            <w:tcBorders>
              <w:top w:val="single" w:sz="2" w:space="0" w:color="auto"/>
            </w:tcBorders>
            <w:vAlign w:val="bottom"/>
          </w:tcPr>
          <w:p w14:paraId="0D049020" w14:textId="77777777" w:rsidR="00773F7B" w:rsidRPr="00FC568F" w:rsidRDefault="00773F7B" w:rsidP="00592BB5">
            <w:pPr>
              <w:pStyle w:val="T2"/>
              <w:jc w:val="right"/>
              <w:rPr>
                <w:rFonts w:ascii="Calibri" w:hAnsi="Calibri" w:cs="Calibri"/>
                <w:b/>
              </w:rPr>
            </w:pPr>
          </w:p>
        </w:tc>
        <w:tc>
          <w:tcPr>
            <w:tcW w:w="851" w:type="dxa"/>
            <w:tcBorders>
              <w:top w:val="single" w:sz="2" w:space="0" w:color="auto"/>
            </w:tcBorders>
            <w:vAlign w:val="bottom"/>
          </w:tcPr>
          <w:p w14:paraId="0319DE9D" w14:textId="77777777" w:rsidR="00773F7B" w:rsidRPr="005D0EFF" w:rsidRDefault="00773F7B" w:rsidP="00592BB5">
            <w:pPr>
              <w:pStyle w:val="T2"/>
              <w:jc w:val="right"/>
              <w:rPr>
                <w:rFonts w:ascii="Calibri" w:hAnsi="Calibri" w:cs="Calibri"/>
              </w:rPr>
            </w:pPr>
          </w:p>
        </w:tc>
        <w:tc>
          <w:tcPr>
            <w:tcW w:w="850" w:type="dxa"/>
            <w:tcBorders>
              <w:top w:val="single" w:sz="2" w:space="0" w:color="auto"/>
            </w:tcBorders>
            <w:vAlign w:val="bottom"/>
          </w:tcPr>
          <w:p w14:paraId="127DEF5A" w14:textId="77777777" w:rsidR="00773F7B" w:rsidRPr="00FC568F" w:rsidRDefault="00773F7B" w:rsidP="00592BB5">
            <w:pPr>
              <w:pStyle w:val="T2"/>
              <w:jc w:val="right"/>
              <w:rPr>
                <w:rFonts w:ascii="Calibri" w:hAnsi="Calibri" w:cs="Calibri"/>
                <w:b/>
              </w:rPr>
            </w:pPr>
          </w:p>
        </w:tc>
        <w:tc>
          <w:tcPr>
            <w:tcW w:w="851" w:type="dxa"/>
            <w:tcBorders>
              <w:top w:val="single" w:sz="2" w:space="0" w:color="auto"/>
            </w:tcBorders>
            <w:vAlign w:val="bottom"/>
          </w:tcPr>
          <w:p w14:paraId="0453F9A9" w14:textId="77777777" w:rsidR="00773F7B" w:rsidRPr="005C6269" w:rsidRDefault="00773F7B" w:rsidP="00592BB5">
            <w:pPr>
              <w:pStyle w:val="T2"/>
              <w:jc w:val="right"/>
              <w:rPr>
                <w:rFonts w:ascii="Calibri" w:hAnsi="Calibri" w:cs="Calibri"/>
              </w:rPr>
            </w:pPr>
          </w:p>
        </w:tc>
        <w:tc>
          <w:tcPr>
            <w:tcW w:w="1276" w:type="dxa"/>
            <w:tcBorders>
              <w:top w:val="single" w:sz="2" w:space="0" w:color="auto"/>
            </w:tcBorders>
          </w:tcPr>
          <w:p w14:paraId="249D8816" w14:textId="77777777" w:rsidR="00773F7B" w:rsidRPr="000948AD" w:rsidRDefault="00646771" w:rsidP="00773F7B">
            <w:pPr>
              <w:pStyle w:val="T2"/>
              <w:jc w:val="right"/>
              <w:rPr>
                <w:rFonts w:ascii="Calibri" w:hAnsi="Calibri" w:cs="Calibri"/>
                <w:b/>
              </w:rPr>
            </w:pPr>
            <w:r>
              <w:rPr>
                <w:b/>
                <w:bCs/>
              </w:rPr>
              <w:t>15.0</w:t>
            </w:r>
          </w:p>
        </w:tc>
        <w:tc>
          <w:tcPr>
            <w:tcW w:w="1134" w:type="dxa"/>
            <w:tcBorders>
              <w:top w:val="single" w:sz="2" w:space="0" w:color="auto"/>
            </w:tcBorders>
          </w:tcPr>
          <w:p w14:paraId="4A7A769A" w14:textId="77777777" w:rsidR="00773F7B" w:rsidRPr="0096767F" w:rsidRDefault="000948AD" w:rsidP="00773F7B">
            <w:pPr>
              <w:pStyle w:val="T2"/>
              <w:jc w:val="right"/>
              <w:rPr>
                <w:rFonts w:ascii="Calibri" w:hAnsi="Calibri" w:cs="Calibri"/>
              </w:rPr>
            </w:pPr>
            <w:r>
              <w:rPr>
                <w:rFonts w:ascii="Calibri" w:hAnsi="Calibri" w:cs="Calibri"/>
              </w:rPr>
              <w:t>19.3</w:t>
            </w:r>
          </w:p>
        </w:tc>
      </w:tr>
      <w:tr w:rsidR="00773F7B" w:rsidRPr="00D61AE9" w14:paraId="4F8A49AC" w14:textId="77777777" w:rsidTr="001F1616">
        <w:trPr>
          <w:trHeight w:val="218"/>
        </w:trPr>
        <w:tc>
          <w:tcPr>
            <w:tcW w:w="3969" w:type="dxa"/>
            <w:tcBorders>
              <w:bottom w:val="single" w:sz="2" w:space="0" w:color="auto"/>
            </w:tcBorders>
            <w:vAlign w:val="bottom"/>
          </w:tcPr>
          <w:p w14:paraId="3C6AF002" w14:textId="77777777" w:rsidR="00773F7B" w:rsidRPr="00D61AE9" w:rsidRDefault="00773F7B" w:rsidP="00773F7B">
            <w:pPr>
              <w:pStyle w:val="T2"/>
              <w:jc w:val="left"/>
              <w:rPr>
                <w:rFonts w:ascii="Calibri" w:hAnsi="Calibri" w:cs="Calibri"/>
              </w:rPr>
            </w:pPr>
            <w:r w:rsidRPr="00D61AE9">
              <w:rPr>
                <w:rFonts w:ascii="Calibri" w:hAnsi="Calibri" w:cs="Calibri"/>
              </w:rPr>
              <w:t>Purchase of intangible assets</w:t>
            </w:r>
          </w:p>
        </w:tc>
        <w:tc>
          <w:tcPr>
            <w:tcW w:w="850" w:type="dxa"/>
            <w:tcBorders>
              <w:bottom w:val="single" w:sz="2" w:space="0" w:color="auto"/>
            </w:tcBorders>
            <w:vAlign w:val="bottom"/>
          </w:tcPr>
          <w:p w14:paraId="6D8649E6" w14:textId="77777777" w:rsidR="00773F7B" w:rsidRPr="00FC568F" w:rsidRDefault="00773F7B" w:rsidP="00592BB5">
            <w:pPr>
              <w:pStyle w:val="T2"/>
              <w:jc w:val="right"/>
              <w:rPr>
                <w:rFonts w:ascii="Calibri" w:hAnsi="Calibri" w:cs="Calibri"/>
                <w:b/>
              </w:rPr>
            </w:pPr>
          </w:p>
        </w:tc>
        <w:tc>
          <w:tcPr>
            <w:tcW w:w="851" w:type="dxa"/>
            <w:tcBorders>
              <w:bottom w:val="single" w:sz="2" w:space="0" w:color="auto"/>
            </w:tcBorders>
            <w:vAlign w:val="bottom"/>
          </w:tcPr>
          <w:p w14:paraId="53CE0034" w14:textId="77777777" w:rsidR="00773F7B" w:rsidRPr="005D0EFF" w:rsidRDefault="00773F7B" w:rsidP="00592BB5">
            <w:pPr>
              <w:pStyle w:val="T2"/>
              <w:jc w:val="right"/>
              <w:rPr>
                <w:rFonts w:ascii="Calibri" w:hAnsi="Calibri" w:cs="Calibri"/>
              </w:rPr>
            </w:pPr>
          </w:p>
        </w:tc>
        <w:tc>
          <w:tcPr>
            <w:tcW w:w="850" w:type="dxa"/>
            <w:tcBorders>
              <w:bottom w:val="single" w:sz="2" w:space="0" w:color="auto"/>
            </w:tcBorders>
            <w:vAlign w:val="bottom"/>
          </w:tcPr>
          <w:p w14:paraId="20EAAA47" w14:textId="77777777" w:rsidR="00773F7B" w:rsidRPr="00FC568F" w:rsidRDefault="00773F7B" w:rsidP="00592BB5">
            <w:pPr>
              <w:pStyle w:val="T2"/>
              <w:jc w:val="right"/>
              <w:rPr>
                <w:rFonts w:ascii="Calibri" w:hAnsi="Calibri" w:cs="Calibri"/>
                <w:b/>
              </w:rPr>
            </w:pPr>
          </w:p>
        </w:tc>
        <w:tc>
          <w:tcPr>
            <w:tcW w:w="851" w:type="dxa"/>
            <w:tcBorders>
              <w:bottom w:val="single" w:sz="2" w:space="0" w:color="auto"/>
            </w:tcBorders>
            <w:vAlign w:val="bottom"/>
          </w:tcPr>
          <w:p w14:paraId="65932209" w14:textId="77777777" w:rsidR="00773F7B" w:rsidRPr="005C6269" w:rsidRDefault="00773F7B" w:rsidP="00592BB5">
            <w:pPr>
              <w:pStyle w:val="T2"/>
              <w:jc w:val="right"/>
              <w:rPr>
                <w:rFonts w:ascii="Calibri" w:hAnsi="Calibri" w:cs="Calibri"/>
              </w:rPr>
            </w:pPr>
          </w:p>
        </w:tc>
        <w:tc>
          <w:tcPr>
            <w:tcW w:w="1276" w:type="dxa"/>
            <w:tcBorders>
              <w:bottom w:val="single" w:sz="2" w:space="0" w:color="auto"/>
            </w:tcBorders>
          </w:tcPr>
          <w:p w14:paraId="588D8E9B" w14:textId="77777777" w:rsidR="00773F7B" w:rsidRPr="000948AD" w:rsidRDefault="00646771" w:rsidP="00773F7B">
            <w:pPr>
              <w:pStyle w:val="T2"/>
              <w:jc w:val="right"/>
              <w:rPr>
                <w:rFonts w:ascii="Calibri" w:hAnsi="Calibri" w:cs="Calibri"/>
                <w:b/>
              </w:rPr>
            </w:pPr>
            <w:r>
              <w:rPr>
                <w:rFonts w:ascii="Calibri" w:hAnsi="Calibri" w:cs="Calibri"/>
                <w:b/>
              </w:rPr>
              <w:t>1.5</w:t>
            </w:r>
          </w:p>
        </w:tc>
        <w:tc>
          <w:tcPr>
            <w:tcW w:w="1134" w:type="dxa"/>
            <w:tcBorders>
              <w:bottom w:val="single" w:sz="2" w:space="0" w:color="auto"/>
            </w:tcBorders>
          </w:tcPr>
          <w:p w14:paraId="49A4BA42" w14:textId="77777777" w:rsidR="00773F7B" w:rsidRPr="0096767F" w:rsidRDefault="000948AD" w:rsidP="00773F7B">
            <w:pPr>
              <w:pStyle w:val="T2"/>
              <w:jc w:val="right"/>
              <w:rPr>
                <w:rFonts w:ascii="Calibri" w:hAnsi="Calibri" w:cs="Calibri"/>
              </w:rPr>
            </w:pPr>
            <w:r>
              <w:rPr>
                <w:rFonts w:ascii="Calibri" w:hAnsi="Calibri" w:cs="Calibri"/>
              </w:rPr>
              <w:t>1.8</w:t>
            </w:r>
          </w:p>
        </w:tc>
      </w:tr>
      <w:tr w:rsidR="00773F7B" w:rsidRPr="00D61AE9" w14:paraId="6B9303A5" w14:textId="77777777" w:rsidTr="001F1616">
        <w:trPr>
          <w:trHeight w:val="218"/>
        </w:trPr>
        <w:tc>
          <w:tcPr>
            <w:tcW w:w="3969" w:type="dxa"/>
            <w:tcBorders>
              <w:top w:val="single" w:sz="2" w:space="0" w:color="auto"/>
              <w:bottom w:val="single" w:sz="2" w:space="0" w:color="auto"/>
            </w:tcBorders>
            <w:vAlign w:val="bottom"/>
          </w:tcPr>
          <w:p w14:paraId="07392135" w14:textId="77777777" w:rsidR="00773F7B" w:rsidRPr="00D61AE9" w:rsidRDefault="00773F7B" w:rsidP="00773F7B">
            <w:pPr>
              <w:pStyle w:val="T2"/>
              <w:jc w:val="left"/>
              <w:rPr>
                <w:rFonts w:ascii="Calibri" w:hAnsi="Calibri" w:cs="Calibri"/>
                <w:b/>
                <w:bCs/>
              </w:rPr>
            </w:pPr>
            <w:r w:rsidRPr="00D61AE9">
              <w:rPr>
                <w:rFonts w:ascii="Calibri" w:hAnsi="Calibri" w:cs="Calibri"/>
                <w:b/>
                <w:bCs/>
              </w:rPr>
              <w:t>Net cash outflow from capital expenditure</w:t>
            </w:r>
          </w:p>
        </w:tc>
        <w:tc>
          <w:tcPr>
            <w:tcW w:w="850" w:type="dxa"/>
            <w:tcBorders>
              <w:top w:val="single" w:sz="2" w:space="0" w:color="auto"/>
              <w:bottom w:val="single" w:sz="2" w:space="0" w:color="auto"/>
            </w:tcBorders>
            <w:vAlign w:val="bottom"/>
          </w:tcPr>
          <w:p w14:paraId="35BB99F0" w14:textId="77777777" w:rsidR="00773F7B" w:rsidRPr="00FC568F" w:rsidRDefault="00773F7B" w:rsidP="00592BB5">
            <w:pPr>
              <w:pStyle w:val="T2"/>
              <w:jc w:val="right"/>
              <w:rPr>
                <w:rFonts w:ascii="Calibri" w:hAnsi="Calibri" w:cs="Calibri"/>
                <w:b/>
              </w:rPr>
            </w:pPr>
          </w:p>
        </w:tc>
        <w:tc>
          <w:tcPr>
            <w:tcW w:w="851" w:type="dxa"/>
            <w:tcBorders>
              <w:top w:val="single" w:sz="2" w:space="0" w:color="auto"/>
              <w:bottom w:val="single" w:sz="2" w:space="0" w:color="auto"/>
            </w:tcBorders>
            <w:vAlign w:val="bottom"/>
          </w:tcPr>
          <w:p w14:paraId="790D620D" w14:textId="77777777" w:rsidR="00773F7B" w:rsidRPr="005D0EFF" w:rsidRDefault="00773F7B" w:rsidP="00592BB5">
            <w:pPr>
              <w:pStyle w:val="T2"/>
              <w:jc w:val="right"/>
              <w:rPr>
                <w:rFonts w:ascii="Calibri" w:hAnsi="Calibri" w:cs="Calibri"/>
              </w:rPr>
            </w:pPr>
          </w:p>
        </w:tc>
        <w:tc>
          <w:tcPr>
            <w:tcW w:w="850" w:type="dxa"/>
            <w:tcBorders>
              <w:top w:val="single" w:sz="2" w:space="0" w:color="auto"/>
              <w:bottom w:val="single" w:sz="2" w:space="0" w:color="auto"/>
            </w:tcBorders>
            <w:vAlign w:val="bottom"/>
          </w:tcPr>
          <w:p w14:paraId="11779312" w14:textId="77777777" w:rsidR="00773F7B" w:rsidRPr="00FC568F" w:rsidRDefault="00773F7B" w:rsidP="00592BB5">
            <w:pPr>
              <w:pStyle w:val="T2"/>
              <w:jc w:val="right"/>
              <w:rPr>
                <w:rFonts w:ascii="Calibri" w:hAnsi="Calibri" w:cs="Calibri"/>
                <w:b/>
              </w:rPr>
            </w:pPr>
          </w:p>
        </w:tc>
        <w:tc>
          <w:tcPr>
            <w:tcW w:w="851" w:type="dxa"/>
            <w:tcBorders>
              <w:top w:val="single" w:sz="2" w:space="0" w:color="auto"/>
              <w:bottom w:val="single" w:sz="2" w:space="0" w:color="auto"/>
            </w:tcBorders>
            <w:vAlign w:val="bottom"/>
          </w:tcPr>
          <w:p w14:paraId="3351E73E" w14:textId="77777777" w:rsidR="00773F7B" w:rsidRPr="005C6269" w:rsidRDefault="00773F7B" w:rsidP="00592BB5">
            <w:pPr>
              <w:pStyle w:val="T2"/>
              <w:jc w:val="right"/>
            </w:pPr>
          </w:p>
        </w:tc>
        <w:tc>
          <w:tcPr>
            <w:tcW w:w="1276" w:type="dxa"/>
            <w:tcBorders>
              <w:top w:val="single" w:sz="2" w:space="0" w:color="auto"/>
              <w:bottom w:val="single" w:sz="2" w:space="0" w:color="auto"/>
            </w:tcBorders>
          </w:tcPr>
          <w:p w14:paraId="6820F6DC" w14:textId="77777777" w:rsidR="00773F7B" w:rsidRPr="000948AD" w:rsidRDefault="00646771" w:rsidP="00773F7B">
            <w:pPr>
              <w:pStyle w:val="T2"/>
              <w:jc w:val="right"/>
              <w:rPr>
                <w:rFonts w:ascii="Calibri" w:hAnsi="Calibri" w:cs="Calibri"/>
                <w:b/>
              </w:rPr>
            </w:pPr>
            <w:r>
              <w:rPr>
                <w:rFonts w:ascii="Calibri" w:hAnsi="Calibri" w:cs="Calibri"/>
                <w:b/>
              </w:rPr>
              <w:t>16.5</w:t>
            </w:r>
          </w:p>
        </w:tc>
        <w:tc>
          <w:tcPr>
            <w:tcW w:w="1134" w:type="dxa"/>
            <w:tcBorders>
              <w:top w:val="single" w:sz="2" w:space="0" w:color="auto"/>
              <w:bottom w:val="single" w:sz="2" w:space="0" w:color="auto"/>
            </w:tcBorders>
          </w:tcPr>
          <w:p w14:paraId="53AB3EBF" w14:textId="77777777" w:rsidR="00773F7B" w:rsidRPr="0096767F" w:rsidRDefault="000948AD" w:rsidP="00773F7B">
            <w:pPr>
              <w:pStyle w:val="T2"/>
              <w:jc w:val="right"/>
              <w:rPr>
                <w:rFonts w:ascii="Calibri" w:hAnsi="Calibri" w:cs="Calibri"/>
              </w:rPr>
            </w:pPr>
            <w:r>
              <w:rPr>
                <w:rFonts w:ascii="Calibri" w:hAnsi="Calibri" w:cs="Calibri"/>
              </w:rPr>
              <w:t>21.1</w:t>
            </w:r>
          </w:p>
        </w:tc>
      </w:tr>
      <w:tr w:rsidR="00773F7B" w:rsidRPr="00D61AE9" w14:paraId="6B18009F" w14:textId="77777777" w:rsidTr="001F1616">
        <w:trPr>
          <w:trHeight w:val="218"/>
        </w:trPr>
        <w:tc>
          <w:tcPr>
            <w:tcW w:w="3969" w:type="dxa"/>
            <w:tcBorders>
              <w:top w:val="single" w:sz="2" w:space="0" w:color="auto"/>
            </w:tcBorders>
            <w:vAlign w:val="bottom"/>
          </w:tcPr>
          <w:p w14:paraId="01FFBE1E" w14:textId="77777777" w:rsidR="00773F7B" w:rsidRPr="00D61AE9" w:rsidRDefault="00773F7B" w:rsidP="00773F7B">
            <w:pPr>
              <w:pStyle w:val="T2"/>
              <w:jc w:val="left"/>
              <w:rPr>
                <w:rFonts w:ascii="Calibri" w:hAnsi="Calibri" w:cs="Calibri"/>
                <w:b/>
                <w:bCs/>
              </w:rPr>
            </w:pPr>
          </w:p>
        </w:tc>
        <w:tc>
          <w:tcPr>
            <w:tcW w:w="850" w:type="dxa"/>
            <w:tcBorders>
              <w:top w:val="single" w:sz="2" w:space="0" w:color="auto"/>
            </w:tcBorders>
            <w:vAlign w:val="bottom"/>
          </w:tcPr>
          <w:p w14:paraId="4B2D2B09" w14:textId="77777777" w:rsidR="00773F7B" w:rsidRPr="00FC568F" w:rsidRDefault="00773F7B" w:rsidP="00592BB5">
            <w:pPr>
              <w:pStyle w:val="T2"/>
              <w:jc w:val="right"/>
              <w:rPr>
                <w:rFonts w:ascii="Calibri" w:hAnsi="Calibri" w:cs="Calibri"/>
                <w:b/>
              </w:rPr>
            </w:pPr>
          </w:p>
        </w:tc>
        <w:tc>
          <w:tcPr>
            <w:tcW w:w="851" w:type="dxa"/>
            <w:tcBorders>
              <w:top w:val="single" w:sz="2" w:space="0" w:color="auto"/>
            </w:tcBorders>
            <w:vAlign w:val="bottom"/>
          </w:tcPr>
          <w:p w14:paraId="1ED8E392" w14:textId="77777777" w:rsidR="00773F7B" w:rsidRPr="005D0EFF" w:rsidRDefault="00773F7B" w:rsidP="00592BB5">
            <w:pPr>
              <w:pStyle w:val="T2"/>
              <w:jc w:val="right"/>
              <w:rPr>
                <w:rFonts w:ascii="Calibri" w:hAnsi="Calibri" w:cs="Calibri"/>
              </w:rPr>
            </w:pPr>
          </w:p>
        </w:tc>
        <w:tc>
          <w:tcPr>
            <w:tcW w:w="850" w:type="dxa"/>
            <w:tcBorders>
              <w:top w:val="single" w:sz="2" w:space="0" w:color="auto"/>
            </w:tcBorders>
            <w:vAlign w:val="bottom"/>
          </w:tcPr>
          <w:p w14:paraId="019F26B8" w14:textId="77777777" w:rsidR="00773F7B" w:rsidRPr="00FC568F" w:rsidRDefault="00773F7B" w:rsidP="00592BB5">
            <w:pPr>
              <w:pStyle w:val="T2"/>
              <w:jc w:val="right"/>
              <w:rPr>
                <w:rFonts w:ascii="Calibri" w:hAnsi="Calibri" w:cs="Calibri"/>
                <w:b/>
              </w:rPr>
            </w:pPr>
          </w:p>
        </w:tc>
        <w:tc>
          <w:tcPr>
            <w:tcW w:w="851" w:type="dxa"/>
            <w:tcBorders>
              <w:top w:val="single" w:sz="2" w:space="0" w:color="auto"/>
            </w:tcBorders>
            <w:vAlign w:val="bottom"/>
          </w:tcPr>
          <w:p w14:paraId="519D09AE" w14:textId="77777777" w:rsidR="00773F7B" w:rsidRPr="005C6269" w:rsidRDefault="00773F7B" w:rsidP="00592BB5">
            <w:pPr>
              <w:pStyle w:val="T2"/>
              <w:jc w:val="right"/>
            </w:pPr>
          </w:p>
        </w:tc>
        <w:tc>
          <w:tcPr>
            <w:tcW w:w="1276" w:type="dxa"/>
            <w:tcBorders>
              <w:top w:val="single" w:sz="2" w:space="0" w:color="auto"/>
            </w:tcBorders>
          </w:tcPr>
          <w:p w14:paraId="108931D4" w14:textId="77777777" w:rsidR="00773F7B" w:rsidRPr="000948AD" w:rsidRDefault="00773F7B" w:rsidP="00773F7B">
            <w:pPr>
              <w:pStyle w:val="T2"/>
              <w:jc w:val="right"/>
              <w:rPr>
                <w:b/>
              </w:rPr>
            </w:pPr>
          </w:p>
        </w:tc>
        <w:tc>
          <w:tcPr>
            <w:tcW w:w="1134" w:type="dxa"/>
            <w:tcBorders>
              <w:top w:val="single" w:sz="2" w:space="0" w:color="auto"/>
            </w:tcBorders>
          </w:tcPr>
          <w:p w14:paraId="7A495A3E" w14:textId="77777777" w:rsidR="00773F7B" w:rsidRPr="005C6269" w:rsidRDefault="00773F7B" w:rsidP="00773F7B">
            <w:pPr>
              <w:pStyle w:val="T2"/>
              <w:jc w:val="right"/>
            </w:pPr>
          </w:p>
        </w:tc>
      </w:tr>
      <w:tr w:rsidR="00773F7B" w:rsidRPr="00D61AE9" w14:paraId="210AC01E" w14:textId="77777777" w:rsidTr="00592BB5">
        <w:trPr>
          <w:trHeight w:val="218"/>
        </w:trPr>
        <w:tc>
          <w:tcPr>
            <w:tcW w:w="3969" w:type="dxa"/>
            <w:vAlign w:val="bottom"/>
          </w:tcPr>
          <w:p w14:paraId="12DCB698" w14:textId="77777777" w:rsidR="00773F7B" w:rsidRPr="00D61AE9" w:rsidRDefault="00773F7B" w:rsidP="00773F7B">
            <w:pPr>
              <w:pStyle w:val="T2"/>
              <w:jc w:val="left"/>
              <w:rPr>
                <w:rFonts w:ascii="Calibri" w:hAnsi="Calibri" w:cs="Calibri"/>
              </w:rPr>
            </w:pPr>
            <w:r w:rsidRPr="00D61AE9">
              <w:rPr>
                <w:rFonts w:ascii="Calibri" w:hAnsi="Calibri" w:cs="Calibri"/>
              </w:rPr>
              <w:t>Strategic Capital Expenditure</w:t>
            </w:r>
          </w:p>
        </w:tc>
        <w:tc>
          <w:tcPr>
            <w:tcW w:w="850" w:type="dxa"/>
            <w:vAlign w:val="bottom"/>
          </w:tcPr>
          <w:p w14:paraId="3855AF2C" w14:textId="77777777" w:rsidR="00773F7B" w:rsidRPr="00FC568F" w:rsidRDefault="00773F7B" w:rsidP="00592BB5">
            <w:pPr>
              <w:pStyle w:val="T2"/>
              <w:jc w:val="right"/>
              <w:rPr>
                <w:rFonts w:ascii="Calibri" w:hAnsi="Calibri" w:cs="Calibri"/>
                <w:b/>
              </w:rPr>
            </w:pPr>
          </w:p>
        </w:tc>
        <w:tc>
          <w:tcPr>
            <w:tcW w:w="851" w:type="dxa"/>
            <w:vAlign w:val="bottom"/>
          </w:tcPr>
          <w:p w14:paraId="4A2E0F8A" w14:textId="77777777" w:rsidR="00773F7B" w:rsidRPr="005D0EFF" w:rsidRDefault="00773F7B" w:rsidP="00592BB5">
            <w:pPr>
              <w:pStyle w:val="T2"/>
              <w:jc w:val="right"/>
              <w:rPr>
                <w:rFonts w:ascii="Calibri" w:hAnsi="Calibri" w:cs="Calibri"/>
              </w:rPr>
            </w:pPr>
          </w:p>
        </w:tc>
        <w:tc>
          <w:tcPr>
            <w:tcW w:w="850" w:type="dxa"/>
            <w:vAlign w:val="bottom"/>
          </w:tcPr>
          <w:p w14:paraId="6416F1D4" w14:textId="77777777" w:rsidR="00773F7B" w:rsidRPr="00FC568F" w:rsidRDefault="00773F7B" w:rsidP="00592BB5">
            <w:pPr>
              <w:pStyle w:val="T2"/>
              <w:jc w:val="right"/>
              <w:rPr>
                <w:rFonts w:ascii="Calibri" w:hAnsi="Calibri" w:cs="Calibri"/>
                <w:b/>
              </w:rPr>
            </w:pPr>
          </w:p>
        </w:tc>
        <w:tc>
          <w:tcPr>
            <w:tcW w:w="851" w:type="dxa"/>
            <w:vAlign w:val="bottom"/>
          </w:tcPr>
          <w:p w14:paraId="5F4843E8" w14:textId="77777777" w:rsidR="00773F7B" w:rsidRPr="005C6269" w:rsidRDefault="00773F7B" w:rsidP="00592BB5">
            <w:pPr>
              <w:pStyle w:val="T2"/>
              <w:jc w:val="right"/>
              <w:rPr>
                <w:rFonts w:ascii="Calibri" w:hAnsi="Calibri" w:cs="Calibri"/>
              </w:rPr>
            </w:pPr>
          </w:p>
        </w:tc>
        <w:tc>
          <w:tcPr>
            <w:tcW w:w="1276" w:type="dxa"/>
          </w:tcPr>
          <w:p w14:paraId="7261F8B7" w14:textId="77777777" w:rsidR="00773F7B" w:rsidRPr="000948AD" w:rsidRDefault="00646771" w:rsidP="00773F7B">
            <w:pPr>
              <w:pStyle w:val="T2"/>
              <w:jc w:val="right"/>
              <w:rPr>
                <w:rFonts w:ascii="Calibri" w:hAnsi="Calibri" w:cs="Calibri"/>
                <w:b/>
              </w:rPr>
            </w:pPr>
            <w:r>
              <w:rPr>
                <w:b/>
                <w:bCs/>
              </w:rPr>
              <w:t>8.6</w:t>
            </w:r>
          </w:p>
        </w:tc>
        <w:tc>
          <w:tcPr>
            <w:tcW w:w="1134" w:type="dxa"/>
          </w:tcPr>
          <w:p w14:paraId="338F71BA" w14:textId="77777777" w:rsidR="00773F7B" w:rsidRPr="0096767F" w:rsidRDefault="000948AD" w:rsidP="00773F7B">
            <w:pPr>
              <w:pStyle w:val="T2"/>
              <w:jc w:val="right"/>
              <w:rPr>
                <w:rFonts w:ascii="Calibri" w:hAnsi="Calibri" w:cs="Calibri"/>
              </w:rPr>
            </w:pPr>
            <w:r>
              <w:rPr>
                <w:rFonts w:ascii="Calibri" w:hAnsi="Calibri" w:cs="Calibri"/>
              </w:rPr>
              <w:t>9.9</w:t>
            </w:r>
          </w:p>
        </w:tc>
      </w:tr>
      <w:tr w:rsidR="00773F7B" w:rsidRPr="00D61AE9" w14:paraId="003FBD72" w14:textId="77777777" w:rsidTr="001F1616">
        <w:trPr>
          <w:trHeight w:val="218"/>
        </w:trPr>
        <w:tc>
          <w:tcPr>
            <w:tcW w:w="3969" w:type="dxa"/>
            <w:tcBorders>
              <w:bottom w:val="single" w:sz="2" w:space="0" w:color="auto"/>
            </w:tcBorders>
            <w:vAlign w:val="bottom"/>
          </w:tcPr>
          <w:p w14:paraId="347906AE" w14:textId="77777777" w:rsidR="00773F7B" w:rsidRPr="00D61AE9" w:rsidRDefault="00773F7B" w:rsidP="00773F7B">
            <w:pPr>
              <w:pStyle w:val="T2"/>
              <w:jc w:val="left"/>
              <w:rPr>
                <w:rFonts w:ascii="Calibri" w:hAnsi="Calibri" w:cs="Calibri"/>
              </w:rPr>
            </w:pPr>
            <w:r w:rsidRPr="00D61AE9">
              <w:rPr>
                <w:rFonts w:ascii="Calibri" w:hAnsi="Calibri" w:cs="Calibri"/>
              </w:rPr>
              <w:t>Maintenance Capital Expenditure</w:t>
            </w:r>
          </w:p>
        </w:tc>
        <w:tc>
          <w:tcPr>
            <w:tcW w:w="850" w:type="dxa"/>
            <w:tcBorders>
              <w:bottom w:val="single" w:sz="2" w:space="0" w:color="auto"/>
            </w:tcBorders>
            <w:vAlign w:val="bottom"/>
          </w:tcPr>
          <w:p w14:paraId="22021B80" w14:textId="77777777" w:rsidR="00773F7B" w:rsidRPr="00FC568F" w:rsidRDefault="00773F7B" w:rsidP="00592BB5">
            <w:pPr>
              <w:pStyle w:val="T2"/>
              <w:jc w:val="right"/>
              <w:rPr>
                <w:rFonts w:ascii="Calibri" w:hAnsi="Calibri" w:cs="Calibri"/>
                <w:b/>
              </w:rPr>
            </w:pPr>
          </w:p>
        </w:tc>
        <w:tc>
          <w:tcPr>
            <w:tcW w:w="851" w:type="dxa"/>
            <w:tcBorders>
              <w:bottom w:val="single" w:sz="2" w:space="0" w:color="auto"/>
            </w:tcBorders>
            <w:vAlign w:val="bottom"/>
          </w:tcPr>
          <w:p w14:paraId="45E5D29E" w14:textId="77777777" w:rsidR="00773F7B" w:rsidRPr="005D0EFF" w:rsidRDefault="00773F7B" w:rsidP="00592BB5">
            <w:pPr>
              <w:pStyle w:val="T2"/>
              <w:jc w:val="right"/>
              <w:rPr>
                <w:rFonts w:ascii="Calibri" w:hAnsi="Calibri" w:cs="Calibri"/>
              </w:rPr>
            </w:pPr>
          </w:p>
        </w:tc>
        <w:tc>
          <w:tcPr>
            <w:tcW w:w="850" w:type="dxa"/>
            <w:tcBorders>
              <w:bottom w:val="single" w:sz="2" w:space="0" w:color="auto"/>
            </w:tcBorders>
            <w:vAlign w:val="bottom"/>
          </w:tcPr>
          <w:p w14:paraId="1CCDDE6D" w14:textId="77777777" w:rsidR="00773F7B" w:rsidRPr="00FC568F" w:rsidRDefault="00773F7B" w:rsidP="00592BB5">
            <w:pPr>
              <w:pStyle w:val="T2"/>
              <w:jc w:val="right"/>
              <w:rPr>
                <w:rFonts w:ascii="Calibri" w:hAnsi="Calibri" w:cs="Calibri"/>
                <w:b/>
              </w:rPr>
            </w:pPr>
          </w:p>
        </w:tc>
        <w:tc>
          <w:tcPr>
            <w:tcW w:w="851" w:type="dxa"/>
            <w:tcBorders>
              <w:bottom w:val="single" w:sz="2" w:space="0" w:color="auto"/>
            </w:tcBorders>
            <w:vAlign w:val="bottom"/>
          </w:tcPr>
          <w:p w14:paraId="20DACC13" w14:textId="77777777" w:rsidR="00773F7B" w:rsidRPr="005C6269" w:rsidRDefault="00773F7B" w:rsidP="00592BB5">
            <w:pPr>
              <w:pStyle w:val="T2"/>
              <w:jc w:val="right"/>
              <w:rPr>
                <w:rFonts w:ascii="Calibri" w:hAnsi="Calibri" w:cs="Calibri"/>
              </w:rPr>
            </w:pPr>
          </w:p>
        </w:tc>
        <w:tc>
          <w:tcPr>
            <w:tcW w:w="1276" w:type="dxa"/>
            <w:tcBorders>
              <w:bottom w:val="single" w:sz="2" w:space="0" w:color="auto"/>
            </w:tcBorders>
          </w:tcPr>
          <w:p w14:paraId="04D3AB87" w14:textId="77777777" w:rsidR="00773F7B" w:rsidRPr="000948AD" w:rsidRDefault="00646771" w:rsidP="00773F7B">
            <w:pPr>
              <w:pStyle w:val="T2"/>
              <w:jc w:val="right"/>
              <w:rPr>
                <w:rFonts w:ascii="Calibri" w:hAnsi="Calibri" w:cs="Calibri"/>
                <w:b/>
              </w:rPr>
            </w:pPr>
            <w:r>
              <w:rPr>
                <w:rFonts w:ascii="Calibri" w:hAnsi="Calibri" w:cs="Calibri"/>
                <w:b/>
              </w:rPr>
              <w:t>7.9</w:t>
            </w:r>
          </w:p>
        </w:tc>
        <w:tc>
          <w:tcPr>
            <w:tcW w:w="1134" w:type="dxa"/>
            <w:tcBorders>
              <w:bottom w:val="single" w:sz="2" w:space="0" w:color="auto"/>
            </w:tcBorders>
          </w:tcPr>
          <w:p w14:paraId="47681D7A" w14:textId="77777777" w:rsidR="00773F7B" w:rsidRPr="0096767F" w:rsidRDefault="000948AD" w:rsidP="00773F7B">
            <w:pPr>
              <w:pStyle w:val="T2"/>
              <w:jc w:val="right"/>
              <w:rPr>
                <w:rFonts w:ascii="Calibri" w:hAnsi="Calibri" w:cs="Calibri"/>
              </w:rPr>
            </w:pPr>
            <w:r>
              <w:rPr>
                <w:rFonts w:ascii="Calibri" w:hAnsi="Calibri" w:cs="Calibri"/>
              </w:rPr>
              <w:t>11.2</w:t>
            </w:r>
          </w:p>
        </w:tc>
      </w:tr>
      <w:tr w:rsidR="00773F7B" w:rsidRPr="00D61AE9" w14:paraId="4BFE35EA" w14:textId="77777777" w:rsidTr="001F1616">
        <w:trPr>
          <w:trHeight w:val="208"/>
        </w:trPr>
        <w:tc>
          <w:tcPr>
            <w:tcW w:w="3969" w:type="dxa"/>
            <w:tcBorders>
              <w:top w:val="single" w:sz="2" w:space="0" w:color="auto"/>
              <w:bottom w:val="single" w:sz="2" w:space="0" w:color="auto"/>
            </w:tcBorders>
            <w:vAlign w:val="bottom"/>
          </w:tcPr>
          <w:p w14:paraId="28537603" w14:textId="77777777" w:rsidR="00773F7B" w:rsidRPr="00D61AE9" w:rsidRDefault="00773F7B" w:rsidP="00773F7B">
            <w:pPr>
              <w:pStyle w:val="T2"/>
              <w:jc w:val="left"/>
              <w:rPr>
                <w:rFonts w:ascii="Calibri" w:hAnsi="Calibri" w:cs="Calibri"/>
                <w:b/>
                <w:bCs/>
              </w:rPr>
            </w:pPr>
            <w:r w:rsidRPr="00D61AE9">
              <w:rPr>
                <w:rFonts w:ascii="Calibri" w:hAnsi="Calibri" w:cs="Calibri"/>
                <w:b/>
                <w:bCs/>
              </w:rPr>
              <w:t>Net cash outflow from capital expenditure</w:t>
            </w:r>
          </w:p>
        </w:tc>
        <w:tc>
          <w:tcPr>
            <w:tcW w:w="850" w:type="dxa"/>
            <w:tcBorders>
              <w:top w:val="single" w:sz="2" w:space="0" w:color="auto"/>
              <w:bottom w:val="single" w:sz="2" w:space="0" w:color="auto"/>
            </w:tcBorders>
            <w:vAlign w:val="bottom"/>
          </w:tcPr>
          <w:p w14:paraId="24E32264" w14:textId="77777777" w:rsidR="00773F7B" w:rsidRPr="00FC568F" w:rsidRDefault="00773F7B" w:rsidP="00592BB5">
            <w:pPr>
              <w:pStyle w:val="T2"/>
              <w:jc w:val="right"/>
              <w:rPr>
                <w:rFonts w:ascii="Calibri" w:hAnsi="Calibri" w:cs="Calibri"/>
                <w:b/>
              </w:rPr>
            </w:pPr>
          </w:p>
        </w:tc>
        <w:tc>
          <w:tcPr>
            <w:tcW w:w="851" w:type="dxa"/>
            <w:tcBorders>
              <w:top w:val="single" w:sz="2" w:space="0" w:color="auto"/>
              <w:bottom w:val="single" w:sz="2" w:space="0" w:color="auto"/>
            </w:tcBorders>
            <w:vAlign w:val="bottom"/>
          </w:tcPr>
          <w:p w14:paraId="38AB1B43" w14:textId="77777777" w:rsidR="00773F7B" w:rsidRPr="005D0EFF" w:rsidRDefault="00773F7B" w:rsidP="00592BB5">
            <w:pPr>
              <w:pStyle w:val="T2"/>
              <w:jc w:val="right"/>
              <w:rPr>
                <w:rFonts w:ascii="Calibri" w:hAnsi="Calibri" w:cs="Calibri"/>
              </w:rPr>
            </w:pPr>
          </w:p>
        </w:tc>
        <w:tc>
          <w:tcPr>
            <w:tcW w:w="850" w:type="dxa"/>
            <w:tcBorders>
              <w:top w:val="single" w:sz="2" w:space="0" w:color="auto"/>
              <w:bottom w:val="single" w:sz="2" w:space="0" w:color="auto"/>
            </w:tcBorders>
            <w:vAlign w:val="bottom"/>
          </w:tcPr>
          <w:p w14:paraId="1741B761" w14:textId="77777777" w:rsidR="00773F7B" w:rsidRPr="00FC568F" w:rsidRDefault="00773F7B" w:rsidP="00592BB5">
            <w:pPr>
              <w:pStyle w:val="T2"/>
              <w:jc w:val="right"/>
              <w:rPr>
                <w:rFonts w:ascii="Calibri" w:hAnsi="Calibri" w:cs="Calibri"/>
                <w:b/>
              </w:rPr>
            </w:pPr>
          </w:p>
        </w:tc>
        <w:tc>
          <w:tcPr>
            <w:tcW w:w="851" w:type="dxa"/>
            <w:tcBorders>
              <w:top w:val="single" w:sz="2" w:space="0" w:color="auto"/>
              <w:bottom w:val="single" w:sz="2" w:space="0" w:color="auto"/>
            </w:tcBorders>
            <w:vAlign w:val="bottom"/>
          </w:tcPr>
          <w:p w14:paraId="4F24B624" w14:textId="77777777" w:rsidR="00773F7B" w:rsidRPr="005C6269" w:rsidRDefault="00773F7B" w:rsidP="00592BB5">
            <w:pPr>
              <w:pStyle w:val="T2"/>
              <w:jc w:val="right"/>
            </w:pPr>
          </w:p>
        </w:tc>
        <w:tc>
          <w:tcPr>
            <w:tcW w:w="1276" w:type="dxa"/>
            <w:tcBorders>
              <w:top w:val="single" w:sz="2" w:space="0" w:color="auto"/>
              <w:bottom w:val="single" w:sz="2" w:space="0" w:color="auto"/>
            </w:tcBorders>
          </w:tcPr>
          <w:p w14:paraId="4E6C5BDE" w14:textId="77777777" w:rsidR="00773F7B" w:rsidRPr="000948AD" w:rsidRDefault="00646771" w:rsidP="00773F7B">
            <w:pPr>
              <w:pStyle w:val="T2"/>
              <w:jc w:val="right"/>
              <w:rPr>
                <w:rFonts w:ascii="Calibri" w:hAnsi="Calibri" w:cs="Calibri"/>
                <w:b/>
              </w:rPr>
            </w:pPr>
            <w:r>
              <w:rPr>
                <w:b/>
                <w:bCs/>
              </w:rPr>
              <w:t>16.5</w:t>
            </w:r>
          </w:p>
        </w:tc>
        <w:tc>
          <w:tcPr>
            <w:tcW w:w="1134" w:type="dxa"/>
            <w:tcBorders>
              <w:top w:val="single" w:sz="2" w:space="0" w:color="auto"/>
              <w:bottom w:val="single" w:sz="2" w:space="0" w:color="auto"/>
            </w:tcBorders>
          </w:tcPr>
          <w:p w14:paraId="2E0D36DB" w14:textId="77777777" w:rsidR="00773F7B" w:rsidRPr="0096767F" w:rsidRDefault="000948AD" w:rsidP="00773F7B">
            <w:pPr>
              <w:pStyle w:val="T2"/>
              <w:jc w:val="right"/>
              <w:rPr>
                <w:rFonts w:ascii="Calibri" w:hAnsi="Calibri" w:cs="Calibri"/>
              </w:rPr>
            </w:pPr>
            <w:r>
              <w:rPr>
                <w:rFonts w:ascii="Calibri" w:hAnsi="Calibri" w:cs="Calibri"/>
              </w:rPr>
              <w:t>21.1</w:t>
            </w:r>
          </w:p>
        </w:tc>
      </w:tr>
    </w:tbl>
    <w:p w14:paraId="72674159" w14:textId="77777777" w:rsidR="00EB44C4" w:rsidRDefault="00EB44C4" w:rsidP="00773F7B">
      <w:pPr>
        <w:pStyle w:val="Paragraph"/>
        <w:rPr>
          <w:b/>
        </w:rPr>
      </w:pPr>
    </w:p>
    <w:p w14:paraId="7E42F062" w14:textId="77777777" w:rsidR="00773F7B" w:rsidRDefault="00773F7B" w:rsidP="00773F7B">
      <w:pPr>
        <w:pStyle w:val="Paragraph"/>
        <w:rPr>
          <w:b/>
        </w:rPr>
      </w:pPr>
      <w:r w:rsidRPr="006F5FF6">
        <w:rPr>
          <w:b/>
        </w:rPr>
        <w:t>FREE CASH FLOW</w:t>
      </w:r>
      <w:r>
        <w:rPr>
          <w:b/>
        </w:rPr>
        <w:t xml:space="preserve"> </w:t>
      </w:r>
    </w:p>
    <w:p w14:paraId="690CE5F2" w14:textId="77777777" w:rsidR="00773F7B" w:rsidRDefault="00773F7B" w:rsidP="00773F7B">
      <w:pPr>
        <w:pStyle w:val="Paragraph"/>
        <w:jc w:val="both"/>
      </w:pPr>
      <w:r>
        <w:t xml:space="preserve">The Group uses Free Cash Flow to measure the amount of underlying cash generation and the cash available for distribution and allocation. </w:t>
      </w:r>
    </w:p>
    <w:p w14:paraId="2EDE68FB" w14:textId="77777777" w:rsidR="00773F7B" w:rsidRDefault="00773F7B" w:rsidP="00773F7B">
      <w:pPr>
        <w:pStyle w:val="Paragraph"/>
        <w:jc w:val="both"/>
      </w:pPr>
      <w:r>
        <w:t>The Group calculates the Free Cash Flow as the net cash inflow/outflow from operating and investing activities before Strategic Capital Expenditure, acquisition and disposal of undertakings and adjusting for lease payments</w:t>
      </w:r>
      <w:r w:rsidR="0068359D">
        <w:t xml:space="preserve"> </w:t>
      </w:r>
      <w:r>
        <w:t xml:space="preserve">and dividends paid to non–controlling interests. </w:t>
      </w:r>
    </w:p>
    <w:p w14:paraId="256E2686" w14:textId="77777777" w:rsidR="00773F7B" w:rsidRDefault="00773F7B" w:rsidP="00773F7B">
      <w:pPr>
        <w:pStyle w:val="Paragraph"/>
        <w:jc w:val="both"/>
      </w:pPr>
      <w:r w:rsidRPr="00C80FA6">
        <w:t>The following table sets forth a reconciliation from the Group</w:t>
      </w:r>
      <w:r>
        <w:t>’</w:t>
      </w:r>
      <w:r w:rsidRPr="00C80FA6">
        <w:t xml:space="preserve">s net cash inflow from operating activities and net cash outflow from investing activities to </w:t>
      </w:r>
      <w:r>
        <w:t>Free</w:t>
      </w:r>
      <w:r w:rsidRPr="00C80FA6">
        <w:t xml:space="preserve"> Cash Flow:</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1"/>
        <w:gridCol w:w="532"/>
        <w:gridCol w:w="531"/>
        <w:gridCol w:w="532"/>
        <w:gridCol w:w="1276"/>
        <w:gridCol w:w="1134"/>
      </w:tblGrid>
      <w:tr w:rsidR="00B41E40" w14:paraId="6C5E7B25" w14:textId="77777777" w:rsidTr="00592BB5">
        <w:tc>
          <w:tcPr>
            <w:tcW w:w="5245" w:type="dxa"/>
          </w:tcPr>
          <w:p w14:paraId="0DC8A525" w14:textId="77777777" w:rsidR="00773F7B" w:rsidRPr="00782F7E" w:rsidRDefault="00773F7B" w:rsidP="00773F7B">
            <w:pPr>
              <w:pStyle w:val="T2"/>
            </w:pPr>
          </w:p>
        </w:tc>
        <w:tc>
          <w:tcPr>
            <w:tcW w:w="531" w:type="dxa"/>
            <w:vAlign w:val="bottom"/>
          </w:tcPr>
          <w:p w14:paraId="65743456" w14:textId="77777777" w:rsidR="00773F7B" w:rsidRPr="00737A18" w:rsidRDefault="00773F7B" w:rsidP="00592BB5">
            <w:pPr>
              <w:pStyle w:val="T2"/>
              <w:jc w:val="right"/>
              <w:rPr>
                <w:b/>
              </w:rPr>
            </w:pPr>
          </w:p>
        </w:tc>
        <w:tc>
          <w:tcPr>
            <w:tcW w:w="532" w:type="dxa"/>
            <w:vAlign w:val="bottom"/>
          </w:tcPr>
          <w:p w14:paraId="3608B46A" w14:textId="77777777" w:rsidR="00773F7B" w:rsidRPr="00737A18" w:rsidRDefault="00773F7B" w:rsidP="00592BB5">
            <w:pPr>
              <w:pStyle w:val="T2"/>
              <w:jc w:val="right"/>
              <w:rPr>
                <w:b/>
              </w:rPr>
            </w:pPr>
          </w:p>
        </w:tc>
        <w:tc>
          <w:tcPr>
            <w:tcW w:w="531" w:type="dxa"/>
            <w:vAlign w:val="bottom"/>
          </w:tcPr>
          <w:p w14:paraId="06FE12F0" w14:textId="77777777" w:rsidR="00773F7B" w:rsidRPr="00737A18" w:rsidRDefault="00773F7B" w:rsidP="00592BB5">
            <w:pPr>
              <w:pStyle w:val="T2"/>
              <w:jc w:val="right"/>
              <w:rPr>
                <w:b/>
              </w:rPr>
            </w:pPr>
          </w:p>
        </w:tc>
        <w:tc>
          <w:tcPr>
            <w:tcW w:w="532" w:type="dxa"/>
            <w:vAlign w:val="bottom"/>
          </w:tcPr>
          <w:p w14:paraId="5C293F27" w14:textId="77777777" w:rsidR="00773F7B" w:rsidRPr="00782F7E" w:rsidRDefault="00773F7B" w:rsidP="00592BB5">
            <w:pPr>
              <w:pStyle w:val="T2"/>
              <w:jc w:val="right"/>
            </w:pPr>
          </w:p>
        </w:tc>
        <w:tc>
          <w:tcPr>
            <w:tcW w:w="1276" w:type="dxa"/>
            <w:vAlign w:val="bottom"/>
          </w:tcPr>
          <w:p w14:paraId="35689D53" w14:textId="77777777" w:rsidR="00AE497B" w:rsidRDefault="00AE497B" w:rsidP="00773F7B">
            <w:pPr>
              <w:pStyle w:val="T2"/>
              <w:jc w:val="right"/>
              <w:rPr>
                <w:b/>
              </w:rPr>
            </w:pPr>
          </w:p>
          <w:p w14:paraId="0968510C" w14:textId="77777777" w:rsidR="00773F7B" w:rsidRPr="00592BB5" w:rsidRDefault="00592BB5" w:rsidP="00773F7B">
            <w:pPr>
              <w:pStyle w:val="T2"/>
              <w:jc w:val="right"/>
              <w:rPr>
                <w:b/>
              </w:rPr>
            </w:pPr>
            <w:r w:rsidRPr="00592BB5">
              <w:rPr>
                <w:b/>
              </w:rPr>
              <w:t>Half year 2021</w:t>
            </w:r>
          </w:p>
        </w:tc>
        <w:tc>
          <w:tcPr>
            <w:tcW w:w="1134" w:type="dxa"/>
            <w:vAlign w:val="bottom"/>
          </w:tcPr>
          <w:p w14:paraId="01F9EF50" w14:textId="77777777" w:rsidR="00773F7B" w:rsidRPr="00782F7E" w:rsidRDefault="00592BB5" w:rsidP="00773F7B">
            <w:pPr>
              <w:pStyle w:val="T2"/>
              <w:jc w:val="right"/>
            </w:pPr>
            <w:r>
              <w:t>Half year 2020</w:t>
            </w:r>
          </w:p>
        </w:tc>
      </w:tr>
      <w:tr w:rsidR="00B41E40" w14:paraId="7A2AD768" w14:textId="77777777" w:rsidTr="00592BB5">
        <w:tc>
          <w:tcPr>
            <w:tcW w:w="5245" w:type="dxa"/>
            <w:tcBorders>
              <w:bottom w:val="single" w:sz="2" w:space="0" w:color="auto"/>
            </w:tcBorders>
          </w:tcPr>
          <w:p w14:paraId="7FA7254A" w14:textId="77777777" w:rsidR="00773F7B" w:rsidRPr="00782F7E" w:rsidRDefault="00773F7B" w:rsidP="00773F7B">
            <w:pPr>
              <w:pStyle w:val="T2"/>
            </w:pPr>
          </w:p>
        </w:tc>
        <w:tc>
          <w:tcPr>
            <w:tcW w:w="531" w:type="dxa"/>
            <w:tcBorders>
              <w:bottom w:val="single" w:sz="2" w:space="0" w:color="auto"/>
            </w:tcBorders>
            <w:vAlign w:val="bottom"/>
          </w:tcPr>
          <w:p w14:paraId="4A4E798C" w14:textId="77777777" w:rsidR="00773F7B" w:rsidRPr="00782F7E" w:rsidRDefault="00773F7B" w:rsidP="00592BB5">
            <w:pPr>
              <w:pStyle w:val="T2"/>
              <w:jc w:val="right"/>
              <w:rPr>
                <w:b/>
              </w:rPr>
            </w:pPr>
          </w:p>
        </w:tc>
        <w:tc>
          <w:tcPr>
            <w:tcW w:w="532" w:type="dxa"/>
            <w:tcBorders>
              <w:bottom w:val="single" w:sz="2" w:space="0" w:color="auto"/>
            </w:tcBorders>
            <w:vAlign w:val="bottom"/>
          </w:tcPr>
          <w:p w14:paraId="3F99DED4" w14:textId="77777777" w:rsidR="00773F7B" w:rsidRPr="00782F7E" w:rsidRDefault="00773F7B" w:rsidP="00592BB5">
            <w:pPr>
              <w:pStyle w:val="T2"/>
              <w:jc w:val="right"/>
              <w:rPr>
                <w:b/>
              </w:rPr>
            </w:pPr>
          </w:p>
        </w:tc>
        <w:tc>
          <w:tcPr>
            <w:tcW w:w="531" w:type="dxa"/>
            <w:tcBorders>
              <w:bottom w:val="single" w:sz="2" w:space="0" w:color="auto"/>
            </w:tcBorders>
            <w:vAlign w:val="bottom"/>
          </w:tcPr>
          <w:p w14:paraId="0D06453C" w14:textId="77777777" w:rsidR="00773F7B" w:rsidRPr="00782F7E" w:rsidRDefault="00773F7B" w:rsidP="00592BB5">
            <w:pPr>
              <w:pStyle w:val="T2"/>
              <w:jc w:val="right"/>
              <w:rPr>
                <w:b/>
              </w:rPr>
            </w:pPr>
          </w:p>
        </w:tc>
        <w:tc>
          <w:tcPr>
            <w:tcW w:w="532" w:type="dxa"/>
            <w:tcBorders>
              <w:bottom w:val="single" w:sz="2" w:space="0" w:color="auto"/>
            </w:tcBorders>
            <w:vAlign w:val="bottom"/>
          </w:tcPr>
          <w:p w14:paraId="449AB695" w14:textId="77777777" w:rsidR="00773F7B" w:rsidRPr="00782F7E" w:rsidRDefault="00773F7B" w:rsidP="00592BB5">
            <w:pPr>
              <w:pStyle w:val="T2"/>
              <w:jc w:val="right"/>
            </w:pPr>
          </w:p>
        </w:tc>
        <w:tc>
          <w:tcPr>
            <w:tcW w:w="1276" w:type="dxa"/>
            <w:tcBorders>
              <w:bottom w:val="single" w:sz="2" w:space="0" w:color="auto"/>
            </w:tcBorders>
          </w:tcPr>
          <w:p w14:paraId="7E5B5D46" w14:textId="77777777" w:rsidR="00773F7B" w:rsidRPr="00592BB5" w:rsidRDefault="00592BB5" w:rsidP="00773F7B">
            <w:pPr>
              <w:pStyle w:val="T2"/>
              <w:jc w:val="right"/>
              <w:rPr>
                <w:b/>
              </w:rPr>
            </w:pPr>
            <w:r w:rsidRPr="00592BB5">
              <w:rPr>
                <w:b/>
              </w:rPr>
              <w:t>£m</w:t>
            </w:r>
          </w:p>
        </w:tc>
        <w:tc>
          <w:tcPr>
            <w:tcW w:w="1134" w:type="dxa"/>
            <w:tcBorders>
              <w:bottom w:val="single" w:sz="2" w:space="0" w:color="auto"/>
            </w:tcBorders>
          </w:tcPr>
          <w:p w14:paraId="12163CE5" w14:textId="77777777" w:rsidR="00773F7B" w:rsidRPr="00782F7E" w:rsidRDefault="00592BB5" w:rsidP="00773F7B">
            <w:pPr>
              <w:pStyle w:val="T2"/>
              <w:jc w:val="right"/>
            </w:pPr>
            <w:r>
              <w:t>£m</w:t>
            </w:r>
          </w:p>
        </w:tc>
      </w:tr>
      <w:tr w:rsidR="00592BB5" w14:paraId="342411C6" w14:textId="77777777" w:rsidTr="00592BB5">
        <w:tc>
          <w:tcPr>
            <w:tcW w:w="5245" w:type="dxa"/>
            <w:tcBorders>
              <w:top w:val="single" w:sz="2" w:space="0" w:color="auto"/>
            </w:tcBorders>
            <w:vAlign w:val="bottom"/>
          </w:tcPr>
          <w:p w14:paraId="5896B627" w14:textId="77777777" w:rsidR="00592BB5" w:rsidRPr="00782F7E" w:rsidRDefault="00592BB5" w:rsidP="00DA6313">
            <w:pPr>
              <w:pStyle w:val="T2"/>
              <w:jc w:val="left"/>
            </w:pPr>
            <w:r w:rsidRPr="00782F7E">
              <w:t xml:space="preserve">Net cash </w:t>
            </w:r>
            <w:r w:rsidR="00DA6313">
              <w:t>(outflow)/</w:t>
            </w:r>
            <w:r w:rsidRPr="00782F7E">
              <w:t>inflow from operating activities</w:t>
            </w:r>
          </w:p>
        </w:tc>
        <w:tc>
          <w:tcPr>
            <w:tcW w:w="531" w:type="dxa"/>
            <w:tcBorders>
              <w:top w:val="single" w:sz="2" w:space="0" w:color="auto"/>
            </w:tcBorders>
            <w:vAlign w:val="bottom"/>
          </w:tcPr>
          <w:p w14:paraId="28D6DC4C" w14:textId="77777777" w:rsidR="00592BB5" w:rsidRPr="00FC568F" w:rsidRDefault="00592BB5" w:rsidP="00592BB5">
            <w:pPr>
              <w:pStyle w:val="T2"/>
              <w:jc w:val="right"/>
              <w:rPr>
                <w:b/>
                <w:bCs/>
              </w:rPr>
            </w:pPr>
          </w:p>
        </w:tc>
        <w:tc>
          <w:tcPr>
            <w:tcW w:w="532" w:type="dxa"/>
            <w:tcBorders>
              <w:top w:val="single" w:sz="2" w:space="0" w:color="auto"/>
            </w:tcBorders>
            <w:vAlign w:val="bottom"/>
          </w:tcPr>
          <w:p w14:paraId="55CE1930" w14:textId="77777777" w:rsidR="00592BB5" w:rsidRPr="00FC568F" w:rsidRDefault="00592BB5" w:rsidP="00592BB5">
            <w:pPr>
              <w:pStyle w:val="T2"/>
              <w:jc w:val="right"/>
              <w:rPr>
                <w:b/>
                <w:bCs/>
              </w:rPr>
            </w:pPr>
          </w:p>
        </w:tc>
        <w:tc>
          <w:tcPr>
            <w:tcW w:w="531" w:type="dxa"/>
            <w:tcBorders>
              <w:top w:val="single" w:sz="2" w:space="0" w:color="auto"/>
            </w:tcBorders>
            <w:vAlign w:val="bottom"/>
          </w:tcPr>
          <w:p w14:paraId="5EA92E83" w14:textId="77777777" w:rsidR="00592BB5" w:rsidRPr="00FC568F" w:rsidRDefault="00592BB5" w:rsidP="00592BB5">
            <w:pPr>
              <w:pStyle w:val="T2"/>
              <w:jc w:val="right"/>
              <w:rPr>
                <w:b/>
                <w:bCs/>
              </w:rPr>
            </w:pPr>
          </w:p>
        </w:tc>
        <w:tc>
          <w:tcPr>
            <w:tcW w:w="532" w:type="dxa"/>
            <w:tcBorders>
              <w:top w:val="single" w:sz="2" w:space="0" w:color="auto"/>
            </w:tcBorders>
            <w:vAlign w:val="bottom"/>
          </w:tcPr>
          <w:p w14:paraId="1B6A3CE5" w14:textId="77777777" w:rsidR="00592BB5" w:rsidRPr="00782F7E" w:rsidRDefault="00592BB5" w:rsidP="00592BB5">
            <w:pPr>
              <w:pStyle w:val="T2"/>
              <w:jc w:val="right"/>
            </w:pPr>
          </w:p>
        </w:tc>
        <w:tc>
          <w:tcPr>
            <w:tcW w:w="1276" w:type="dxa"/>
            <w:tcBorders>
              <w:top w:val="single" w:sz="2" w:space="0" w:color="auto"/>
            </w:tcBorders>
          </w:tcPr>
          <w:p w14:paraId="55AEE6D8" w14:textId="77777777" w:rsidR="00592BB5" w:rsidRPr="00592BB5" w:rsidRDefault="00646771">
            <w:pPr>
              <w:pStyle w:val="T2"/>
              <w:jc w:val="right"/>
              <w:rPr>
                <w:b/>
                <w:bCs/>
              </w:rPr>
            </w:pPr>
            <w:r>
              <w:rPr>
                <w:rFonts w:ascii="Calibri" w:hAnsi="Calibri" w:cs="Calibri"/>
                <w:b/>
              </w:rPr>
              <w:t>(</w:t>
            </w:r>
            <w:r w:rsidR="00BA6D22">
              <w:rPr>
                <w:rFonts w:ascii="Calibri" w:hAnsi="Calibri" w:cs="Calibri"/>
                <w:b/>
              </w:rPr>
              <w:t>7.</w:t>
            </w:r>
            <w:r w:rsidR="000123F9">
              <w:rPr>
                <w:rFonts w:ascii="Calibri" w:hAnsi="Calibri" w:cs="Calibri"/>
                <w:b/>
              </w:rPr>
              <w:t>8</w:t>
            </w:r>
            <w:r>
              <w:rPr>
                <w:rFonts w:ascii="Calibri" w:hAnsi="Calibri" w:cs="Calibri"/>
                <w:b/>
              </w:rPr>
              <w:t>)</w:t>
            </w:r>
          </w:p>
        </w:tc>
        <w:tc>
          <w:tcPr>
            <w:tcW w:w="1134" w:type="dxa"/>
            <w:tcBorders>
              <w:top w:val="single" w:sz="2" w:space="0" w:color="auto"/>
            </w:tcBorders>
            <w:vAlign w:val="bottom"/>
          </w:tcPr>
          <w:p w14:paraId="31DADB83" w14:textId="77777777" w:rsidR="00592BB5" w:rsidRPr="0096767F" w:rsidRDefault="00592BB5" w:rsidP="00592BB5">
            <w:pPr>
              <w:pStyle w:val="T2"/>
              <w:jc w:val="right"/>
              <w:rPr>
                <w:bCs/>
              </w:rPr>
            </w:pPr>
            <w:r>
              <w:rPr>
                <w:bCs/>
              </w:rPr>
              <w:t>20.8</w:t>
            </w:r>
          </w:p>
        </w:tc>
      </w:tr>
      <w:tr w:rsidR="00592BB5" w14:paraId="67501BCA" w14:textId="77777777" w:rsidTr="00592BB5">
        <w:tc>
          <w:tcPr>
            <w:tcW w:w="5245" w:type="dxa"/>
            <w:tcBorders>
              <w:bottom w:val="single" w:sz="2" w:space="0" w:color="auto"/>
            </w:tcBorders>
            <w:vAlign w:val="bottom"/>
          </w:tcPr>
          <w:p w14:paraId="66CAA2F5" w14:textId="77777777" w:rsidR="00592BB5" w:rsidRPr="00782F7E" w:rsidRDefault="00592BB5" w:rsidP="00721D8A">
            <w:pPr>
              <w:pStyle w:val="T2"/>
              <w:jc w:val="left"/>
            </w:pPr>
            <w:r w:rsidRPr="00782F7E">
              <w:t xml:space="preserve">Net cash </w:t>
            </w:r>
            <w:r w:rsidR="00721D8A">
              <w:t>outflow</w:t>
            </w:r>
            <w:r w:rsidRPr="00782F7E">
              <w:t xml:space="preserve"> from investing activities</w:t>
            </w:r>
          </w:p>
        </w:tc>
        <w:tc>
          <w:tcPr>
            <w:tcW w:w="531" w:type="dxa"/>
            <w:tcBorders>
              <w:bottom w:val="single" w:sz="2" w:space="0" w:color="auto"/>
            </w:tcBorders>
            <w:vAlign w:val="bottom"/>
          </w:tcPr>
          <w:p w14:paraId="06DA7C88" w14:textId="77777777" w:rsidR="00592BB5" w:rsidRPr="00FC568F" w:rsidRDefault="00592BB5" w:rsidP="00592BB5">
            <w:pPr>
              <w:pStyle w:val="T2"/>
              <w:jc w:val="right"/>
              <w:rPr>
                <w:b/>
                <w:bCs/>
              </w:rPr>
            </w:pPr>
          </w:p>
        </w:tc>
        <w:tc>
          <w:tcPr>
            <w:tcW w:w="532" w:type="dxa"/>
            <w:tcBorders>
              <w:bottom w:val="single" w:sz="2" w:space="0" w:color="auto"/>
            </w:tcBorders>
            <w:vAlign w:val="bottom"/>
          </w:tcPr>
          <w:p w14:paraId="06E813A0" w14:textId="77777777" w:rsidR="00592BB5" w:rsidRPr="00FC568F" w:rsidRDefault="00592BB5" w:rsidP="00592BB5">
            <w:pPr>
              <w:pStyle w:val="T2"/>
              <w:jc w:val="right"/>
              <w:rPr>
                <w:b/>
                <w:bCs/>
              </w:rPr>
            </w:pPr>
          </w:p>
        </w:tc>
        <w:tc>
          <w:tcPr>
            <w:tcW w:w="531" w:type="dxa"/>
            <w:tcBorders>
              <w:bottom w:val="single" w:sz="2" w:space="0" w:color="auto"/>
            </w:tcBorders>
            <w:vAlign w:val="bottom"/>
          </w:tcPr>
          <w:p w14:paraId="104586AB" w14:textId="77777777" w:rsidR="00592BB5" w:rsidRPr="005D0EFF" w:rsidRDefault="00592BB5" w:rsidP="00592BB5">
            <w:pPr>
              <w:pStyle w:val="T2"/>
              <w:jc w:val="right"/>
              <w:rPr>
                <w:bCs/>
              </w:rPr>
            </w:pPr>
          </w:p>
        </w:tc>
        <w:tc>
          <w:tcPr>
            <w:tcW w:w="532" w:type="dxa"/>
            <w:tcBorders>
              <w:bottom w:val="single" w:sz="2" w:space="0" w:color="auto"/>
            </w:tcBorders>
            <w:vAlign w:val="bottom"/>
          </w:tcPr>
          <w:p w14:paraId="564C01AC" w14:textId="77777777" w:rsidR="00592BB5" w:rsidRPr="00782F7E" w:rsidRDefault="00592BB5" w:rsidP="00592BB5">
            <w:pPr>
              <w:pStyle w:val="T2"/>
              <w:jc w:val="right"/>
            </w:pPr>
          </w:p>
        </w:tc>
        <w:tc>
          <w:tcPr>
            <w:tcW w:w="1276" w:type="dxa"/>
            <w:tcBorders>
              <w:bottom w:val="single" w:sz="2" w:space="0" w:color="auto"/>
            </w:tcBorders>
          </w:tcPr>
          <w:p w14:paraId="3CE8FC20" w14:textId="77777777" w:rsidR="00592BB5" w:rsidRPr="00592BB5" w:rsidRDefault="00646771" w:rsidP="00592BB5">
            <w:pPr>
              <w:pStyle w:val="T2"/>
              <w:jc w:val="right"/>
              <w:rPr>
                <w:b/>
                <w:bCs/>
              </w:rPr>
            </w:pPr>
            <w:r>
              <w:rPr>
                <w:rFonts w:ascii="Calibri" w:hAnsi="Calibri" w:cs="Calibri"/>
                <w:b/>
              </w:rPr>
              <w:t>(0.2)</w:t>
            </w:r>
          </w:p>
        </w:tc>
        <w:tc>
          <w:tcPr>
            <w:tcW w:w="1134" w:type="dxa"/>
            <w:tcBorders>
              <w:bottom w:val="single" w:sz="2" w:space="0" w:color="auto"/>
            </w:tcBorders>
            <w:vAlign w:val="bottom"/>
          </w:tcPr>
          <w:p w14:paraId="511D2CE5" w14:textId="77777777" w:rsidR="00592BB5" w:rsidRPr="0096767F" w:rsidRDefault="00592BB5" w:rsidP="00592BB5">
            <w:pPr>
              <w:pStyle w:val="T2"/>
              <w:jc w:val="right"/>
              <w:rPr>
                <w:bCs/>
              </w:rPr>
            </w:pPr>
            <w:r>
              <w:rPr>
                <w:bCs/>
              </w:rPr>
              <w:t>(20.8)</w:t>
            </w:r>
          </w:p>
        </w:tc>
      </w:tr>
      <w:tr w:rsidR="00592BB5" w14:paraId="4BBB81DC" w14:textId="77777777" w:rsidTr="00592BB5">
        <w:tc>
          <w:tcPr>
            <w:tcW w:w="5245" w:type="dxa"/>
            <w:tcBorders>
              <w:top w:val="single" w:sz="2" w:space="0" w:color="auto"/>
            </w:tcBorders>
            <w:vAlign w:val="bottom"/>
          </w:tcPr>
          <w:p w14:paraId="074702FB" w14:textId="77777777" w:rsidR="00592BB5" w:rsidRPr="00457332" w:rsidRDefault="00592BB5" w:rsidP="00721D8A">
            <w:pPr>
              <w:pStyle w:val="T2"/>
              <w:jc w:val="left"/>
              <w:rPr>
                <w:b/>
              </w:rPr>
            </w:pPr>
            <w:r w:rsidRPr="00457332">
              <w:rPr>
                <w:b/>
              </w:rPr>
              <w:t>Net cash outflow from operating and investing activities</w:t>
            </w:r>
          </w:p>
        </w:tc>
        <w:tc>
          <w:tcPr>
            <w:tcW w:w="531" w:type="dxa"/>
            <w:tcBorders>
              <w:top w:val="single" w:sz="2" w:space="0" w:color="auto"/>
            </w:tcBorders>
            <w:vAlign w:val="bottom"/>
          </w:tcPr>
          <w:p w14:paraId="4A4A0E8E" w14:textId="77777777" w:rsidR="00592BB5" w:rsidRPr="00FC568F" w:rsidRDefault="00592BB5" w:rsidP="00592BB5">
            <w:pPr>
              <w:pStyle w:val="T2"/>
              <w:jc w:val="right"/>
              <w:rPr>
                <w:b/>
                <w:bCs/>
              </w:rPr>
            </w:pPr>
          </w:p>
        </w:tc>
        <w:tc>
          <w:tcPr>
            <w:tcW w:w="532" w:type="dxa"/>
            <w:tcBorders>
              <w:top w:val="single" w:sz="2" w:space="0" w:color="auto"/>
            </w:tcBorders>
            <w:vAlign w:val="bottom"/>
          </w:tcPr>
          <w:p w14:paraId="161D4058" w14:textId="77777777" w:rsidR="00592BB5" w:rsidRPr="00FC568F" w:rsidRDefault="00592BB5" w:rsidP="00592BB5">
            <w:pPr>
              <w:pStyle w:val="T2"/>
              <w:jc w:val="right"/>
              <w:rPr>
                <w:b/>
                <w:bCs/>
              </w:rPr>
            </w:pPr>
          </w:p>
        </w:tc>
        <w:tc>
          <w:tcPr>
            <w:tcW w:w="531" w:type="dxa"/>
            <w:tcBorders>
              <w:top w:val="single" w:sz="2" w:space="0" w:color="auto"/>
            </w:tcBorders>
            <w:vAlign w:val="bottom"/>
          </w:tcPr>
          <w:p w14:paraId="7B3A32E0" w14:textId="77777777" w:rsidR="00592BB5" w:rsidRPr="005D0EFF" w:rsidRDefault="00592BB5" w:rsidP="00592BB5">
            <w:pPr>
              <w:pStyle w:val="T2"/>
              <w:jc w:val="right"/>
              <w:rPr>
                <w:bCs/>
              </w:rPr>
            </w:pPr>
          </w:p>
        </w:tc>
        <w:tc>
          <w:tcPr>
            <w:tcW w:w="532" w:type="dxa"/>
            <w:tcBorders>
              <w:top w:val="single" w:sz="2" w:space="0" w:color="auto"/>
            </w:tcBorders>
            <w:vAlign w:val="bottom"/>
          </w:tcPr>
          <w:p w14:paraId="02BEC373" w14:textId="77777777" w:rsidR="00592BB5" w:rsidRPr="00782F7E" w:rsidRDefault="00592BB5" w:rsidP="00592BB5">
            <w:pPr>
              <w:pStyle w:val="T2"/>
              <w:jc w:val="right"/>
            </w:pPr>
          </w:p>
        </w:tc>
        <w:tc>
          <w:tcPr>
            <w:tcW w:w="1276" w:type="dxa"/>
            <w:tcBorders>
              <w:top w:val="single" w:sz="2" w:space="0" w:color="auto"/>
            </w:tcBorders>
          </w:tcPr>
          <w:p w14:paraId="6B5CC0DB" w14:textId="77777777" w:rsidR="00592BB5" w:rsidRPr="00592BB5" w:rsidRDefault="00646771">
            <w:pPr>
              <w:pStyle w:val="T2"/>
              <w:jc w:val="right"/>
              <w:rPr>
                <w:b/>
                <w:bCs/>
              </w:rPr>
            </w:pPr>
            <w:r>
              <w:rPr>
                <w:rFonts w:ascii="Calibri" w:hAnsi="Calibri" w:cs="Calibri"/>
                <w:b/>
              </w:rPr>
              <w:t>(</w:t>
            </w:r>
            <w:r w:rsidR="000123F9">
              <w:rPr>
                <w:rFonts w:ascii="Calibri" w:hAnsi="Calibri" w:cs="Calibri"/>
                <w:b/>
              </w:rPr>
              <w:t>8.0</w:t>
            </w:r>
            <w:r>
              <w:rPr>
                <w:rFonts w:ascii="Calibri" w:hAnsi="Calibri" w:cs="Calibri"/>
                <w:b/>
              </w:rPr>
              <w:t>)</w:t>
            </w:r>
          </w:p>
        </w:tc>
        <w:tc>
          <w:tcPr>
            <w:tcW w:w="1134" w:type="dxa"/>
            <w:tcBorders>
              <w:top w:val="single" w:sz="2" w:space="0" w:color="auto"/>
            </w:tcBorders>
            <w:vAlign w:val="bottom"/>
          </w:tcPr>
          <w:p w14:paraId="605F8699" w14:textId="77777777" w:rsidR="00592BB5" w:rsidRPr="0096767F" w:rsidRDefault="00592BB5" w:rsidP="00592BB5">
            <w:pPr>
              <w:pStyle w:val="T2"/>
              <w:jc w:val="right"/>
              <w:rPr>
                <w:bCs/>
              </w:rPr>
            </w:pPr>
            <w:r w:rsidRPr="000948AD">
              <w:rPr>
                <w:bCs/>
              </w:rPr>
              <w:t>–</w:t>
            </w:r>
          </w:p>
        </w:tc>
      </w:tr>
      <w:tr w:rsidR="00592BB5" w14:paraId="3BD2DA10" w14:textId="77777777" w:rsidTr="00592BB5">
        <w:tc>
          <w:tcPr>
            <w:tcW w:w="5245" w:type="dxa"/>
            <w:vAlign w:val="bottom"/>
          </w:tcPr>
          <w:p w14:paraId="7371AC6F" w14:textId="77777777" w:rsidR="00592BB5" w:rsidRPr="00782F7E" w:rsidRDefault="00592BB5" w:rsidP="00592BB5">
            <w:pPr>
              <w:pStyle w:val="T2"/>
              <w:jc w:val="left"/>
            </w:pPr>
            <w:r w:rsidRPr="00782F7E">
              <w:t>Strategic Capital Expenditure</w:t>
            </w:r>
          </w:p>
        </w:tc>
        <w:tc>
          <w:tcPr>
            <w:tcW w:w="531" w:type="dxa"/>
            <w:vAlign w:val="bottom"/>
          </w:tcPr>
          <w:p w14:paraId="6AF12485" w14:textId="77777777" w:rsidR="00592BB5" w:rsidRPr="00FC568F" w:rsidRDefault="00592BB5" w:rsidP="00592BB5">
            <w:pPr>
              <w:pStyle w:val="T2"/>
              <w:jc w:val="right"/>
              <w:rPr>
                <w:b/>
                <w:bCs/>
              </w:rPr>
            </w:pPr>
          </w:p>
        </w:tc>
        <w:tc>
          <w:tcPr>
            <w:tcW w:w="532" w:type="dxa"/>
            <w:vAlign w:val="bottom"/>
          </w:tcPr>
          <w:p w14:paraId="4012E872" w14:textId="77777777" w:rsidR="00592BB5" w:rsidRPr="00FC568F" w:rsidRDefault="00592BB5" w:rsidP="00592BB5">
            <w:pPr>
              <w:pStyle w:val="T2"/>
              <w:jc w:val="right"/>
              <w:rPr>
                <w:b/>
                <w:bCs/>
              </w:rPr>
            </w:pPr>
          </w:p>
        </w:tc>
        <w:tc>
          <w:tcPr>
            <w:tcW w:w="531" w:type="dxa"/>
            <w:vAlign w:val="bottom"/>
          </w:tcPr>
          <w:p w14:paraId="306C2712" w14:textId="77777777" w:rsidR="00592BB5" w:rsidRPr="005D0EFF" w:rsidRDefault="00592BB5" w:rsidP="00592BB5">
            <w:pPr>
              <w:pStyle w:val="T2"/>
              <w:jc w:val="right"/>
              <w:rPr>
                <w:bCs/>
              </w:rPr>
            </w:pPr>
          </w:p>
        </w:tc>
        <w:tc>
          <w:tcPr>
            <w:tcW w:w="532" w:type="dxa"/>
            <w:vAlign w:val="bottom"/>
          </w:tcPr>
          <w:p w14:paraId="4023A638" w14:textId="77777777" w:rsidR="00592BB5" w:rsidRPr="00782F7E" w:rsidRDefault="00592BB5" w:rsidP="00592BB5">
            <w:pPr>
              <w:pStyle w:val="T2"/>
              <w:jc w:val="right"/>
            </w:pPr>
          </w:p>
        </w:tc>
        <w:tc>
          <w:tcPr>
            <w:tcW w:w="1276" w:type="dxa"/>
          </w:tcPr>
          <w:p w14:paraId="32AC9387" w14:textId="77777777" w:rsidR="00592BB5" w:rsidRPr="00592BB5" w:rsidRDefault="00646771" w:rsidP="00592BB5">
            <w:pPr>
              <w:pStyle w:val="T2"/>
              <w:jc w:val="right"/>
              <w:rPr>
                <w:b/>
                <w:bCs/>
              </w:rPr>
            </w:pPr>
            <w:r>
              <w:rPr>
                <w:rFonts w:ascii="Calibri" w:hAnsi="Calibri" w:cs="Calibri"/>
                <w:b/>
              </w:rPr>
              <w:t>8.6</w:t>
            </w:r>
          </w:p>
        </w:tc>
        <w:tc>
          <w:tcPr>
            <w:tcW w:w="1134" w:type="dxa"/>
            <w:vAlign w:val="bottom"/>
          </w:tcPr>
          <w:p w14:paraId="21A46C13" w14:textId="77777777" w:rsidR="00592BB5" w:rsidRPr="0096767F" w:rsidRDefault="00592BB5" w:rsidP="00592BB5">
            <w:pPr>
              <w:pStyle w:val="T2"/>
              <w:jc w:val="right"/>
              <w:rPr>
                <w:bCs/>
              </w:rPr>
            </w:pPr>
            <w:r>
              <w:rPr>
                <w:bCs/>
              </w:rPr>
              <w:t>9.9</w:t>
            </w:r>
          </w:p>
        </w:tc>
      </w:tr>
      <w:tr w:rsidR="00592BB5" w14:paraId="4855C9EB" w14:textId="77777777" w:rsidTr="00592BB5">
        <w:tc>
          <w:tcPr>
            <w:tcW w:w="5245" w:type="dxa"/>
            <w:vAlign w:val="bottom"/>
          </w:tcPr>
          <w:p w14:paraId="23046464" w14:textId="77777777" w:rsidR="00592BB5" w:rsidRPr="00782F7E" w:rsidRDefault="00592BB5" w:rsidP="00592BB5">
            <w:pPr>
              <w:pStyle w:val="T2"/>
              <w:jc w:val="left"/>
            </w:pPr>
            <w:r w:rsidRPr="00782F7E">
              <w:t>Disposal of undertakings</w:t>
            </w:r>
          </w:p>
        </w:tc>
        <w:tc>
          <w:tcPr>
            <w:tcW w:w="531" w:type="dxa"/>
            <w:vAlign w:val="bottom"/>
          </w:tcPr>
          <w:p w14:paraId="7A8C1C3A" w14:textId="77777777" w:rsidR="00592BB5" w:rsidRPr="00FC568F" w:rsidRDefault="00592BB5" w:rsidP="00592BB5">
            <w:pPr>
              <w:pStyle w:val="T2"/>
              <w:jc w:val="right"/>
              <w:rPr>
                <w:b/>
                <w:bCs/>
              </w:rPr>
            </w:pPr>
          </w:p>
        </w:tc>
        <w:tc>
          <w:tcPr>
            <w:tcW w:w="532" w:type="dxa"/>
            <w:vAlign w:val="bottom"/>
          </w:tcPr>
          <w:p w14:paraId="6C23DD58" w14:textId="77777777" w:rsidR="00592BB5" w:rsidRPr="00FC568F" w:rsidRDefault="00592BB5" w:rsidP="00592BB5">
            <w:pPr>
              <w:pStyle w:val="T2"/>
              <w:jc w:val="right"/>
              <w:rPr>
                <w:b/>
                <w:bCs/>
              </w:rPr>
            </w:pPr>
          </w:p>
        </w:tc>
        <w:tc>
          <w:tcPr>
            <w:tcW w:w="531" w:type="dxa"/>
            <w:vAlign w:val="bottom"/>
          </w:tcPr>
          <w:p w14:paraId="36EF77F9" w14:textId="77777777" w:rsidR="00592BB5" w:rsidRPr="005D0EFF" w:rsidRDefault="00592BB5" w:rsidP="00592BB5">
            <w:pPr>
              <w:pStyle w:val="T2"/>
              <w:jc w:val="right"/>
              <w:rPr>
                <w:bCs/>
              </w:rPr>
            </w:pPr>
          </w:p>
        </w:tc>
        <w:tc>
          <w:tcPr>
            <w:tcW w:w="532" w:type="dxa"/>
            <w:vAlign w:val="bottom"/>
          </w:tcPr>
          <w:p w14:paraId="1BDA60CE" w14:textId="77777777" w:rsidR="00592BB5" w:rsidRPr="00782F7E" w:rsidRDefault="00592BB5" w:rsidP="00592BB5">
            <w:pPr>
              <w:pStyle w:val="T2"/>
              <w:jc w:val="right"/>
            </w:pPr>
          </w:p>
        </w:tc>
        <w:tc>
          <w:tcPr>
            <w:tcW w:w="1276" w:type="dxa"/>
          </w:tcPr>
          <w:p w14:paraId="23C06E0B" w14:textId="77777777" w:rsidR="00592BB5" w:rsidRPr="00592BB5" w:rsidRDefault="00646771" w:rsidP="00592BB5">
            <w:pPr>
              <w:pStyle w:val="T2"/>
              <w:jc w:val="right"/>
              <w:rPr>
                <w:b/>
                <w:bCs/>
              </w:rPr>
            </w:pPr>
            <w:r>
              <w:rPr>
                <w:rFonts w:ascii="Calibri" w:hAnsi="Calibri" w:cs="Calibri"/>
                <w:b/>
              </w:rPr>
              <w:t>(16.3)</w:t>
            </w:r>
          </w:p>
        </w:tc>
        <w:tc>
          <w:tcPr>
            <w:tcW w:w="1134" w:type="dxa"/>
            <w:vAlign w:val="bottom"/>
          </w:tcPr>
          <w:p w14:paraId="284A601C" w14:textId="77777777" w:rsidR="00592BB5" w:rsidRPr="0096767F" w:rsidRDefault="00592BB5" w:rsidP="00592BB5">
            <w:pPr>
              <w:pStyle w:val="T2"/>
              <w:jc w:val="right"/>
              <w:rPr>
                <w:bCs/>
              </w:rPr>
            </w:pPr>
            <w:r w:rsidRPr="000948AD">
              <w:rPr>
                <w:bCs/>
              </w:rPr>
              <w:t>–</w:t>
            </w:r>
          </w:p>
        </w:tc>
      </w:tr>
      <w:tr w:rsidR="00592BB5" w14:paraId="082B0C0B" w14:textId="77777777" w:rsidTr="00592BB5">
        <w:tc>
          <w:tcPr>
            <w:tcW w:w="5245" w:type="dxa"/>
            <w:vAlign w:val="bottom"/>
          </w:tcPr>
          <w:p w14:paraId="1E301B9B" w14:textId="77777777" w:rsidR="00592BB5" w:rsidRPr="00782F7E" w:rsidRDefault="00592BB5" w:rsidP="00592BB5">
            <w:pPr>
              <w:pStyle w:val="T2"/>
              <w:jc w:val="left"/>
            </w:pPr>
            <w:r>
              <w:t>Repayment of lease liabilities</w:t>
            </w:r>
          </w:p>
        </w:tc>
        <w:tc>
          <w:tcPr>
            <w:tcW w:w="531" w:type="dxa"/>
            <w:vAlign w:val="bottom"/>
          </w:tcPr>
          <w:p w14:paraId="369FDDFA" w14:textId="77777777" w:rsidR="00592BB5" w:rsidRPr="00FC568F" w:rsidDel="007A051A" w:rsidRDefault="00592BB5" w:rsidP="00592BB5">
            <w:pPr>
              <w:pStyle w:val="T2"/>
              <w:jc w:val="right"/>
              <w:rPr>
                <w:b/>
                <w:bCs/>
              </w:rPr>
            </w:pPr>
          </w:p>
        </w:tc>
        <w:tc>
          <w:tcPr>
            <w:tcW w:w="532" w:type="dxa"/>
            <w:vAlign w:val="bottom"/>
          </w:tcPr>
          <w:p w14:paraId="2E13A367" w14:textId="77777777" w:rsidR="00592BB5" w:rsidRPr="00FC568F" w:rsidDel="007A051A" w:rsidRDefault="00592BB5" w:rsidP="00592BB5">
            <w:pPr>
              <w:pStyle w:val="T2"/>
              <w:jc w:val="right"/>
              <w:rPr>
                <w:b/>
                <w:bCs/>
              </w:rPr>
            </w:pPr>
          </w:p>
        </w:tc>
        <w:tc>
          <w:tcPr>
            <w:tcW w:w="531" w:type="dxa"/>
            <w:vAlign w:val="bottom"/>
          </w:tcPr>
          <w:p w14:paraId="42706941" w14:textId="77777777" w:rsidR="00592BB5" w:rsidRPr="007A051A" w:rsidDel="007A051A" w:rsidRDefault="00592BB5" w:rsidP="00592BB5">
            <w:pPr>
              <w:pStyle w:val="T2"/>
              <w:jc w:val="right"/>
              <w:rPr>
                <w:bCs/>
              </w:rPr>
            </w:pPr>
          </w:p>
        </w:tc>
        <w:tc>
          <w:tcPr>
            <w:tcW w:w="532" w:type="dxa"/>
            <w:vAlign w:val="bottom"/>
          </w:tcPr>
          <w:p w14:paraId="6D82BD59" w14:textId="77777777" w:rsidR="00592BB5" w:rsidRPr="0096767F" w:rsidRDefault="00592BB5" w:rsidP="00592BB5">
            <w:pPr>
              <w:pStyle w:val="T2"/>
              <w:jc w:val="right"/>
              <w:rPr>
                <w:bCs/>
              </w:rPr>
            </w:pPr>
          </w:p>
        </w:tc>
        <w:tc>
          <w:tcPr>
            <w:tcW w:w="1276" w:type="dxa"/>
          </w:tcPr>
          <w:p w14:paraId="4BA6FE43" w14:textId="77777777" w:rsidR="00592BB5" w:rsidRPr="00592BB5" w:rsidRDefault="00646771">
            <w:pPr>
              <w:pStyle w:val="T2"/>
              <w:jc w:val="right"/>
              <w:rPr>
                <w:b/>
                <w:bCs/>
              </w:rPr>
            </w:pPr>
            <w:r>
              <w:rPr>
                <w:rFonts w:ascii="Calibri" w:hAnsi="Calibri" w:cs="Calibri"/>
                <w:b/>
              </w:rPr>
              <w:t>(</w:t>
            </w:r>
            <w:r w:rsidR="000123F9">
              <w:rPr>
                <w:rFonts w:ascii="Calibri" w:hAnsi="Calibri" w:cs="Calibri"/>
                <w:b/>
              </w:rPr>
              <w:t>7.9</w:t>
            </w:r>
            <w:r>
              <w:rPr>
                <w:rFonts w:ascii="Calibri" w:hAnsi="Calibri" w:cs="Calibri"/>
                <w:b/>
              </w:rPr>
              <w:t>)</w:t>
            </w:r>
          </w:p>
        </w:tc>
        <w:tc>
          <w:tcPr>
            <w:tcW w:w="1134" w:type="dxa"/>
            <w:vAlign w:val="bottom"/>
          </w:tcPr>
          <w:p w14:paraId="60751ECA" w14:textId="77777777" w:rsidR="00592BB5" w:rsidRDefault="00592BB5" w:rsidP="00592BB5">
            <w:pPr>
              <w:pStyle w:val="T2"/>
              <w:jc w:val="right"/>
              <w:rPr>
                <w:bCs/>
              </w:rPr>
            </w:pPr>
            <w:r>
              <w:rPr>
                <w:bCs/>
              </w:rPr>
              <w:t>(4.9)</w:t>
            </w:r>
          </w:p>
        </w:tc>
      </w:tr>
      <w:tr w:rsidR="00592BB5" w14:paraId="3E57D4E0" w14:textId="77777777" w:rsidTr="001F1616">
        <w:tc>
          <w:tcPr>
            <w:tcW w:w="5245" w:type="dxa"/>
            <w:tcBorders>
              <w:bottom w:val="single" w:sz="2" w:space="0" w:color="auto"/>
            </w:tcBorders>
            <w:vAlign w:val="bottom"/>
          </w:tcPr>
          <w:p w14:paraId="7679C19B" w14:textId="77777777" w:rsidR="00592BB5" w:rsidRPr="00782F7E" w:rsidRDefault="00592BB5" w:rsidP="00592BB5">
            <w:pPr>
              <w:pStyle w:val="T2"/>
              <w:jc w:val="left"/>
            </w:pPr>
            <w:r w:rsidRPr="00782F7E">
              <w:t>Dividends paid to non</w:t>
            </w:r>
            <w:r>
              <w:t>–</w:t>
            </w:r>
            <w:r w:rsidRPr="00782F7E">
              <w:t>controlling interests</w:t>
            </w:r>
          </w:p>
        </w:tc>
        <w:tc>
          <w:tcPr>
            <w:tcW w:w="531" w:type="dxa"/>
            <w:tcBorders>
              <w:bottom w:val="single" w:sz="2" w:space="0" w:color="auto"/>
            </w:tcBorders>
            <w:vAlign w:val="bottom"/>
          </w:tcPr>
          <w:p w14:paraId="38055FAE" w14:textId="77777777" w:rsidR="00592BB5" w:rsidRPr="00FC568F" w:rsidRDefault="00592BB5" w:rsidP="00592BB5">
            <w:pPr>
              <w:pStyle w:val="T2"/>
              <w:jc w:val="right"/>
              <w:rPr>
                <w:b/>
                <w:bCs/>
              </w:rPr>
            </w:pPr>
          </w:p>
        </w:tc>
        <w:tc>
          <w:tcPr>
            <w:tcW w:w="532" w:type="dxa"/>
            <w:tcBorders>
              <w:bottom w:val="single" w:sz="2" w:space="0" w:color="auto"/>
            </w:tcBorders>
            <w:vAlign w:val="bottom"/>
          </w:tcPr>
          <w:p w14:paraId="4134602A" w14:textId="77777777" w:rsidR="00592BB5" w:rsidRPr="00FC568F" w:rsidRDefault="00592BB5" w:rsidP="00592BB5">
            <w:pPr>
              <w:pStyle w:val="T2"/>
              <w:jc w:val="right"/>
              <w:rPr>
                <w:b/>
                <w:bCs/>
              </w:rPr>
            </w:pPr>
          </w:p>
        </w:tc>
        <w:tc>
          <w:tcPr>
            <w:tcW w:w="531" w:type="dxa"/>
            <w:tcBorders>
              <w:bottom w:val="single" w:sz="2" w:space="0" w:color="auto"/>
            </w:tcBorders>
            <w:vAlign w:val="bottom"/>
          </w:tcPr>
          <w:p w14:paraId="115A0FD1" w14:textId="77777777" w:rsidR="00592BB5" w:rsidRPr="005D0EFF" w:rsidRDefault="00592BB5" w:rsidP="00592BB5">
            <w:pPr>
              <w:pStyle w:val="T2"/>
              <w:jc w:val="right"/>
              <w:rPr>
                <w:bCs/>
              </w:rPr>
            </w:pPr>
          </w:p>
        </w:tc>
        <w:tc>
          <w:tcPr>
            <w:tcW w:w="532" w:type="dxa"/>
            <w:tcBorders>
              <w:bottom w:val="single" w:sz="2" w:space="0" w:color="auto"/>
            </w:tcBorders>
            <w:vAlign w:val="bottom"/>
          </w:tcPr>
          <w:p w14:paraId="471D6F43" w14:textId="77777777" w:rsidR="00592BB5" w:rsidRPr="00782F7E" w:rsidRDefault="00592BB5" w:rsidP="00592BB5">
            <w:pPr>
              <w:pStyle w:val="T2"/>
              <w:jc w:val="right"/>
            </w:pPr>
          </w:p>
        </w:tc>
        <w:tc>
          <w:tcPr>
            <w:tcW w:w="1276" w:type="dxa"/>
            <w:tcBorders>
              <w:bottom w:val="single" w:sz="2" w:space="0" w:color="auto"/>
            </w:tcBorders>
          </w:tcPr>
          <w:p w14:paraId="4F4228DE" w14:textId="77777777" w:rsidR="00592BB5" w:rsidRPr="00592BB5" w:rsidRDefault="00592BB5" w:rsidP="00592BB5">
            <w:pPr>
              <w:pStyle w:val="T2"/>
              <w:jc w:val="right"/>
              <w:rPr>
                <w:b/>
                <w:bCs/>
              </w:rPr>
            </w:pPr>
            <w:r w:rsidRPr="00F017DF">
              <w:rPr>
                <w:rFonts w:ascii="Calibri" w:hAnsi="Calibri" w:cs="Calibri"/>
                <w:b/>
              </w:rPr>
              <w:t>–</w:t>
            </w:r>
          </w:p>
        </w:tc>
        <w:tc>
          <w:tcPr>
            <w:tcW w:w="1134" w:type="dxa"/>
            <w:tcBorders>
              <w:bottom w:val="single" w:sz="2" w:space="0" w:color="auto"/>
            </w:tcBorders>
            <w:vAlign w:val="bottom"/>
          </w:tcPr>
          <w:p w14:paraId="3826AA16" w14:textId="77777777" w:rsidR="00592BB5" w:rsidRPr="0096767F" w:rsidRDefault="00592BB5" w:rsidP="00592BB5">
            <w:pPr>
              <w:pStyle w:val="T2"/>
              <w:jc w:val="right"/>
              <w:rPr>
                <w:bCs/>
              </w:rPr>
            </w:pPr>
            <w:r>
              <w:rPr>
                <w:bCs/>
              </w:rPr>
              <w:t>(2.4)</w:t>
            </w:r>
          </w:p>
        </w:tc>
      </w:tr>
      <w:tr w:rsidR="00592BB5" w14:paraId="1F2D2E88" w14:textId="77777777" w:rsidTr="001F1616">
        <w:tc>
          <w:tcPr>
            <w:tcW w:w="5245" w:type="dxa"/>
            <w:tcBorders>
              <w:top w:val="single" w:sz="2" w:space="0" w:color="auto"/>
              <w:bottom w:val="single" w:sz="2" w:space="0" w:color="auto"/>
            </w:tcBorders>
            <w:vAlign w:val="bottom"/>
          </w:tcPr>
          <w:p w14:paraId="4A8E68C5" w14:textId="77777777" w:rsidR="00592BB5" w:rsidRPr="00B52070" w:rsidRDefault="00592BB5" w:rsidP="00592BB5">
            <w:pPr>
              <w:pStyle w:val="T2"/>
              <w:jc w:val="left"/>
              <w:rPr>
                <w:rFonts w:ascii="Calibri" w:hAnsi="Calibri" w:cs="Calibri"/>
                <w:b/>
                <w:bCs/>
              </w:rPr>
            </w:pPr>
            <w:r w:rsidRPr="00B52070">
              <w:rPr>
                <w:rFonts w:ascii="Calibri" w:hAnsi="Calibri" w:cs="Calibri"/>
                <w:b/>
                <w:bCs/>
              </w:rPr>
              <w:t>Free Cash Flow</w:t>
            </w:r>
          </w:p>
        </w:tc>
        <w:tc>
          <w:tcPr>
            <w:tcW w:w="531" w:type="dxa"/>
            <w:tcBorders>
              <w:top w:val="single" w:sz="2" w:space="0" w:color="auto"/>
              <w:bottom w:val="single" w:sz="2" w:space="0" w:color="auto"/>
            </w:tcBorders>
            <w:vAlign w:val="bottom"/>
          </w:tcPr>
          <w:p w14:paraId="54562DC6" w14:textId="77777777" w:rsidR="00592BB5" w:rsidRPr="00B52070" w:rsidRDefault="00592BB5" w:rsidP="00592BB5">
            <w:pPr>
              <w:pStyle w:val="T2"/>
              <w:jc w:val="right"/>
              <w:rPr>
                <w:rFonts w:ascii="Calibri" w:hAnsi="Calibri" w:cs="Calibri"/>
                <w:b/>
                <w:bCs/>
              </w:rPr>
            </w:pPr>
          </w:p>
        </w:tc>
        <w:tc>
          <w:tcPr>
            <w:tcW w:w="532" w:type="dxa"/>
            <w:tcBorders>
              <w:top w:val="single" w:sz="2" w:space="0" w:color="auto"/>
              <w:bottom w:val="single" w:sz="2" w:space="0" w:color="auto"/>
            </w:tcBorders>
            <w:vAlign w:val="bottom"/>
          </w:tcPr>
          <w:p w14:paraId="0926E777" w14:textId="77777777" w:rsidR="00592BB5" w:rsidRPr="00B52070" w:rsidRDefault="00592BB5" w:rsidP="00592BB5">
            <w:pPr>
              <w:pStyle w:val="T2"/>
              <w:jc w:val="right"/>
              <w:rPr>
                <w:rFonts w:ascii="Calibri" w:hAnsi="Calibri" w:cs="Calibri"/>
                <w:b/>
                <w:bCs/>
              </w:rPr>
            </w:pPr>
          </w:p>
        </w:tc>
        <w:tc>
          <w:tcPr>
            <w:tcW w:w="531" w:type="dxa"/>
            <w:tcBorders>
              <w:top w:val="single" w:sz="2" w:space="0" w:color="auto"/>
              <w:bottom w:val="single" w:sz="2" w:space="0" w:color="auto"/>
            </w:tcBorders>
            <w:vAlign w:val="bottom"/>
          </w:tcPr>
          <w:p w14:paraId="348A6E3D" w14:textId="77777777" w:rsidR="00592BB5" w:rsidRPr="00B52070" w:rsidRDefault="00592BB5" w:rsidP="00592BB5">
            <w:pPr>
              <w:pStyle w:val="T2"/>
              <w:jc w:val="right"/>
              <w:rPr>
                <w:rFonts w:ascii="Calibri" w:hAnsi="Calibri" w:cs="Calibri"/>
                <w:b/>
                <w:bCs/>
              </w:rPr>
            </w:pPr>
          </w:p>
        </w:tc>
        <w:tc>
          <w:tcPr>
            <w:tcW w:w="532" w:type="dxa"/>
            <w:tcBorders>
              <w:top w:val="single" w:sz="2" w:space="0" w:color="auto"/>
              <w:bottom w:val="single" w:sz="2" w:space="0" w:color="auto"/>
            </w:tcBorders>
            <w:vAlign w:val="bottom"/>
          </w:tcPr>
          <w:p w14:paraId="3DB3E1DE" w14:textId="77777777" w:rsidR="00592BB5" w:rsidRPr="00B52070" w:rsidRDefault="00592BB5" w:rsidP="00592BB5">
            <w:pPr>
              <w:pStyle w:val="T2"/>
              <w:jc w:val="right"/>
              <w:rPr>
                <w:rFonts w:ascii="Calibri" w:hAnsi="Calibri" w:cs="Calibri"/>
                <w:b/>
                <w:bCs/>
              </w:rPr>
            </w:pPr>
          </w:p>
        </w:tc>
        <w:tc>
          <w:tcPr>
            <w:tcW w:w="1276" w:type="dxa"/>
            <w:tcBorders>
              <w:top w:val="single" w:sz="2" w:space="0" w:color="auto"/>
              <w:bottom w:val="single" w:sz="2" w:space="0" w:color="auto"/>
            </w:tcBorders>
          </w:tcPr>
          <w:p w14:paraId="38ECD4F8" w14:textId="77777777" w:rsidR="00592BB5" w:rsidRPr="00592BB5" w:rsidRDefault="00646771" w:rsidP="00800980">
            <w:pPr>
              <w:pStyle w:val="T2"/>
              <w:jc w:val="right"/>
              <w:rPr>
                <w:rFonts w:ascii="Calibri" w:hAnsi="Calibri" w:cs="Calibri"/>
                <w:b/>
                <w:bCs/>
              </w:rPr>
            </w:pPr>
            <w:r>
              <w:rPr>
                <w:rFonts w:ascii="Calibri" w:hAnsi="Calibri" w:cs="Calibri"/>
                <w:b/>
              </w:rPr>
              <w:t>(23.</w:t>
            </w:r>
            <w:r w:rsidR="00800980">
              <w:rPr>
                <w:rFonts w:ascii="Calibri" w:hAnsi="Calibri" w:cs="Calibri"/>
                <w:b/>
              </w:rPr>
              <w:t>6</w:t>
            </w:r>
            <w:r>
              <w:rPr>
                <w:rFonts w:ascii="Calibri" w:hAnsi="Calibri" w:cs="Calibri"/>
                <w:b/>
              </w:rPr>
              <w:t>)</w:t>
            </w:r>
          </w:p>
        </w:tc>
        <w:tc>
          <w:tcPr>
            <w:tcW w:w="1134" w:type="dxa"/>
            <w:tcBorders>
              <w:top w:val="single" w:sz="2" w:space="0" w:color="auto"/>
              <w:bottom w:val="single" w:sz="2" w:space="0" w:color="auto"/>
            </w:tcBorders>
            <w:vAlign w:val="bottom"/>
          </w:tcPr>
          <w:p w14:paraId="70B30755" w14:textId="77777777" w:rsidR="00592BB5" w:rsidRPr="00AA12F9" w:rsidRDefault="00592BB5" w:rsidP="00592BB5">
            <w:pPr>
              <w:pStyle w:val="T2"/>
              <w:jc w:val="right"/>
              <w:rPr>
                <w:rFonts w:ascii="Calibri" w:hAnsi="Calibri" w:cs="Calibri"/>
                <w:bCs/>
              </w:rPr>
            </w:pPr>
            <w:r w:rsidRPr="00AA12F9">
              <w:rPr>
                <w:rFonts w:ascii="Calibri" w:hAnsi="Calibri" w:cs="Calibri"/>
                <w:bCs/>
              </w:rPr>
              <w:t>2.6</w:t>
            </w:r>
          </w:p>
        </w:tc>
      </w:tr>
    </w:tbl>
    <w:p w14:paraId="235EEB8E" w14:textId="77777777" w:rsidR="007645C9" w:rsidRDefault="007645C9" w:rsidP="00773F7B">
      <w:pPr>
        <w:pStyle w:val="Paragraph"/>
        <w:rPr>
          <w:b/>
        </w:rPr>
      </w:pPr>
    </w:p>
    <w:p w14:paraId="0B7F5964" w14:textId="77777777" w:rsidR="00773F7B" w:rsidRDefault="00773F7B" w:rsidP="00773F7B">
      <w:pPr>
        <w:pStyle w:val="Paragraph"/>
        <w:rPr>
          <w:b/>
        </w:rPr>
      </w:pPr>
      <w:r w:rsidRPr="00457332">
        <w:rPr>
          <w:b/>
        </w:rPr>
        <w:t>NET DEBT</w:t>
      </w:r>
      <w:r>
        <w:rPr>
          <w:b/>
        </w:rPr>
        <w:t xml:space="preserve"> AND NET DEBT EXCLUDING LEASE LIABILITIES</w:t>
      </w:r>
    </w:p>
    <w:p w14:paraId="2F950AA6" w14:textId="77777777" w:rsidR="00773F7B" w:rsidRDefault="00773F7B" w:rsidP="00773F7B">
      <w:pPr>
        <w:pStyle w:val="Paragraph"/>
        <w:jc w:val="both"/>
      </w:pPr>
      <w:r w:rsidRPr="00457332">
        <w:t>Net Debt is used by the Group to measure overall cash generation of the Group and to identify cash available to reduce borrowings</w:t>
      </w:r>
      <w:r>
        <w:t>. N</w:t>
      </w:r>
      <w:r w:rsidRPr="00457332">
        <w:t>et Debt comprises current and non</w:t>
      </w:r>
      <w:r>
        <w:t>–</w:t>
      </w:r>
      <w:r w:rsidRPr="00457332">
        <w:t>current borrowings less net cash and cash equivalents</w:t>
      </w:r>
      <w:r>
        <w:t>.</w:t>
      </w:r>
    </w:p>
    <w:p w14:paraId="03C65A6D" w14:textId="77777777" w:rsidR="00B41E40" w:rsidRDefault="00B41E40" w:rsidP="00665CB5">
      <w:pPr>
        <w:pStyle w:val="Paragraph"/>
        <w:jc w:val="both"/>
      </w:pPr>
      <w:r>
        <w:t>Net Debt excluding</w:t>
      </w:r>
      <w:r w:rsidRPr="004A2ED9">
        <w:t xml:space="preserve"> Lease</w:t>
      </w:r>
      <w:r>
        <w:t xml:space="preserve"> Liabilities</w:t>
      </w:r>
      <w:r w:rsidRPr="004A2ED9">
        <w:t xml:space="preserve"> is a measure used by the Group to measure Net De</w:t>
      </w:r>
      <w:r>
        <w:t xml:space="preserve">bt excluding the impact of IFRS 16 </w:t>
      </w:r>
      <w:r w:rsidRPr="00D63F20">
        <w:rPr>
          <w:i/>
          <w:iCs/>
        </w:rPr>
        <w:t>Leases</w:t>
      </w:r>
      <w:r>
        <w:t>. Net Debt excluding Lease Liabilities is used for the purpose of calculating leverage under the Group</w:t>
      </w:r>
      <w:r w:rsidR="000C09E6">
        <w:t>’</w:t>
      </w:r>
      <w:r>
        <w:t>s financing agreements.</w:t>
      </w:r>
    </w:p>
    <w:p w14:paraId="6B87AC16" w14:textId="77777777" w:rsidR="00B41E40" w:rsidRDefault="00B41E40" w:rsidP="00B41E40">
      <w:pPr>
        <w:pStyle w:val="Paragraph"/>
        <w:jc w:val="both"/>
      </w:pPr>
      <w:r w:rsidRPr="00457332">
        <w:t xml:space="preserve">The following table sets out the calculation of </w:t>
      </w:r>
      <w:r w:rsidR="00B41C0F">
        <w:t xml:space="preserve">Net Debt and </w:t>
      </w:r>
      <w:r w:rsidRPr="00457332">
        <w:t>Net Debt</w:t>
      </w:r>
      <w:r>
        <w:t xml:space="preserve"> excluding lease liabilities</w:t>
      </w:r>
      <w:r w:rsidRPr="0045733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992"/>
        <w:gridCol w:w="947"/>
      </w:tblGrid>
      <w:tr w:rsidR="00773F7B" w14:paraId="080474CA" w14:textId="77777777" w:rsidTr="00773F7B">
        <w:tc>
          <w:tcPr>
            <w:tcW w:w="7797" w:type="dxa"/>
            <w:vAlign w:val="bottom"/>
          </w:tcPr>
          <w:p w14:paraId="4EE1B370" w14:textId="77777777" w:rsidR="00773F7B" w:rsidRPr="00457332" w:rsidRDefault="00773F7B" w:rsidP="00773F7B">
            <w:pPr>
              <w:pStyle w:val="T2"/>
              <w:jc w:val="left"/>
            </w:pPr>
          </w:p>
        </w:tc>
        <w:tc>
          <w:tcPr>
            <w:tcW w:w="992" w:type="dxa"/>
            <w:vAlign w:val="bottom"/>
          </w:tcPr>
          <w:p w14:paraId="43ADBBCF" w14:textId="77777777" w:rsidR="00AE497B" w:rsidRDefault="00AE497B" w:rsidP="00592BB5">
            <w:pPr>
              <w:pStyle w:val="T2"/>
              <w:jc w:val="right"/>
              <w:rPr>
                <w:b/>
              </w:rPr>
            </w:pPr>
          </w:p>
          <w:p w14:paraId="7B0AD228" w14:textId="77777777" w:rsidR="00773F7B" w:rsidRPr="000C1EBD" w:rsidRDefault="00773F7B" w:rsidP="00592BB5">
            <w:pPr>
              <w:pStyle w:val="T2"/>
              <w:jc w:val="right"/>
              <w:rPr>
                <w:b/>
              </w:rPr>
            </w:pPr>
            <w:r w:rsidRPr="000C1EBD">
              <w:rPr>
                <w:b/>
              </w:rPr>
              <w:t>Half year</w:t>
            </w:r>
            <w:r w:rsidRPr="000C1EBD">
              <w:rPr>
                <w:b/>
              </w:rPr>
              <w:br/>
              <w:t>20</w:t>
            </w:r>
            <w:r w:rsidR="00592BB5">
              <w:rPr>
                <w:b/>
              </w:rPr>
              <w:t>21</w:t>
            </w:r>
          </w:p>
        </w:tc>
        <w:tc>
          <w:tcPr>
            <w:tcW w:w="947" w:type="dxa"/>
            <w:vAlign w:val="bottom"/>
          </w:tcPr>
          <w:p w14:paraId="692D4031" w14:textId="77777777" w:rsidR="00773F7B" w:rsidRPr="00457332" w:rsidRDefault="00773F7B" w:rsidP="00592BB5">
            <w:pPr>
              <w:pStyle w:val="T2"/>
              <w:jc w:val="right"/>
            </w:pPr>
            <w:r w:rsidRPr="00457332">
              <w:t>Half year</w:t>
            </w:r>
            <w:r w:rsidRPr="00457332">
              <w:br/>
              <w:t>20</w:t>
            </w:r>
            <w:r w:rsidR="00592BB5">
              <w:t>20</w:t>
            </w:r>
          </w:p>
        </w:tc>
      </w:tr>
      <w:tr w:rsidR="00773F7B" w14:paraId="7291673C" w14:textId="77777777" w:rsidTr="00773F7B">
        <w:tc>
          <w:tcPr>
            <w:tcW w:w="7797" w:type="dxa"/>
            <w:tcBorders>
              <w:bottom w:val="single" w:sz="2" w:space="0" w:color="auto"/>
            </w:tcBorders>
            <w:vAlign w:val="bottom"/>
          </w:tcPr>
          <w:p w14:paraId="2E012CD2" w14:textId="77777777" w:rsidR="00773F7B" w:rsidRPr="00457332" w:rsidRDefault="00773F7B" w:rsidP="00773F7B">
            <w:pPr>
              <w:pStyle w:val="T2"/>
              <w:jc w:val="left"/>
            </w:pPr>
          </w:p>
        </w:tc>
        <w:tc>
          <w:tcPr>
            <w:tcW w:w="992" w:type="dxa"/>
            <w:tcBorders>
              <w:bottom w:val="single" w:sz="2" w:space="0" w:color="auto"/>
            </w:tcBorders>
            <w:vAlign w:val="bottom"/>
          </w:tcPr>
          <w:p w14:paraId="7E213A0B" w14:textId="77777777" w:rsidR="00773F7B" w:rsidRPr="000C1EBD" w:rsidRDefault="00773F7B" w:rsidP="00773F7B">
            <w:pPr>
              <w:pStyle w:val="T2"/>
              <w:jc w:val="right"/>
              <w:rPr>
                <w:b/>
              </w:rPr>
            </w:pPr>
            <w:r w:rsidRPr="000C1EBD">
              <w:rPr>
                <w:b/>
              </w:rPr>
              <w:t>£m</w:t>
            </w:r>
          </w:p>
        </w:tc>
        <w:tc>
          <w:tcPr>
            <w:tcW w:w="947" w:type="dxa"/>
            <w:tcBorders>
              <w:bottom w:val="single" w:sz="2" w:space="0" w:color="auto"/>
            </w:tcBorders>
            <w:vAlign w:val="bottom"/>
          </w:tcPr>
          <w:p w14:paraId="5BBCBC51" w14:textId="77777777" w:rsidR="00773F7B" w:rsidRPr="00457332" w:rsidRDefault="00773F7B" w:rsidP="00773F7B">
            <w:pPr>
              <w:pStyle w:val="T2"/>
              <w:jc w:val="right"/>
            </w:pPr>
            <w:r w:rsidRPr="00457332">
              <w:t>£m</w:t>
            </w:r>
          </w:p>
        </w:tc>
      </w:tr>
      <w:tr w:rsidR="00592BB5" w14:paraId="7FC8D297" w14:textId="77777777" w:rsidTr="00592BB5">
        <w:tc>
          <w:tcPr>
            <w:tcW w:w="7797" w:type="dxa"/>
            <w:vAlign w:val="bottom"/>
          </w:tcPr>
          <w:p w14:paraId="4F3253A5" w14:textId="77777777" w:rsidR="00592BB5" w:rsidRPr="00457332" w:rsidRDefault="00592BB5" w:rsidP="00592BB5">
            <w:pPr>
              <w:pStyle w:val="T2"/>
              <w:jc w:val="left"/>
            </w:pPr>
            <w:r w:rsidRPr="00457332">
              <w:lastRenderedPageBreak/>
              <w:t xml:space="preserve">Cash </w:t>
            </w:r>
            <w:r>
              <w:t>and</w:t>
            </w:r>
            <w:r w:rsidRPr="00457332">
              <w:t xml:space="preserve"> cash equivalents</w:t>
            </w:r>
            <w:r>
              <w:t xml:space="preserve"> and bank overdrafts</w:t>
            </w:r>
          </w:p>
        </w:tc>
        <w:tc>
          <w:tcPr>
            <w:tcW w:w="992" w:type="dxa"/>
          </w:tcPr>
          <w:p w14:paraId="58BFBBAE" w14:textId="77777777" w:rsidR="00592BB5" w:rsidRPr="00FC568F" w:rsidRDefault="00646771" w:rsidP="00592BB5">
            <w:pPr>
              <w:pStyle w:val="T2"/>
              <w:jc w:val="right"/>
              <w:rPr>
                <w:b/>
                <w:bCs/>
              </w:rPr>
            </w:pPr>
            <w:r>
              <w:rPr>
                <w:rFonts w:ascii="Calibri" w:hAnsi="Calibri" w:cs="Calibri"/>
                <w:b/>
              </w:rPr>
              <w:t>17.0</w:t>
            </w:r>
          </w:p>
        </w:tc>
        <w:tc>
          <w:tcPr>
            <w:tcW w:w="947" w:type="dxa"/>
            <w:vAlign w:val="bottom"/>
          </w:tcPr>
          <w:p w14:paraId="4E8FDAC7" w14:textId="77777777" w:rsidR="00592BB5" w:rsidRPr="00592BB5" w:rsidRDefault="00592BB5" w:rsidP="00592BB5">
            <w:pPr>
              <w:pStyle w:val="T2"/>
              <w:jc w:val="right"/>
              <w:rPr>
                <w:bCs/>
              </w:rPr>
            </w:pPr>
            <w:r w:rsidRPr="00592BB5">
              <w:rPr>
                <w:bCs/>
              </w:rPr>
              <w:t>34.5</w:t>
            </w:r>
          </w:p>
        </w:tc>
      </w:tr>
      <w:tr w:rsidR="00592BB5" w14:paraId="4D2FC7A1" w14:textId="77777777" w:rsidTr="00592BB5">
        <w:tc>
          <w:tcPr>
            <w:tcW w:w="7797" w:type="dxa"/>
            <w:vAlign w:val="bottom"/>
          </w:tcPr>
          <w:p w14:paraId="5643E3F0" w14:textId="77777777" w:rsidR="00592BB5" w:rsidRPr="00457332" w:rsidRDefault="00592BB5" w:rsidP="00592BB5">
            <w:pPr>
              <w:pStyle w:val="T2"/>
              <w:jc w:val="left"/>
            </w:pPr>
            <w:r w:rsidRPr="00457332">
              <w:t>Bank borrowings</w:t>
            </w:r>
            <w:r w:rsidR="00D22E70">
              <w:t xml:space="preserve"> </w:t>
            </w:r>
          </w:p>
        </w:tc>
        <w:tc>
          <w:tcPr>
            <w:tcW w:w="992" w:type="dxa"/>
          </w:tcPr>
          <w:p w14:paraId="058C5C69" w14:textId="77777777" w:rsidR="00592BB5" w:rsidRPr="00D22E70" w:rsidRDefault="00D22E70" w:rsidP="00D22E70">
            <w:pPr>
              <w:pStyle w:val="T2"/>
              <w:jc w:val="right"/>
              <w:rPr>
                <w:rFonts w:ascii="Calibri" w:hAnsi="Calibri" w:cs="Calibri"/>
                <w:b/>
              </w:rPr>
            </w:pPr>
            <w:r>
              <w:rPr>
                <w:rFonts w:ascii="Calibri" w:hAnsi="Calibri" w:cs="Calibri"/>
                <w:b/>
              </w:rPr>
              <w:t>(181</w:t>
            </w:r>
            <w:r w:rsidR="00646771">
              <w:rPr>
                <w:rFonts w:ascii="Calibri" w:hAnsi="Calibri" w:cs="Calibri"/>
                <w:b/>
              </w:rPr>
              <w:t>.</w:t>
            </w:r>
            <w:r>
              <w:rPr>
                <w:rFonts w:ascii="Calibri" w:hAnsi="Calibri" w:cs="Calibri"/>
                <w:b/>
              </w:rPr>
              <w:t>7</w:t>
            </w:r>
            <w:r w:rsidR="00646771">
              <w:rPr>
                <w:rFonts w:ascii="Calibri" w:hAnsi="Calibri" w:cs="Calibri"/>
                <w:b/>
              </w:rPr>
              <w:t>)</w:t>
            </w:r>
          </w:p>
        </w:tc>
        <w:tc>
          <w:tcPr>
            <w:tcW w:w="947" w:type="dxa"/>
            <w:vAlign w:val="bottom"/>
          </w:tcPr>
          <w:p w14:paraId="74C1E309" w14:textId="77777777" w:rsidR="00592BB5" w:rsidRPr="00592BB5" w:rsidRDefault="00592BB5" w:rsidP="00592BB5">
            <w:pPr>
              <w:pStyle w:val="T2"/>
              <w:jc w:val="right"/>
            </w:pPr>
            <w:r w:rsidRPr="00592BB5">
              <w:rPr>
                <w:bCs/>
              </w:rPr>
              <w:t>(230.7)</w:t>
            </w:r>
          </w:p>
        </w:tc>
      </w:tr>
      <w:tr w:rsidR="00592BB5" w14:paraId="7A073B24" w14:textId="77777777" w:rsidTr="00592BB5">
        <w:tc>
          <w:tcPr>
            <w:tcW w:w="7797" w:type="dxa"/>
            <w:vAlign w:val="bottom"/>
          </w:tcPr>
          <w:p w14:paraId="3D0A52F7" w14:textId="77777777" w:rsidR="00592BB5" w:rsidRPr="00457332" w:rsidRDefault="00592BB5" w:rsidP="00D22E70">
            <w:pPr>
              <w:pStyle w:val="T2"/>
              <w:jc w:val="left"/>
            </w:pPr>
            <w:r w:rsidRPr="00457332">
              <w:t>Private Placement Notes</w:t>
            </w:r>
          </w:p>
        </w:tc>
        <w:tc>
          <w:tcPr>
            <w:tcW w:w="992" w:type="dxa"/>
          </w:tcPr>
          <w:p w14:paraId="501DA1A6" w14:textId="77777777" w:rsidR="00592BB5" w:rsidRPr="00FC568F" w:rsidRDefault="00AB30A2" w:rsidP="00592BB5">
            <w:pPr>
              <w:pStyle w:val="T2"/>
              <w:jc w:val="right"/>
              <w:rPr>
                <w:b/>
                <w:bCs/>
              </w:rPr>
            </w:pPr>
            <w:r>
              <w:rPr>
                <w:rFonts w:ascii="Calibri" w:hAnsi="Calibri" w:cs="Calibri"/>
                <w:b/>
              </w:rPr>
              <w:t>(106</w:t>
            </w:r>
            <w:r w:rsidR="00646771">
              <w:rPr>
                <w:rFonts w:ascii="Calibri" w:hAnsi="Calibri" w:cs="Calibri"/>
                <w:b/>
              </w:rPr>
              <w:t>.6)</w:t>
            </w:r>
          </w:p>
        </w:tc>
        <w:tc>
          <w:tcPr>
            <w:tcW w:w="947" w:type="dxa"/>
            <w:vAlign w:val="bottom"/>
          </w:tcPr>
          <w:p w14:paraId="1BCF47EE" w14:textId="77777777" w:rsidR="00592BB5" w:rsidRPr="00592BB5" w:rsidRDefault="00592BB5" w:rsidP="00592BB5">
            <w:pPr>
              <w:pStyle w:val="T2"/>
              <w:jc w:val="right"/>
            </w:pPr>
            <w:r w:rsidRPr="00592BB5">
              <w:rPr>
                <w:bCs/>
              </w:rPr>
              <w:t>(114.9)</w:t>
            </w:r>
          </w:p>
        </w:tc>
      </w:tr>
      <w:tr w:rsidR="00592BB5" w14:paraId="70983A31" w14:textId="77777777" w:rsidTr="00592BB5">
        <w:tc>
          <w:tcPr>
            <w:tcW w:w="7797" w:type="dxa"/>
            <w:tcBorders>
              <w:top w:val="single" w:sz="2" w:space="0" w:color="auto"/>
              <w:bottom w:val="single" w:sz="4" w:space="0" w:color="auto"/>
            </w:tcBorders>
            <w:vAlign w:val="bottom"/>
          </w:tcPr>
          <w:p w14:paraId="0274D170" w14:textId="77777777" w:rsidR="00592BB5" w:rsidRPr="001D58B5" w:rsidRDefault="00592BB5" w:rsidP="00592BB5">
            <w:pPr>
              <w:pStyle w:val="T2"/>
              <w:jc w:val="left"/>
              <w:rPr>
                <w:b/>
              </w:rPr>
            </w:pPr>
            <w:r>
              <w:rPr>
                <w:b/>
              </w:rPr>
              <w:t>Net debt excluding lease liabilities</w:t>
            </w:r>
          </w:p>
        </w:tc>
        <w:tc>
          <w:tcPr>
            <w:tcW w:w="992" w:type="dxa"/>
            <w:tcBorders>
              <w:top w:val="single" w:sz="2" w:space="0" w:color="auto"/>
              <w:bottom w:val="single" w:sz="4" w:space="0" w:color="auto"/>
            </w:tcBorders>
          </w:tcPr>
          <w:p w14:paraId="569364D1" w14:textId="77777777" w:rsidR="00592BB5" w:rsidRPr="00FC568F" w:rsidRDefault="00646771" w:rsidP="003C3634">
            <w:pPr>
              <w:pStyle w:val="T2"/>
              <w:jc w:val="right"/>
              <w:rPr>
                <w:b/>
                <w:bCs/>
              </w:rPr>
            </w:pPr>
            <w:r>
              <w:rPr>
                <w:rFonts w:ascii="Calibri" w:hAnsi="Calibri" w:cs="Calibri"/>
                <w:b/>
              </w:rPr>
              <w:t>(271.</w:t>
            </w:r>
            <w:r w:rsidR="003C3634">
              <w:rPr>
                <w:rFonts w:ascii="Calibri" w:hAnsi="Calibri" w:cs="Calibri"/>
                <w:b/>
              </w:rPr>
              <w:t>3</w:t>
            </w:r>
            <w:r>
              <w:rPr>
                <w:rFonts w:ascii="Calibri" w:hAnsi="Calibri" w:cs="Calibri"/>
                <w:b/>
              </w:rPr>
              <w:t>)</w:t>
            </w:r>
          </w:p>
        </w:tc>
        <w:tc>
          <w:tcPr>
            <w:tcW w:w="947" w:type="dxa"/>
            <w:tcBorders>
              <w:top w:val="single" w:sz="2" w:space="0" w:color="auto"/>
              <w:bottom w:val="single" w:sz="4" w:space="0" w:color="auto"/>
            </w:tcBorders>
            <w:vAlign w:val="bottom"/>
          </w:tcPr>
          <w:p w14:paraId="6F8F896E" w14:textId="77777777" w:rsidR="00592BB5" w:rsidRPr="00592BB5" w:rsidRDefault="00592BB5" w:rsidP="00592BB5">
            <w:pPr>
              <w:pStyle w:val="T2"/>
              <w:jc w:val="right"/>
            </w:pPr>
            <w:r w:rsidRPr="00592BB5">
              <w:rPr>
                <w:bCs/>
              </w:rPr>
              <w:t>(311.1)</w:t>
            </w:r>
          </w:p>
        </w:tc>
      </w:tr>
      <w:tr w:rsidR="00592BB5" w14:paraId="058A34F8" w14:textId="77777777" w:rsidTr="001F1616">
        <w:tc>
          <w:tcPr>
            <w:tcW w:w="7797" w:type="dxa"/>
            <w:tcBorders>
              <w:top w:val="single" w:sz="4" w:space="0" w:color="auto"/>
              <w:bottom w:val="single" w:sz="2" w:space="0" w:color="auto"/>
            </w:tcBorders>
            <w:vAlign w:val="bottom"/>
          </w:tcPr>
          <w:p w14:paraId="1AFD661C" w14:textId="77777777" w:rsidR="00592BB5" w:rsidRPr="00457332" w:rsidRDefault="00592BB5" w:rsidP="00592BB5">
            <w:pPr>
              <w:pStyle w:val="T2"/>
              <w:jc w:val="left"/>
            </w:pPr>
            <w:r>
              <w:t>Lease Liabilities</w:t>
            </w:r>
          </w:p>
        </w:tc>
        <w:tc>
          <w:tcPr>
            <w:tcW w:w="992" w:type="dxa"/>
            <w:tcBorders>
              <w:top w:val="single" w:sz="4" w:space="0" w:color="auto"/>
              <w:bottom w:val="single" w:sz="2" w:space="0" w:color="auto"/>
            </w:tcBorders>
          </w:tcPr>
          <w:p w14:paraId="064300D7" w14:textId="77777777" w:rsidR="00592BB5" w:rsidRPr="00FC568F" w:rsidRDefault="00646771" w:rsidP="00592BB5">
            <w:pPr>
              <w:pStyle w:val="T2"/>
              <w:jc w:val="right"/>
              <w:rPr>
                <w:b/>
                <w:bCs/>
              </w:rPr>
            </w:pPr>
            <w:r>
              <w:rPr>
                <w:rFonts w:ascii="Calibri" w:hAnsi="Calibri" w:cs="Calibri"/>
                <w:b/>
              </w:rPr>
              <w:t>(60.8)</w:t>
            </w:r>
          </w:p>
        </w:tc>
        <w:tc>
          <w:tcPr>
            <w:tcW w:w="947" w:type="dxa"/>
            <w:tcBorders>
              <w:top w:val="single" w:sz="4" w:space="0" w:color="auto"/>
              <w:bottom w:val="single" w:sz="2" w:space="0" w:color="auto"/>
            </w:tcBorders>
            <w:vAlign w:val="bottom"/>
          </w:tcPr>
          <w:p w14:paraId="5383E237" w14:textId="77777777" w:rsidR="00592BB5" w:rsidRPr="00592BB5" w:rsidRDefault="00592BB5" w:rsidP="00592BB5">
            <w:pPr>
              <w:pStyle w:val="T2"/>
              <w:jc w:val="right"/>
            </w:pPr>
            <w:r w:rsidRPr="00592BB5">
              <w:rPr>
                <w:bCs/>
              </w:rPr>
              <w:t>(63.3)</w:t>
            </w:r>
          </w:p>
        </w:tc>
      </w:tr>
      <w:tr w:rsidR="00592BB5" w14:paraId="29D5CEA5" w14:textId="77777777" w:rsidTr="001F1616">
        <w:tc>
          <w:tcPr>
            <w:tcW w:w="7797" w:type="dxa"/>
            <w:tcBorders>
              <w:top w:val="single" w:sz="2" w:space="0" w:color="auto"/>
              <w:bottom w:val="single" w:sz="2" w:space="0" w:color="auto"/>
            </w:tcBorders>
            <w:vAlign w:val="bottom"/>
          </w:tcPr>
          <w:p w14:paraId="221ED188" w14:textId="77777777" w:rsidR="00592BB5" w:rsidRPr="00141317" w:rsidRDefault="00592BB5" w:rsidP="00592BB5">
            <w:pPr>
              <w:pStyle w:val="T2"/>
              <w:jc w:val="left"/>
              <w:rPr>
                <w:b/>
              </w:rPr>
            </w:pPr>
            <w:r w:rsidRPr="00141317">
              <w:rPr>
                <w:b/>
              </w:rPr>
              <w:t>Net Debt</w:t>
            </w:r>
          </w:p>
        </w:tc>
        <w:tc>
          <w:tcPr>
            <w:tcW w:w="992" w:type="dxa"/>
            <w:tcBorders>
              <w:top w:val="single" w:sz="2" w:space="0" w:color="auto"/>
              <w:bottom w:val="single" w:sz="2" w:space="0" w:color="auto"/>
            </w:tcBorders>
          </w:tcPr>
          <w:p w14:paraId="1359142B" w14:textId="77777777" w:rsidR="00592BB5" w:rsidRPr="00FC568F" w:rsidRDefault="00646771" w:rsidP="003C3634">
            <w:pPr>
              <w:pStyle w:val="T2"/>
              <w:jc w:val="right"/>
              <w:rPr>
                <w:b/>
                <w:bCs/>
              </w:rPr>
            </w:pPr>
            <w:r>
              <w:rPr>
                <w:rFonts w:ascii="Calibri" w:hAnsi="Calibri" w:cs="Calibri"/>
                <w:b/>
              </w:rPr>
              <w:t>(332.</w:t>
            </w:r>
            <w:r w:rsidR="003C3634">
              <w:rPr>
                <w:rFonts w:ascii="Calibri" w:hAnsi="Calibri" w:cs="Calibri"/>
                <w:b/>
              </w:rPr>
              <w:t>1</w:t>
            </w:r>
            <w:r>
              <w:rPr>
                <w:rFonts w:ascii="Calibri" w:hAnsi="Calibri" w:cs="Calibri"/>
                <w:b/>
              </w:rPr>
              <w:t>)</w:t>
            </w:r>
          </w:p>
        </w:tc>
        <w:tc>
          <w:tcPr>
            <w:tcW w:w="947" w:type="dxa"/>
            <w:tcBorders>
              <w:top w:val="single" w:sz="2" w:space="0" w:color="auto"/>
              <w:bottom w:val="single" w:sz="2" w:space="0" w:color="auto"/>
            </w:tcBorders>
            <w:vAlign w:val="bottom"/>
          </w:tcPr>
          <w:p w14:paraId="5B676D37" w14:textId="77777777" w:rsidR="00592BB5" w:rsidRPr="00592BB5" w:rsidRDefault="00592BB5" w:rsidP="00592BB5">
            <w:pPr>
              <w:pStyle w:val="T2"/>
              <w:jc w:val="right"/>
            </w:pPr>
            <w:r w:rsidRPr="00592BB5">
              <w:rPr>
                <w:bCs/>
              </w:rPr>
              <w:t>(374.4)</w:t>
            </w:r>
          </w:p>
        </w:tc>
      </w:tr>
    </w:tbl>
    <w:p w14:paraId="0A65467E" w14:textId="77777777" w:rsidR="00D22E70" w:rsidRDefault="00D22E70" w:rsidP="00D22E70">
      <w:pPr>
        <w:pStyle w:val="Paragraph"/>
        <w:ind w:left="720"/>
        <w:jc w:val="both"/>
        <w:rPr>
          <w:b/>
        </w:rPr>
      </w:pPr>
    </w:p>
    <w:p w14:paraId="6A4E0C3D" w14:textId="77777777" w:rsidR="00773F7B" w:rsidRDefault="00773F7B" w:rsidP="00773F7B">
      <w:pPr>
        <w:pStyle w:val="Paragraph"/>
        <w:rPr>
          <w:b/>
        </w:rPr>
      </w:pPr>
      <w:r w:rsidRPr="00B66A87">
        <w:rPr>
          <w:b/>
        </w:rPr>
        <w:t>RETURN ON INVESTED CAPITAL (‘ROIC’)</w:t>
      </w:r>
    </w:p>
    <w:p w14:paraId="4F387067" w14:textId="77777777" w:rsidR="00773F7B" w:rsidRDefault="00773F7B" w:rsidP="00773F7B">
      <w:pPr>
        <w:pStyle w:val="Paragraph"/>
        <w:jc w:val="both"/>
      </w:pPr>
      <w:r>
        <w:t xml:space="preserve">The Group uses ROIC as a key measure to determine returns from each business unit, along with the measurements of potential new investments. </w:t>
      </w:r>
    </w:p>
    <w:p w14:paraId="433CFD01" w14:textId="77777777" w:rsidR="00773F7B" w:rsidRDefault="00773F7B" w:rsidP="00773F7B">
      <w:pPr>
        <w:pStyle w:val="Paragraph"/>
        <w:jc w:val="both"/>
      </w:pPr>
      <w:r>
        <w:t xml:space="preserve">The Group uses invested capital as a basis for this calculation as it reflects the tangible and intangible assets the Group has added through its capital investment programme, the intangible assets the Group has added through acquisition, as well as the working capital requirements of the business. </w:t>
      </w:r>
      <w:r w:rsidRPr="000C1EBD">
        <w:t xml:space="preserve">Invested Capital is calculated as net assets (total assets less total liabilities) excluding Net Debt and the </w:t>
      </w:r>
      <w:r>
        <w:t>carrying value of</w:t>
      </w:r>
      <w:r w:rsidRPr="000C1EBD">
        <w:t xml:space="preserve"> derivatives not designated as fair value hedges, it also excludes retirement benefit obligations (net of deferred tax assets). Average Invested Capital is calculated by adding together the invested capital from the opening and closing balance sheet and dividing by two.</w:t>
      </w:r>
    </w:p>
    <w:p w14:paraId="15C2E42F" w14:textId="77777777" w:rsidR="00773F7B" w:rsidRDefault="00773F7B" w:rsidP="00773F7B">
      <w:pPr>
        <w:pStyle w:val="Paragraph"/>
        <w:jc w:val="both"/>
      </w:pPr>
      <w:r w:rsidRPr="000C1EBD">
        <w:t xml:space="preserve">The Group calculates ROIC as </w:t>
      </w:r>
      <w:r>
        <w:t>N</w:t>
      </w:r>
      <w:r w:rsidRPr="000C1EBD">
        <w:t xml:space="preserve">et Adjusted Operating Profit </w:t>
      </w:r>
      <w:r>
        <w:t>A</w:t>
      </w:r>
      <w:r w:rsidRPr="000C1EBD">
        <w:t xml:space="preserve">fter </w:t>
      </w:r>
      <w:r>
        <w:t>T</w:t>
      </w:r>
      <w:r w:rsidRPr="000C1EBD">
        <w:t xml:space="preserve">ax (‘NOPAT’) divided by average </w:t>
      </w:r>
      <w:r>
        <w:t>I</w:t>
      </w:r>
      <w:r w:rsidRPr="000C1EBD">
        <w:t xml:space="preserve">nvested </w:t>
      </w:r>
      <w:r>
        <w:t>C</w:t>
      </w:r>
      <w:r w:rsidRPr="000C1EBD">
        <w:t xml:space="preserve">apital for continuing operations. NOPAT is calculated as Adjusted Operating Profit plus share of profit of associates before tax, less tax at the effective rate in the Income Statement. </w:t>
      </w:r>
    </w:p>
    <w:p w14:paraId="70B8AA3A" w14:textId="77777777" w:rsidR="00773F7B" w:rsidRDefault="00773F7B" w:rsidP="00773F7B">
      <w:pPr>
        <w:pStyle w:val="Paragraph"/>
        <w:jc w:val="both"/>
      </w:pPr>
      <w:r w:rsidRPr="000C1EBD">
        <w:t xml:space="preserve">The following table sets forth the calculation of </w:t>
      </w:r>
      <w:r>
        <w:t>N</w:t>
      </w:r>
      <w:r w:rsidRPr="000C1EBD">
        <w:t xml:space="preserve">et </w:t>
      </w:r>
      <w:r>
        <w:t>O</w:t>
      </w:r>
      <w:r w:rsidRPr="000C1EBD">
        <w:t xml:space="preserve">perating </w:t>
      </w:r>
      <w:r>
        <w:t>P</w:t>
      </w:r>
      <w:r w:rsidRPr="000C1EBD">
        <w:t xml:space="preserve">rofit </w:t>
      </w:r>
      <w:r>
        <w:t>A</w:t>
      </w:r>
      <w:r w:rsidRPr="000C1EBD">
        <w:t xml:space="preserve">fter </w:t>
      </w:r>
      <w:r>
        <w:t>T</w:t>
      </w:r>
      <w:r w:rsidRPr="000C1EBD">
        <w:t>ax (‘NOPAT’) and invested capital used in the calculation of ROIC for the financial years.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417"/>
        <w:gridCol w:w="1276"/>
      </w:tblGrid>
      <w:tr w:rsidR="00773F7B" w14:paraId="225817C4" w14:textId="77777777" w:rsidTr="00773F7B">
        <w:tc>
          <w:tcPr>
            <w:tcW w:w="7088" w:type="dxa"/>
            <w:vAlign w:val="bottom"/>
          </w:tcPr>
          <w:p w14:paraId="77675406" w14:textId="77777777" w:rsidR="00773F7B" w:rsidRPr="00DF121E" w:rsidRDefault="00773F7B" w:rsidP="00773F7B">
            <w:pPr>
              <w:pStyle w:val="T2"/>
              <w:jc w:val="left"/>
            </w:pPr>
          </w:p>
        </w:tc>
        <w:tc>
          <w:tcPr>
            <w:tcW w:w="1417" w:type="dxa"/>
          </w:tcPr>
          <w:p w14:paraId="520F6C2E" w14:textId="77777777" w:rsidR="00AE497B" w:rsidRDefault="00AE497B" w:rsidP="00592BB5">
            <w:pPr>
              <w:pStyle w:val="T2"/>
              <w:jc w:val="right"/>
              <w:rPr>
                <w:b/>
              </w:rPr>
            </w:pPr>
          </w:p>
          <w:p w14:paraId="34B6003F" w14:textId="77777777" w:rsidR="00773F7B" w:rsidRPr="00DF121E" w:rsidRDefault="00773F7B" w:rsidP="00592BB5">
            <w:pPr>
              <w:pStyle w:val="T2"/>
              <w:jc w:val="right"/>
              <w:rPr>
                <w:b/>
              </w:rPr>
            </w:pPr>
            <w:r w:rsidRPr="00DF121E">
              <w:rPr>
                <w:b/>
              </w:rPr>
              <w:t>12 months to</w:t>
            </w:r>
            <w:r w:rsidRPr="00DF121E">
              <w:rPr>
                <w:b/>
              </w:rPr>
              <w:br/>
              <w:t>March 20</w:t>
            </w:r>
            <w:r>
              <w:rPr>
                <w:b/>
              </w:rPr>
              <w:t>2</w:t>
            </w:r>
            <w:r w:rsidR="00592BB5">
              <w:rPr>
                <w:b/>
              </w:rPr>
              <w:t>1</w:t>
            </w:r>
          </w:p>
        </w:tc>
        <w:tc>
          <w:tcPr>
            <w:tcW w:w="1276" w:type="dxa"/>
          </w:tcPr>
          <w:p w14:paraId="45343B11" w14:textId="77777777" w:rsidR="00AE497B" w:rsidRDefault="00AE497B" w:rsidP="00592BB5">
            <w:pPr>
              <w:pStyle w:val="T2"/>
              <w:jc w:val="right"/>
            </w:pPr>
          </w:p>
          <w:p w14:paraId="7FCACE45" w14:textId="77777777" w:rsidR="00773F7B" w:rsidRPr="00DF121E" w:rsidRDefault="00773F7B" w:rsidP="00592BB5">
            <w:pPr>
              <w:pStyle w:val="T2"/>
              <w:jc w:val="right"/>
            </w:pPr>
            <w:r w:rsidRPr="00DF121E">
              <w:t>12 months to</w:t>
            </w:r>
            <w:r w:rsidRPr="00DF121E">
              <w:br/>
              <w:t>March 20</w:t>
            </w:r>
            <w:r w:rsidR="00592BB5">
              <w:t>20</w:t>
            </w:r>
          </w:p>
        </w:tc>
      </w:tr>
      <w:tr w:rsidR="00773F7B" w14:paraId="79569420" w14:textId="77777777" w:rsidTr="00773F7B">
        <w:tc>
          <w:tcPr>
            <w:tcW w:w="7088" w:type="dxa"/>
            <w:tcBorders>
              <w:bottom w:val="single" w:sz="2" w:space="0" w:color="auto"/>
            </w:tcBorders>
            <w:vAlign w:val="bottom"/>
          </w:tcPr>
          <w:p w14:paraId="289486DB" w14:textId="77777777" w:rsidR="00773F7B" w:rsidRPr="00DF121E" w:rsidRDefault="00773F7B" w:rsidP="00773F7B">
            <w:pPr>
              <w:pStyle w:val="T2"/>
              <w:jc w:val="left"/>
            </w:pPr>
          </w:p>
        </w:tc>
        <w:tc>
          <w:tcPr>
            <w:tcW w:w="1417" w:type="dxa"/>
            <w:tcBorders>
              <w:bottom w:val="single" w:sz="2" w:space="0" w:color="auto"/>
            </w:tcBorders>
          </w:tcPr>
          <w:p w14:paraId="6506526D" w14:textId="77777777" w:rsidR="00773F7B" w:rsidRPr="00DF121E" w:rsidRDefault="00773F7B" w:rsidP="00773F7B">
            <w:pPr>
              <w:pStyle w:val="T2"/>
              <w:jc w:val="right"/>
              <w:rPr>
                <w:b/>
              </w:rPr>
            </w:pPr>
            <w:r w:rsidRPr="00DF121E">
              <w:rPr>
                <w:b/>
              </w:rPr>
              <w:t>£m</w:t>
            </w:r>
          </w:p>
        </w:tc>
        <w:tc>
          <w:tcPr>
            <w:tcW w:w="1276" w:type="dxa"/>
            <w:tcBorders>
              <w:bottom w:val="single" w:sz="2" w:space="0" w:color="auto"/>
            </w:tcBorders>
          </w:tcPr>
          <w:p w14:paraId="3E951BC1" w14:textId="77777777" w:rsidR="00773F7B" w:rsidRPr="00DF121E" w:rsidRDefault="00773F7B" w:rsidP="00773F7B">
            <w:pPr>
              <w:pStyle w:val="T2"/>
              <w:jc w:val="right"/>
            </w:pPr>
            <w:r w:rsidRPr="00DF121E">
              <w:t>£m</w:t>
            </w:r>
          </w:p>
        </w:tc>
      </w:tr>
      <w:tr w:rsidR="00592BB5" w14:paraId="23CF3EBC" w14:textId="77777777" w:rsidTr="00773F7B">
        <w:tc>
          <w:tcPr>
            <w:tcW w:w="7088" w:type="dxa"/>
            <w:tcBorders>
              <w:top w:val="single" w:sz="2" w:space="0" w:color="auto"/>
            </w:tcBorders>
            <w:vAlign w:val="bottom"/>
          </w:tcPr>
          <w:p w14:paraId="097D87BD" w14:textId="77777777" w:rsidR="00592BB5" w:rsidRPr="00246A66" w:rsidRDefault="00592BB5" w:rsidP="00A774AF">
            <w:pPr>
              <w:pStyle w:val="T2"/>
              <w:jc w:val="left"/>
              <w:rPr>
                <w:b/>
              </w:rPr>
            </w:pPr>
            <w:r w:rsidRPr="00246A66">
              <w:rPr>
                <w:b/>
              </w:rPr>
              <w:t>Adjusted Operating</w:t>
            </w:r>
            <w:r w:rsidR="00D239C9">
              <w:rPr>
                <w:b/>
              </w:rPr>
              <w:t xml:space="preserve"> (Loss)/</w:t>
            </w:r>
            <w:r w:rsidRPr="00246A66">
              <w:rPr>
                <w:b/>
              </w:rPr>
              <w:t>Profit</w:t>
            </w:r>
          </w:p>
        </w:tc>
        <w:tc>
          <w:tcPr>
            <w:tcW w:w="1417" w:type="dxa"/>
            <w:tcBorders>
              <w:top w:val="single" w:sz="2" w:space="0" w:color="auto"/>
            </w:tcBorders>
          </w:tcPr>
          <w:p w14:paraId="2FCD17BB" w14:textId="77777777" w:rsidR="00592BB5" w:rsidRPr="00DF121E" w:rsidRDefault="00646771">
            <w:pPr>
              <w:pStyle w:val="T2"/>
              <w:jc w:val="right"/>
              <w:rPr>
                <w:b/>
              </w:rPr>
            </w:pPr>
            <w:r>
              <w:rPr>
                <w:rFonts w:ascii="Calibri" w:hAnsi="Calibri" w:cs="Calibri"/>
                <w:b/>
              </w:rPr>
              <w:t>(</w:t>
            </w:r>
            <w:r w:rsidR="00BA6D22">
              <w:rPr>
                <w:rFonts w:ascii="Calibri" w:hAnsi="Calibri" w:cs="Calibri"/>
                <w:b/>
              </w:rPr>
              <w:t>5.6</w:t>
            </w:r>
            <w:r>
              <w:rPr>
                <w:rFonts w:ascii="Calibri" w:hAnsi="Calibri" w:cs="Calibri"/>
                <w:b/>
              </w:rPr>
              <w:t>)</w:t>
            </w:r>
          </w:p>
        </w:tc>
        <w:tc>
          <w:tcPr>
            <w:tcW w:w="1276" w:type="dxa"/>
            <w:tcBorders>
              <w:top w:val="single" w:sz="2" w:space="0" w:color="auto"/>
            </w:tcBorders>
          </w:tcPr>
          <w:p w14:paraId="6A143201" w14:textId="77777777" w:rsidR="00592BB5" w:rsidRPr="00DF121E" w:rsidRDefault="00592BB5" w:rsidP="00592BB5">
            <w:pPr>
              <w:pStyle w:val="T2"/>
              <w:jc w:val="right"/>
            </w:pPr>
            <w:r>
              <w:t>99.1</w:t>
            </w:r>
          </w:p>
        </w:tc>
      </w:tr>
      <w:tr w:rsidR="00592BB5" w14:paraId="0F173269" w14:textId="77777777" w:rsidTr="00773F7B">
        <w:tc>
          <w:tcPr>
            <w:tcW w:w="7088" w:type="dxa"/>
            <w:vAlign w:val="bottom"/>
          </w:tcPr>
          <w:p w14:paraId="60A67B20" w14:textId="77777777" w:rsidR="00592BB5" w:rsidRPr="00DF121E" w:rsidRDefault="00592BB5" w:rsidP="00592BB5">
            <w:pPr>
              <w:pStyle w:val="T2"/>
              <w:jc w:val="left"/>
            </w:pPr>
            <w:r w:rsidRPr="00DF121E">
              <w:t>Share of profit of associates before tax</w:t>
            </w:r>
          </w:p>
        </w:tc>
        <w:tc>
          <w:tcPr>
            <w:tcW w:w="1417" w:type="dxa"/>
          </w:tcPr>
          <w:p w14:paraId="6DCE69BE" w14:textId="77777777" w:rsidR="00592BB5" w:rsidRPr="00DF121E" w:rsidRDefault="00646771" w:rsidP="00592BB5">
            <w:pPr>
              <w:pStyle w:val="T2"/>
              <w:jc w:val="right"/>
              <w:rPr>
                <w:b/>
              </w:rPr>
            </w:pPr>
            <w:r>
              <w:rPr>
                <w:rFonts w:ascii="Calibri" w:hAnsi="Calibri" w:cs="Calibri"/>
                <w:b/>
              </w:rPr>
              <w:t>0.3</w:t>
            </w:r>
          </w:p>
        </w:tc>
        <w:tc>
          <w:tcPr>
            <w:tcW w:w="1276" w:type="dxa"/>
          </w:tcPr>
          <w:p w14:paraId="22BB862D" w14:textId="77777777" w:rsidR="00592BB5" w:rsidRPr="00DF121E" w:rsidRDefault="00592BB5" w:rsidP="00592BB5">
            <w:pPr>
              <w:pStyle w:val="T2"/>
              <w:jc w:val="right"/>
            </w:pPr>
            <w:r>
              <w:t>0.9</w:t>
            </w:r>
          </w:p>
        </w:tc>
      </w:tr>
      <w:tr w:rsidR="00592BB5" w14:paraId="57B3D278" w14:textId="77777777" w:rsidTr="001F1616">
        <w:tc>
          <w:tcPr>
            <w:tcW w:w="7088" w:type="dxa"/>
            <w:tcBorders>
              <w:bottom w:val="single" w:sz="2" w:space="0" w:color="auto"/>
            </w:tcBorders>
            <w:vAlign w:val="bottom"/>
          </w:tcPr>
          <w:p w14:paraId="07F59341" w14:textId="77777777" w:rsidR="00592BB5" w:rsidRPr="00DF121E" w:rsidRDefault="00592BB5" w:rsidP="00592BB5">
            <w:pPr>
              <w:pStyle w:val="T2"/>
              <w:jc w:val="left"/>
            </w:pPr>
            <w:r w:rsidRPr="00DF121E">
              <w:t>Taxation at the effective tax rate</w:t>
            </w:r>
            <w:r w:rsidRPr="00A96D81">
              <w:rPr>
                <w:vertAlign w:val="superscript"/>
              </w:rPr>
              <w:t>(</w:t>
            </w:r>
            <w:r>
              <w:rPr>
                <w:vertAlign w:val="superscript"/>
              </w:rPr>
              <w:t>A</w:t>
            </w:r>
            <w:r w:rsidRPr="00A96D81">
              <w:rPr>
                <w:vertAlign w:val="superscript"/>
              </w:rPr>
              <w:t xml:space="preserve">) </w:t>
            </w:r>
          </w:p>
        </w:tc>
        <w:tc>
          <w:tcPr>
            <w:tcW w:w="1417" w:type="dxa"/>
            <w:tcBorders>
              <w:bottom w:val="single" w:sz="2" w:space="0" w:color="auto"/>
            </w:tcBorders>
          </w:tcPr>
          <w:p w14:paraId="731EE56C" w14:textId="77777777" w:rsidR="00592BB5" w:rsidRPr="00DF121E" w:rsidRDefault="00646771">
            <w:pPr>
              <w:pStyle w:val="T2"/>
              <w:jc w:val="right"/>
              <w:rPr>
                <w:b/>
              </w:rPr>
            </w:pPr>
            <w:r>
              <w:rPr>
                <w:rFonts w:ascii="Calibri" w:hAnsi="Calibri" w:cs="Calibri"/>
                <w:b/>
              </w:rPr>
              <w:t>0.</w:t>
            </w:r>
            <w:r w:rsidR="00BA6D22">
              <w:rPr>
                <w:rFonts w:ascii="Calibri" w:hAnsi="Calibri" w:cs="Calibri"/>
                <w:b/>
              </w:rPr>
              <w:t>7</w:t>
            </w:r>
          </w:p>
        </w:tc>
        <w:tc>
          <w:tcPr>
            <w:tcW w:w="1276" w:type="dxa"/>
            <w:tcBorders>
              <w:bottom w:val="single" w:sz="2" w:space="0" w:color="auto"/>
            </w:tcBorders>
          </w:tcPr>
          <w:p w14:paraId="03546503" w14:textId="77777777" w:rsidR="00592BB5" w:rsidRPr="00DF121E" w:rsidRDefault="005D0B94" w:rsidP="00592BB5">
            <w:pPr>
              <w:pStyle w:val="T2"/>
              <w:jc w:val="right"/>
            </w:pPr>
            <w:r>
              <w:t>(14.2</w:t>
            </w:r>
            <w:r w:rsidR="00592BB5">
              <w:t>)</w:t>
            </w:r>
          </w:p>
        </w:tc>
      </w:tr>
      <w:tr w:rsidR="00592BB5" w14:paraId="643A6A6B" w14:textId="77777777" w:rsidTr="001F1616">
        <w:tc>
          <w:tcPr>
            <w:tcW w:w="7088" w:type="dxa"/>
            <w:tcBorders>
              <w:top w:val="single" w:sz="2" w:space="0" w:color="auto"/>
              <w:bottom w:val="single" w:sz="2" w:space="0" w:color="auto"/>
            </w:tcBorders>
            <w:vAlign w:val="bottom"/>
          </w:tcPr>
          <w:p w14:paraId="289E3025" w14:textId="77777777" w:rsidR="00592BB5" w:rsidRPr="00246A66" w:rsidRDefault="00592BB5" w:rsidP="00592BB5">
            <w:pPr>
              <w:pStyle w:val="T2"/>
              <w:jc w:val="left"/>
              <w:rPr>
                <w:b/>
              </w:rPr>
            </w:pPr>
            <w:r>
              <w:rPr>
                <w:b/>
              </w:rPr>
              <w:t xml:space="preserve">Group </w:t>
            </w:r>
            <w:r w:rsidRPr="00246A66">
              <w:rPr>
                <w:b/>
              </w:rPr>
              <w:t>NOPAT</w:t>
            </w:r>
          </w:p>
        </w:tc>
        <w:tc>
          <w:tcPr>
            <w:tcW w:w="1417" w:type="dxa"/>
            <w:tcBorders>
              <w:top w:val="single" w:sz="2" w:space="0" w:color="auto"/>
              <w:bottom w:val="single" w:sz="2" w:space="0" w:color="auto"/>
            </w:tcBorders>
          </w:tcPr>
          <w:p w14:paraId="57A9D129" w14:textId="77777777" w:rsidR="00592BB5" w:rsidRPr="00DF121E" w:rsidRDefault="00646771">
            <w:pPr>
              <w:pStyle w:val="T2"/>
              <w:jc w:val="right"/>
              <w:rPr>
                <w:b/>
              </w:rPr>
            </w:pPr>
            <w:r>
              <w:rPr>
                <w:rFonts w:ascii="Calibri" w:hAnsi="Calibri" w:cs="Calibri"/>
                <w:b/>
              </w:rPr>
              <w:t>(</w:t>
            </w:r>
            <w:r w:rsidR="00BA6D22">
              <w:rPr>
                <w:rFonts w:ascii="Calibri" w:hAnsi="Calibri" w:cs="Calibri"/>
                <w:b/>
              </w:rPr>
              <w:t>4.6</w:t>
            </w:r>
            <w:r>
              <w:rPr>
                <w:rFonts w:ascii="Calibri" w:hAnsi="Calibri" w:cs="Calibri"/>
                <w:b/>
              </w:rPr>
              <w:t>)</w:t>
            </w:r>
          </w:p>
        </w:tc>
        <w:tc>
          <w:tcPr>
            <w:tcW w:w="1276" w:type="dxa"/>
            <w:tcBorders>
              <w:top w:val="single" w:sz="2" w:space="0" w:color="auto"/>
              <w:bottom w:val="single" w:sz="2" w:space="0" w:color="auto"/>
            </w:tcBorders>
          </w:tcPr>
          <w:p w14:paraId="28C9E3F1" w14:textId="77777777" w:rsidR="00592BB5" w:rsidRPr="00DF121E" w:rsidRDefault="00592BB5" w:rsidP="00592BB5">
            <w:pPr>
              <w:pStyle w:val="T2"/>
              <w:jc w:val="right"/>
            </w:pPr>
            <w:r>
              <w:t>85.8</w:t>
            </w:r>
          </w:p>
        </w:tc>
      </w:tr>
    </w:tbl>
    <w:p w14:paraId="30116ADB" w14:textId="77777777" w:rsidR="00773F7B" w:rsidRDefault="00773F7B" w:rsidP="00773F7B">
      <w:pPr>
        <w:pStyle w:val="Paragraph"/>
      </w:pPr>
    </w:p>
    <w:tbl>
      <w:tblPr>
        <w:tblStyle w:val="TableGrid"/>
        <w:tblW w:w="9781" w:type="dxa"/>
        <w:tblLook w:val="04A0" w:firstRow="1" w:lastRow="0" w:firstColumn="1" w:lastColumn="0" w:noHBand="0" w:noVBand="1"/>
      </w:tblPr>
      <w:tblGrid>
        <w:gridCol w:w="7088"/>
        <w:gridCol w:w="1417"/>
        <w:gridCol w:w="1276"/>
      </w:tblGrid>
      <w:tr w:rsidR="00773F7B" w14:paraId="2A58E846" w14:textId="77777777" w:rsidTr="00773F7B">
        <w:tc>
          <w:tcPr>
            <w:tcW w:w="7088" w:type="dxa"/>
            <w:tcBorders>
              <w:top w:val="nil"/>
              <w:left w:val="nil"/>
              <w:bottom w:val="nil"/>
              <w:right w:val="nil"/>
            </w:tcBorders>
            <w:vAlign w:val="bottom"/>
          </w:tcPr>
          <w:p w14:paraId="273D2130" w14:textId="77777777" w:rsidR="00773F7B" w:rsidRPr="004B7A34" w:rsidRDefault="00773F7B" w:rsidP="00773F7B">
            <w:pPr>
              <w:pStyle w:val="Paragraph"/>
            </w:pPr>
          </w:p>
        </w:tc>
        <w:tc>
          <w:tcPr>
            <w:tcW w:w="1417" w:type="dxa"/>
            <w:tcBorders>
              <w:top w:val="nil"/>
              <w:left w:val="nil"/>
              <w:bottom w:val="nil"/>
              <w:right w:val="nil"/>
            </w:tcBorders>
            <w:vAlign w:val="bottom"/>
          </w:tcPr>
          <w:p w14:paraId="6F2EE8CE" w14:textId="77777777" w:rsidR="00773F7B" w:rsidRDefault="00773F7B" w:rsidP="00773F7B">
            <w:pPr>
              <w:pStyle w:val="T2"/>
              <w:jc w:val="right"/>
              <w:rPr>
                <w:b/>
              </w:rPr>
            </w:pPr>
            <w:r w:rsidRPr="00EF37E9">
              <w:rPr>
                <w:b/>
              </w:rPr>
              <w:t>Half year</w:t>
            </w:r>
            <w:r w:rsidRPr="00EF37E9">
              <w:rPr>
                <w:b/>
              </w:rPr>
              <w:br/>
              <w:t>20</w:t>
            </w:r>
            <w:r>
              <w:rPr>
                <w:b/>
              </w:rPr>
              <w:t>2</w:t>
            </w:r>
            <w:r w:rsidR="005D0B94">
              <w:rPr>
                <w:b/>
              </w:rPr>
              <w:t>1</w:t>
            </w:r>
          </w:p>
          <w:p w14:paraId="75A613C7" w14:textId="77777777" w:rsidR="00773F7B" w:rsidRPr="00EF37E9" w:rsidRDefault="00773F7B" w:rsidP="00773F7B">
            <w:pPr>
              <w:pStyle w:val="T2"/>
              <w:jc w:val="right"/>
              <w:rPr>
                <w:b/>
              </w:rPr>
            </w:pPr>
            <w:r>
              <w:rPr>
                <w:b/>
              </w:rPr>
              <w:t>£m</w:t>
            </w:r>
          </w:p>
        </w:tc>
        <w:tc>
          <w:tcPr>
            <w:tcW w:w="1276" w:type="dxa"/>
            <w:tcBorders>
              <w:top w:val="nil"/>
              <w:left w:val="nil"/>
              <w:bottom w:val="nil"/>
              <w:right w:val="nil"/>
            </w:tcBorders>
          </w:tcPr>
          <w:p w14:paraId="7F51BDB0" w14:textId="77777777" w:rsidR="00773F7B" w:rsidRDefault="00773F7B" w:rsidP="00773F7B">
            <w:pPr>
              <w:pStyle w:val="T2"/>
              <w:jc w:val="right"/>
            </w:pPr>
            <w:r>
              <w:t xml:space="preserve">Half year </w:t>
            </w:r>
          </w:p>
          <w:p w14:paraId="7DE707A3" w14:textId="77777777" w:rsidR="00773F7B" w:rsidRDefault="00773F7B" w:rsidP="00773F7B">
            <w:pPr>
              <w:pStyle w:val="T2"/>
              <w:jc w:val="right"/>
            </w:pPr>
            <w:r>
              <w:t>20</w:t>
            </w:r>
            <w:r w:rsidR="005D0B94">
              <w:t>20</w:t>
            </w:r>
          </w:p>
          <w:p w14:paraId="231CFE6A" w14:textId="77777777" w:rsidR="00773F7B" w:rsidRPr="004B7A34" w:rsidRDefault="00773F7B" w:rsidP="00773F7B">
            <w:pPr>
              <w:pStyle w:val="T2"/>
              <w:jc w:val="right"/>
            </w:pPr>
            <w:r>
              <w:t>£m</w:t>
            </w:r>
          </w:p>
        </w:tc>
      </w:tr>
      <w:tr w:rsidR="00773F7B" w14:paraId="4FEC43F2" w14:textId="77777777" w:rsidTr="00773F7B">
        <w:tc>
          <w:tcPr>
            <w:tcW w:w="7088" w:type="dxa"/>
            <w:tcBorders>
              <w:top w:val="single" w:sz="2" w:space="0" w:color="auto"/>
              <w:left w:val="nil"/>
              <w:bottom w:val="nil"/>
              <w:right w:val="nil"/>
            </w:tcBorders>
            <w:vAlign w:val="bottom"/>
          </w:tcPr>
          <w:p w14:paraId="2FD38F03" w14:textId="77777777" w:rsidR="00773F7B" w:rsidRPr="00EF37E9" w:rsidRDefault="00773F7B" w:rsidP="00773F7B">
            <w:pPr>
              <w:pStyle w:val="T2"/>
              <w:jc w:val="left"/>
              <w:rPr>
                <w:b/>
              </w:rPr>
            </w:pPr>
            <w:r w:rsidRPr="00EF37E9">
              <w:rPr>
                <w:b/>
              </w:rPr>
              <w:t xml:space="preserve">Invested </w:t>
            </w:r>
            <w:r>
              <w:rPr>
                <w:b/>
              </w:rPr>
              <w:t>C</w:t>
            </w:r>
            <w:r w:rsidRPr="00EF37E9">
              <w:rPr>
                <w:b/>
              </w:rPr>
              <w:t>apital</w:t>
            </w:r>
          </w:p>
        </w:tc>
        <w:tc>
          <w:tcPr>
            <w:tcW w:w="1417" w:type="dxa"/>
            <w:tcBorders>
              <w:top w:val="single" w:sz="2" w:space="0" w:color="auto"/>
              <w:left w:val="nil"/>
              <w:bottom w:val="nil"/>
              <w:right w:val="nil"/>
            </w:tcBorders>
            <w:vAlign w:val="bottom"/>
          </w:tcPr>
          <w:p w14:paraId="622227CD" w14:textId="77777777" w:rsidR="00773F7B" w:rsidRPr="00EF37E9" w:rsidRDefault="00773F7B" w:rsidP="00773F7B">
            <w:pPr>
              <w:pStyle w:val="T2"/>
              <w:jc w:val="right"/>
              <w:rPr>
                <w:b/>
              </w:rPr>
            </w:pPr>
            <w:r w:rsidRPr="00EF37E9">
              <w:rPr>
                <w:b/>
              </w:rPr>
              <w:t xml:space="preserve">                         </w:t>
            </w:r>
          </w:p>
        </w:tc>
        <w:tc>
          <w:tcPr>
            <w:tcW w:w="1276" w:type="dxa"/>
            <w:tcBorders>
              <w:top w:val="single" w:sz="2" w:space="0" w:color="auto"/>
              <w:left w:val="nil"/>
              <w:bottom w:val="nil"/>
              <w:right w:val="nil"/>
            </w:tcBorders>
          </w:tcPr>
          <w:p w14:paraId="535DC8C6" w14:textId="77777777" w:rsidR="00773F7B" w:rsidRPr="004B7A34" w:rsidRDefault="00773F7B" w:rsidP="00773F7B">
            <w:pPr>
              <w:pStyle w:val="T2"/>
              <w:jc w:val="right"/>
            </w:pPr>
          </w:p>
        </w:tc>
      </w:tr>
      <w:tr w:rsidR="00592BB5" w14:paraId="23A8F4C1" w14:textId="77777777" w:rsidTr="00592BB5">
        <w:tc>
          <w:tcPr>
            <w:tcW w:w="7088" w:type="dxa"/>
            <w:tcBorders>
              <w:top w:val="nil"/>
              <w:left w:val="nil"/>
              <w:bottom w:val="nil"/>
              <w:right w:val="nil"/>
            </w:tcBorders>
            <w:vAlign w:val="bottom"/>
          </w:tcPr>
          <w:p w14:paraId="35F789F5" w14:textId="77777777" w:rsidR="00592BB5" w:rsidRPr="004B7A34" w:rsidRDefault="00592BB5" w:rsidP="00592BB5">
            <w:pPr>
              <w:pStyle w:val="T2"/>
              <w:jc w:val="left"/>
            </w:pPr>
            <w:r w:rsidRPr="004B7A34">
              <w:t>Total assets</w:t>
            </w:r>
          </w:p>
        </w:tc>
        <w:tc>
          <w:tcPr>
            <w:tcW w:w="1417" w:type="dxa"/>
            <w:tcBorders>
              <w:top w:val="nil"/>
              <w:left w:val="nil"/>
              <w:bottom w:val="nil"/>
              <w:right w:val="nil"/>
            </w:tcBorders>
          </w:tcPr>
          <w:p w14:paraId="74745D2F" w14:textId="77777777" w:rsidR="00592BB5" w:rsidRPr="00FC568F" w:rsidRDefault="00646771">
            <w:pPr>
              <w:pStyle w:val="T2"/>
              <w:jc w:val="right"/>
              <w:rPr>
                <w:b/>
                <w:bCs/>
              </w:rPr>
            </w:pPr>
            <w:r>
              <w:rPr>
                <w:rFonts w:ascii="Calibri" w:hAnsi="Calibri" w:cs="Calibri"/>
                <w:b/>
              </w:rPr>
              <w:t>1,18</w:t>
            </w:r>
            <w:r w:rsidR="00800980">
              <w:rPr>
                <w:rFonts w:ascii="Calibri" w:hAnsi="Calibri" w:cs="Calibri"/>
                <w:b/>
              </w:rPr>
              <w:t>4.</w:t>
            </w:r>
            <w:r w:rsidR="00BA6D22">
              <w:rPr>
                <w:rFonts w:ascii="Calibri" w:hAnsi="Calibri" w:cs="Calibri"/>
                <w:b/>
              </w:rPr>
              <w:t>7</w:t>
            </w:r>
          </w:p>
        </w:tc>
        <w:tc>
          <w:tcPr>
            <w:tcW w:w="1276" w:type="dxa"/>
            <w:tcBorders>
              <w:top w:val="nil"/>
              <w:left w:val="nil"/>
              <w:bottom w:val="nil"/>
              <w:right w:val="nil"/>
            </w:tcBorders>
            <w:vAlign w:val="bottom"/>
          </w:tcPr>
          <w:p w14:paraId="2F27C478" w14:textId="6F0181F9" w:rsidR="00592BB5" w:rsidRPr="004B7A34" w:rsidRDefault="00592BB5" w:rsidP="00592BB5">
            <w:pPr>
              <w:pStyle w:val="T2"/>
              <w:jc w:val="right"/>
            </w:pPr>
            <w:r>
              <w:rPr>
                <w:bCs/>
              </w:rPr>
              <w:t>1,459.0</w:t>
            </w:r>
          </w:p>
        </w:tc>
      </w:tr>
      <w:tr w:rsidR="00592BB5" w14:paraId="68187979" w14:textId="77777777" w:rsidTr="00592BB5">
        <w:tc>
          <w:tcPr>
            <w:tcW w:w="7088" w:type="dxa"/>
            <w:tcBorders>
              <w:top w:val="nil"/>
              <w:left w:val="nil"/>
              <w:bottom w:val="nil"/>
              <w:right w:val="nil"/>
            </w:tcBorders>
            <w:vAlign w:val="bottom"/>
          </w:tcPr>
          <w:p w14:paraId="23C25CB1" w14:textId="77777777" w:rsidR="00592BB5" w:rsidRPr="004B7A34" w:rsidRDefault="00592BB5" w:rsidP="00592BB5">
            <w:pPr>
              <w:pStyle w:val="T2"/>
              <w:jc w:val="left"/>
            </w:pPr>
            <w:r w:rsidRPr="004B7A34">
              <w:t>Total liabilities</w:t>
            </w:r>
          </w:p>
        </w:tc>
        <w:tc>
          <w:tcPr>
            <w:tcW w:w="1417" w:type="dxa"/>
            <w:tcBorders>
              <w:top w:val="nil"/>
              <w:left w:val="nil"/>
              <w:bottom w:val="nil"/>
              <w:right w:val="nil"/>
            </w:tcBorders>
          </w:tcPr>
          <w:p w14:paraId="726ABE33" w14:textId="77777777" w:rsidR="00592BB5" w:rsidRPr="00FC568F" w:rsidRDefault="00646771" w:rsidP="00800980">
            <w:pPr>
              <w:pStyle w:val="T2"/>
              <w:jc w:val="right"/>
              <w:rPr>
                <w:b/>
                <w:bCs/>
              </w:rPr>
            </w:pPr>
            <w:r>
              <w:rPr>
                <w:rFonts w:ascii="Calibri" w:hAnsi="Calibri" w:cs="Calibri"/>
                <w:b/>
              </w:rPr>
              <w:t>(81</w:t>
            </w:r>
            <w:r w:rsidR="00800980">
              <w:rPr>
                <w:rFonts w:ascii="Calibri" w:hAnsi="Calibri" w:cs="Calibri"/>
                <w:b/>
              </w:rPr>
              <w:t>4.2</w:t>
            </w:r>
            <w:r>
              <w:rPr>
                <w:rFonts w:ascii="Calibri" w:hAnsi="Calibri" w:cs="Calibri"/>
                <w:b/>
              </w:rPr>
              <w:t>)</w:t>
            </w:r>
          </w:p>
        </w:tc>
        <w:tc>
          <w:tcPr>
            <w:tcW w:w="1276" w:type="dxa"/>
            <w:tcBorders>
              <w:top w:val="nil"/>
              <w:left w:val="nil"/>
              <w:bottom w:val="nil"/>
              <w:right w:val="nil"/>
            </w:tcBorders>
            <w:vAlign w:val="bottom"/>
          </w:tcPr>
          <w:p w14:paraId="040FAACF" w14:textId="27E412FD" w:rsidR="00592BB5" w:rsidRPr="004B7A34" w:rsidRDefault="00592BB5" w:rsidP="00592BB5">
            <w:pPr>
              <w:pStyle w:val="T2"/>
              <w:jc w:val="right"/>
            </w:pPr>
            <w:r w:rsidRPr="0096767F">
              <w:rPr>
                <w:bCs/>
              </w:rPr>
              <w:t>(</w:t>
            </w:r>
            <w:r>
              <w:rPr>
                <w:bCs/>
              </w:rPr>
              <w:t>1,117.5</w:t>
            </w:r>
            <w:r w:rsidRPr="0096767F">
              <w:rPr>
                <w:bCs/>
              </w:rPr>
              <w:t>)</w:t>
            </w:r>
          </w:p>
        </w:tc>
      </w:tr>
      <w:tr w:rsidR="00592BB5" w14:paraId="6FBE9B08" w14:textId="77777777" w:rsidTr="00592BB5">
        <w:tc>
          <w:tcPr>
            <w:tcW w:w="7088" w:type="dxa"/>
            <w:tcBorders>
              <w:top w:val="nil"/>
              <w:left w:val="nil"/>
              <w:bottom w:val="nil"/>
              <w:right w:val="nil"/>
            </w:tcBorders>
            <w:vAlign w:val="bottom"/>
          </w:tcPr>
          <w:p w14:paraId="0DF91298" w14:textId="77777777" w:rsidR="00592BB5" w:rsidRPr="004B7A34" w:rsidRDefault="00592BB5" w:rsidP="00592BB5">
            <w:pPr>
              <w:pStyle w:val="T2"/>
              <w:jc w:val="left"/>
            </w:pPr>
            <w:r w:rsidRPr="004B7A34">
              <w:t>Net Debt</w:t>
            </w:r>
          </w:p>
        </w:tc>
        <w:tc>
          <w:tcPr>
            <w:tcW w:w="1417" w:type="dxa"/>
            <w:tcBorders>
              <w:top w:val="nil"/>
              <w:left w:val="nil"/>
              <w:bottom w:val="nil"/>
              <w:right w:val="nil"/>
            </w:tcBorders>
          </w:tcPr>
          <w:p w14:paraId="274AF975" w14:textId="77777777" w:rsidR="00592BB5" w:rsidRPr="00FC568F" w:rsidRDefault="007E1F93" w:rsidP="00592BB5">
            <w:pPr>
              <w:pStyle w:val="T2"/>
              <w:jc w:val="right"/>
              <w:rPr>
                <w:b/>
                <w:bCs/>
              </w:rPr>
            </w:pPr>
            <w:r>
              <w:rPr>
                <w:rFonts w:ascii="Calibri" w:hAnsi="Calibri" w:cs="Calibri"/>
                <w:b/>
              </w:rPr>
              <w:t>332.1</w:t>
            </w:r>
          </w:p>
        </w:tc>
        <w:tc>
          <w:tcPr>
            <w:tcW w:w="1276" w:type="dxa"/>
            <w:tcBorders>
              <w:top w:val="nil"/>
              <w:left w:val="nil"/>
              <w:bottom w:val="nil"/>
              <w:right w:val="nil"/>
            </w:tcBorders>
            <w:vAlign w:val="bottom"/>
          </w:tcPr>
          <w:p w14:paraId="0250C5BD" w14:textId="73B92C2E" w:rsidR="00592BB5" w:rsidRPr="004B7A34" w:rsidRDefault="00592BB5" w:rsidP="00592BB5">
            <w:pPr>
              <w:pStyle w:val="T2"/>
              <w:jc w:val="right"/>
            </w:pPr>
            <w:r>
              <w:rPr>
                <w:bCs/>
              </w:rPr>
              <w:t>374.4</w:t>
            </w:r>
          </w:p>
        </w:tc>
      </w:tr>
      <w:tr w:rsidR="00592BB5" w14:paraId="4D02CCA7" w14:textId="77777777" w:rsidTr="00592BB5">
        <w:tc>
          <w:tcPr>
            <w:tcW w:w="7088" w:type="dxa"/>
            <w:tcBorders>
              <w:top w:val="nil"/>
              <w:left w:val="nil"/>
              <w:bottom w:val="nil"/>
              <w:right w:val="nil"/>
            </w:tcBorders>
            <w:vAlign w:val="bottom"/>
          </w:tcPr>
          <w:p w14:paraId="7E4E64A9" w14:textId="77777777" w:rsidR="00592BB5" w:rsidRPr="004B7A34" w:rsidRDefault="00592BB5" w:rsidP="00592BB5">
            <w:pPr>
              <w:pStyle w:val="T2"/>
              <w:jc w:val="left"/>
            </w:pPr>
            <w:r w:rsidRPr="004B7A34">
              <w:t>Derivatives not designated as fair value hedges</w:t>
            </w:r>
          </w:p>
        </w:tc>
        <w:tc>
          <w:tcPr>
            <w:tcW w:w="1417" w:type="dxa"/>
            <w:tcBorders>
              <w:top w:val="nil"/>
              <w:left w:val="nil"/>
              <w:bottom w:val="nil"/>
              <w:right w:val="nil"/>
            </w:tcBorders>
          </w:tcPr>
          <w:p w14:paraId="2078A7C0" w14:textId="77777777" w:rsidR="00592BB5" w:rsidRPr="00FC568F" w:rsidRDefault="00646771" w:rsidP="00592BB5">
            <w:pPr>
              <w:pStyle w:val="T2"/>
              <w:jc w:val="right"/>
              <w:rPr>
                <w:b/>
                <w:bCs/>
              </w:rPr>
            </w:pPr>
            <w:r>
              <w:rPr>
                <w:rFonts w:ascii="Calibri" w:hAnsi="Calibri" w:cs="Calibri"/>
                <w:b/>
              </w:rPr>
              <w:t>7.3</w:t>
            </w:r>
          </w:p>
        </w:tc>
        <w:tc>
          <w:tcPr>
            <w:tcW w:w="1276" w:type="dxa"/>
            <w:tcBorders>
              <w:top w:val="nil"/>
              <w:left w:val="nil"/>
              <w:bottom w:val="nil"/>
              <w:right w:val="nil"/>
            </w:tcBorders>
            <w:vAlign w:val="bottom"/>
          </w:tcPr>
          <w:p w14:paraId="4FC82A12" w14:textId="21E0CA5D" w:rsidR="00592BB5" w:rsidRPr="004B7A34" w:rsidRDefault="00592BB5" w:rsidP="00592BB5">
            <w:pPr>
              <w:pStyle w:val="T2"/>
              <w:jc w:val="right"/>
            </w:pPr>
            <w:r>
              <w:rPr>
                <w:bCs/>
              </w:rPr>
              <w:t>(3.5)</w:t>
            </w:r>
          </w:p>
        </w:tc>
      </w:tr>
      <w:tr w:rsidR="00592BB5" w14:paraId="1CDA3925" w14:textId="77777777" w:rsidTr="00592BB5">
        <w:tc>
          <w:tcPr>
            <w:tcW w:w="7088" w:type="dxa"/>
            <w:tcBorders>
              <w:top w:val="nil"/>
              <w:left w:val="nil"/>
              <w:bottom w:val="nil"/>
              <w:right w:val="nil"/>
            </w:tcBorders>
            <w:vAlign w:val="bottom"/>
          </w:tcPr>
          <w:p w14:paraId="7F7213E2" w14:textId="77777777" w:rsidR="00592BB5" w:rsidRPr="004B7A34" w:rsidRDefault="00592BB5" w:rsidP="00592BB5">
            <w:pPr>
              <w:pStyle w:val="T2"/>
              <w:jc w:val="left"/>
            </w:pPr>
            <w:r w:rsidRPr="004B7A34">
              <w:t>Retirement benefit obligation (net of deferred tax asset)</w:t>
            </w:r>
          </w:p>
        </w:tc>
        <w:tc>
          <w:tcPr>
            <w:tcW w:w="1417" w:type="dxa"/>
            <w:tcBorders>
              <w:top w:val="nil"/>
              <w:left w:val="nil"/>
              <w:bottom w:val="nil"/>
              <w:right w:val="nil"/>
            </w:tcBorders>
          </w:tcPr>
          <w:p w14:paraId="5671B08C" w14:textId="77777777" w:rsidR="00592BB5" w:rsidRPr="00FC568F" w:rsidRDefault="00D31148" w:rsidP="00592BB5">
            <w:pPr>
              <w:pStyle w:val="T2"/>
              <w:jc w:val="right"/>
              <w:rPr>
                <w:b/>
                <w:bCs/>
              </w:rPr>
            </w:pPr>
            <w:r>
              <w:rPr>
                <w:rFonts w:ascii="Calibri" w:hAnsi="Calibri" w:cs="Calibri"/>
                <w:b/>
              </w:rPr>
              <w:t>55.7</w:t>
            </w:r>
          </w:p>
        </w:tc>
        <w:tc>
          <w:tcPr>
            <w:tcW w:w="1276" w:type="dxa"/>
            <w:tcBorders>
              <w:top w:val="nil"/>
              <w:left w:val="nil"/>
              <w:bottom w:val="nil"/>
              <w:right w:val="nil"/>
            </w:tcBorders>
            <w:vAlign w:val="bottom"/>
          </w:tcPr>
          <w:p w14:paraId="628ED6FB" w14:textId="77777777" w:rsidR="00592BB5" w:rsidRPr="004B7A34" w:rsidRDefault="00592BB5" w:rsidP="00592BB5">
            <w:pPr>
              <w:pStyle w:val="T2"/>
              <w:jc w:val="right"/>
            </w:pPr>
            <w:r>
              <w:rPr>
                <w:bCs/>
              </w:rPr>
              <w:t>39.2</w:t>
            </w:r>
          </w:p>
        </w:tc>
      </w:tr>
      <w:tr w:rsidR="00592BB5" w14:paraId="1A1D47F8" w14:textId="77777777" w:rsidTr="00592BB5">
        <w:tc>
          <w:tcPr>
            <w:tcW w:w="7088" w:type="dxa"/>
            <w:tcBorders>
              <w:top w:val="single" w:sz="2" w:space="0" w:color="auto"/>
              <w:left w:val="nil"/>
              <w:bottom w:val="single" w:sz="2" w:space="0" w:color="auto"/>
              <w:right w:val="nil"/>
            </w:tcBorders>
            <w:vAlign w:val="bottom"/>
          </w:tcPr>
          <w:p w14:paraId="7ACF11BC" w14:textId="77777777" w:rsidR="00592BB5" w:rsidRPr="00EF37E9" w:rsidRDefault="00592BB5" w:rsidP="00592BB5">
            <w:pPr>
              <w:pStyle w:val="T2"/>
              <w:jc w:val="left"/>
              <w:rPr>
                <w:b/>
              </w:rPr>
            </w:pPr>
            <w:r w:rsidRPr="00EF37E9">
              <w:rPr>
                <w:b/>
              </w:rPr>
              <w:t xml:space="preserve">Invested </w:t>
            </w:r>
            <w:r>
              <w:rPr>
                <w:b/>
              </w:rPr>
              <w:t>C</w:t>
            </w:r>
            <w:r w:rsidRPr="00EF37E9">
              <w:rPr>
                <w:b/>
              </w:rPr>
              <w:t>apital</w:t>
            </w:r>
            <w:r>
              <w:rPr>
                <w:b/>
              </w:rPr>
              <w:t xml:space="preserve"> for the Group</w:t>
            </w:r>
            <w:r w:rsidRPr="00EF37E9">
              <w:rPr>
                <w:b/>
              </w:rPr>
              <w:t xml:space="preserve"> </w:t>
            </w:r>
            <w:r w:rsidRPr="002F04E0">
              <w:rPr>
                <w:b/>
                <w:vertAlign w:val="superscript"/>
              </w:rPr>
              <w:t>(</w:t>
            </w:r>
            <w:r>
              <w:rPr>
                <w:b/>
                <w:vertAlign w:val="superscript"/>
              </w:rPr>
              <w:t>B</w:t>
            </w:r>
            <w:r w:rsidRPr="002F04E0">
              <w:rPr>
                <w:b/>
                <w:vertAlign w:val="superscript"/>
              </w:rPr>
              <w:t>)</w:t>
            </w:r>
          </w:p>
        </w:tc>
        <w:tc>
          <w:tcPr>
            <w:tcW w:w="1417" w:type="dxa"/>
            <w:tcBorders>
              <w:top w:val="single" w:sz="2" w:space="0" w:color="auto"/>
              <w:left w:val="nil"/>
              <w:bottom w:val="single" w:sz="2" w:space="0" w:color="auto"/>
              <w:right w:val="nil"/>
            </w:tcBorders>
          </w:tcPr>
          <w:p w14:paraId="74E85C91" w14:textId="77777777" w:rsidR="00592BB5" w:rsidRPr="00FC568F" w:rsidRDefault="00D31148">
            <w:pPr>
              <w:pStyle w:val="T2"/>
              <w:jc w:val="right"/>
              <w:rPr>
                <w:b/>
                <w:bCs/>
              </w:rPr>
            </w:pPr>
            <w:r>
              <w:rPr>
                <w:rFonts w:ascii="Calibri" w:hAnsi="Calibri" w:cs="Calibri"/>
                <w:b/>
              </w:rPr>
              <w:t>76</w:t>
            </w:r>
            <w:r w:rsidR="007E1F93">
              <w:rPr>
                <w:rFonts w:ascii="Calibri" w:hAnsi="Calibri" w:cs="Calibri"/>
                <w:b/>
              </w:rPr>
              <w:t>5.</w:t>
            </w:r>
            <w:r w:rsidR="00BA6D22">
              <w:rPr>
                <w:rFonts w:ascii="Calibri" w:hAnsi="Calibri" w:cs="Calibri"/>
                <w:b/>
              </w:rPr>
              <w:t>6</w:t>
            </w:r>
          </w:p>
        </w:tc>
        <w:tc>
          <w:tcPr>
            <w:tcW w:w="1276" w:type="dxa"/>
            <w:tcBorders>
              <w:top w:val="single" w:sz="2" w:space="0" w:color="auto"/>
              <w:left w:val="nil"/>
              <w:bottom w:val="single" w:sz="2" w:space="0" w:color="auto"/>
              <w:right w:val="nil"/>
            </w:tcBorders>
            <w:vAlign w:val="bottom"/>
          </w:tcPr>
          <w:p w14:paraId="11342FDF" w14:textId="47C009C2" w:rsidR="00592BB5" w:rsidRDefault="00592BB5" w:rsidP="00592BB5">
            <w:pPr>
              <w:pStyle w:val="T2"/>
              <w:jc w:val="right"/>
            </w:pPr>
            <w:r>
              <w:rPr>
                <w:bCs/>
              </w:rPr>
              <w:t>751.6</w:t>
            </w:r>
          </w:p>
        </w:tc>
      </w:tr>
      <w:tr w:rsidR="00773F7B" w14:paraId="1BB24365" w14:textId="77777777" w:rsidTr="00773F7B">
        <w:tc>
          <w:tcPr>
            <w:tcW w:w="7088" w:type="dxa"/>
            <w:tcBorders>
              <w:top w:val="single" w:sz="2" w:space="0" w:color="auto"/>
              <w:left w:val="nil"/>
              <w:bottom w:val="single" w:sz="2" w:space="0" w:color="auto"/>
              <w:right w:val="nil"/>
            </w:tcBorders>
            <w:vAlign w:val="bottom"/>
          </w:tcPr>
          <w:p w14:paraId="705EB348" w14:textId="77777777" w:rsidR="00773F7B" w:rsidRPr="00EF37E9" w:rsidRDefault="00773F7B" w:rsidP="00773F7B">
            <w:pPr>
              <w:pStyle w:val="T2"/>
              <w:jc w:val="left"/>
              <w:rPr>
                <w:b/>
              </w:rPr>
            </w:pPr>
          </w:p>
        </w:tc>
        <w:tc>
          <w:tcPr>
            <w:tcW w:w="1417" w:type="dxa"/>
            <w:tcBorders>
              <w:top w:val="single" w:sz="2" w:space="0" w:color="auto"/>
              <w:left w:val="nil"/>
              <w:bottom w:val="single" w:sz="2" w:space="0" w:color="auto"/>
              <w:right w:val="nil"/>
            </w:tcBorders>
            <w:vAlign w:val="bottom"/>
          </w:tcPr>
          <w:p w14:paraId="7C10C837" w14:textId="77777777" w:rsidR="00773F7B" w:rsidRPr="00FC568F" w:rsidRDefault="00773F7B" w:rsidP="00773F7B">
            <w:pPr>
              <w:pStyle w:val="T2"/>
              <w:jc w:val="right"/>
              <w:rPr>
                <w:b/>
                <w:bCs/>
              </w:rPr>
            </w:pPr>
          </w:p>
        </w:tc>
        <w:tc>
          <w:tcPr>
            <w:tcW w:w="1276" w:type="dxa"/>
            <w:tcBorders>
              <w:top w:val="single" w:sz="2" w:space="0" w:color="auto"/>
              <w:left w:val="nil"/>
              <w:bottom w:val="single" w:sz="2" w:space="0" w:color="auto"/>
              <w:right w:val="nil"/>
            </w:tcBorders>
            <w:vAlign w:val="bottom"/>
          </w:tcPr>
          <w:p w14:paraId="2ADDD7F3" w14:textId="77777777" w:rsidR="00773F7B" w:rsidRPr="0096767F" w:rsidRDefault="00773F7B" w:rsidP="00773F7B">
            <w:pPr>
              <w:pStyle w:val="T2"/>
              <w:jc w:val="right"/>
              <w:rPr>
                <w:bCs/>
              </w:rPr>
            </w:pPr>
          </w:p>
        </w:tc>
      </w:tr>
      <w:tr w:rsidR="00773F7B" w14:paraId="2F81C1D0" w14:textId="77777777" w:rsidTr="00773F7B">
        <w:tc>
          <w:tcPr>
            <w:tcW w:w="7088" w:type="dxa"/>
            <w:tcBorders>
              <w:top w:val="single" w:sz="2" w:space="0" w:color="auto"/>
              <w:left w:val="nil"/>
              <w:bottom w:val="single" w:sz="2" w:space="0" w:color="auto"/>
              <w:right w:val="nil"/>
            </w:tcBorders>
            <w:vAlign w:val="bottom"/>
          </w:tcPr>
          <w:p w14:paraId="20D0436C" w14:textId="77777777" w:rsidR="00773F7B" w:rsidRPr="00EF37E9" w:rsidRDefault="00773F7B" w:rsidP="00773F7B">
            <w:pPr>
              <w:pStyle w:val="T2"/>
              <w:jc w:val="left"/>
              <w:rPr>
                <w:b/>
              </w:rPr>
            </w:pPr>
            <w:r w:rsidRPr="00EF37E9">
              <w:rPr>
                <w:b/>
              </w:rPr>
              <w:t xml:space="preserve">Average </w:t>
            </w:r>
            <w:r>
              <w:rPr>
                <w:b/>
              </w:rPr>
              <w:t>I</w:t>
            </w:r>
            <w:r w:rsidRPr="00EF37E9">
              <w:rPr>
                <w:b/>
              </w:rPr>
              <w:t xml:space="preserve">nvested </w:t>
            </w:r>
            <w:r>
              <w:rPr>
                <w:b/>
              </w:rPr>
              <w:t>C</w:t>
            </w:r>
            <w:r w:rsidRPr="00EF37E9">
              <w:rPr>
                <w:b/>
              </w:rPr>
              <w:t xml:space="preserve">apital for ROIC calculation </w:t>
            </w:r>
            <w:r>
              <w:rPr>
                <w:b/>
              </w:rPr>
              <w:t>for the Group</w:t>
            </w:r>
          </w:p>
        </w:tc>
        <w:tc>
          <w:tcPr>
            <w:tcW w:w="1417" w:type="dxa"/>
            <w:tcBorders>
              <w:top w:val="single" w:sz="2" w:space="0" w:color="auto"/>
              <w:left w:val="nil"/>
              <w:bottom w:val="single" w:sz="2" w:space="0" w:color="auto"/>
              <w:right w:val="nil"/>
            </w:tcBorders>
            <w:vAlign w:val="bottom"/>
          </w:tcPr>
          <w:p w14:paraId="70B755E1" w14:textId="77777777" w:rsidR="00773F7B" w:rsidRPr="00FC568F" w:rsidRDefault="00D31148">
            <w:pPr>
              <w:pStyle w:val="T2"/>
              <w:jc w:val="right"/>
              <w:rPr>
                <w:b/>
                <w:bCs/>
              </w:rPr>
            </w:pPr>
            <w:r>
              <w:rPr>
                <w:rFonts w:ascii="Calibri" w:hAnsi="Calibri" w:cs="Calibri"/>
                <w:b/>
              </w:rPr>
              <w:t>75</w:t>
            </w:r>
            <w:r w:rsidR="00800980">
              <w:rPr>
                <w:rFonts w:ascii="Calibri" w:hAnsi="Calibri" w:cs="Calibri"/>
                <w:b/>
              </w:rPr>
              <w:t>8.</w:t>
            </w:r>
            <w:r w:rsidR="00BA6D22">
              <w:rPr>
                <w:rFonts w:ascii="Calibri" w:hAnsi="Calibri" w:cs="Calibri"/>
                <w:b/>
              </w:rPr>
              <w:t>6</w:t>
            </w:r>
          </w:p>
        </w:tc>
        <w:tc>
          <w:tcPr>
            <w:tcW w:w="1276" w:type="dxa"/>
            <w:tcBorders>
              <w:top w:val="single" w:sz="2" w:space="0" w:color="auto"/>
              <w:left w:val="nil"/>
              <w:bottom w:val="single" w:sz="2" w:space="0" w:color="auto"/>
              <w:right w:val="nil"/>
            </w:tcBorders>
            <w:vAlign w:val="bottom"/>
          </w:tcPr>
          <w:p w14:paraId="44669C2A" w14:textId="77777777" w:rsidR="00773F7B" w:rsidRDefault="00592BB5" w:rsidP="00773F7B">
            <w:pPr>
              <w:pStyle w:val="T2"/>
              <w:jc w:val="right"/>
            </w:pPr>
            <w:r>
              <w:rPr>
                <w:bCs/>
              </w:rPr>
              <w:t>695.9</w:t>
            </w:r>
          </w:p>
        </w:tc>
      </w:tr>
      <w:tr w:rsidR="00773F7B" w14:paraId="63E573D5" w14:textId="77777777" w:rsidTr="001F1616">
        <w:tc>
          <w:tcPr>
            <w:tcW w:w="7088" w:type="dxa"/>
            <w:tcBorders>
              <w:top w:val="single" w:sz="2" w:space="0" w:color="auto"/>
              <w:left w:val="nil"/>
              <w:bottom w:val="single" w:sz="2" w:space="0" w:color="auto"/>
              <w:right w:val="nil"/>
            </w:tcBorders>
            <w:vAlign w:val="bottom"/>
          </w:tcPr>
          <w:p w14:paraId="1FF51823" w14:textId="77777777" w:rsidR="00773F7B" w:rsidRPr="00EF37E9" w:rsidRDefault="00773F7B" w:rsidP="00773F7B">
            <w:pPr>
              <w:pStyle w:val="T2"/>
              <w:jc w:val="left"/>
              <w:rPr>
                <w:b/>
              </w:rPr>
            </w:pPr>
          </w:p>
        </w:tc>
        <w:tc>
          <w:tcPr>
            <w:tcW w:w="1417" w:type="dxa"/>
            <w:tcBorders>
              <w:top w:val="single" w:sz="2" w:space="0" w:color="auto"/>
              <w:left w:val="nil"/>
              <w:bottom w:val="single" w:sz="2" w:space="0" w:color="auto"/>
              <w:right w:val="nil"/>
            </w:tcBorders>
            <w:vAlign w:val="bottom"/>
          </w:tcPr>
          <w:p w14:paraId="18ABCCCF" w14:textId="77777777" w:rsidR="00773F7B" w:rsidRPr="00FC568F" w:rsidRDefault="00773F7B" w:rsidP="00773F7B">
            <w:pPr>
              <w:pStyle w:val="T2"/>
              <w:jc w:val="right"/>
              <w:rPr>
                <w:b/>
                <w:bCs/>
              </w:rPr>
            </w:pPr>
          </w:p>
        </w:tc>
        <w:tc>
          <w:tcPr>
            <w:tcW w:w="1276" w:type="dxa"/>
            <w:tcBorders>
              <w:top w:val="single" w:sz="2" w:space="0" w:color="auto"/>
              <w:left w:val="nil"/>
              <w:bottom w:val="single" w:sz="2" w:space="0" w:color="auto"/>
              <w:right w:val="nil"/>
            </w:tcBorders>
            <w:vAlign w:val="bottom"/>
          </w:tcPr>
          <w:p w14:paraId="11DCEFBA" w14:textId="77777777" w:rsidR="00773F7B" w:rsidRPr="0096767F" w:rsidRDefault="00773F7B" w:rsidP="00773F7B">
            <w:pPr>
              <w:pStyle w:val="T2"/>
              <w:jc w:val="right"/>
              <w:rPr>
                <w:bCs/>
              </w:rPr>
            </w:pPr>
          </w:p>
        </w:tc>
      </w:tr>
      <w:tr w:rsidR="00773F7B" w14:paraId="25C91E43" w14:textId="77777777" w:rsidTr="001F1616">
        <w:tc>
          <w:tcPr>
            <w:tcW w:w="7088" w:type="dxa"/>
            <w:tcBorders>
              <w:top w:val="single" w:sz="2" w:space="0" w:color="auto"/>
              <w:left w:val="nil"/>
              <w:bottom w:val="single" w:sz="2" w:space="0" w:color="auto"/>
              <w:right w:val="nil"/>
            </w:tcBorders>
            <w:vAlign w:val="bottom"/>
          </w:tcPr>
          <w:p w14:paraId="7499943B" w14:textId="77777777" w:rsidR="00773F7B" w:rsidRPr="00EF37E9" w:rsidRDefault="00773F7B" w:rsidP="00773F7B">
            <w:pPr>
              <w:pStyle w:val="T2"/>
              <w:jc w:val="left"/>
              <w:rPr>
                <w:b/>
              </w:rPr>
            </w:pPr>
            <w:r w:rsidRPr="00EF37E9">
              <w:rPr>
                <w:b/>
              </w:rPr>
              <w:t xml:space="preserve">ROIC (%) </w:t>
            </w:r>
            <w:r>
              <w:rPr>
                <w:b/>
              </w:rPr>
              <w:t>for the Group</w:t>
            </w:r>
          </w:p>
        </w:tc>
        <w:tc>
          <w:tcPr>
            <w:tcW w:w="1417" w:type="dxa"/>
            <w:tcBorders>
              <w:top w:val="single" w:sz="2" w:space="0" w:color="auto"/>
              <w:left w:val="nil"/>
              <w:bottom w:val="single" w:sz="2" w:space="0" w:color="auto"/>
              <w:right w:val="nil"/>
            </w:tcBorders>
            <w:vAlign w:val="bottom"/>
          </w:tcPr>
          <w:p w14:paraId="42D8A42E" w14:textId="77777777" w:rsidR="00773F7B" w:rsidRPr="00FC568F" w:rsidRDefault="00646771">
            <w:pPr>
              <w:pStyle w:val="T2"/>
              <w:jc w:val="right"/>
              <w:rPr>
                <w:b/>
                <w:bCs/>
              </w:rPr>
            </w:pPr>
            <w:r>
              <w:rPr>
                <w:b/>
                <w:bCs/>
              </w:rPr>
              <w:t>(0.</w:t>
            </w:r>
            <w:r w:rsidR="00BA6D22">
              <w:rPr>
                <w:b/>
                <w:bCs/>
              </w:rPr>
              <w:t>6</w:t>
            </w:r>
            <w:r w:rsidR="00773F7B" w:rsidRPr="00FC568F">
              <w:rPr>
                <w:b/>
                <w:bCs/>
              </w:rPr>
              <w:t>%</w:t>
            </w:r>
            <w:r>
              <w:rPr>
                <w:b/>
                <w:bCs/>
              </w:rPr>
              <w:t>)</w:t>
            </w:r>
          </w:p>
        </w:tc>
        <w:tc>
          <w:tcPr>
            <w:tcW w:w="1276" w:type="dxa"/>
            <w:tcBorders>
              <w:top w:val="single" w:sz="2" w:space="0" w:color="auto"/>
              <w:left w:val="nil"/>
              <w:bottom w:val="single" w:sz="2" w:space="0" w:color="auto"/>
              <w:right w:val="nil"/>
            </w:tcBorders>
            <w:vAlign w:val="bottom"/>
          </w:tcPr>
          <w:p w14:paraId="0C1F3F39" w14:textId="2D432541" w:rsidR="00773F7B" w:rsidRDefault="00773F7B" w:rsidP="00592BB5">
            <w:pPr>
              <w:pStyle w:val="T2"/>
              <w:jc w:val="right"/>
            </w:pPr>
            <w:r>
              <w:rPr>
                <w:bCs/>
              </w:rPr>
              <w:t>1</w:t>
            </w:r>
            <w:r w:rsidR="00592BB5">
              <w:rPr>
                <w:bCs/>
              </w:rPr>
              <w:t>2.3</w:t>
            </w:r>
            <w:r w:rsidRPr="0096767F">
              <w:rPr>
                <w:bCs/>
              </w:rPr>
              <w:t>%</w:t>
            </w:r>
          </w:p>
        </w:tc>
      </w:tr>
    </w:tbl>
    <w:p w14:paraId="2F9ABECB" w14:textId="77777777" w:rsidR="00773F7B" w:rsidRPr="00FC568F" w:rsidRDefault="00773F7B" w:rsidP="00A774AF">
      <w:pPr>
        <w:pStyle w:val="ListParagraph"/>
        <w:numPr>
          <w:ilvl w:val="0"/>
          <w:numId w:val="5"/>
        </w:numPr>
        <w:spacing w:before="160" w:after="0" w:line="240" w:lineRule="auto"/>
        <w:rPr>
          <w:sz w:val="15"/>
          <w:szCs w:val="15"/>
        </w:rPr>
      </w:pPr>
      <w:r w:rsidRPr="00FC568F">
        <w:rPr>
          <w:sz w:val="15"/>
          <w:szCs w:val="15"/>
        </w:rPr>
        <w:t xml:space="preserve">The effective tax rates for the financial period ended </w:t>
      </w:r>
      <w:r w:rsidR="00946079">
        <w:rPr>
          <w:sz w:val="15"/>
          <w:szCs w:val="15"/>
        </w:rPr>
        <w:t>26 March 2021</w:t>
      </w:r>
      <w:r w:rsidR="008A6BDE">
        <w:rPr>
          <w:sz w:val="15"/>
          <w:szCs w:val="15"/>
        </w:rPr>
        <w:t xml:space="preserve"> and 25</w:t>
      </w:r>
      <w:r>
        <w:rPr>
          <w:sz w:val="15"/>
          <w:szCs w:val="15"/>
        </w:rPr>
        <w:t xml:space="preserve"> September </w:t>
      </w:r>
      <w:r w:rsidRPr="00646771">
        <w:rPr>
          <w:sz w:val="15"/>
          <w:szCs w:val="15"/>
        </w:rPr>
        <w:t>20</w:t>
      </w:r>
      <w:r w:rsidR="008A6BDE">
        <w:rPr>
          <w:sz w:val="15"/>
          <w:szCs w:val="15"/>
        </w:rPr>
        <w:t>20</w:t>
      </w:r>
      <w:r w:rsidRPr="00646771">
        <w:rPr>
          <w:sz w:val="15"/>
          <w:szCs w:val="15"/>
        </w:rPr>
        <w:t>, were 1</w:t>
      </w:r>
      <w:r w:rsidR="00646771" w:rsidRPr="00646771">
        <w:rPr>
          <w:sz w:val="15"/>
          <w:szCs w:val="15"/>
        </w:rPr>
        <w:t>8</w:t>
      </w:r>
      <w:r w:rsidR="00592BB5" w:rsidRPr="00646771">
        <w:rPr>
          <w:sz w:val="15"/>
          <w:szCs w:val="15"/>
        </w:rPr>
        <w:t>% and 13</w:t>
      </w:r>
      <w:r w:rsidRPr="00646771">
        <w:rPr>
          <w:sz w:val="15"/>
          <w:szCs w:val="15"/>
        </w:rPr>
        <w:t>%</w:t>
      </w:r>
      <w:r w:rsidRPr="00FC568F">
        <w:rPr>
          <w:sz w:val="15"/>
          <w:szCs w:val="15"/>
        </w:rPr>
        <w:t xml:space="preserve"> respectively</w:t>
      </w:r>
    </w:p>
    <w:p w14:paraId="5E962C0A" w14:textId="0356E663" w:rsidR="00773F7B" w:rsidRDefault="00773F7B" w:rsidP="00A774AF">
      <w:pPr>
        <w:pStyle w:val="ListParagraph"/>
        <w:numPr>
          <w:ilvl w:val="0"/>
          <w:numId w:val="5"/>
        </w:numPr>
        <w:spacing w:before="160" w:after="0" w:line="240" w:lineRule="auto"/>
        <w:rPr>
          <w:sz w:val="15"/>
          <w:szCs w:val="15"/>
        </w:rPr>
      </w:pPr>
      <w:r w:rsidRPr="00FC568F">
        <w:rPr>
          <w:sz w:val="15"/>
          <w:szCs w:val="15"/>
        </w:rPr>
        <w:t>The invested capital for the Group in March 20</w:t>
      </w:r>
      <w:r w:rsidR="00342656">
        <w:rPr>
          <w:sz w:val="15"/>
          <w:szCs w:val="15"/>
        </w:rPr>
        <w:t>19</w:t>
      </w:r>
      <w:r w:rsidRPr="00FC568F">
        <w:rPr>
          <w:sz w:val="15"/>
          <w:szCs w:val="15"/>
        </w:rPr>
        <w:t xml:space="preserve"> was £</w:t>
      </w:r>
      <w:r w:rsidR="00592BB5">
        <w:rPr>
          <w:sz w:val="15"/>
          <w:szCs w:val="15"/>
        </w:rPr>
        <w:t>640.1</w:t>
      </w:r>
      <w:r w:rsidRPr="00FC568F">
        <w:rPr>
          <w:sz w:val="15"/>
          <w:szCs w:val="15"/>
        </w:rPr>
        <w:t xml:space="preserve">m </w:t>
      </w:r>
    </w:p>
    <w:p w14:paraId="37D10FF3" w14:textId="77777777" w:rsidR="00874753" w:rsidRDefault="00874753" w:rsidP="00874753">
      <w:pPr>
        <w:pStyle w:val="ListParagraph"/>
        <w:spacing w:before="160" w:after="0" w:line="240" w:lineRule="auto"/>
        <w:rPr>
          <w:sz w:val="15"/>
          <w:szCs w:val="15"/>
        </w:rPr>
      </w:pPr>
    </w:p>
    <w:p w14:paraId="024C002B" w14:textId="77777777" w:rsidR="00EB44C4" w:rsidRPr="001B258F" w:rsidRDefault="00EB44C4" w:rsidP="00EB44C4">
      <w:pPr>
        <w:pStyle w:val="Heading2"/>
      </w:pPr>
      <w:r w:rsidRPr="002E0E9E">
        <w:t xml:space="preserve">APPENDIX: </w:t>
      </w:r>
      <w:r>
        <w:t>PRINCIPAL RISKS AND UNCERTAINTIES</w:t>
      </w:r>
    </w:p>
    <w:p w14:paraId="38AF2FD0" w14:textId="77777777" w:rsidR="002E0E9E" w:rsidRDefault="002E0E9E" w:rsidP="00773F7B">
      <w:pPr>
        <w:spacing w:after="0"/>
        <w:jc w:val="both"/>
        <w:rPr>
          <w:rFonts w:cs="Arial"/>
          <w:i/>
          <w:sz w:val="18"/>
          <w:szCs w:val="18"/>
        </w:rPr>
      </w:pPr>
    </w:p>
    <w:p w14:paraId="33CA0F44" w14:textId="77777777" w:rsidR="00E15CE2" w:rsidRPr="00F55D04" w:rsidRDefault="00E15CE2" w:rsidP="00E15CE2">
      <w:pPr>
        <w:spacing w:after="0"/>
        <w:jc w:val="both"/>
        <w:rPr>
          <w:rFonts w:cs="Arial"/>
          <w:sz w:val="18"/>
          <w:szCs w:val="18"/>
        </w:rPr>
      </w:pPr>
      <w:r w:rsidRPr="00F55D04">
        <w:rPr>
          <w:rFonts w:cs="Arial"/>
          <w:sz w:val="18"/>
          <w:szCs w:val="18"/>
        </w:rPr>
        <w:t>The principal risks and uncertainties faced by the Group are reported annually within the Annual Report and Financial Statements and are summarised below. Continuing consideration of Brexit risks has been incorporated into the Group’s principal risks as appropriate.</w:t>
      </w:r>
    </w:p>
    <w:p w14:paraId="69B85FDE" w14:textId="77777777" w:rsidR="00E15CE2" w:rsidRPr="00F55D04" w:rsidRDefault="00E15CE2" w:rsidP="00E15CE2">
      <w:pPr>
        <w:spacing w:after="0"/>
        <w:jc w:val="both"/>
        <w:rPr>
          <w:rFonts w:cs="Arial"/>
          <w:sz w:val="18"/>
          <w:szCs w:val="18"/>
        </w:rPr>
      </w:pPr>
    </w:p>
    <w:p w14:paraId="6142C261" w14:textId="77777777" w:rsidR="00E15CE2" w:rsidRPr="00F55D04" w:rsidRDefault="00E15CE2" w:rsidP="00E15CE2">
      <w:pPr>
        <w:spacing w:after="0"/>
        <w:jc w:val="both"/>
        <w:rPr>
          <w:rFonts w:cs="Arial"/>
          <w:sz w:val="18"/>
          <w:szCs w:val="18"/>
        </w:rPr>
      </w:pPr>
      <w:r w:rsidRPr="00F55D04">
        <w:rPr>
          <w:rFonts w:cs="Arial"/>
          <w:sz w:val="18"/>
          <w:szCs w:val="18"/>
        </w:rPr>
        <w:t xml:space="preserve">COVID-19 has had an unpredictable impact on all businesses and is still playing a big part in how our risks are managed. At the start of the pandemic in the early part of 2020 Greencore management performed a detailed assessment of the risks faced specifically in relation to COVID-19, and defined strategies for mitigating these risks and the specific actions for achieving these have been implemented and now form a part of normal operations. </w:t>
      </w:r>
    </w:p>
    <w:p w14:paraId="5927F14F" w14:textId="77777777" w:rsidR="00E15CE2" w:rsidRPr="00F55D04" w:rsidRDefault="00E15CE2" w:rsidP="00E15CE2">
      <w:pPr>
        <w:spacing w:after="0"/>
        <w:jc w:val="both"/>
        <w:rPr>
          <w:rFonts w:cs="Arial"/>
          <w:sz w:val="18"/>
          <w:szCs w:val="18"/>
        </w:rPr>
      </w:pPr>
    </w:p>
    <w:p w14:paraId="6C613704" w14:textId="77777777" w:rsidR="00E15CE2" w:rsidRPr="00F55D04" w:rsidRDefault="00E15CE2" w:rsidP="00E15CE2">
      <w:pPr>
        <w:spacing w:after="0"/>
        <w:jc w:val="both"/>
        <w:rPr>
          <w:rFonts w:cs="Arial"/>
          <w:sz w:val="18"/>
          <w:szCs w:val="18"/>
        </w:rPr>
      </w:pPr>
      <w:r w:rsidRPr="00F55D04">
        <w:rPr>
          <w:rFonts w:cs="Arial"/>
          <w:sz w:val="18"/>
          <w:szCs w:val="18"/>
        </w:rPr>
        <w:lastRenderedPageBreak/>
        <w:t>Detailed below are the key principal risks with a summary by risk area.</w:t>
      </w:r>
    </w:p>
    <w:p w14:paraId="6888940E" w14:textId="77777777" w:rsidR="00E15CE2" w:rsidRPr="00F55D04" w:rsidRDefault="00E15CE2" w:rsidP="00E15CE2">
      <w:pPr>
        <w:spacing w:after="0"/>
        <w:jc w:val="both"/>
        <w:rPr>
          <w:rFonts w:cs="Arial"/>
          <w:sz w:val="18"/>
          <w:szCs w:val="18"/>
        </w:rPr>
      </w:pPr>
    </w:p>
    <w:p w14:paraId="5AA4C3D0" w14:textId="77777777" w:rsidR="00E15CE2" w:rsidRPr="00F55D04" w:rsidRDefault="00E15CE2" w:rsidP="00E15CE2">
      <w:pPr>
        <w:spacing w:after="0"/>
        <w:jc w:val="both"/>
        <w:rPr>
          <w:rFonts w:cs="Arial"/>
          <w:b/>
          <w:sz w:val="18"/>
          <w:szCs w:val="18"/>
        </w:rPr>
      </w:pPr>
      <w:r w:rsidRPr="00F55D04">
        <w:rPr>
          <w:rFonts w:cs="Arial"/>
          <w:b/>
          <w:sz w:val="18"/>
          <w:szCs w:val="18"/>
        </w:rPr>
        <w:t xml:space="preserve">Strategic </w:t>
      </w:r>
    </w:p>
    <w:p w14:paraId="7DF8DD86" w14:textId="77777777" w:rsidR="00E15CE2" w:rsidRPr="00F55D04" w:rsidRDefault="00E15CE2" w:rsidP="00E15CE2">
      <w:pPr>
        <w:spacing w:after="0"/>
        <w:jc w:val="both"/>
        <w:rPr>
          <w:rFonts w:cs="Arial"/>
          <w:sz w:val="18"/>
          <w:szCs w:val="18"/>
        </w:rPr>
      </w:pPr>
      <w:r w:rsidRPr="00F55D04">
        <w:rPr>
          <w:rFonts w:cs="Arial"/>
          <w:i/>
          <w:sz w:val="18"/>
          <w:szCs w:val="18"/>
        </w:rPr>
        <w:t>Competitor activity:</w:t>
      </w:r>
      <w:r w:rsidRPr="00F55D04">
        <w:rPr>
          <w:rFonts w:cs="Arial"/>
          <w:sz w:val="18"/>
          <w:szCs w:val="18"/>
        </w:rPr>
        <w:t xml:space="preserve"> The Group operates in highly competitive markets. Significant product innovations, technical advances and/or the intensification of price competition by competitors, </w:t>
      </w:r>
      <w:r w:rsidRPr="00E15CE2">
        <w:rPr>
          <w:rFonts w:cs="Arial"/>
          <w:sz w:val="18"/>
          <w:szCs w:val="18"/>
        </w:rPr>
        <w:t>both direct manufacturing competitors and</w:t>
      </w:r>
      <w:r w:rsidRPr="00F55D04">
        <w:rPr>
          <w:rFonts w:cs="Arial"/>
          <w:sz w:val="18"/>
          <w:szCs w:val="18"/>
        </w:rPr>
        <w:t xml:space="preserve"> competitors of our customers, could adversely affect the Group’s results.</w:t>
      </w:r>
    </w:p>
    <w:p w14:paraId="4F574B26" w14:textId="77777777" w:rsidR="00E15CE2" w:rsidRPr="00F55D04" w:rsidRDefault="00E15CE2" w:rsidP="00E15CE2">
      <w:pPr>
        <w:spacing w:after="0"/>
        <w:jc w:val="both"/>
        <w:rPr>
          <w:rFonts w:cs="Arial"/>
          <w:sz w:val="18"/>
          <w:szCs w:val="18"/>
        </w:rPr>
      </w:pPr>
    </w:p>
    <w:p w14:paraId="62EAD92E" w14:textId="77777777" w:rsidR="00E15CE2" w:rsidRPr="00F55D04" w:rsidRDefault="00E15CE2" w:rsidP="00E15CE2">
      <w:pPr>
        <w:spacing w:after="0"/>
        <w:jc w:val="both"/>
        <w:rPr>
          <w:rFonts w:cs="Arial"/>
          <w:sz w:val="18"/>
          <w:szCs w:val="18"/>
        </w:rPr>
      </w:pPr>
      <w:r w:rsidRPr="00F55D04">
        <w:rPr>
          <w:rFonts w:cs="Arial"/>
          <w:i/>
          <w:sz w:val="18"/>
          <w:szCs w:val="18"/>
        </w:rPr>
        <w:t>Growth and change:</w:t>
      </w:r>
      <w:r w:rsidRPr="00F55D04">
        <w:rPr>
          <w:rFonts w:cs="Arial"/>
          <w:sz w:val="18"/>
          <w:szCs w:val="18"/>
        </w:rPr>
        <w:t xml:space="preserve"> The Group is pursuing a strategy of growth and expansion in the UK. Delivery of our stated strategy will necessitate organisational change and investment, major capital investments and exploiting corporate development opportunities. Major capital investments and corporate development opportunities are often high cost and may involve significant change including the addition of a material number of new employees.</w:t>
      </w:r>
      <w:r w:rsidRPr="00E15CE2">
        <w:rPr>
          <w:sz w:val="18"/>
          <w:szCs w:val="18"/>
        </w:rPr>
        <w:t xml:space="preserve"> </w:t>
      </w:r>
      <w:r w:rsidR="00943369">
        <w:rPr>
          <w:sz w:val="18"/>
          <w:szCs w:val="18"/>
        </w:rPr>
        <w:t>As outlined in the Risks and Risk Management section of the Annual Report and Financial Statements for FY20, t</w:t>
      </w:r>
      <w:r w:rsidRPr="00E15CE2">
        <w:rPr>
          <w:sz w:val="18"/>
          <w:szCs w:val="18"/>
        </w:rPr>
        <w:t>his risk increased primarily due to the impact of the COVID-19 pandemic delaying our plans for growth.</w:t>
      </w:r>
    </w:p>
    <w:p w14:paraId="669A9486" w14:textId="77777777" w:rsidR="00E15CE2" w:rsidRPr="00F55D04" w:rsidRDefault="00E15CE2" w:rsidP="00E15CE2">
      <w:pPr>
        <w:spacing w:after="0"/>
        <w:jc w:val="both"/>
        <w:rPr>
          <w:rFonts w:cs="Arial"/>
          <w:sz w:val="18"/>
          <w:szCs w:val="18"/>
        </w:rPr>
      </w:pPr>
      <w:r w:rsidRPr="00F55D04">
        <w:rPr>
          <w:rFonts w:cs="Arial"/>
          <w:sz w:val="18"/>
          <w:szCs w:val="18"/>
        </w:rPr>
        <w:t> </w:t>
      </w:r>
    </w:p>
    <w:p w14:paraId="5340B836" w14:textId="77777777" w:rsidR="00E15CE2" w:rsidRPr="00F55D04" w:rsidRDefault="00E15CE2" w:rsidP="00E15CE2">
      <w:pPr>
        <w:spacing w:after="0"/>
        <w:jc w:val="both"/>
        <w:rPr>
          <w:rFonts w:cs="Arial"/>
          <w:b/>
          <w:sz w:val="18"/>
          <w:szCs w:val="18"/>
        </w:rPr>
      </w:pPr>
      <w:r w:rsidRPr="00F55D04">
        <w:rPr>
          <w:rFonts w:cs="Arial"/>
          <w:b/>
          <w:sz w:val="18"/>
          <w:szCs w:val="18"/>
        </w:rPr>
        <w:t xml:space="preserve">Commercial </w:t>
      </w:r>
    </w:p>
    <w:p w14:paraId="74E7E028" w14:textId="77777777" w:rsidR="00E15CE2" w:rsidRPr="00F55D04" w:rsidRDefault="00E15CE2" w:rsidP="00E15CE2">
      <w:pPr>
        <w:spacing w:after="0"/>
        <w:jc w:val="both"/>
        <w:rPr>
          <w:rFonts w:cs="Arial"/>
          <w:sz w:val="18"/>
          <w:szCs w:val="18"/>
        </w:rPr>
      </w:pPr>
      <w:r w:rsidRPr="00F55D04">
        <w:rPr>
          <w:rFonts w:cs="Arial"/>
          <w:i/>
          <w:sz w:val="18"/>
          <w:szCs w:val="18"/>
        </w:rPr>
        <w:t>Changes in consumer behaviour and demand:</w:t>
      </w:r>
      <w:r w:rsidRPr="00F55D04">
        <w:rPr>
          <w:rFonts w:cs="Arial"/>
          <w:sz w:val="18"/>
          <w:szCs w:val="18"/>
        </w:rPr>
        <w:t xml:space="preserve"> In common with other food industry manufacturers, unforeseen changes in food consumption patterns or in weather patterns may impact the Group. In addition, demand for a number of the Group’s products can be adversely affected by fluctuations in the economy.</w:t>
      </w:r>
      <w:r w:rsidR="00943369">
        <w:rPr>
          <w:rFonts w:cs="Arial"/>
          <w:sz w:val="18"/>
          <w:szCs w:val="18"/>
        </w:rPr>
        <w:t xml:space="preserve"> </w:t>
      </w:r>
      <w:r w:rsidR="00943369">
        <w:rPr>
          <w:sz w:val="18"/>
          <w:szCs w:val="18"/>
        </w:rPr>
        <w:t>As outlined in the Risks and Risk Management section of the Annual Report and Financial Statements for FY20, t</w:t>
      </w:r>
      <w:r w:rsidRPr="00E15CE2">
        <w:rPr>
          <w:sz w:val="18"/>
          <w:szCs w:val="18"/>
        </w:rPr>
        <w:t xml:space="preserve">his risk has been heightened by the </w:t>
      </w:r>
      <w:r w:rsidR="008669B4">
        <w:rPr>
          <w:sz w:val="18"/>
          <w:szCs w:val="18"/>
        </w:rPr>
        <w:t>COVID</w:t>
      </w:r>
      <w:r w:rsidRPr="00E15CE2">
        <w:rPr>
          <w:sz w:val="18"/>
          <w:szCs w:val="18"/>
        </w:rPr>
        <w:t>-19 pandemic principally as a result of associated changes in working patterns which continues to impact consumer demand for some of our products.</w:t>
      </w:r>
    </w:p>
    <w:p w14:paraId="7E8F57FD" w14:textId="77777777" w:rsidR="00E15CE2" w:rsidRPr="00F55D04" w:rsidRDefault="00E15CE2" w:rsidP="00E15CE2">
      <w:pPr>
        <w:spacing w:after="0"/>
        <w:jc w:val="both"/>
        <w:rPr>
          <w:rFonts w:cs="Arial"/>
          <w:sz w:val="18"/>
          <w:szCs w:val="18"/>
        </w:rPr>
      </w:pPr>
    </w:p>
    <w:p w14:paraId="5C2F6FAE" w14:textId="77777777" w:rsidR="00E15CE2" w:rsidRPr="00F55D04" w:rsidRDefault="00E15CE2" w:rsidP="00E15CE2">
      <w:pPr>
        <w:spacing w:after="0"/>
        <w:jc w:val="both"/>
        <w:rPr>
          <w:rFonts w:cs="Arial"/>
          <w:sz w:val="18"/>
          <w:szCs w:val="18"/>
        </w:rPr>
      </w:pPr>
      <w:r w:rsidRPr="00F55D04">
        <w:rPr>
          <w:rFonts w:cs="Arial"/>
          <w:i/>
          <w:sz w:val="18"/>
          <w:szCs w:val="18"/>
        </w:rPr>
        <w:t>Key customer relationships and grocery industry structure:</w:t>
      </w:r>
      <w:r w:rsidRPr="00F55D04">
        <w:rPr>
          <w:rFonts w:cs="Arial"/>
          <w:sz w:val="18"/>
          <w:szCs w:val="18"/>
        </w:rPr>
        <w:t xml:space="preserve"> The Group benefits from close commercial relationships with a number of key customers. The loss of any of these key customers, tightening of commercial terms, or brand or reputational damage associated with such supply could result in a material impact on the Group’s results. The Group is also exposed to poor performance and execution by the customers in the categories it supplies. Changes to the grocery industry structure may also adversely affect performance.</w:t>
      </w:r>
      <w:r w:rsidRPr="00E15CE2">
        <w:rPr>
          <w:sz w:val="18"/>
          <w:szCs w:val="18"/>
        </w:rPr>
        <w:t xml:space="preserve"> </w:t>
      </w:r>
    </w:p>
    <w:p w14:paraId="22DC6045" w14:textId="77777777" w:rsidR="00E15CE2" w:rsidRPr="00F55D04" w:rsidRDefault="00E15CE2" w:rsidP="00E15CE2">
      <w:pPr>
        <w:spacing w:after="0"/>
        <w:jc w:val="both"/>
        <w:rPr>
          <w:rFonts w:cs="Arial"/>
          <w:sz w:val="18"/>
          <w:szCs w:val="18"/>
        </w:rPr>
      </w:pPr>
    </w:p>
    <w:p w14:paraId="7B660CC8" w14:textId="77777777" w:rsidR="00E15CE2" w:rsidRPr="00F55D04" w:rsidRDefault="00E15CE2" w:rsidP="00E15CE2">
      <w:pPr>
        <w:spacing w:after="0"/>
        <w:jc w:val="both"/>
        <w:rPr>
          <w:rFonts w:cs="Arial"/>
          <w:sz w:val="18"/>
          <w:szCs w:val="18"/>
        </w:rPr>
      </w:pPr>
      <w:r w:rsidRPr="00F55D04">
        <w:rPr>
          <w:rFonts w:cs="Arial"/>
          <w:i/>
          <w:sz w:val="18"/>
          <w:szCs w:val="18"/>
        </w:rPr>
        <w:t>Raw material and input cost inflation:</w:t>
      </w:r>
      <w:r w:rsidRPr="00F55D04">
        <w:rPr>
          <w:rFonts w:cs="Arial"/>
          <w:sz w:val="18"/>
          <w:szCs w:val="18"/>
        </w:rPr>
        <w:t xml:space="preserve"> The Group’s cost base and margin can be affected by fluctuating raw material and energy prices and changes in cost and price profile. The Group also relies on a concentrated number of key suppliers for certain materials. A loss or interruption of supply from a key supplier could cause short term disruption to the operational ability of the Group and adversely affect its results.</w:t>
      </w:r>
      <w:r w:rsidRPr="00E15CE2">
        <w:rPr>
          <w:sz w:val="18"/>
          <w:szCs w:val="18"/>
        </w:rPr>
        <w:t xml:space="preserve"> The risk associated with the implementation of Brexit trade negotiations</w:t>
      </w:r>
      <w:r w:rsidR="00943369">
        <w:rPr>
          <w:sz w:val="18"/>
          <w:szCs w:val="18"/>
        </w:rPr>
        <w:t>, as outlined in the Risks and Risk Management section of the Annual Report and Financial Statements for FY20, no longer applies while the risk associated with</w:t>
      </w:r>
      <w:r w:rsidRPr="00E15CE2">
        <w:rPr>
          <w:sz w:val="18"/>
          <w:szCs w:val="18"/>
        </w:rPr>
        <w:t xml:space="preserve"> the continuing impact of COVID-19 on supply</w:t>
      </w:r>
      <w:r w:rsidR="00943369">
        <w:rPr>
          <w:sz w:val="18"/>
          <w:szCs w:val="18"/>
        </w:rPr>
        <w:t xml:space="preserve"> continues to apply.</w:t>
      </w:r>
    </w:p>
    <w:p w14:paraId="15054D12" w14:textId="77777777" w:rsidR="00E15CE2" w:rsidRPr="00F55D04" w:rsidRDefault="00E15CE2" w:rsidP="00E15CE2">
      <w:pPr>
        <w:spacing w:after="0"/>
        <w:jc w:val="both"/>
        <w:rPr>
          <w:rFonts w:cs="Arial"/>
          <w:sz w:val="18"/>
          <w:szCs w:val="18"/>
        </w:rPr>
      </w:pPr>
    </w:p>
    <w:p w14:paraId="076A5B1F" w14:textId="77777777" w:rsidR="00E15CE2" w:rsidRPr="00F55D04" w:rsidRDefault="00E15CE2" w:rsidP="00E15CE2">
      <w:pPr>
        <w:spacing w:after="0"/>
        <w:jc w:val="both"/>
        <w:rPr>
          <w:rFonts w:cs="Arial"/>
          <w:b/>
          <w:sz w:val="18"/>
          <w:szCs w:val="18"/>
        </w:rPr>
      </w:pPr>
      <w:r w:rsidRPr="00F55D04">
        <w:rPr>
          <w:rFonts w:cs="Arial"/>
          <w:b/>
          <w:sz w:val="18"/>
          <w:szCs w:val="18"/>
        </w:rPr>
        <w:t xml:space="preserve">Operational </w:t>
      </w:r>
    </w:p>
    <w:p w14:paraId="163674DA" w14:textId="77777777" w:rsidR="00E15CE2" w:rsidRPr="00F55D04" w:rsidRDefault="00E15CE2" w:rsidP="00E15CE2">
      <w:pPr>
        <w:spacing w:after="0"/>
        <w:jc w:val="both"/>
        <w:rPr>
          <w:rFonts w:cs="Arial"/>
          <w:sz w:val="18"/>
          <w:szCs w:val="18"/>
        </w:rPr>
      </w:pPr>
      <w:r w:rsidRPr="00F55D04">
        <w:rPr>
          <w:rFonts w:cs="Arial"/>
          <w:i/>
          <w:sz w:val="18"/>
          <w:szCs w:val="18"/>
        </w:rPr>
        <w:t xml:space="preserve">Food industry and environmental regulations: </w:t>
      </w:r>
      <w:r w:rsidRPr="00F55D04">
        <w:rPr>
          <w:rFonts w:cs="Arial"/>
          <w:sz w:val="18"/>
          <w:szCs w:val="18"/>
        </w:rPr>
        <w:t>As a producer of convenience food and ingredients, Greencore is subject to rigorous and constantly evolving laws and regulations, particularly in the areas of food safety and environmental protection. Failure to comply with such regulations may lead to serious financial, reputational and/or legal risk.</w:t>
      </w:r>
    </w:p>
    <w:p w14:paraId="422D98B3" w14:textId="77777777" w:rsidR="00E15CE2" w:rsidRPr="00F55D04" w:rsidRDefault="00E15CE2" w:rsidP="00E15CE2">
      <w:pPr>
        <w:spacing w:after="0"/>
        <w:jc w:val="both"/>
        <w:rPr>
          <w:rFonts w:cs="Arial"/>
          <w:i/>
          <w:sz w:val="18"/>
          <w:szCs w:val="18"/>
        </w:rPr>
      </w:pPr>
    </w:p>
    <w:p w14:paraId="6A47EC22" w14:textId="77777777" w:rsidR="00E15CE2" w:rsidRPr="00F55D04" w:rsidRDefault="00E15CE2" w:rsidP="00E15CE2">
      <w:pPr>
        <w:spacing w:after="0"/>
        <w:jc w:val="both"/>
        <w:rPr>
          <w:rFonts w:cs="Arial"/>
          <w:sz w:val="18"/>
          <w:szCs w:val="18"/>
        </w:rPr>
      </w:pPr>
      <w:r w:rsidRPr="00F55D04">
        <w:rPr>
          <w:rFonts w:cs="Arial"/>
          <w:i/>
          <w:sz w:val="18"/>
          <w:szCs w:val="18"/>
        </w:rPr>
        <w:t>Product contamination:</w:t>
      </w:r>
      <w:r w:rsidRPr="00F55D04">
        <w:rPr>
          <w:rFonts w:cs="Arial"/>
          <w:sz w:val="18"/>
          <w:szCs w:val="18"/>
        </w:rPr>
        <w:t xml:space="preserve"> The Group produces a large volume of food annually and there are risks of product contamination through either accidental or deliberate means. This may lead to products being withdrawn or recalled, or causing harm to customers. As well as being a significant draw on resources, product contamination could result in a financial, reputational and/or legal impact on the Group.  </w:t>
      </w:r>
    </w:p>
    <w:p w14:paraId="643ABDC6" w14:textId="77777777" w:rsidR="00E15CE2" w:rsidRPr="00F55D04" w:rsidRDefault="00E15CE2" w:rsidP="00E15CE2">
      <w:pPr>
        <w:spacing w:after="0"/>
        <w:jc w:val="both"/>
        <w:rPr>
          <w:rFonts w:cs="Arial"/>
          <w:i/>
          <w:sz w:val="18"/>
          <w:szCs w:val="18"/>
        </w:rPr>
      </w:pPr>
    </w:p>
    <w:p w14:paraId="3C8F4493" w14:textId="77777777" w:rsidR="00EB44C4" w:rsidRDefault="00E15CE2" w:rsidP="00E15CE2">
      <w:pPr>
        <w:spacing w:after="0"/>
        <w:jc w:val="both"/>
        <w:rPr>
          <w:rFonts w:cs="Arial"/>
          <w:sz w:val="18"/>
          <w:szCs w:val="18"/>
        </w:rPr>
      </w:pPr>
      <w:r w:rsidRPr="00F55D04">
        <w:rPr>
          <w:rFonts w:cs="Arial"/>
          <w:i/>
          <w:sz w:val="18"/>
          <w:szCs w:val="18"/>
        </w:rPr>
        <w:t>Disruption to day–to–day group operations:</w:t>
      </w:r>
      <w:r w:rsidRPr="00F55D04">
        <w:rPr>
          <w:rFonts w:cs="Arial"/>
          <w:sz w:val="18"/>
          <w:szCs w:val="18"/>
        </w:rPr>
        <w:t xml:space="preserve"> The Group is at risk of disruption to its day-to-day operations from the breakdown of key manufacturing equipment or the loss of part or all of a significant facility.</w:t>
      </w:r>
      <w:r w:rsidRPr="00E15CE2">
        <w:rPr>
          <w:sz w:val="18"/>
          <w:szCs w:val="18"/>
        </w:rPr>
        <w:t xml:space="preserve"> </w:t>
      </w:r>
      <w:r w:rsidR="00943369">
        <w:rPr>
          <w:sz w:val="18"/>
          <w:szCs w:val="18"/>
        </w:rPr>
        <w:t>As outlined in the Risks and Risk Management section of the Annual Report and Financial Statements for FY20, t</w:t>
      </w:r>
      <w:r w:rsidRPr="00E15CE2">
        <w:rPr>
          <w:sz w:val="18"/>
          <w:szCs w:val="18"/>
        </w:rPr>
        <w:t>he risk associated with business disruption has been particularly heightened as a result of COVID-19 and in particular as it relates to ongoing social distancing requirements at our sites, potential colleague self-isolation and the likelihood of colleague absences</w:t>
      </w:r>
    </w:p>
    <w:p w14:paraId="5F46879A" w14:textId="77777777" w:rsidR="00E15CE2" w:rsidRPr="00F55D04" w:rsidRDefault="00E15CE2" w:rsidP="00E15CE2">
      <w:pPr>
        <w:spacing w:after="0"/>
        <w:jc w:val="both"/>
        <w:rPr>
          <w:rFonts w:cs="Arial"/>
          <w:sz w:val="18"/>
          <w:szCs w:val="18"/>
        </w:rPr>
      </w:pPr>
      <w:r w:rsidRPr="00F55D04">
        <w:rPr>
          <w:rFonts w:cs="Arial"/>
          <w:i/>
          <w:sz w:val="18"/>
          <w:szCs w:val="18"/>
        </w:rPr>
        <w:t>IT systems and cyber risk:</w:t>
      </w:r>
      <w:r w:rsidRPr="00F55D04">
        <w:rPr>
          <w:rFonts w:cs="Arial"/>
          <w:sz w:val="18"/>
          <w:szCs w:val="18"/>
        </w:rPr>
        <w:t xml:space="preserve"> The Group relies heavily on information technology and requires continuous investment in systems to support our business. In common with most large companies, the Group is susceptible to cyber security attacks with the threat to the confidentiality, integrity and availability of such systems. Losses caused by accidental or malicious actions, including those resulting from a cyber security attack, could have a significant impact on the Group.</w:t>
      </w:r>
      <w:r w:rsidRPr="00E15CE2">
        <w:rPr>
          <w:sz w:val="18"/>
          <w:szCs w:val="18"/>
        </w:rPr>
        <w:t xml:space="preserve"> </w:t>
      </w:r>
      <w:r w:rsidR="00943369">
        <w:rPr>
          <w:sz w:val="18"/>
          <w:szCs w:val="18"/>
        </w:rPr>
        <w:t>As outlined in the Risks and Risk Management section of the Annual Report and Financial Statements for FY20, t</w:t>
      </w:r>
      <w:r w:rsidRPr="00E15CE2">
        <w:rPr>
          <w:sz w:val="18"/>
          <w:szCs w:val="18"/>
        </w:rPr>
        <w:t xml:space="preserve">he </w:t>
      </w:r>
      <w:r w:rsidR="00943369">
        <w:rPr>
          <w:sz w:val="18"/>
          <w:szCs w:val="18"/>
        </w:rPr>
        <w:t>COVID</w:t>
      </w:r>
      <w:r w:rsidRPr="00E15CE2">
        <w:rPr>
          <w:sz w:val="18"/>
          <w:szCs w:val="18"/>
        </w:rPr>
        <w:t xml:space="preserve">-19 pandemic has seen an increased risk in relation to </w:t>
      </w:r>
      <w:r w:rsidR="00943369">
        <w:rPr>
          <w:sz w:val="18"/>
          <w:szCs w:val="18"/>
        </w:rPr>
        <w:t>c</w:t>
      </w:r>
      <w:r w:rsidRPr="00E15CE2">
        <w:rPr>
          <w:sz w:val="18"/>
          <w:szCs w:val="18"/>
        </w:rPr>
        <w:t xml:space="preserve">yber-attacks as a result of intensifying global cyber activity. </w:t>
      </w:r>
    </w:p>
    <w:p w14:paraId="2FCD14BC" w14:textId="77777777" w:rsidR="00E15CE2" w:rsidRPr="00F55D04" w:rsidRDefault="00E15CE2" w:rsidP="00E15CE2">
      <w:pPr>
        <w:spacing w:after="0"/>
        <w:jc w:val="both"/>
        <w:rPr>
          <w:rFonts w:cs="Arial"/>
          <w:sz w:val="18"/>
          <w:szCs w:val="18"/>
        </w:rPr>
      </w:pPr>
    </w:p>
    <w:p w14:paraId="69A13873" w14:textId="77777777" w:rsidR="00E15CE2" w:rsidRPr="00F55D04" w:rsidRDefault="00E15CE2" w:rsidP="00E15CE2">
      <w:pPr>
        <w:spacing w:after="0"/>
        <w:jc w:val="both"/>
        <w:rPr>
          <w:rFonts w:cs="Arial"/>
          <w:b/>
          <w:sz w:val="18"/>
          <w:szCs w:val="18"/>
        </w:rPr>
      </w:pPr>
      <w:r w:rsidRPr="00F55D04">
        <w:rPr>
          <w:rFonts w:cs="Arial"/>
          <w:b/>
          <w:sz w:val="18"/>
          <w:szCs w:val="18"/>
        </w:rPr>
        <w:t>People</w:t>
      </w:r>
    </w:p>
    <w:p w14:paraId="68FF90E8" w14:textId="77777777" w:rsidR="00E15CE2" w:rsidRPr="00F55D04" w:rsidRDefault="00E15CE2" w:rsidP="00E15CE2">
      <w:pPr>
        <w:spacing w:after="0"/>
        <w:jc w:val="both"/>
        <w:rPr>
          <w:rFonts w:cs="Arial"/>
          <w:sz w:val="18"/>
          <w:szCs w:val="18"/>
        </w:rPr>
      </w:pPr>
      <w:r w:rsidRPr="00F55D04">
        <w:rPr>
          <w:rFonts w:cs="Arial"/>
          <w:i/>
          <w:sz w:val="18"/>
          <w:szCs w:val="18"/>
        </w:rPr>
        <w:t>Health and safety:</w:t>
      </w:r>
      <w:r w:rsidRPr="00F55D04">
        <w:rPr>
          <w:rFonts w:cs="Arial"/>
          <w:sz w:val="18"/>
          <w:szCs w:val="18"/>
        </w:rPr>
        <w:t xml:space="preserve"> In addition to the obvious human cost, a serious workplace injury or fatality could inevitably carry serious financial, reputational and/or legal risk.</w:t>
      </w:r>
      <w:r w:rsidRPr="00E15CE2">
        <w:rPr>
          <w:sz w:val="18"/>
          <w:szCs w:val="18"/>
        </w:rPr>
        <w:t xml:space="preserve"> </w:t>
      </w:r>
      <w:r w:rsidR="00943369">
        <w:rPr>
          <w:sz w:val="18"/>
          <w:szCs w:val="18"/>
        </w:rPr>
        <w:t>As outlined in the Risks and Risk Management section of the Annual Report and Financial Statements for FY20, t</w:t>
      </w:r>
      <w:r w:rsidRPr="00E15CE2">
        <w:rPr>
          <w:sz w:val="18"/>
          <w:szCs w:val="18"/>
        </w:rPr>
        <w:t>he risk has increased principally due to the continuing health impacts associated with the COVID-19 pandemic.</w:t>
      </w:r>
    </w:p>
    <w:p w14:paraId="2F66FB29" w14:textId="77777777" w:rsidR="00E15CE2" w:rsidRPr="00F55D04" w:rsidRDefault="00E15CE2" w:rsidP="00E15CE2">
      <w:pPr>
        <w:spacing w:after="0"/>
        <w:jc w:val="both"/>
        <w:rPr>
          <w:rFonts w:cs="Arial"/>
          <w:sz w:val="18"/>
          <w:szCs w:val="18"/>
        </w:rPr>
      </w:pPr>
    </w:p>
    <w:p w14:paraId="1CBE166F" w14:textId="77777777" w:rsidR="00E15CE2" w:rsidRPr="00F55D04" w:rsidRDefault="00E15CE2" w:rsidP="00E15CE2">
      <w:pPr>
        <w:spacing w:after="0"/>
        <w:jc w:val="both"/>
        <w:rPr>
          <w:rFonts w:cs="Arial"/>
          <w:sz w:val="18"/>
          <w:szCs w:val="18"/>
        </w:rPr>
      </w:pPr>
      <w:r w:rsidRPr="00F55D04">
        <w:rPr>
          <w:rFonts w:cs="Arial"/>
          <w:i/>
          <w:sz w:val="18"/>
          <w:szCs w:val="18"/>
        </w:rPr>
        <w:t xml:space="preserve">Labour availability and cost: </w:t>
      </w:r>
      <w:r w:rsidRPr="00F55D04">
        <w:rPr>
          <w:rFonts w:cs="Arial"/>
          <w:sz w:val="18"/>
          <w:szCs w:val="18"/>
        </w:rPr>
        <w:t xml:space="preserve">Due to political and economic uncertainty and change, there is a risk that labour cost and availability may be affected and this could have a detrimental impact on the Group. </w:t>
      </w:r>
      <w:r w:rsidR="00943369">
        <w:rPr>
          <w:sz w:val="18"/>
          <w:szCs w:val="18"/>
        </w:rPr>
        <w:t>As outlined in the Risks and Risk Management section of the Annual Report and Financial Statements for FY20, t</w:t>
      </w:r>
      <w:r w:rsidRPr="00E15CE2">
        <w:rPr>
          <w:sz w:val="18"/>
          <w:szCs w:val="18"/>
        </w:rPr>
        <w:t>he potential impact from reduced immigration and retention of existing EU colleagues following Brexit, along with the COVID-19 impact on our colleagues, has increased the risks associated with labour availability</w:t>
      </w:r>
    </w:p>
    <w:p w14:paraId="436F5F30" w14:textId="77777777" w:rsidR="00E15CE2" w:rsidRPr="00F55D04" w:rsidRDefault="00E15CE2" w:rsidP="00E15CE2">
      <w:pPr>
        <w:spacing w:after="0"/>
        <w:jc w:val="both"/>
        <w:rPr>
          <w:rFonts w:cs="Arial"/>
          <w:i/>
          <w:sz w:val="18"/>
          <w:szCs w:val="18"/>
        </w:rPr>
      </w:pPr>
    </w:p>
    <w:p w14:paraId="22A39D7D" w14:textId="77777777" w:rsidR="00E15CE2" w:rsidRPr="00F55D04" w:rsidRDefault="00E15CE2" w:rsidP="00E15CE2">
      <w:pPr>
        <w:spacing w:after="0"/>
        <w:jc w:val="both"/>
        <w:rPr>
          <w:rFonts w:cs="Arial"/>
          <w:sz w:val="18"/>
          <w:szCs w:val="18"/>
        </w:rPr>
      </w:pPr>
      <w:r w:rsidRPr="00F55D04">
        <w:rPr>
          <w:rFonts w:cs="Arial"/>
          <w:i/>
          <w:sz w:val="18"/>
          <w:szCs w:val="18"/>
        </w:rPr>
        <w:t>Recruitment and retention of key personnel:</w:t>
      </w:r>
      <w:r w:rsidRPr="00F55D04">
        <w:rPr>
          <w:rFonts w:cs="Arial"/>
          <w:sz w:val="18"/>
          <w:szCs w:val="18"/>
        </w:rPr>
        <w:t xml:space="preserve"> The ongoing success of the Group is dependent on attracting and retaining high quality senior management who can effectively implement the Group’s strategy. </w:t>
      </w:r>
      <w:r w:rsidR="00943369">
        <w:rPr>
          <w:sz w:val="18"/>
          <w:szCs w:val="18"/>
        </w:rPr>
        <w:t>As outlined in the Risks and Risk Management section of the Annual Report and Financial Statements for FY20, t</w:t>
      </w:r>
      <w:r w:rsidRPr="00E15CE2">
        <w:rPr>
          <w:sz w:val="18"/>
          <w:szCs w:val="18"/>
        </w:rPr>
        <w:t xml:space="preserve">he risk has increased principally due to the uncertainties associated with EU employee movement rights </w:t>
      </w:r>
      <w:r w:rsidR="00943369">
        <w:rPr>
          <w:sz w:val="18"/>
          <w:szCs w:val="18"/>
        </w:rPr>
        <w:t>associated with</w:t>
      </w:r>
      <w:r w:rsidRPr="00E15CE2">
        <w:rPr>
          <w:sz w:val="18"/>
          <w:szCs w:val="18"/>
        </w:rPr>
        <w:t xml:space="preserve"> Brexit and the impact of COVID-19 related travel restrictions.</w:t>
      </w:r>
    </w:p>
    <w:p w14:paraId="79DD9135" w14:textId="77777777" w:rsidR="00E15CE2" w:rsidRPr="00F55D04" w:rsidRDefault="00E15CE2" w:rsidP="00E15CE2">
      <w:pPr>
        <w:spacing w:after="0"/>
        <w:jc w:val="both"/>
        <w:rPr>
          <w:rFonts w:cs="Arial"/>
          <w:sz w:val="18"/>
          <w:szCs w:val="18"/>
        </w:rPr>
      </w:pPr>
    </w:p>
    <w:p w14:paraId="4418A56D" w14:textId="77777777" w:rsidR="00E15CE2" w:rsidRPr="00F55D04" w:rsidRDefault="00E15CE2" w:rsidP="00E15CE2">
      <w:pPr>
        <w:spacing w:after="0"/>
        <w:jc w:val="both"/>
        <w:rPr>
          <w:rFonts w:cs="Arial"/>
          <w:b/>
          <w:sz w:val="18"/>
          <w:szCs w:val="18"/>
        </w:rPr>
      </w:pPr>
      <w:r w:rsidRPr="00F55D04">
        <w:rPr>
          <w:rFonts w:cs="Arial"/>
          <w:b/>
          <w:sz w:val="18"/>
          <w:szCs w:val="18"/>
        </w:rPr>
        <w:t xml:space="preserve">Financial </w:t>
      </w:r>
    </w:p>
    <w:p w14:paraId="008F1427" w14:textId="77777777" w:rsidR="00E15CE2" w:rsidRPr="00F55D04" w:rsidRDefault="00E15CE2" w:rsidP="00E15CE2">
      <w:pPr>
        <w:tabs>
          <w:tab w:val="left" w:pos="5352"/>
        </w:tabs>
        <w:spacing w:after="0"/>
        <w:jc w:val="both"/>
        <w:rPr>
          <w:rFonts w:cs="Arial"/>
          <w:sz w:val="18"/>
          <w:szCs w:val="18"/>
        </w:rPr>
      </w:pPr>
      <w:r w:rsidRPr="00F55D04">
        <w:rPr>
          <w:rFonts w:cs="Arial"/>
          <w:i/>
          <w:sz w:val="18"/>
          <w:szCs w:val="18"/>
        </w:rPr>
        <w:t>Interest rates, foreign exchange rates, liquidity and credit:</w:t>
      </w:r>
      <w:r w:rsidRPr="00F55D04">
        <w:rPr>
          <w:rFonts w:cs="Arial"/>
          <w:sz w:val="18"/>
          <w:szCs w:val="18"/>
        </w:rPr>
        <w:t xml:space="preserve"> There are inherent risks associated with fluctuations in both foreign exchange rates and interest rates. In addition, the Group’s credit rating and overall credit profile impacts its ability to obtain funding for future development and expansion.</w:t>
      </w:r>
      <w:r w:rsidRPr="00E15CE2">
        <w:rPr>
          <w:sz w:val="18"/>
          <w:szCs w:val="18"/>
        </w:rPr>
        <w:t xml:space="preserve"> </w:t>
      </w:r>
      <w:r w:rsidR="00943369">
        <w:rPr>
          <w:sz w:val="18"/>
          <w:szCs w:val="18"/>
        </w:rPr>
        <w:t>As outlined in the Risks and Risk Management section of the Annual Report and Financial Statements for FY20, t</w:t>
      </w:r>
      <w:r w:rsidRPr="00E15CE2">
        <w:rPr>
          <w:sz w:val="18"/>
          <w:szCs w:val="18"/>
        </w:rPr>
        <w:t>he level of risk has increased principally due to global uncertainty associated with Brexit and the impact of COVID-19. There has been significant impact on the capital markets globally which may continue to impact various elements of our financial instruments.</w:t>
      </w:r>
    </w:p>
    <w:p w14:paraId="0C04CF93" w14:textId="77777777" w:rsidR="00E15CE2" w:rsidRPr="00F55D04" w:rsidRDefault="00E15CE2" w:rsidP="00E15CE2">
      <w:pPr>
        <w:tabs>
          <w:tab w:val="left" w:pos="5352"/>
        </w:tabs>
        <w:spacing w:after="0"/>
        <w:jc w:val="both"/>
        <w:rPr>
          <w:rFonts w:cs="Arial"/>
          <w:sz w:val="18"/>
          <w:szCs w:val="18"/>
        </w:rPr>
      </w:pPr>
      <w:r w:rsidRPr="00F55D04">
        <w:rPr>
          <w:rFonts w:cs="Arial"/>
          <w:sz w:val="18"/>
          <w:szCs w:val="18"/>
        </w:rPr>
        <w:tab/>
      </w:r>
    </w:p>
    <w:p w14:paraId="2F9BDEBF" w14:textId="77777777" w:rsidR="00E15CE2" w:rsidRPr="00A24419" w:rsidRDefault="00E15CE2" w:rsidP="00E15CE2">
      <w:pPr>
        <w:widowControl w:val="0"/>
        <w:autoSpaceDE w:val="0"/>
        <w:autoSpaceDN w:val="0"/>
        <w:spacing w:after="0" w:line="240" w:lineRule="auto"/>
        <w:jc w:val="both"/>
        <w:rPr>
          <w:rFonts w:cs="Arial"/>
          <w:sz w:val="18"/>
          <w:szCs w:val="18"/>
        </w:rPr>
      </w:pPr>
      <w:r w:rsidRPr="00F55D04">
        <w:rPr>
          <w:rFonts w:cs="Arial"/>
          <w:i/>
          <w:sz w:val="18"/>
          <w:szCs w:val="18"/>
        </w:rPr>
        <w:t>Employee retirement obligations:</w:t>
      </w:r>
      <w:r w:rsidRPr="00F55D04">
        <w:rPr>
          <w:rFonts w:cs="Arial"/>
          <w:sz w:val="18"/>
          <w:szCs w:val="18"/>
        </w:rPr>
        <w:t xml:space="preserve"> The Group’s defined benefit pension schemes are exposed to the risk of changes in interest rates and the market values of investments, as well as inflation and the increasing longevity of scheme members. Volatility in worldwide equity and bond markets can impact the risk of employee retirement obligations.</w:t>
      </w:r>
      <w:r w:rsidRPr="00802DCF">
        <w:rPr>
          <w:sz w:val="18"/>
          <w:szCs w:val="18"/>
        </w:rPr>
        <w:t xml:space="preserve"> </w:t>
      </w:r>
    </w:p>
    <w:p w14:paraId="09BD080A" w14:textId="77777777" w:rsidR="00773F7B" w:rsidRDefault="00773F7B" w:rsidP="00773F7B">
      <w:pPr>
        <w:spacing w:before="160" w:after="0" w:line="240" w:lineRule="auto"/>
        <w:rPr>
          <w:sz w:val="18"/>
          <w:szCs w:val="18"/>
        </w:rPr>
      </w:pPr>
    </w:p>
    <w:p w14:paraId="33EA1DC5" w14:textId="77777777" w:rsidR="00773F7B" w:rsidRDefault="00773F7B" w:rsidP="00773F7B">
      <w:pPr>
        <w:spacing w:after="0"/>
      </w:pPr>
    </w:p>
    <w:p w14:paraId="3784DE41" w14:textId="77777777" w:rsidR="002222D6" w:rsidRDefault="002222D6" w:rsidP="002222D6">
      <w:pPr>
        <w:spacing w:after="0"/>
      </w:pPr>
    </w:p>
    <w:sectPr w:rsidR="002222D6" w:rsidSect="00DD4291">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0F59" w14:textId="77777777" w:rsidR="00874753" w:rsidRDefault="00874753" w:rsidP="00E34FD1">
      <w:pPr>
        <w:spacing w:after="0" w:line="240" w:lineRule="auto"/>
      </w:pPr>
      <w:r>
        <w:separator/>
      </w:r>
    </w:p>
  </w:endnote>
  <w:endnote w:type="continuationSeparator" w:id="0">
    <w:p w14:paraId="7E381F0B" w14:textId="77777777" w:rsidR="00874753" w:rsidRDefault="00874753" w:rsidP="00E3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F30F9" w14:textId="77777777" w:rsidR="00874753" w:rsidRDefault="00874753" w:rsidP="00E34FD1">
      <w:pPr>
        <w:spacing w:after="0" w:line="240" w:lineRule="auto"/>
      </w:pPr>
      <w:r>
        <w:separator/>
      </w:r>
    </w:p>
  </w:footnote>
  <w:footnote w:type="continuationSeparator" w:id="0">
    <w:p w14:paraId="302C023E" w14:textId="77777777" w:rsidR="00874753" w:rsidRDefault="00874753" w:rsidP="00E3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7BD82" w14:textId="77777777" w:rsidR="00874753" w:rsidRPr="009100FA" w:rsidRDefault="00874753" w:rsidP="0091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47D4"/>
    <w:multiLevelType w:val="hybridMultilevel"/>
    <w:tmpl w:val="B3C06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A527D"/>
    <w:multiLevelType w:val="hybridMultilevel"/>
    <w:tmpl w:val="7ED66C0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103A4045"/>
    <w:multiLevelType w:val="multilevel"/>
    <w:tmpl w:val="17242734"/>
    <w:lvl w:ilvl="0">
      <w:start w:val="3"/>
      <w:numFmt w:val="lowerLetter"/>
      <w:pStyle w:val="Style1"/>
      <w:lvlText w:val="(%1)"/>
      <w:lvlJc w:val="left"/>
      <w:pPr>
        <w:ind w:left="502" w:hanging="360"/>
      </w:pPr>
      <w:rPr>
        <w:rFonts w:ascii="Calibri" w:hAnsi="Calibri" w:hint="default"/>
        <w:b/>
        <w:i w:val="0"/>
        <w:sz w:val="18"/>
      </w:rPr>
    </w:lvl>
    <w:lvl w:ilvl="1">
      <w:start w:val="1"/>
      <w:numFmt w:val="lowerLetter"/>
      <w:lvlText w:val="%2)"/>
      <w:lvlJc w:val="left"/>
      <w:pPr>
        <w:ind w:left="-3250" w:hanging="360"/>
      </w:pPr>
      <w:rPr>
        <w:rFonts w:hint="default"/>
      </w:rPr>
    </w:lvl>
    <w:lvl w:ilvl="2">
      <w:start w:val="1"/>
      <w:numFmt w:val="lowerRoman"/>
      <w:lvlText w:val="%3)"/>
      <w:lvlJc w:val="left"/>
      <w:pPr>
        <w:ind w:left="-2890" w:hanging="360"/>
      </w:pPr>
      <w:rPr>
        <w:rFonts w:hint="default"/>
      </w:rPr>
    </w:lvl>
    <w:lvl w:ilvl="3">
      <w:start w:val="1"/>
      <w:numFmt w:val="decimal"/>
      <w:lvlText w:val="(%4)"/>
      <w:lvlJc w:val="left"/>
      <w:pPr>
        <w:ind w:left="-2530" w:hanging="360"/>
      </w:pPr>
      <w:rPr>
        <w:rFonts w:hint="default"/>
      </w:rPr>
    </w:lvl>
    <w:lvl w:ilvl="4">
      <w:start w:val="1"/>
      <w:numFmt w:val="lowerLetter"/>
      <w:lvlText w:val="(%5)"/>
      <w:lvlJc w:val="left"/>
      <w:pPr>
        <w:ind w:left="-2170" w:hanging="360"/>
      </w:pPr>
      <w:rPr>
        <w:rFonts w:hint="default"/>
      </w:rPr>
    </w:lvl>
    <w:lvl w:ilvl="5">
      <w:start w:val="1"/>
      <w:numFmt w:val="lowerRoman"/>
      <w:lvlText w:val="(%6)"/>
      <w:lvlJc w:val="left"/>
      <w:pPr>
        <w:ind w:left="-1810" w:hanging="360"/>
      </w:pPr>
      <w:rPr>
        <w:rFonts w:hint="default"/>
      </w:rPr>
    </w:lvl>
    <w:lvl w:ilvl="6">
      <w:start w:val="1"/>
      <w:numFmt w:val="decimal"/>
      <w:lvlText w:val="%7."/>
      <w:lvlJc w:val="left"/>
      <w:pPr>
        <w:ind w:left="-1450" w:hanging="360"/>
      </w:pPr>
      <w:rPr>
        <w:rFonts w:hint="default"/>
      </w:rPr>
    </w:lvl>
    <w:lvl w:ilvl="7">
      <w:start w:val="1"/>
      <w:numFmt w:val="lowerLetter"/>
      <w:lvlText w:val="%8."/>
      <w:lvlJc w:val="left"/>
      <w:pPr>
        <w:ind w:left="-1090" w:hanging="360"/>
      </w:pPr>
      <w:rPr>
        <w:rFonts w:hint="default"/>
      </w:rPr>
    </w:lvl>
    <w:lvl w:ilvl="8">
      <w:start w:val="1"/>
      <w:numFmt w:val="lowerRoman"/>
      <w:lvlText w:val="%9."/>
      <w:lvlJc w:val="left"/>
      <w:pPr>
        <w:ind w:left="-730" w:hanging="360"/>
      </w:pPr>
      <w:rPr>
        <w:rFonts w:hint="default"/>
      </w:rPr>
    </w:lvl>
  </w:abstractNum>
  <w:abstractNum w:abstractNumId="3" w15:restartNumberingAfterBreak="0">
    <w:nsid w:val="116A50F6"/>
    <w:multiLevelType w:val="hybridMultilevel"/>
    <w:tmpl w:val="11D6AB1C"/>
    <w:lvl w:ilvl="0" w:tplc="270EA4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44712"/>
    <w:multiLevelType w:val="hybridMultilevel"/>
    <w:tmpl w:val="A06A9B80"/>
    <w:lvl w:ilvl="0" w:tplc="0012211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7B24CE1"/>
    <w:multiLevelType w:val="hybridMultilevel"/>
    <w:tmpl w:val="513CF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88141B"/>
    <w:multiLevelType w:val="hybridMultilevel"/>
    <w:tmpl w:val="FA8680B2"/>
    <w:lvl w:ilvl="0" w:tplc="270EA4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0051A"/>
    <w:multiLevelType w:val="hybridMultilevel"/>
    <w:tmpl w:val="B2D40996"/>
    <w:lvl w:ilvl="0" w:tplc="E2045E0E">
      <w:start w:val="8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29AF"/>
    <w:multiLevelType w:val="hybridMultilevel"/>
    <w:tmpl w:val="36C8F280"/>
    <w:lvl w:ilvl="0" w:tplc="F814B66E">
      <w:start w:val="1"/>
      <w:numFmt w:val="upperLetter"/>
      <w:lvlText w:val="(%1)"/>
      <w:lvlJc w:val="left"/>
      <w:pPr>
        <w:ind w:left="1080" w:hanging="360"/>
      </w:pPr>
      <w:rPr>
        <w:rFonts w:hint="default"/>
        <w:b w:val="0"/>
        <w:sz w:val="1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116F30"/>
    <w:multiLevelType w:val="hybridMultilevel"/>
    <w:tmpl w:val="AF0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81A11"/>
    <w:multiLevelType w:val="hybridMultilevel"/>
    <w:tmpl w:val="251647CE"/>
    <w:lvl w:ilvl="0" w:tplc="C7D847BA">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E95499B"/>
    <w:multiLevelType w:val="hybridMultilevel"/>
    <w:tmpl w:val="184C9528"/>
    <w:lvl w:ilvl="0" w:tplc="15E454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F03962"/>
    <w:multiLevelType w:val="hybridMultilevel"/>
    <w:tmpl w:val="BE403434"/>
    <w:lvl w:ilvl="0" w:tplc="9E5EFA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8F588E"/>
    <w:multiLevelType w:val="hybridMultilevel"/>
    <w:tmpl w:val="8448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744DA"/>
    <w:multiLevelType w:val="hybridMultilevel"/>
    <w:tmpl w:val="47DA091C"/>
    <w:lvl w:ilvl="0" w:tplc="6EBA48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A492A"/>
    <w:multiLevelType w:val="hybridMultilevel"/>
    <w:tmpl w:val="29285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345F6"/>
    <w:multiLevelType w:val="multilevel"/>
    <w:tmpl w:val="4888E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8914FEE"/>
    <w:multiLevelType w:val="hybridMultilevel"/>
    <w:tmpl w:val="4478152C"/>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8D204FB"/>
    <w:multiLevelType w:val="hybridMultilevel"/>
    <w:tmpl w:val="B49EA8B0"/>
    <w:lvl w:ilvl="0" w:tplc="EECA712E">
      <w:start w:val="1"/>
      <w:numFmt w:val="bullet"/>
      <w:pStyle w:val="Para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96FC2"/>
    <w:multiLevelType w:val="hybridMultilevel"/>
    <w:tmpl w:val="4AF033EE"/>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B86911"/>
    <w:multiLevelType w:val="hybridMultilevel"/>
    <w:tmpl w:val="0C6AB4CC"/>
    <w:lvl w:ilvl="0" w:tplc="5C4097EA">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8"/>
  </w:num>
  <w:num w:numId="2">
    <w:abstractNumId w:val="2"/>
  </w:num>
  <w:num w:numId="3">
    <w:abstractNumId w:val="19"/>
  </w:num>
  <w:num w:numId="4">
    <w:abstractNumId w:val="11"/>
  </w:num>
  <w:num w:numId="5">
    <w:abstractNumId w:val="12"/>
  </w:num>
  <w:num w:numId="6">
    <w:abstractNumId w:val="20"/>
  </w:num>
  <w:num w:numId="7">
    <w:abstractNumId w:val="10"/>
  </w:num>
  <w:num w:numId="8">
    <w:abstractNumId w:val="4"/>
  </w:num>
  <w:num w:numId="9">
    <w:abstractNumId w:val="14"/>
  </w:num>
  <w:num w:numId="10">
    <w:abstractNumId w:val="7"/>
  </w:num>
  <w:num w:numId="11">
    <w:abstractNumId w:val="8"/>
  </w:num>
  <w:num w:numId="12">
    <w:abstractNumId w:val="9"/>
  </w:num>
  <w:num w:numId="13">
    <w:abstractNumId w:val="5"/>
  </w:num>
  <w:num w:numId="14">
    <w:abstractNumId w:val="17"/>
  </w:num>
  <w:num w:numId="15">
    <w:abstractNumId w:val="3"/>
  </w:num>
  <w:num w:numId="16">
    <w:abstractNumId w:val="6"/>
  </w:num>
  <w:num w:numId="17">
    <w:abstractNumId w:val="0"/>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5"/>
  </w:num>
  <w:num w:numId="3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F2"/>
    <w:rsid w:val="00003CBC"/>
    <w:rsid w:val="00003DEC"/>
    <w:rsid w:val="00004C2C"/>
    <w:rsid w:val="00004FE3"/>
    <w:rsid w:val="00005E77"/>
    <w:rsid w:val="00006931"/>
    <w:rsid w:val="00006C98"/>
    <w:rsid w:val="00011014"/>
    <w:rsid w:val="000117F8"/>
    <w:rsid w:val="00011ED0"/>
    <w:rsid w:val="000121FE"/>
    <w:rsid w:val="000123F9"/>
    <w:rsid w:val="00012B1C"/>
    <w:rsid w:val="000136DE"/>
    <w:rsid w:val="00014401"/>
    <w:rsid w:val="0001541B"/>
    <w:rsid w:val="00016206"/>
    <w:rsid w:val="00020208"/>
    <w:rsid w:val="00023BDE"/>
    <w:rsid w:val="000263C2"/>
    <w:rsid w:val="00026B26"/>
    <w:rsid w:val="00031EAC"/>
    <w:rsid w:val="0003219E"/>
    <w:rsid w:val="000334D5"/>
    <w:rsid w:val="000339C9"/>
    <w:rsid w:val="00034F1E"/>
    <w:rsid w:val="00035262"/>
    <w:rsid w:val="000358A3"/>
    <w:rsid w:val="0003629A"/>
    <w:rsid w:val="000366EA"/>
    <w:rsid w:val="00037D62"/>
    <w:rsid w:val="00040078"/>
    <w:rsid w:val="000403FE"/>
    <w:rsid w:val="0004196B"/>
    <w:rsid w:val="00043793"/>
    <w:rsid w:val="0004743B"/>
    <w:rsid w:val="00047FF1"/>
    <w:rsid w:val="00052704"/>
    <w:rsid w:val="00053E70"/>
    <w:rsid w:val="0005435B"/>
    <w:rsid w:val="0005630C"/>
    <w:rsid w:val="000606CD"/>
    <w:rsid w:val="000620FA"/>
    <w:rsid w:val="0006455C"/>
    <w:rsid w:val="00067050"/>
    <w:rsid w:val="000711D9"/>
    <w:rsid w:val="000716D2"/>
    <w:rsid w:val="0007190E"/>
    <w:rsid w:val="000727B8"/>
    <w:rsid w:val="00072DB2"/>
    <w:rsid w:val="00076118"/>
    <w:rsid w:val="0007680A"/>
    <w:rsid w:val="000776F9"/>
    <w:rsid w:val="00082AF5"/>
    <w:rsid w:val="00083EA3"/>
    <w:rsid w:val="00084483"/>
    <w:rsid w:val="00085EB5"/>
    <w:rsid w:val="00087D87"/>
    <w:rsid w:val="0009243D"/>
    <w:rsid w:val="000926C0"/>
    <w:rsid w:val="00093623"/>
    <w:rsid w:val="000948AD"/>
    <w:rsid w:val="00096BA2"/>
    <w:rsid w:val="00097298"/>
    <w:rsid w:val="000976C9"/>
    <w:rsid w:val="000A0ED9"/>
    <w:rsid w:val="000A0F56"/>
    <w:rsid w:val="000A12B5"/>
    <w:rsid w:val="000A27F7"/>
    <w:rsid w:val="000A2A6A"/>
    <w:rsid w:val="000A3FCF"/>
    <w:rsid w:val="000A65EC"/>
    <w:rsid w:val="000B0176"/>
    <w:rsid w:val="000B01CB"/>
    <w:rsid w:val="000B274B"/>
    <w:rsid w:val="000B5E87"/>
    <w:rsid w:val="000B5EC4"/>
    <w:rsid w:val="000B739F"/>
    <w:rsid w:val="000C09E6"/>
    <w:rsid w:val="000C1EBD"/>
    <w:rsid w:val="000C2205"/>
    <w:rsid w:val="000C600F"/>
    <w:rsid w:val="000C60C3"/>
    <w:rsid w:val="000C67A4"/>
    <w:rsid w:val="000C71DE"/>
    <w:rsid w:val="000D0640"/>
    <w:rsid w:val="000D19DE"/>
    <w:rsid w:val="000D1D55"/>
    <w:rsid w:val="000D1D6C"/>
    <w:rsid w:val="000D1F0F"/>
    <w:rsid w:val="000D31E8"/>
    <w:rsid w:val="000D41D5"/>
    <w:rsid w:val="000D47BB"/>
    <w:rsid w:val="000D620D"/>
    <w:rsid w:val="000D6878"/>
    <w:rsid w:val="000E4095"/>
    <w:rsid w:val="000E414C"/>
    <w:rsid w:val="000E4208"/>
    <w:rsid w:val="000E556C"/>
    <w:rsid w:val="000E6105"/>
    <w:rsid w:val="000E6B86"/>
    <w:rsid w:val="000E6CC2"/>
    <w:rsid w:val="000E7C5C"/>
    <w:rsid w:val="000F1ADC"/>
    <w:rsid w:val="000F1E1E"/>
    <w:rsid w:val="000F294E"/>
    <w:rsid w:val="000F2A63"/>
    <w:rsid w:val="000F2C42"/>
    <w:rsid w:val="000F36C7"/>
    <w:rsid w:val="000F7449"/>
    <w:rsid w:val="0010152A"/>
    <w:rsid w:val="00102D3E"/>
    <w:rsid w:val="00102F12"/>
    <w:rsid w:val="00106BEC"/>
    <w:rsid w:val="00107F4D"/>
    <w:rsid w:val="001122CB"/>
    <w:rsid w:val="00112C15"/>
    <w:rsid w:val="00113CA3"/>
    <w:rsid w:val="0011628B"/>
    <w:rsid w:val="00116A2E"/>
    <w:rsid w:val="00120DCA"/>
    <w:rsid w:val="00121CDE"/>
    <w:rsid w:val="00121E5F"/>
    <w:rsid w:val="001227ED"/>
    <w:rsid w:val="00124466"/>
    <w:rsid w:val="00126221"/>
    <w:rsid w:val="00126249"/>
    <w:rsid w:val="00130402"/>
    <w:rsid w:val="00132415"/>
    <w:rsid w:val="00132AA0"/>
    <w:rsid w:val="0013449C"/>
    <w:rsid w:val="001355BD"/>
    <w:rsid w:val="00135CB2"/>
    <w:rsid w:val="00136746"/>
    <w:rsid w:val="00140609"/>
    <w:rsid w:val="00140F36"/>
    <w:rsid w:val="00141317"/>
    <w:rsid w:val="001413EA"/>
    <w:rsid w:val="00142004"/>
    <w:rsid w:val="00142E7C"/>
    <w:rsid w:val="00143344"/>
    <w:rsid w:val="001438E9"/>
    <w:rsid w:val="001459D9"/>
    <w:rsid w:val="001503CD"/>
    <w:rsid w:val="001510E1"/>
    <w:rsid w:val="0015209C"/>
    <w:rsid w:val="001523A9"/>
    <w:rsid w:val="00154AB8"/>
    <w:rsid w:val="00155042"/>
    <w:rsid w:val="00157690"/>
    <w:rsid w:val="00160155"/>
    <w:rsid w:val="00162A5A"/>
    <w:rsid w:val="0016316D"/>
    <w:rsid w:val="001671A0"/>
    <w:rsid w:val="001674BC"/>
    <w:rsid w:val="001701A2"/>
    <w:rsid w:val="00170825"/>
    <w:rsid w:val="00171B5C"/>
    <w:rsid w:val="00172CA9"/>
    <w:rsid w:val="00172EC0"/>
    <w:rsid w:val="001737BC"/>
    <w:rsid w:val="00173CA5"/>
    <w:rsid w:val="00174542"/>
    <w:rsid w:val="00180340"/>
    <w:rsid w:val="00182C92"/>
    <w:rsid w:val="00183EA2"/>
    <w:rsid w:val="00183FE9"/>
    <w:rsid w:val="00184907"/>
    <w:rsid w:val="00185246"/>
    <w:rsid w:val="001852E5"/>
    <w:rsid w:val="001861C4"/>
    <w:rsid w:val="001866CD"/>
    <w:rsid w:val="0019026B"/>
    <w:rsid w:val="00191402"/>
    <w:rsid w:val="001915E7"/>
    <w:rsid w:val="001917D0"/>
    <w:rsid w:val="00194C92"/>
    <w:rsid w:val="00194D33"/>
    <w:rsid w:val="00196436"/>
    <w:rsid w:val="001965F0"/>
    <w:rsid w:val="0019701F"/>
    <w:rsid w:val="00197130"/>
    <w:rsid w:val="00197570"/>
    <w:rsid w:val="001A0E8A"/>
    <w:rsid w:val="001A2230"/>
    <w:rsid w:val="001A2577"/>
    <w:rsid w:val="001A36D9"/>
    <w:rsid w:val="001A3EDA"/>
    <w:rsid w:val="001A5BD4"/>
    <w:rsid w:val="001A5BEB"/>
    <w:rsid w:val="001A6B0E"/>
    <w:rsid w:val="001A6D11"/>
    <w:rsid w:val="001B258F"/>
    <w:rsid w:val="001B331F"/>
    <w:rsid w:val="001B391B"/>
    <w:rsid w:val="001B56E6"/>
    <w:rsid w:val="001B6DB4"/>
    <w:rsid w:val="001B7302"/>
    <w:rsid w:val="001C03C2"/>
    <w:rsid w:val="001C2084"/>
    <w:rsid w:val="001C296C"/>
    <w:rsid w:val="001C2FF9"/>
    <w:rsid w:val="001C3739"/>
    <w:rsid w:val="001C4EF0"/>
    <w:rsid w:val="001C4F5E"/>
    <w:rsid w:val="001C684B"/>
    <w:rsid w:val="001D0D80"/>
    <w:rsid w:val="001D0FD3"/>
    <w:rsid w:val="001D0FF8"/>
    <w:rsid w:val="001D101F"/>
    <w:rsid w:val="001D29E6"/>
    <w:rsid w:val="001D2A7F"/>
    <w:rsid w:val="001D401B"/>
    <w:rsid w:val="001D4796"/>
    <w:rsid w:val="001D4A8E"/>
    <w:rsid w:val="001D5630"/>
    <w:rsid w:val="001D58B5"/>
    <w:rsid w:val="001D5B07"/>
    <w:rsid w:val="001D697C"/>
    <w:rsid w:val="001E1407"/>
    <w:rsid w:val="001E422A"/>
    <w:rsid w:val="001E4F4B"/>
    <w:rsid w:val="001E6EF0"/>
    <w:rsid w:val="001F0043"/>
    <w:rsid w:val="001F0C29"/>
    <w:rsid w:val="001F0C2A"/>
    <w:rsid w:val="001F14D1"/>
    <w:rsid w:val="001F1616"/>
    <w:rsid w:val="001F1661"/>
    <w:rsid w:val="001F3417"/>
    <w:rsid w:val="001F5FE4"/>
    <w:rsid w:val="00200BD1"/>
    <w:rsid w:val="00202019"/>
    <w:rsid w:val="00202AAA"/>
    <w:rsid w:val="002042D5"/>
    <w:rsid w:val="00205633"/>
    <w:rsid w:val="00206029"/>
    <w:rsid w:val="00206E9E"/>
    <w:rsid w:val="002079A1"/>
    <w:rsid w:val="00211AA6"/>
    <w:rsid w:val="00215E7D"/>
    <w:rsid w:val="00217089"/>
    <w:rsid w:val="00217625"/>
    <w:rsid w:val="002179C4"/>
    <w:rsid w:val="002208BF"/>
    <w:rsid w:val="002222D6"/>
    <w:rsid w:val="00223619"/>
    <w:rsid w:val="0022364B"/>
    <w:rsid w:val="002240E2"/>
    <w:rsid w:val="00226649"/>
    <w:rsid w:val="00227064"/>
    <w:rsid w:val="002273FE"/>
    <w:rsid w:val="00227DEE"/>
    <w:rsid w:val="00231BBF"/>
    <w:rsid w:val="00231D28"/>
    <w:rsid w:val="0023255B"/>
    <w:rsid w:val="00235623"/>
    <w:rsid w:val="0024068E"/>
    <w:rsid w:val="00246A66"/>
    <w:rsid w:val="00246BF5"/>
    <w:rsid w:val="00247544"/>
    <w:rsid w:val="00250F8D"/>
    <w:rsid w:val="002515EC"/>
    <w:rsid w:val="0025418E"/>
    <w:rsid w:val="0025448A"/>
    <w:rsid w:val="00254DCD"/>
    <w:rsid w:val="0026155F"/>
    <w:rsid w:val="00261DE0"/>
    <w:rsid w:val="0026319A"/>
    <w:rsid w:val="00263969"/>
    <w:rsid w:val="002655F1"/>
    <w:rsid w:val="002663ED"/>
    <w:rsid w:val="00270329"/>
    <w:rsid w:val="002727B0"/>
    <w:rsid w:val="00272EFC"/>
    <w:rsid w:val="00274A8D"/>
    <w:rsid w:val="002768C8"/>
    <w:rsid w:val="002771C2"/>
    <w:rsid w:val="00280B8E"/>
    <w:rsid w:val="00281C4A"/>
    <w:rsid w:val="002868F4"/>
    <w:rsid w:val="0028757E"/>
    <w:rsid w:val="002902F4"/>
    <w:rsid w:val="00292B26"/>
    <w:rsid w:val="002974AB"/>
    <w:rsid w:val="002A01F9"/>
    <w:rsid w:val="002A239E"/>
    <w:rsid w:val="002A2866"/>
    <w:rsid w:val="002A2B15"/>
    <w:rsid w:val="002A3814"/>
    <w:rsid w:val="002A412D"/>
    <w:rsid w:val="002A43ED"/>
    <w:rsid w:val="002A4D88"/>
    <w:rsid w:val="002A7061"/>
    <w:rsid w:val="002A76A7"/>
    <w:rsid w:val="002B2113"/>
    <w:rsid w:val="002B479B"/>
    <w:rsid w:val="002B5E29"/>
    <w:rsid w:val="002B604F"/>
    <w:rsid w:val="002B60E2"/>
    <w:rsid w:val="002B6628"/>
    <w:rsid w:val="002B7F9C"/>
    <w:rsid w:val="002C0802"/>
    <w:rsid w:val="002C1197"/>
    <w:rsid w:val="002C12FA"/>
    <w:rsid w:val="002C271B"/>
    <w:rsid w:val="002C3815"/>
    <w:rsid w:val="002C40EB"/>
    <w:rsid w:val="002C4242"/>
    <w:rsid w:val="002C4688"/>
    <w:rsid w:val="002C46B4"/>
    <w:rsid w:val="002C4D5C"/>
    <w:rsid w:val="002C52DF"/>
    <w:rsid w:val="002C6657"/>
    <w:rsid w:val="002D0035"/>
    <w:rsid w:val="002D4204"/>
    <w:rsid w:val="002D4B4B"/>
    <w:rsid w:val="002D4F36"/>
    <w:rsid w:val="002D61FD"/>
    <w:rsid w:val="002D6B38"/>
    <w:rsid w:val="002E05C0"/>
    <w:rsid w:val="002E0E9E"/>
    <w:rsid w:val="002E222C"/>
    <w:rsid w:val="002E6110"/>
    <w:rsid w:val="002E6AF4"/>
    <w:rsid w:val="002E6C29"/>
    <w:rsid w:val="002E6E4F"/>
    <w:rsid w:val="002E745E"/>
    <w:rsid w:val="002F04E0"/>
    <w:rsid w:val="002F1988"/>
    <w:rsid w:val="002F26F2"/>
    <w:rsid w:val="002F4459"/>
    <w:rsid w:val="002F5765"/>
    <w:rsid w:val="002F685C"/>
    <w:rsid w:val="002F718C"/>
    <w:rsid w:val="002F7BDB"/>
    <w:rsid w:val="0030031A"/>
    <w:rsid w:val="003005EC"/>
    <w:rsid w:val="0030694B"/>
    <w:rsid w:val="00307324"/>
    <w:rsid w:val="00310676"/>
    <w:rsid w:val="0031140A"/>
    <w:rsid w:val="00312BC1"/>
    <w:rsid w:val="00313181"/>
    <w:rsid w:val="00313FBC"/>
    <w:rsid w:val="00314BDE"/>
    <w:rsid w:val="00314EDD"/>
    <w:rsid w:val="00315730"/>
    <w:rsid w:val="0031624C"/>
    <w:rsid w:val="00316576"/>
    <w:rsid w:val="00320DDF"/>
    <w:rsid w:val="00321845"/>
    <w:rsid w:val="003232EE"/>
    <w:rsid w:val="00323388"/>
    <w:rsid w:val="003235E7"/>
    <w:rsid w:val="00323878"/>
    <w:rsid w:val="00324763"/>
    <w:rsid w:val="003264D2"/>
    <w:rsid w:val="00327330"/>
    <w:rsid w:val="003313E6"/>
    <w:rsid w:val="003322D5"/>
    <w:rsid w:val="00332EEE"/>
    <w:rsid w:val="003344DF"/>
    <w:rsid w:val="00336204"/>
    <w:rsid w:val="00337EED"/>
    <w:rsid w:val="00340EF0"/>
    <w:rsid w:val="0034221D"/>
    <w:rsid w:val="00342656"/>
    <w:rsid w:val="0034411F"/>
    <w:rsid w:val="003479B7"/>
    <w:rsid w:val="003505D9"/>
    <w:rsid w:val="00351342"/>
    <w:rsid w:val="00353430"/>
    <w:rsid w:val="00354B16"/>
    <w:rsid w:val="003551FB"/>
    <w:rsid w:val="00355224"/>
    <w:rsid w:val="00355F6F"/>
    <w:rsid w:val="00357053"/>
    <w:rsid w:val="0035711D"/>
    <w:rsid w:val="00357431"/>
    <w:rsid w:val="00360EF5"/>
    <w:rsid w:val="00362A41"/>
    <w:rsid w:val="003646A4"/>
    <w:rsid w:val="00365D32"/>
    <w:rsid w:val="003669E7"/>
    <w:rsid w:val="00366B8B"/>
    <w:rsid w:val="00371831"/>
    <w:rsid w:val="003746D3"/>
    <w:rsid w:val="00374CF3"/>
    <w:rsid w:val="00377178"/>
    <w:rsid w:val="00380E4E"/>
    <w:rsid w:val="00381039"/>
    <w:rsid w:val="00381545"/>
    <w:rsid w:val="00381F66"/>
    <w:rsid w:val="00382A45"/>
    <w:rsid w:val="003834EC"/>
    <w:rsid w:val="00383ACB"/>
    <w:rsid w:val="00383BB0"/>
    <w:rsid w:val="003841B4"/>
    <w:rsid w:val="003843AE"/>
    <w:rsid w:val="00385FF5"/>
    <w:rsid w:val="003863A7"/>
    <w:rsid w:val="00386903"/>
    <w:rsid w:val="00390570"/>
    <w:rsid w:val="00392C47"/>
    <w:rsid w:val="00392EDE"/>
    <w:rsid w:val="003931DF"/>
    <w:rsid w:val="0039342D"/>
    <w:rsid w:val="00396761"/>
    <w:rsid w:val="0039774B"/>
    <w:rsid w:val="00397D1B"/>
    <w:rsid w:val="003A16C0"/>
    <w:rsid w:val="003A20B5"/>
    <w:rsid w:val="003A2236"/>
    <w:rsid w:val="003A2522"/>
    <w:rsid w:val="003A27DB"/>
    <w:rsid w:val="003A31F8"/>
    <w:rsid w:val="003A326D"/>
    <w:rsid w:val="003A5223"/>
    <w:rsid w:val="003A6352"/>
    <w:rsid w:val="003A6410"/>
    <w:rsid w:val="003B24A2"/>
    <w:rsid w:val="003B4680"/>
    <w:rsid w:val="003B4949"/>
    <w:rsid w:val="003B53C5"/>
    <w:rsid w:val="003B5811"/>
    <w:rsid w:val="003B6495"/>
    <w:rsid w:val="003B6F17"/>
    <w:rsid w:val="003C07DB"/>
    <w:rsid w:val="003C0CEB"/>
    <w:rsid w:val="003C1FAA"/>
    <w:rsid w:val="003C2A38"/>
    <w:rsid w:val="003C3634"/>
    <w:rsid w:val="003C3BC8"/>
    <w:rsid w:val="003C3D03"/>
    <w:rsid w:val="003C468A"/>
    <w:rsid w:val="003C4F29"/>
    <w:rsid w:val="003C53C7"/>
    <w:rsid w:val="003C541D"/>
    <w:rsid w:val="003C6EB5"/>
    <w:rsid w:val="003C7BC3"/>
    <w:rsid w:val="003D02FB"/>
    <w:rsid w:val="003D0B78"/>
    <w:rsid w:val="003D1243"/>
    <w:rsid w:val="003D1D14"/>
    <w:rsid w:val="003D1D46"/>
    <w:rsid w:val="003D2ED0"/>
    <w:rsid w:val="003D355E"/>
    <w:rsid w:val="003D475A"/>
    <w:rsid w:val="003D51A0"/>
    <w:rsid w:val="003D7381"/>
    <w:rsid w:val="003D7787"/>
    <w:rsid w:val="003E1652"/>
    <w:rsid w:val="003E234E"/>
    <w:rsid w:val="003E2B15"/>
    <w:rsid w:val="003E307B"/>
    <w:rsid w:val="003F0615"/>
    <w:rsid w:val="003F0654"/>
    <w:rsid w:val="003F1160"/>
    <w:rsid w:val="003F23F5"/>
    <w:rsid w:val="003F6453"/>
    <w:rsid w:val="003F691F"/>
    <w:rsid w:val="003F692F"/>
    <w:rsid w:val="003F6995"/>
    <w:rsid w:val="003F6C2F"/>
    <w:rsid w:val="003F6F0C"/>
    <w:rsid w:val="003F79EF"/>
    <w:rsid w:val="0040172A"/>
    <w:rsid w:val="004029CF"/>
    <w:rsid w:val="004034F0"/>
    <w:rsid w:val="004045A8"/>
    <w:rsid w:val="0040521A"/>
    <w:rsid w:val="00405D63"/>
    <w:rsid w:val="004066FE"/>
    <w:rsid w:val="00411060"/>
    <w:rsid w:val="00412887"/>
    <w:rsid w:val="00412AF1"/>
    <w:rsid w:val="00413B31"/>
    <w:rsid w:val="00414F4A"/>
    <w:rsid w:val="00415CDB"/>
    <w:rsid w:val="00416D97"/>
    <w:rsid w:val="0041734A"/>
    <w:rsid w:val="00417D12"/>
    <w:rsid w:val="0042000E"/>
    <w:rsid w:val="004216F0"/>
    <w:rsid w:val="00422360"/>
    <w:rsid w:val="004239C1"/>
    <w:rsid w:val="0042447C"/>
    <w:rsid w:val="00424769"/>
    <w:rsid w:val="00426410"/>
    <w:rsid w:val="00426937"/>
    <w:rsid w:val="0042740D"/>
    <w:rsid w:val="00430A58"/>
    <w:rsid w:val="00430FC6"/>
    <w:rsid w:val="0043104C"/>
    <w:rsid w:val="00432295"/>
    <w:rsid w:val="00434216"/>
    <w:rsid w:val="004359E1"/>
    <w:rsid w:val="004379BF"/>
    <w:rsid w:val="00440278"/>
    <w:rsid w:val="00441362"/>
    <w:rsid w:val="00442114"/>
    <w:rsid w:val="00442E82"/>
    <w:rsid w:val="004447BE"/>
    <w:rsid w:val="004454AA"/>
    <w:rsid w:val="00447118"/>
    <w:rsid w:val="00447D4E"/>
    <w:rsid w:val="00450D1E"/>
    <w:rsid w:val="00451D3D"/>
    <w:rsid w:val="00451EA0"/>
    <w:rsid w:val="00453A62"/>
    <w:rsid w:val="004542CD"/>
    <w:rsid w:val="0045665D"/>
    <w:rsid w:val="00456735"/>
    <w:rsid w:val="00456E32"/>
    <w:rsid w:val="00457332"/>
    <w:rsid w:val="00462E18"/>
    <w:rsid w:val="004639F3"/>
    <w:rsid w:val="004640F2"/>
    <w:rsid w:val="004660E4"/>
    <w:rsid w:val="00467B49"/>
    <w:rsid w:val="00471990"/>
    <w:rsid w:val="00472A6F"/>
    <w:rsid w:val="00472DDE"/>
    <w:rsid w:val="00473A38"/>
    <w:rsid w:val="00474A0A"/>
    <w:rsid w:val="00475594"/>
    <w:rsid w:val="00480A32"/>
    <w:rsid w:val="00481687"/>
    <w:rsid w:val="00481AEA"/>
    <w:rsid w:val="00482E43"/>
    <w:rsid w:val="00484B3E"/>
    <w:rsid w:val="00484E13"/>
    <w:rsid w:val="004864B2"/>
    <w:rsid w:val="0048699C"/>
    <w:rsid w:val="004874E1"/>
    <w:rsid w:val="004905D4"/>
    <w:rsid w:val="00491A42"/>
    <w:rsid w:val="00491DDB"/>
    <w:rsid w:val="00491FB0"/>
    <w:rsid w:val="004921F9"/>
    <w:rsid w:val="00493523"/>
    <w:rsid w:val="00493A56"/>
    <w:rsid w:val="0049557A"/>
    <w:rsid w:val="00496A2A"/>
    <w:rsid w:val="00496F5D"/>
    <w:rsid w:val="004971A9"/>
    <w:rsid w:val="004A1333"/>
    <w:rsid w:val="004A2028"/>
    <w:rsid w:val="004A2652"/>
    <w:rsid w:val="004A2ED9"/>
    <w:rsid w:val="004A39EE"/>
    <w:rsid w:val="004A3A1C"/>
    <w:rsid w:val="004A6488"/>
    <w:rsid w:val="004B0403"/>
    <w:rsid w:val="004B09D1"/>
    <w:rsid w:val="004B2900"/>
    <w:rsid w:val="004B588D"/>
    <w:rsid w:val="004B7A34"/>
    <w:rsid w:val="004C1124"/>
    <w:rsid w:val="004C1A3A"/>
    <w:rsid w:val="004C3417"/>
    <w:rsid w:val="004C3B07"/>
    <w:rsid w:val="004C5504"/>
    <w:rsid w:val="004C7E64"/>
    <w:rsid w:val="004C7E97"/>
    <w:rsid w:val="004D00DA"/>
    <w:rsid w:val="004D1F3B"/>
    <w:rsid w:val="004D4A64"/>
    <w:rsid w:val="004D5E7E"/>
    <w:rsid w:val="004D68D9"/>
    <w:rsid w:val="004E116F"/>
    <w:rsid w:val="004E4CB6"/>
    <w:rsid w:val="004E4D81"/>
    <w:rsid w:val="004E6AD6"/>
    <w:rsid w:val="004E715C"/>
    <w:rsid w:val="004E7C3C"/>
    <w:rsid w:val="004E7F2F"/>
    <w:rsid w:val="004F0429"/>
    <w:rsid w:val="004F400F"/>
    <w:rsid w:val="004F4EB9"/>
    <w:rsid w:val="004F5052"/>
    <w:rsid w:val="004F5F1D"/>
    <w:rsid w:val="00500ACC"/>
    <w:rsid w:val="005026D8"/>
    <w:rsid w:val="00503244"/>
    <w:rsid w:val="005050DF"/>
    <w:rsid w:val="005060FF"/>
    <w:rsid w:val="00510F44"/>
    <w:rsid w:val="0051156F"/>
    <w:rsid w:val="005120E9"/>
    <w:rsid w:val="00516CA1"/>
    <w:rsid w:val="00520B3F"/>
    <w:rsid w:val="005226E7"/>
    <w:rsid w:val="00522DEC"/>
    <w:rsid w:val="00524B75"/>
    <w:rsid w:val="00526428"/>
    <w:rsid w:val="00526B42"/>
    <w:rsid w:val="0052700C"/>
    <w:rsid w:val="005275C9"/>
    <w:rsid w:val="0053596A"/>
    <w:rsid w:val="005362D7"/>
    <w:rsid w:val="00536D6B"/>
    <w:rsid w:val="00537E73"/>
    <w:rsid w:val="0054010B"/>
    <w:rsid w:val="005403D1"/>
    <w:rsid w:val="00540E2C"/>
    <w:rsid w:val="0054121B"/>
    <w:rsid w:val="00543F57"/>
    <w:rsid w:val="005447C2"/>
    <w:rsid w:val="00545A9A"/>
    <w:rsid w:val="00545E9C"/>
    <w:rsid w:val="00545F37"/>
    <w:rsid w:val="0054783D"/>
    <w:rsid w:val="00547950"/>
    <w:rsid w:val="00550A78"/>
    <w:rsid w:val="00551860"/>
    <w:rsid w:val="005518E2"/>
    <w:rsid w:val="00551A08"/>
    <w:rsid w:val="00553061"/>
    <w:rsid w:val="005533D1"/>
    <w:rsid w:val="00554D6E"/>
    <w:rsid w:val="00555434"/>
    <w:rsid w:val="005564AB"/>
    <w:rsid w:val="00557273"/>
    <w:rsid w:val="00560300"/>
    <w:rsid w:val="00561B0F"/>
    <w:rsid w:val="00561BDD"/>
    <w:rsid w:val="005638C0"/>
    <w:rsid w:val="0057030B"/>
    <w:rsid w:val="00571C47"/>
    <w:rsid w:val="00572438"/>
    <w:rsid w:val="005725ED"/>
    <w:rsid w:val="005726F7"/>
    <w:rsid w:val="00572E66"/>
    <w:rsid w:val="005731DB"/>
    <w:rsid w:val="005736C9"/>
    <w:rsid w:val="00574C27"/>
    <w:rsid w:val="005808FC"/>
    <w:rsid w:val="00580FBD"/>
    <w:rsid w:val="0058304D"/>
    <w:rsid w:val="00583F7B"/>
    <w:rsid w:val="0058465D"/>
    <w:rsid w:val="00585126"/>
    <w:rsid w:val="005855E0"/>
    <w:rsid w:val="00586F60"/>
    <w:rsid w:val="005872A7"/>
    <w:rsid w:val="00590A67"/>
    <w:rsid w:val="005921F6"/>
    <w:rsid w:val="00592BB5"/>
    <w:rsid w:val="00592DDA"/>
    <w:rsid w:val="00592FAE"/>
    <w:rsid w:val="005A14F0"/>
    <w:rsid w:val="005A1EF4"/>
    <w:rsid w:val="005A323C"/>
    <w:rsid w:val="005A4E08"/>
    <w:rsid w:val="005A65AD"/>
    <w:rsid w:val="005B1607"/>
    <w:rsid w:val="005B21F8"/>
    <w:rsid w:val="005B2593"/>
    <w:rsid w:val="005B2C24"/>
    <w:rsid w:val="005B3245"/>
    <w:rsid w:val="005B3BEE"/>
    <w:rsid w:val="005B70AD"/>
    <w:rsid w:val="005C0A0F"/>
    <w:rsid w:val="005C23BE"/>
    <w:rsid w:val="005C25DA"/>
    <w:rsid w:val="005C2F2F"/>
    <w:rsid w:val="005C4A6C"/>
    <w:rsid w:val="005C4EDC"/>
    <w:rsid w:val="005C6269"/>
    <w:rsid w:val="005C6717"/>
    <w:rsid w:val="005C6AD3"/>
    <w:rsid w:val="005C7687"/>
    <w:rsid w:val="005C7C70"/>
    <w:rsid w:val="005D0B94"/>
    <w:rsid w:val="005D0EFF"/>
    <w:rsid w:val="005D17DB"/>
    <w:rsid w:val="005D2FA1"/>
    <w:rsid w:val="005D3643"/>
    <w:rsid w:val="005D3EAC"/>
    <w:rsid w:val="005D5756"/>
    <w:rsid w:val="005D5C34"/>
    <w:rsid w:val="005D7596"/>
    <w:rsid w:val="005E01E6"/>
    <w:rsid w:val="005E0535"/>
    <w:rsid w:val="005E160D"/>
    <w:rsid w:val="005E1FD3"/>
    <w:rsid w:val="005E352B"/>
    <w:rsid w:val="005E4C87"/>
    <w:rsid w:val="005E545D"/>
    <w:rsid w:val="005E5BD2"/>
    <w:rsid w:val="005E679B"/>
    <w:rsid w:val="005E778C"/>
    <w:rsid w:val="005E7E8D"/>
    <w:rsid w:val="005F0358"/>
    <w:rsid w:val="005F112A"/>
    <w:rsid w:val="005F6AFB"/>
    <w:rsid w:val="005F6EE0"/>
    <w:rsid w:val="005F6EFD"/>
    <w:rsid w:val="005F7A61"/>
    <w:rsid w:val="006000E0"/>
    <w:rsid w:val="00600A55"/>
    <w:rsid w:val="00600F23"/>
    <w:rsid w:val="006019DF"/>
    <w:rsid w:val="00603760"/>
    <w:rsid w:val="006054A5"/>
    <w:rsid w:val="00605D91"/>
    <w:rsid w:val="00606496"/>
    <w:rsid w:val="0061047E"/>
    <w:rsid w:val="00611AA5"/>
    <w:rsid w:val="0061318F"/>
    <w:rsid w:val="006137AE"/>
    <w:rsid w:val="00613B45"/>
    <w:rsid w:val="00614D12"/>
    <w:rsid w:val="0061581F"/>
    <w:rsid w:val="00615F0F"/>
    <w:rsid w:val="006167C8"/>
    <w:rsid w:val="00617F4E"/>
    <w:rsid w:val="006205D7"/>
    <w:rsid w:val="00622280"/>
    <w:rsid w:val="0062389F"/>
    <w:rsid w:val="006245C4"/>
    <w:rsid w:val="00624BBA"/>
    <w:rsid w:val="00625910"/>
    <w:rsid w:val="00627968"/>
    <w:rsid w:val="00627FA6"/>
    <w:rsid w:val="006300B9"/>
    <w:rsid w:val="0063084C"/>
    <w:rsid w:val="006316BB"/>
    <w:rsid w:val="0063510D"/>
    <w:rsid w:val="006368D0"/>
    <w:rsid w:val="00636BD4"/>
    <w:rsid w:val="0064110A"/>
    <w:rsid w:val="00641F20"/>
    <w:rsid w:val="00644CFF"/>
    <w:rsid w:val="00645D47"/>
    <w:rsid w:val="006462A3"/>
    <w:rsid w:val="00646771"/>
    <w:rsid w:val="00647A05"/>
    <w:rsid w:val="00650398"/>
    <w:rsid w:val="00650CA0"/>
    <w:rsid w:val="0065347A"/>
    <w:rsid w:val="006552A6"/>
    <w:rsid w:val="006552D6"/>
    <w:rsid w:val="006573A1"/>
    <w:rsid w:val="0065740C"/>
    <w:rsid w:val="00661CCE"/>
    <w:rsid w:val="00662216"/>
    <w:rsid w:val="00664FA2"/>
    <w:rsid w:val="00665CB5"/>
    <w:rsid w:val="00665E74"/>
    <w:rsid w:val="00670F95"/>
    <w:rsid w:val="006740AB"/>
    <w:rsid w:val="00674A3B"/>
    <w:rsid w:val="00680103"/>
    <w:rsid w:val="00681334"/>
    <w:rsid w:val="006826FB"/>
    <w:rsid w:val="0068359D"/>
    <w:rsid w:val="0068425A"/>
    <w:rsid w:val="006849AF"/>
    <w:rsid w:val="00686119"/>
    <w:rsid w:val="006903EE"/>
    <w:rsid w:val="006910FB"/>
    <w:rsid w:val="00691875"/>
    <w:rsid w:val="006971AF"/>
    <w:rsid w:val="006A01AF"/>
    <w:rsid w:val="006A1958"/>
    <w:rsid w:val="006A268A"/>
    <w:rsid w:val="006A3418"/>
    <w:rsid w:val="006A52FD"/>
    <w:rsid w:val="006A575F"/>
    <w:rsid w:val="006A5E81"/>
    <w:rsid w:val="006B0D0D"/>
    <w:rsid w:val="006B4300"/>
    <w:rsid w:val="006B732F"/>
    <w:rsid w:val="006C0216"/>
    <w:rsid w:val="006C13E3"/>
    <w:rsid w:val="006C4E8E"/>
    <w:rsid w:val="006C58F6"/>
    <w:rsid w:val="006D0409"/>
    <w:rsid w:val="006D0785"/>
    <w:rsid w:val="006D0A46"/>
    <w:rsid w:val="006D1798"/>
    <w:rsid w:val="006D4D7E"/>
    <w:rsid w:val="006D601F"/>
    <w:rsid w:val="006D6777"/>
    <w:rsid w:val="006D6AC9"/>
    <w:rsid w:val="006D6D8A"/>
    <w:rsid w:val="006D73CE"/>
    <w:rsid w:val="006E0382"/>
    <w:rsid w:val="006E1591"/>
    <w:rsid w:val="006E194B"/>
    <w:rsid w:val="006E1E13"/>
    <w:rsid w:val="006E31E4"/>
    <w:rsid w:val="006E36B3"/>
    <w:rsid w:val="006E6212"/>
    <w:rsid w:val="006E683D"/>
    <w:rsid w:val="006E6E11"/>
    <w:rsid w:val="006E7430"/>
    <w:rsid w:val="006F1982"/>
    <w:rsid w:val="006F2C7C"/>
    <w:rsid w:val="006F2E1B"/>
    <w:rsid w:val="006F36BE"/>
    <w:rsid w:val="006F55A8"/>
    <w:rsid w:val="006F59F6"/>
    <w:rsid w:val="006F5FF6"/>
    <w:rsid w:val="006F6187"/>
    <w:rsid w:val="006F64DE"/>
    <w:rsid w:val="006F6A23"/>
    <w:rsid w:val="00700C7E"/>
    <w:rsid w:val="00700F28"/>
    <w:rsid w:val="00702A31"/>
    <w:rsid w:val="00704CCC"/>
    <w:rsid w:val="00704DFB"/>
    <w:rsid w:val="00705B1E"/>
    <w:rsid w:val="00710227"/>
    <w:rsid w:val="007109F4"/>
    <w:rsid w:val="00710EBC"/>
    <w:rsid w:val="0071357A"/>
    <w:rsid w:val="007140AC"/>
    <w:rsid w:val="00715E64"/>
    <w:rsid w:val="00716A58"/>
    <w:rsid w:val="0071708D"/>
    <w:rsid w:val="0071787C"/>
    <w:rsid w:val="007208D5"/>
    <w:rsid w:val="00721D8A"/>
    <w:rsid w:val="00721F58"/>
    <w:rsid w:val="00722F12"/>
    <w:rsid w:val="00725432"/>
    <w:rsid w:val="00726E0A"/>
    <w:rsid w:val="00727881"/>
    <w:rsid w:val="007319A5"/>
    <w:rsid w:val="007320C9"/>
    <w:rsid w:val="0073456D"/>
    <w:rsid w:val="0073636E"/>
    <w:rsid w:val="00737A18"/>
    <w:rsid w:val="00737D6B"/>
    <w:rsid w:val="00741460"/>
    <w:rsid w:val="00741AA8"/>
    <w:rsid w:val="0074326E"/>
    <w:rsid w:val="007434F7"/>
    <w:rsid w:val="00745132"/>
    <w:rsid w:val="0074604F"/>
    <w:rsid w:val="00746AA1"/>
    <w:rsid w:val="00747A52"/>
    <w:rsid w:val="00751298"/>
    <w:rsid w:val="00751644"/>
    <w:rsid w:val="0075224F"/>
    <w:rsid w:val="00753890"/>
    <w:rsid w:val="00754CB4"/>
    <w:rsid w:val="00754D6E"/>
    <w:rsid w:val="00754FE4"/>
    <w:rsid w:val="0075609B"/>
    <w:rsid w:val="007573FA"/>
    <w:rsid w:val="00757CFD"/>
    <w:rsid w:val="007621AA"/>
    <w:rsid w:val="00762663"/>
    <w:rsid w:val="00763D45"/>
    <w:rsid w:val="007645C9"/>
    <w:rsid w:val="00765028"/>
    <w:rsid w:val="00765393"/>
    <w:rsid w:val="00765C2C"/>
    <w:rsid w:val="00765EA0"/>
    <w:rsid w:val="0076715A"/>
    <w:rsid w:val="00770A58"/>
    <w:rsid w:val="007712C8"/>
    <w:rsid w:val="00773752"/>
    <w:rsid w:val="0077391E"/>
    <w:rsid w:val="00773F7B"/>
    <w:rsid w:val="00775EEC"/>
    <w:rsid w:val="00775F03"/>
    <w:rsid w:val="00782E8F"/>
    <w:rsid w:val="00782F7E"/>
    <w:rsid w:val="00785766"/>
    <w:rsid w:val="00785EE7"/>
    <w:rsid w:val="00785F01"/>
    <w:rsid w:val="007870A7"/>
    <w:rsid w:val="007905AF"/>
    <w:rsid w:val="00792C73"/>
    <w:rsid w:val="007950FB"/>
    <w:rsid w:val="007A051A"/>
    <w:rsid w:val="007A0915"/>
    <w:rsid w:val="007A1051"/>
    <w:rsid w:val="007A3E27"/>
    <w:rsid w:val="007A40CC"/>
    <w:rsid w:val="007A71E7"/>
    <w:rsid w:val="007B035B"/>
    <w:rsid w:val="007B28D4"/>
    <w:rsid w:val="007B4310"/>
    <w:rsid w:val="007B45DF"/>
    <w:rsid w:val="007B6516"/>
    <w:rsid w:val="007B6538"/>
    <w:rsid w:val="007B67C9"/>
    <w:rsid w:val="007C02DF"/>
    <w:rsid w:val="007C4A83"/>
    <w:rsid w:val="007C5FF0"/>
    <w:rsid w:val="007C618C"/>
    <w:rsid w:val="007C6A59"/>
    <w:rsid w:val="007D0DB5"/>
    <w:rsid w:val="007D10CC"/>
    <w:rsid w:val="007D138D"/>
    <w:rsid w:val="007D1486"/>
    <w:rsid w:val="007D1AC1"/>
    <w:rsid w:val="007D2418"/>
    <w:rsid w:val="007D4345"/>
    <w:rsid w:val="007D5D15"/>
    <w:rsid w:val="007D6639"/>
    <w:rsid w:val="007D7EAC"/>
    <w:rsid w:val="007D7F1D"/>
    <w:rsid w:val="007E02F1"/>
    <w:rsid w:val="007E0907"/>
    <w:rsid w:val="007E0FD1"/>
    <w:rsid w:val="007E1069"/>
    <w:rsid w:val="007E1F93"/>
    <w:rsid w:val="007E2DD2"/>
    <w:rsid w:val="007E37D5"/>
    <w:rsid w:val="007E3BBB"/>
    <w:rsid w:val="007E4410"/>
    <w:rsid w:val="007E5093"/>
    <w:rsid w:val="007E56B6"/>
    <w:rsid w:val="007E5D44"/>
    <w:rsid w:val="007E6155"/>
    <w:rsid w:val="007F1A7A"/>
    <w:rsid w:val="007F2987"/>
    <w:rsid w:val="007F2F70"/>
    <w:rsid w:val="007F611B"/>
    <w:rsid w:val="007F633E"/>
    <w:rsid w:val="007F7718"/>
    <w:rsid w:val="007F7736"/>
    <w:rsid w:val="00800980"/>
    <w:rsid w:val="0080174F"/>
    <w:rsid w:val="00802005"/>
    <w:rsid w:val="00805360"/>
    <w:rsid w:val="0080556E"/>
    <w:rsid w:val="00805C36"/>
    <w:rsid w:val="00806CF4"/>
    <w:rsid w:val="008070CD"/>
    <w:rsid w:val="008079C7"/>
    <w:rsid w:val="00814253"/>
    <w:rsid w:val="008145A4"/>
    <w:rsid w:val="008147E3"/>
    <w:rsid w:val="00815BCC"/>
    <w:rsid w:val="00815E85"/>
    <w:rsid w:val="0081613A"/>
    <w:rsid w:val="0081788B"/>
    <w:rsid w:val="00821A3B"/>
    <w:rsid w:val="00822F95"/>
    <w:rsid w:val="0082570C"/>
    <w:rsid w:val="00826518"/>
    <w:rsid w:val="00826558"/>
    <w:rsid w:val="00827864"/>
    <w:rsid w:val="00827AB2"/>
    <w:rsid w:val="00830C39"/>
    <w:rsid w:val="00831223"/>
    <w:rsid w:val="00834013"/>
    <w:rsid w:val="00834CDF"/>
    <w:rsid w:val="00835B13"/>
    <w:rsid w:val="00835BDF"/>
    <w:rsid w:val="00836AD1"/>
    <w:rsid w:val="008454DE"/>
    <w:rsid w:val="008463D2"/>
    <w:rsid w:val="00850427"/>
    <w:rsid w:val="00851568"/>
    <w:rsid w:val="0085513C"/>
    <w:rsid w:val="00855540"/>
    <w:rsid w:val="00855549"/>
    <w:rsid w:val="00857C39"/>
    <w:rsid w:val="00860CAD"/>
    <w:rsid w:val="00862DB4"/>
    <w:rsid w:val="00863360"/>
    <w:rsid w:val="00863458"/>
    <w:rsid w:val="0086385F"/>
    <w:rsid w:val="00863BBC"/>
    <w:rsid w:val="00865A31"/>
    <w:rsid w:val="008669B4"/>
    <w:rsid w:val="00867372"/>
    <w:rsid w:val="00870DEC"/>
    <w:rsid w:val="00871ED1"/>
    <w:rsid w:val="00873054"/>
    <w:rsid w:val="00873731"/>
    <w:rsid w:val="0087434D"/>
    <w:rsid w:val="00874753"/>
    <w:rsid w:val="008748A8"/>
    <w:rsid w:val="008748CE"/>
    <w:rsid w:val="00874B10"/>
    <w:rsid w:val="00875390"/>
    <w:rsid w:val="00875751"/>
    <w:rsid w:val="00881472"/>
    <w:rsid w:val="00881A4E"/>
    <w:rsid w:val="00882C43"/>
    <w:rsid w:val="00882E3C"/>
    <w:rsid w:val="0088383C"/>
    <w:rsid w:val="00883A23"/>
    <w:rsid w:val="00887F92"/>
    <w:rsid w:val="00890355"/>
    <w:rsid w:val="0089056F"/>
    <w:rsid w:val="00892617"/>
    <w:rsid w:val="00892F5E"/>
    <w:rsid w:val="008944C5"/>
    <w:rsid w:val="00895B1F"/>
    <w:rsid w:val="00896646"/>
    <w:rsid w:val="008A0264"/>
    <w:rsid w:val="008A2066"/>
    <w:rsid w:val="008A28B6"/>
    <w:rsid w:val="008A2EFB"/>
    <w:rsid w:val="008A3AD3"/>
    <w:rsid w:val="008A5DF7"/>
    <w:rsid w:val="008A6736"/>
    <w:rsid w:val="008A6BDE"/>
    <w:rsid w:val="008A6C9F"/>
    <w:rsid w:val="008B1956"/>
    <w:rsid w:val="008B2538"/>
    <w:rsid w:val="008B3970"/>
    <w:rsid w:val="008B4755"/>
    <w:rsid w:val="008B4F3E"/>
    <w:rsid w:val="008B6A05"/>
    <w:rsid w:val="008B756D"/>
    <w:rsid w:val="008C2585"/>
    <w:rsid w:val="008C32A2"/>
    <w:rsid w:val="008C5004"/>
    <w:rsid w:val="008C605D"/>
    <w:rsid w:val="008C6E73"/>
    <w:rsid w:val="008D1E8D"/>
    <w:rsid w:val="008D2004"/>
    <w:rsid w:val="008D2B54"/>
    <w:rsid w:val="008D4D2D"/>
    <w:rsid w:val="008D5307"/>
    <w:rsid w:val="008D5599"/>
    <w:rsid w:val="008D6420"/>
    <w:rsid w:val="008D6975"/>
    <w:rsid w:val="008D69E9"/>
    <w:rsid w:val="008D6A78"/>
    <w:rsid w:val="008D6BE3"/>
    <w:rsid w:val="008D6D0B"/>
    <w:rsid w:val="008D7892"/>
    <w:rsid w:val="008D7A81"/>
    <w:rsid w:val="008D7F43"/>
    <w:rsid w:val="008E1E86"/>
    <w:rsid w:val="008E2550"/>
    <w:rsid w:val="008E34AA"/>
    <w:rsid w:val="008E397A"/>
    <w:rsid w:val="008E3F49"/>
    <w:rsid w:val="008E4C76"/>
    <w:rsid w:val="008E7E23"/>
    <w:rsid w:val="008F0202"/>
    <w:rsid w:val="008F0275"/>
    <w:rsid w:val="008F05AC"/>
    <w:rsid w:val="008F13BF"/>
    <w:rsid w:val="008F22FE"/>
    <w:rsid w:val="008F29DE"/>
    <w:rsid w:val="008F3332"/>
    <w:rsid w:val="008F3C89"/>
    <w:rsid w:val="008F4B40"/>
    <w:rsid w:val="008F529E"/>
    <w:rsid w:val="008F635F"/>
    <w:rsid w:val="008F64CD"/>
    <w:rsid w:val="008F6B7E"/>
    <w:rsid w:val="008F7775"/>
    <w:rsid w:val="00901819"/>
    <w:rsid w:val="009022B2"/>
    <w:rsid w:val="00902FE2"/>
    <w:rsid w:val="00903FE8"/>
    <w:rsid w:val="00904EB5"/>
    <w:rsid w:val="00905E5E"/>
    <w:rsid w:val="00905E80"/>
    <w:rsid w:val="00905F01"/>
    <w:rsid w:val="009100FA"/>
    <w:rsid w:val="009107C9"/>
    <w:rsid w:val="00911786"/>
    <w:rsid w:val="00911F6F"/>
    <w:rsid w:val="009126D7"/>
    <w:rsid w:val="0091275F"/>
    <w:rsid w:val="00912F26"/>
    <w:rsid w:val="009174CD"/>
    <w:rsid w:val="00921843"/>
    <w:rsid w:val="00921B14"/>
    <w:rsid w:val="00921B7F"/>
    <w:rsid w:val="00921D9C"/>
    <w:rsid w:val="00923DB3"/>
    <w:rsid w:val="00923EFC"/>
    <w:rsid w:val="009250B0"/>
    <w:rsid w:val="00925B15"/>
    <w:rsid w:val="00931330"/>
    <w:rsid w:val="00931AFD"/>
    <w:rsid w:val="00932659"/>
    <w:rsid w:val="00934BCA"/>
    <w:rsid w:val="00934FB3"/>
    <w:rsid w:val="00936AC4"/>
    <w:rsid w:val="009376CA"/>
    <w:rsid w:val="00937BE9"/>
    <w:rsid w:val="009404B7"/>
    <w:rsid w:val="00942BB6"/>
    <w:rsid w:val="00943369"/>
    <w:rsid w:val="00944337"/>
    <w:rsid w:val="00946079"/>
    <w:rsid w:val="009479C7"/>
    <w:rsid w:val="00950011"/>
    <w:rsid w:val="00950975"/>
    <w:rsid w:val="0095195C"/>
    <w:rsid w:val="00953E6F"/>
    <w:rsid w:val="0095437C"/>
    <w:rsid w:val="009646D9"/>
    <w:rsid w:val="00964D2F"/>
    <w:rsid w:val="00965272"/>
    <w:rsid w:val="00970138"/>
    <w:rsid w:val="0097089E"/>
    <w:rsid w:val="00972DB0"/>
    <w:rsid w:val="009820A6"/>
    <w:rsid w:val="0098248B"/>
    <w:rsid w:val="00984C48"/>
    <w:rsid w:val="00986298"/>
    <w:rsid w:val="009864AC"/>
    <w:rsid w:val="00992F1A"/>
    <w:rsid w:val="00993098"/>
    <w:rsid w:val="009939E8"/>
    <w:rsid w:val="00993FF7"/>
    <w:rsid w:val="009957EB"/>
    <w:rsid w:val="00995948"/>
    <w:rsid w:val="0099645B"/>
    <w:rsid w:val="00996E05"/>
    <w:rsid w:val="009A0AEB"/>
    <w:rsid w:val="009A0CE8"/>
    <w:rsid w:val="009A138A"/>
    <w:rsid w:val="009A2F48"/>
    <w:rsid w:val="009A3382"/>
    <w:rsid w:val="009B1032"/>
    <w:rsid w:val="009B13AE"/>
    <w:rsid w:val="009B19F4"/>
    <w:rsid w:val="009B616E"/>
    <w:rsid w:val="009B6F5C"/>
    <w:rsid w:val="009B763E"/>
    <w:rsid w:val="009B7CBA"/>
    <w:rsid w:val="009C19F1"/>
    <w:rsid w:val="009C23C0"/>
    <w:rsid w:val="009C27E0"/>
    <w:rsid w:val="009C289B"/>
    <w:rsid w:val="009C2B52"/>
    <w:rsid w:val="009C2DDC"/>
    <w:rsid w:val="009C47D8"/>
    <w:rsid w:val="009C5631"/>
    <w:rsid w:val="009C5E92"/>
    <w:rsid w:val="009C68D4"/>
    <w:rsid w:val="009C6F05"/>
    <w:rsid w:val="009C72B4"/>
    <w:rsid w:val="009C78F9"/>
    <w:rsid w:val="009D092A"/>
    <w:rsid w:val="009D3098"/>
    <w:rsid w:val="009D5987"/>
    <w:rsid w:val="009D6A1E"/>
    <w:rsid w:val="009D7BB0"/>
    <w:rsid w:val="009D7EB5"/>
    <w:rsid w:val="009E00FF"/>
    <w:rsid w:val="009E0E44"/>
    <w:rsid w:val="009E12A2"/>
    <w:rsid w:val="009E13E4"/>
    <w:rsid w:val="009E3791"/>
    <w:rsid w:val="009E3A8C"/>
    <w:rsid w:val="009E3FD9"/>
    <w:rsid w:val="009E4F96"/>
    <w:rsid w:val="009E517D"/>
    <w:rsid w:val="009E7257"/>
    <w:rsid w:val="009F0144"/>
    <w:rsid w:val="009F0349"/>
    <w:rsid w:val="009F051F"/>
    <w:rsid w:val="009F1EDA"/>
    <w:rsid w:val="009F31CB"/>
    <w:rsid w:val="009F3EBC"/>
    <w:rsid w:val="009F40A1"/>
    <w:rsid w:val="009F574C"/>
    <w:rsid w:val="00A00268"/>
    <w:rsid w:val="00A01B54"/>
    <w:rsid w:val="00A036CF"/>
    <w:rsid w:val="00A07367"/>
    <w:rsid w:val="00A07718"/>
    <w:rsid w:val="00A078D8"/>
    <w:rsid w:val="00A10885"/>
    <w:rsid w:val="00A1235E"/>
    <w:rsid w:val="00A14E0D"/>
    <w:rsid w:val="00A14F58"/>
    <w:rsid w:val="00A15E6C"/>
    <w:rsid w:val="00A17292"/>
    <w:rsid w:val="00A17BE2"/>
    <w:rsid w:val="00A17E23"/>
    <w:rsid w:val="00A20B19"/>
    <w:rsid w:val="00A20E2F"/>
    <w:rsid w:val="00A21AF7"/>
    <w:rsid w:val="00A220F3"/>
    <w:rsid w:val="00A22A27"/>
    <w:rsid w:val="00A24DF0"/>
    <w:rsid w:val="00A25506"/>
    <w:rsid w:val="00A25D2F"/>
    <w:rsid w:val="00A267ED"/>
    <w:rsid w:val="00A30CBB"/>
    <w:rsid w:val="00A31152"/>
    <w:rsid w:val="00A31437"/>
    <w:rsid w:val="00A31621"/>
    <w:rsid w:val="00A32E0C"/>
    <w:rsid w:val="00A338CD"/>
    <w:rsid w:val="00A33AAD"/>
    <w:rsid w:val="00A3403B"/>
    <w:rsid w:val="00A3520A"/>
    <w:rsid w:val="00A40A44"/>
    <w:rsid w:val="00A40E08"/>
    <w:rsid w:val="00A41502"/>
    <w:rsid w:val="00A45922"/>
    <w:rsid w:val="00A46B47"/>
    <w:rsid w:val="00A472C7"/>
    <w:rsid w:val="00A47449"/>
    <w:rsid w:val="00A5138A"/>
    <w:rsid w:val="00A528EC"/>
    <w:rsid w:val="00A54FA0"/>
    <w:rsid w:val="00A550F7"/>
    <w:rsid w:val="00A563F9"/>
    <w:rsid w:val="00A56414"/>
    <w:rsid w:val="00A60249"/>
    <w:rsid w:val="00A608A2"/>
    <w:rsid w:val="00A617ED"/>
    <w:rsid w:val="00A61D18"/>
    <w:rsid w:val="00A642FA"/>
    <w:rsid w:val="00A66057"/>
    <w:rsid w:val="00A66CBC"/>
    <w:rsid w:val="00A67229"/>
    <w:rsid w:val="00A70784"/>
    <w:rsid w:val="00A70E4B"/>
    <w:rsid w:val="00A71427"/>
    <w:rsid w:val="00A714D3"/>
    <w:rsid w:val="00A72050"/>
    <w:rsid w:val="00A72827"/>
    <w:rsid w:val="00A72917"/>
    <w:rsid w:val="00A72F8A"/>
    <w:rsid w:val="00A772BE"/>
    <w:rsid w:val="00A774AF"/>
    <w:rsid w:val="00A81761"/>
    <w:rsid w:val="00A824CC"/>
    <w:rsid w:val="00A83720"/>
    <w:rsid w:val="00A842A7"/>
    <w:rsid w:val="00A84440"/>
    <w:rsid w:val="00A86FE7"/>
    <w:rsid w:val="00A87AA0"/>
    <w:rsid w:val="00A87BFA"/>
    <w:rsid w:val="00A90636"/>
    <w:rsid w:val="00A9092B"/>
    <w:rsid w:val="00A91951"/>
    <w:rsid w:val="00A91D16"/>
    <w:rsid w:val="00A91DFC"/>
    <w:rsid w:val="00A934DC"/>
    <w:rsid w:val="00A95B00"/>
    <w:rsid w:val="00A96D81"/>
    <w:rsid w:val="00AA0DC6"/>
    <w:rsid w:val="00AA12F9"/>
    <w:rsid w:val="00AA23F6"/>
    <w:rsid w:val="00AA249A"/>
    <w:rsid w:val="00AA30AD"/>
    <w:rsid w:val="00AA329E"/>
    <w:rsid w:val="00AA34C5"/>
    <w:rsid w:val="00AA3589"/>
    <w:rsid w:val="00AA3E3E"/>
    <w:rsid w:val="00AA4ACC"/>
    <w:rsid w:val="00AA4DD7"/>
    <w:rsid w:val="00AA7E3E"/>
    <w:rsid w:val="00AB2673"/>
    <w:rsid w:val="00AB30A2"/>
    <w:rsid w:val="00AB35EB"/>
    <w:rsid w:val="00AB4B47"/>
    <w:rsid w:val="00AB4D04"/>
    <w:rsid w:val="00AB59A1"/>
    <w:rsid w:val="00AB653E"/>
    <w:rsid w:val="00AC1280"/>
    <w:rsid w:val="00AC14D8"/>
    <w:rsid w:val="00AC1A57"/>
    <w:rsid w:val="00AC3EF6"/>
    <w:rsid w:val="00AC4B0B"/>
    <w:rsid w:val="00AC7675"/>
    <w:rsid w:val="00AC7E80"/>
    <w:rsid w:val="00AC7EF7"/>
    <w:rsid w:val="00AD1BBA"/>
    <w:rsid w:val="00AD3533"/>
    <w:rsid w:val="00AD375B"/>
    <w:rsid w:val="00AD50AA"/>
    <w:rsid w:val="00AD6AB8"/>
    <w:rsid w:val="00AE01B3"/>
    <w:rsid w:val="00AE207A"/>
    <w:rsid w:val="00AE2C8D"/>
    <w:rsid w:val="00AE497B"/>
    <w:rsid w:val="00AE69B4"/>
    <w:rsid w:val="00AE76AF"/>
    <w:rsid w:val="00AF017E"/>
    <w:rsid w:val="00AF16EC"/>
    <w:rsid w:val="00AF2280"/>
    <w:rsid w:val="00AF30AE"/>
    <w:rsid w:val="00AF32EB"/>
    <w:rsid w:val="00AF7D7D"/>
    <w:rsid w:val="00B0528C"/>
    <w:rsid w:val="00B074E8"/>
    <w:rsid w:val="00B07700"/>
    <w:rsid w:val="00B07BE3"/>
    <w:rsid w:val="00B10F27"/>
    <w:rsid w:val="00B12541"/>
    <w:rsid w:val="00B1293C"/>
    <w:rsid w:val="00B13523"/>
    <w:rsid w:val="00B13C35"/>
    <w:rsid w:val="00B13DAE"/>
    <w:rsid w:val="00B145B4"/>
    <w:rsid w:val="00B16B46"/>
    <w:rsid w:val="00B246A1"/>
    <w:rsid w:val="00B247C9"/>
    <w:rsid w:val="00B251E8"/>
    <w:rsid w:val="00B2695F"/>
    <w:rsid w:val="00B32656"/>
    <w:rsid w:val="00B34A2B"/>
    <w:rsid w:val="00B34E7D"/>
    <w:rsid w:val="00B3639F"/>
    <w:rsid w:val="00B37DA6"/>
    <w:rsid w:val="00B37E20"/>
    <w:rsid w:val="00B41C0F"/>
    <w:rsid w:val="00B41E40"/>
    <w:rsid w:val="00B422D1"/>
    <w:rsid w:val="00B42BCB"/>
    <w:rsid w:val="00B43D2A"/>
    <w:rsid w:val="00B45DC9"/>
    <w:rsid w:val="00B462EA"/>
    <w:rsid w:val="00B510E8"/>
    <w:rsid w:val="00B512CD"/>
    <w:rsid w:val="00B52070"/>
    <w:rsid w:val="00B5282A"/>
    <w:rsid w:val="00B535FA"/>
    <w:rsid w:val="00B548FD"/>
    <w:rsid w:val="00B620F9"/>
    <w:rsid w:val="00B647B9"/>
    <w:rsid w:val="00B64BF0"/>
    <w:rsid w:val="00B6635F"/>
    <w:rsid w:val="00B66A87"/>
    <w:rsid w:val="00B66AF3"/>
    <w:rsid w:val="00B675F0"/>
    <w:rsid w:val="00B7013C"/>
    <w:rsid w:val="00B71062"/>
    <w:rsid w:val="00B714C1"/>
    <w:rsid w:val="00B71AB8"/>
    <w:rsid w:val="00B7240B"/>
    <w:rsid w:val="00B734A2"/>
    <w:rsid w:val="00B75408"/>
    <w:rsid w:val="00B8053F"/>
    <w:rsid w:val="00B80931"/>
    <w:rsid w:val="00B8097B"/>
    <w:rsid w:val="00B809E2"/>
    <w:rsid w:val="00B81079"/>
    <w:rsid w:val="00B8124C"/>
    <w:rsid w:val="00B8126A"/>
    <w:rsid w:val="00B81CC9"/>
    <w:rsid w:val="00B8208C"/>
    <w:rsid w:val="00B82756"/>
    <w:rsid w:val="00B82F11"/>
    <w:rsid w:val="00B84283"/>
    <w:rsid w:val="00B859D4"/>
    <w:rsid w:val="00B86586"/>
    <w:rsid w:val="00B907E7"/>
    <w:rsid w:val="00B90931"/>
    <w:rsid w:val="00B914B4"/>
    <w:rsid w:val="00B93D76"/>
    <w:rsid w:val="00B941CA"/>
    <w:rsid w:val="00B948EA"/>
    <w:rsid w:val="00B95351"/>
    <w:rsid w:val="00BA0B0C"/>
    <w:rsid w:val="00BA114B"/>
    <w:rsid w:val="00BA6D22"/>
    <w:rsid w:val="00BA7CBF"/>
    <w:rsid w:val="00BA7EF8"/>
    <w:rsid w:val="00BB0996"/>
    <w:rsid w:val="00BB0F09"/>
    <w:rsid w:val="00BB14B7"/>
    <w:rsid w:val="00BB1985"/>
    <w:rsid w:val="00BB1BE6"/>
    <w:rsid w:val="00BB2658"/>
    <w:rsid w:val="00BB318F"/>
    <w:rsid w:val="00BB3CFB"/>
    <w:rsid w:val="00BB3EE2"/>
    <w:rsid w:val="00BB5C94"/>
    <w:rsid w:val="00BC331F"/>
    <w:rsid w:val="00BC3D8D"/>
    <w:rsid w:val="00BC4531"/>
    <w:rsid w:val="00BC5445"/>
    <w:rsid w:val="00BC71DA"/>
    <w:rsid w:val="00BC7832"/>
    <w:rsid w:val="00BC7C75"/>
    <w:rsid w:val="00BD39BA"/>
    <w:rsid w:val="00BD4041"/>
    <w:rsid w:val="00BD4619"/>
    <w:rsid w:val="00BD5017"/>
    <w:rsid w:val="00BD5B9E"/>
    <w:rsid w:val="00BE1908"/>
    <w:rsid w:val="00BE3FBD"/>
    <w:rsid w:val="00BE63B3"/>
    <w:rsid w:val="00BE68F8"/>
    <w:rsid w:val="00BE7391"/>
    <w:rsid w:val="00BE7FB0"/>
    <w:rsid w:val="00BE7FD5"/>
    <w:rsid w:val="00BF04E6"/>
    <w:rsid w:val="00BF09DE"/>
    <w:rsid w:val="00BF0E40"/>
    <w:rsid w:val="00BF43AD"/>
    <w:rsid w:val="00BF4ABE"/>
    <w:rsid w:val="00BF5710"/>
    <w:rsid w:val="00BF6A2C"/>
    <w:rsid w:val="00BF6B57"/>
    <w:rsid w:val="00C002FA"/>
    <w:rsid w:val="00C006CB"/>
    <w:rsid w:val="00C025A7"/>
    <w:rsid w:val="00C0338D"/>
    <w:rsid w:val="00C034CB"/>
    <w:rsid w:val="00C04AAF"/>
    <w:rsid w:val="00C062B6"/>
    <w:rsid w:val="00C06307"/>
    <w:rsid w:val="00C06B52"/>
    <w:rsid w:val="00C06F12"/>
    <w:rsid w:val="00C07233"/>
    <w:rsid w:val="00C13308"/>
    <w:rsid w:val="00C13F02"/>
    <w:rsid w:val="00C1471D"/>
    <w:rsid w:val="00C16F21"/>
    <w:rsid w:val="00C16FC0"/>
    <w:rsid w:val="00C17FC8"/>
    <w:rsid w:val="00C211F7"/>
    <w:rsid w:val="00C215A0"/>
    <w:rsid w:val="00C21BC1"/>
    <w:rsid w:val="00C21C2B"/>
    <w:rsid w:val="00C233E1"/>
    <w:rsid w:val="00C24013"/>
    <w:rsid w:val="00C253E4"/>
    <w:rsid w:val="00C26A62"/>
    <w:rsid w:val="00C26CE0"/>
    <w:rsid w:val="00C26E54"/>
    <w:rsid w:val="00C274BE"/>
    <w:rsid w:val="00C312EA"/>
    <w:rsid w:val="00C327AC"/>
    <w:rsid w:val="00C36ABA"/>
    <w:rsid w:val="00C37D56"/>
    <w:rsid w:val="00C450C9"/>
    <w:rsid w:val="00C45DBB"/>
    <w:rsid w:val="00C45ED6"/>
    <w:rsid w:val="00C461E2"/>
    <w:rsid w:val="00C46A0A"/>
    <w:rsid w:val="00C50E20"/>
    <w:rsid w:val="00C51E76"/>
    <w:rsid w:val="00C55833"/>
    <w:rsid w:val="00C5639A"/>
    <w:rsid w:val="00C578EF"/>
    <w:rsid w:val="00C57EC1"/>
    <w:rsid w:val="00C603AD"/>
    <w:rsid w:val="00C627C6"/>
    <w:rsid w:val="00C62FFD"/>
    <w:rsid w:val="00C70683"/>
    <w:rsid w:val="00C712C2"/>
    <w:rsid w:val="00C721A4"/>
    <w:rsid w:val="00C73905"/>
    <w:rsid w:val="00C74C25"/>
    <w:rsid w:val="00C75824"/>
    <w:rsid w:val="00C7656F"/>
    <w:rsid w:val="00C76A7D"/>
    <w:rsid w:val="00C76E35"/>
    <w:rsid w:val="00C7775A"/>
    <w:rsid w:val="00C808C7"/>
    <w:rsid w:val="00C80FA6"/>
    <w:rsid w:val="00C82C5E"/>
    <w:rsid w:val="00C8345B"/>
    <w:rsid w:val="00C83F8C"/>
    <w:rsid w:val="00C84074"/>
    <w:rsid w:val="00C84406"/>
    <w:rsid w:val="00C84897"/>
    <w:rsid w:val="00C85635"/>
    <w:rsid w:val="00C85CF2"/>
    <w:rsid w:val="00C868A6"/>
    <w:rsid w:val="00C93535"/>
    <w:rsid w:val="00C949A8"/>
    <w:rsid w:val="00C979F8"/>
    <w:rsid w:val="00CA3416"/>
    <w:rsid w:val="00CA3E12"/>
    <w:rsid w:val="00CA563B"/>
    <w:rsid w:val="00CA5B1E"/>
    <w:rsid w:val="00CB16F8"/>
    <w:rsid w:val="00CB17D2"/>
    <w:rsid w:val="00CB212C"/>
    <w:rsid w:val="00CB223B"/>
    <w:rsid w:val="00CB287F"/>
    <w:rsid w:val="00CB2AF1"/>
    <w:rsid w:val="00CB4521"/>
    <w:rsid w:val="00CC003F"/>
    <w:rsid w:val="00CC1D57"/>
    <w:rsid w:val="00CC26C2"/>
    <w:rsid w:val="00CC283F"/>
    <w:rsid w:val="00CC64F8"/>
    <w:rsid w:val="00CC7515"/>
    <w:rsid w:val="00CC7661"/>
    <w:rsid w:val="00CC7B0B"/>
    <w:rsid w:val="00CC7F8E"/>
    <w:rsid w:val="00CD0A2E"/>
    <w:rsid w:val="00CD1BE0"/>
    <w:rsid w:val="00CD2D6D"/>
    <w:rsid w:val="00CD4C0F"/>
    <w:rsid w:val="00CE04B6"/>
    <w:rsid w:val="00CE163E"/>
    <w:rsid w:val="00CE5687"/>
    <w:rsid w:val="00CE5E0C"/>
    <w:rsid w:val="00CE684F"/>
    <w:rsid w:val="00CE6DCD"/>
    <w:rsid w:val="00CF12F0"/>
    <w:rsid w:val="00CF1817"/>
    <w:rsid w:val="00CF2733"/>
    <w:rsid w:val="00CF29E3"/>
    <w:rsid w:val="00CF2A00"/>
    <w:rsid w:val="00CF2F11"/>
    <w:rsid w:val="00CF4666"/>
    <w:rsid w:val="00CF4894"/>
    <w:rsid w:val="00CF7576"/>
    <w:rsid w:val="00CF76F2"/>
    <w:rsid w:val="00D02749"/>
    <w:rsid w:val="00D04199"/>
    <w:rsid w:val="00D051A5"/>
    <w:rsid w:val="00D0643F"/>
    <w:rsid w:val="00D07F3E"/>
    <w:rsid w:val="00D10260"/>
    <w:rsid w:val="00D11093"/>
    <w:rsid w:val="00D13193"/>
    <w:rsid w:val="00D13EF1"/>
    <w:rsid w:val="00D14DF7"/>
    <w:rsid w:val="00D15351"/>
    <w:rsid w:val="00D1572A"/>
    <w:rsid w:val="00D206EE"/>
    <w:rsid w:val="00D22E70"/>
    <w:rsid w:val="00D23468"/>
    <w:rsid w:val="00D239C9"/>
    <w:rsid w:val="00D24AE7"/>
    <w:rsid w:val="00D25AE4"/>
    <w:rsid w:val="00D271A2"/>
    <w:rsid w:val="00D30737"/>
    <w:rsid w:val="00D31148"/>
    <w:rsid w:val="00D327FF"/>
    <w:rsid w:val="00D33BF2"/>
    <w:rsid w:val="00D3448E"/>
    <w:rsid w:val="00D377BE"/>
    <w:rsid w:val="00D378A6"/>
    <w:rsid w:val="00D439D4"/>
    <w:rsid w:val="00D44C1D"/>
    <w:rsid w:val="00D47519"/>
    <w:rsid w:val="00D477E0"/>
    <w:rsid w:val="00D50020"/>
    <w:rsid w:val="00D506E2"/>
    <w:rsid w:val="00D515EB"/>
    <w:rsid w:val="00D52F0A"/>
    <w:rsid w:val="00D566AD"/>
    <w:rsid w:val="00D56E25"/>
    <w:rsid w:val="00D56E63"/>
    <w:rsid w:val="00D571CD"/>
    <w:rsid w:val="00D57B53"/>
    <w:rsid w:val="00D57E61"/>
    <w:rsid w:val="00D57F25"/>
    <w:rsid w:val="00D61704"/>
    <w:rsid w:val="00D61AE9"/>
    <w:rsid w:val="00D62949"/>
    <w:rsid w:val="00D63496"/>
    <w:rsid w:val="00D63898"/>
    <w:rsid w:val="00D646C1"/>
    <w:rsid w:val="00D648A1"/>
    <w:rsid w:val="00D64B10"/>
    <w:rsid w:val="00D65056"/>
    <w:rsid w:val="00D655D6"/>
    <w:rsid w:val="00D6564B"/>
    <w:rsid w:val="00D671F0"/>
    <w:rsid w:val="00D673F5"/>
    <w:rsid w:val="00D711B0"/>
    <w:rsid w:val="00D71289"/>
    <w:rsid w:val="00D712E0"/>
    <w:rsid w:val="00D714BD"/>
    <w:rsid w:val="00D71A58"/>
    <w:rsid w:val="00D74959"/>
    <w:rsid w:val="00D76574"/>
    <w:rsid w:val="00D76F20"/>
    <w:rsid w:val="00D81311"/>
    <w:rsid w:val="00D81771"/>
    <w:rsid w:val="00D82188"/>
    <w:rsid w:val="00D84E1C"/>
    <w:rsid w:val="00D84E40"/>
    <w:rsid w:val="00D87F8B"/>
    <w:rsid w:val="00D9430C"/>
    <w:rsid w:val="00D94413"/>
    <w:rsid w:val="00DA0837"/>
    <w:rsid w:val="00DA19D4"/>
    <w:rsid w:val="00DA4412"/>
    <w:rsid w:val="00DA6313"/>
    <w:rsid w:val="00DA7F98"/>
    <w:rsid w:val="00DB17E5"/>
    <w:rsid w:val="00DB4DD8"/>
    <w:rsid w:val="00DB5369"/>
    <w:rsid w:val="00DB5965"/>
    <w:rsid w:val="00DB5C52"/>
    <w:rsid w:val="00DC0ED7"/>
    <w:rsid w:val="00DC260A"/>
    <w:rsid w:val="00DC3416"/>
    <w:rsid w:val="00DC408F"/>
    <w:rsid w:val="00DC4311"/>
    <w:rsid w:val="00DC5327"/>
    <w:rsid w:val="00DC60AE"/>
    <w:rsid w:val="00DC6662"/>
    <w:rsid w:val="00DC6E07"/>
    <w:rsid w:val="00DC7BC3"/>
    <w:rsid w:val="00DD0223"/>
    <w:rsid w:val="00DD0A01"/>
    <w:rsid w:val="00DD0F33"/>
    <w:rsid w:val="00DD1018"/>
    <w:rsid w:val="00DD37B0"/>
    <w:rsid w:val="00DD4093"/>
    <w:rsid w:val="00DD4291"/>
    <w:rsid w:val="00DD6493"/>
    <w:rsid w:val="00DD70A0"/>
    <w:rsid w:val="00DE2BFE"/>
    <w:rsid w:val="00DE460B"/>
    <w:rsid w:val="00DE6C14"/>
    <w:rsid w:val="00DF0DAF"/>
    <w:rsid w:val="00DF121E"/>
    <w:rsid w:val="00DF2D1E"/>
    <w:rsid w:val="00DF339C"/>
    <w:rsid w:val="00DF3D88"/>
    <w:rsid w:val="00DF3EC7"/>
    <w:rsid w:val="00DF4054"/>
    <w:rsid w:val="00DF52F3"/>
    <w:rsid w:val="00DF6351"/>
    <w:rsid w:val="00DF6E36"/>
    <w:rsid w:val="00E015B1"/>
    <w:rsid w:val="00E02AF3"/>
    <w:rsid w:val="00E02FFC"/>
    <w:rsid w:val="00E03636"/>
    <w:rsid w:val="00E044B5"/>
    <w:rsid w:val="00E05961"/>
    <w:rsid w:val="00E06DE7"/>
    <w:rsid w:val="00E07F4C"/>
    <w:rsid w:val="00E11BA7"/>
    <w:rsid w:val="00E124DF"/>
    <w:rsid w:val="00E126B5"/>
    <w:rsid w:val="00E12AF4"/>
    <w:rsid w:val="00E147D7"/>
    <w:rsid w:val="00E14D65"/>
    <w:rsid w:val="00E15CE2"/>
    <w:rsid w:val="00E168F7"/>
    <w:rsid w:val="00E21F17"/>
    <w:rsid w:val="00E22BB3"/>
    <w:rsid w:val="00E22CE7"/>
    <w:rsid w:val="00E251FD"/>
    <w:rsid w:val="00E25584"/>
    <w:rsid w:val="00E2628B"/>
    <w:rsid w:val="00E2675F"/>
    <w:rsid w:val="00E26EE5"/>
    <w:rsid w:val="00E26FEA"/>
    <w:rsid w:val="00E276ED"/>
    <w:rsid w:val="00E3043C"/>
    <w:rsid w:val="00E30E97"/>
    <w:rsid w:val="00E31429"/>
    <w:rsid w:val="00E3165A"/>
    <w:rsid w:val="00E32549"/>
    <w:rsid w:val="00E34FD1"/>
    <w:rsid w:val="00E36638"/>
    <w:rsid w:val="00E37A91"/>
    <w:rsid w:val="00E44321"/>
    <w:rsid w:val="00E4782F"/>
    <w:rsid w:val="00E50E0A"/>
    <w:rsid w:val="00E5128C"/>
    <w:rsid w:val="00E53A09"/>
    <w:rsid w:val="00E5449E"/>
    <w:rsid w:val="00E55029"/>
    <w:rsid w:val="00E5521C"/>
    <w:rsid w:val="00E55F4A"/>
    <w:rsid w:val="00E566FE"/>
    <w:rsid w:val="00E56AE6"/>
    <w:rsid w:val="00E56F40"/>
    <w:rsid w:val="00E57B5E"/>
    <w:rsid w:val="00E57F3E"/>
    <w:rsid w:val="00E60EC8"/>
    <w:rsid w:val="00E61418"/>
    <w:rsid w:val="00E61E60"/>
    <w:rsid w:val="00E635D2"/>
    <w:rsid w:val="00E63B9B"/>
    <w:rsid w:val="00E651EE"/>
    <w:rsid w:val="00E675B3"/>
    <w:rsid w:val="00E67A41"/>
    <w:rsid w:val="00E71627"/>
    <w:rsid w:val="00E7163A"/>
    <w:rsid w:val="00E739F2"/>
    <w:rsid w:val="00E73BAC"/>
    <w:rsid w:val="00E74120"/>
    <w:rsid w:val="00E743B0"/>
    <w:rsid w:val="00E748E7"/>
    <w:rsid w:val="00E751E3"/>
    <w:rsid w:val="00E77B63"/>
    <w:rsid w:val="00E81D2F"/>
    <w:rsid w:val="00E828EB"/>
    <w:rsid w:val="00E849AB"/>
    <w:rsid w:val="00E858D5"/>
    <w:rsid w:val="00E85E14"/>
    <w:rsid w:val="00E86C8F"/>
    <w:rsid w:val="00E87146"/>
    <w:rsid w:val="00E8718C"/>
    <w:rsid w:val="00E902CF"/>
    <w:rsid w:val="00E9079C"/>
    <w:rsid w:val="00E927A1"/>
    <w:rsid w:val="00E93167"/>
    <w:rsid w:val="00E9396A"/>
    <w:rsid w:val="00EA0555"/>
    <w:rsid w:val="00EA17C6"/>
    <w:rsid w:val="00EA1A7A"/>
    <w:rsid w:val="00EA1C5B"/>
    <w:rsid w:val="00EA2BB4"/>
    <w:rsid w:val="00EA32FA"/>
    <w:rsid w:val="00EA414F"/>
    <w:rsid w:val="00EA4F03"/>
    <w:rsid w:val="00EA5807"/>
    <w:rsid w:val="00EA5ABD"/>
    <w:rsid w:val="00EA6F1A"/>
    <w:rsid w:val="00EA7731"/>
    <w:rsid w:val="00EB2D90"/>
    <w:rsid w:val="00EB3E8B"/>
    <w:rsid w:val="00EB44C4"/>
    <w:rsid w:val="00EB4E90"/>
    <w:rsid w:val="00EB4F09"/>
    <w:rsid w:val="00EC0196"/>
    <w:rsid w:val="00EC17D7"/>
    <w:rsid w:val="00EC1FCF"/>
    <w:rsid w:val="00EC27A9"/>
    <w:rsid w:val="00EC43FA"/>
    <w:rsid w:val="00EC4BC4"/>
    <w:rsid w:val="00ED04C7"/>
    <w:rsid w:val="00ED1323"/>
    <w:rsid w:val="00ED19D9"/>
    <w:rsid w:val="00ED2234"/>
    <w:rsid w:val="00ED5E41"/>
    <w:rsid w:val="00ED6611"/>
    <w:rsid w:val="00ED7AFC"/>
    <w:rsid w:val="00EE0499"/>
    <w:rsid w:val="00EE0C86"/>
    <w:rsid w:val="00EE1A59"/>
    <w:rsid w:val="00EE311E"/>
    <w:rsid w:val="00EE4372"/>
    <w:rsid w:val="00EE5115"/>
    <w:rsid w:val="00EE6D04"/>
    <w:rsid w:val="00EE7CDD"/>
    <w:rsid w:val="00EF1175"/>
    <w:rsid w:val="00EF37E9"/>
    <w:rsid w:val="00EF44A7"/>
    <w:rsid w:val="00EF4CEB"/>
    <w:rsid w:val="00EF6004"/>
    <w:rsid w:val="00EF647C"/>
    <w:rsid w:val="00F002BD"/>
    <w:rsid w:val="00F00317"/>
    <w:rsid w:val="00F0235A"/>
    <w:rsid w:val="00F02EE6"/>
    <w:rsid w:val="00F035CB"/>
    <w:rsid w:val="00F10AF9"/>
    <w:rsid w:val="00F11797"/>
    <w:rsid w:val="00F15D5E"/>
    <w:rsid w:val="00F204CD"/>
    <w:rsid w:val="00F214F2"/>
    <w:rsid w:val="00F2158F"/>
    <w:rsid w:val="00F2457C"/>
    <w:rsid w:val="00F250D9"/>
    <w:rsid w:val="00F26ECC"/>
    <w:rsid w:val="00F274F4"/>
    <w:rsid w:val="00F31BEE"/>
    <w:rsid w:val="00F321B3"/>
    <w:rsid w:val="00F344E0"/>
    <w:rsid w:val="00F3457A"/>
    <w:rsid w:val="00F3691C"/>
    <w:rsid w:val="00F36B0E"/>
    <w:rsid w:val="00F3751E"/>
    <w:rsid w:val="00F4146E"/>
    <w:rsid w:val="00F41A23"/>
    <w:rsid w:val="00F435D2"/>
    <w:rsid w:val="00F44F4B"/>
    <w:rsid w:val="00F459D3"/>
    <w:rsid w:val="00F45BEE"/>
    <w:rsid w:val="00F45F29"/>
    <w:rsid w:val="00F54F67"/>
    <w:rsid w:val="00F55D04"/>
    <w:rsid w:val="00F55F07"/>
    <w:rsid w:val="00F56EB1"/>
    <w:rsid w:val="00F601FE"/>
    <w:rsid w:val="00F6253F"/>
    <w:rsid w:val="00F62C41"/>
    <w:rsid w:val="00F636D0"/>
    <w:rsid w:val="00F66722"/>
    <w:rsid w:val="00F67637"/>
    <w:rsid w:val="00F7030E"/>
    <w:rsid w:val="00F71304"/>
    <w:rsid w:val="00F71D54"/>
    <w:rsid w:val="00F72ACE"/>
    <w:rsid w:val="00F75453"/>
    <w:rsid w:val="00F75DA5"/>
    <w:rsid w:val="00F76F16"/>
    <w:rsid w:val="00F76F75"/>
    <w:rsid w:val="00F823EE"/>
    <w:rsid w:val="00F828CA"/>
    <w:rsid w:val="00F82BB8"/>
    <w:rsid w:val="00F85342"/>
    <w:rsid w:val="00F91BA7"/>
    <w:rsid w:val="00F93F9F"/>
    <w:rsid w:val="00F9496A"/>
    <w:rsid w:val="00F950DF"/>
    <w:rsid w:val="00F953B6"/>
    <w:rsid w:val="00F96738"/>
    <w:rsid w:val="00F97E8A"/>
    <w:rsid w:val="00FA0EA2"/>
    <w:rsid w:val="00FA186A"/>
    <w:rsid w:val="00FA2805"/>
    <w:rsid w:val="00FA519E"/>
    <w:rsid w:val="00FA51E8"/>
    <w:rsid w:val="00FA6AC1"/>
    <w:rsid w:val="00FB1D28"/>
    <w:rsid w:val="00FB1D54"/>
    <w:rsid w:val="00FB2383"/>
    <w:rsid w:val="00FB2D94"/>
    <w:rsid w:val="00FB74EC"/>
    <w:rsid w:val="00FC077A"/>
    <w:rsid w:val="00FC1398"/>
    <w:rsid w:val="00FC3998"/>
    <w:rsid w:val="00FC3A67"/>
    <w:rsid w:val="00FC3E5B"/>
    <w:rsid w:val="00FC3F4D"/>
    <w:rsid w:val="00FC53D5"/>
    <w:rsid w:val="00FC568F"/>
    <w:rsid w:val="00FC5EF9"/>
    <w:rsid w:val="00FC62B6"/>
    <w:rsid w:val="00FC7CB8"/>
    <w:rsid w:val="00FD0A9D"/>
    <w:rsid w:val="00FD2A1E"/>
    <w:rsid w:val="00FD3DDF"/>
    <w:rsid w:val="00FD486F"/>
    <w:rsid w:val="00FD5A2D"/>
    <w:rsid w:val="00FD7948"/>
    <w:rsid w:val="00FD7ED5"/>
    <w:rsid w:val="00FE0579"/>
    <w:rsid w:val="00FE0584"/>
    <w:rsid w:val="00FE22BA"/>
    <w:rsid w:val="00FE2F96"/>
    <w:rsid w:val="00FE3A03"/>
    <w:rsid w:val="00FE3B9D"/>
    <w:rsid w:val="00FE64FF"/>
    <w:rsid w:val="00FE6D44"/>
    <w:rsid w:val="00FE7EED"/>
    <w:rsid w:val="00FF0ACF"/>
    <w:rsid w:val="00FF1DAB"/>
    <w:rsid w:val="00FF2538"/>
    <w:rsid w:val="00FF3F58"/>
    <w:rsid w:val="00FF5E74"/>
    <w:rsid w:val="00FF63B5"/>
    <w:rsid w:val="00FF7134"/>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5012E"/>
  <w15:chartTrackingRefBased/>
  <w15:docId w15:val="{05439847-A6EE-4A66-A720-CCEFE884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4C"/>
  </w:style>
  <w:style w:type="paragraph" w:styleId="Heading1">
    <w:name w:val="heading 1"/>
    <w:basedOn w:val="Normal"/>
    <w:next w:val="Normal"/>
    <w:link w:val="Heading1Char"/>
    <w:uiPriority w:val="9"/>
    <w:qFormat/>
    <w:rsid w:val="00CE5E0C"/>
    <w:pPr>
      <w:spacing w:after="0"/>
      <w:outlineLvl w:val="0"/>
    </w:pPr>
    <w:rPr>
      <w:b/>
      <w:color w:val="002060"/>
      <w:sz w:val="28"/>
      <w:szCs w:val="28"/>
    </w:rPr>
  </w:style>
  <w:style w:type="paragraph" w:styleId="Heading2">
    <w:name w:val="heading 2"/>
    <w:basedOn w:val="Normal"/>
    <w:next w:val="Normal"/>
    <w:link w:val="Heading2Char"/>
    <w:uiPriority w:val="9"/>
    <w:unhideWhenUsed/>
    <w:qFormat/>
    <w:rsid w:val="002222D6"/>
    <w:pPr>
      <w:spacing w:after="0"/>
      <w:outlineLvl w:val="1"/>
    </w:pPr>
    <w:rPr>
      <w:b/>
      <w:color w:val="002060"/>
      <w:sz w:val="20"/>
      <w:szCs w:val="20"/>
    </w:rPr>
  </w:style>
  <w:style w:type="paragraph" w:styleId="Heading3">
    <w:name w:val="heading 3"/>
    <w:basedOn w:val="Normal"/>
    <w:link w:val="Heading3Char"/>
    <w:uiPriority w:val="9"/>
    <w:unhideWhenUsed/>
    <w:qFormat/>
    <w:rsid w:val="003C7BC3"/>
    <w:pPr>
      <w:widowControl w:val="0"/>
      <w:autoSpaceDE w:val="0"/>
      <w:autoSpaceDN w:val="0"/>
      <w:spacing w:before="18" w:after="0" w:line="240" w:lineRule="auto"/>
      <w:ind w:left="560"/>
      <w:outlineLvl w:val="2"/>
    </w:pPr>
    <w:rPr>
      <w:rFonts w:ascii="Calibri" w:eastAsia="Calibri" w:hAnsi="Calibri" w:cs="Calibri"/>
      <w:b/>
      <w:bCs/>
      <w:i/>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0C"/>
    <w:rPr>
      <w:b/>
      <w:color w:val="002060"/>
      <w:sz w:val="28"/>
      <w:szCs w:val="28"/>
    </w:rPr>
  </w:style>
  <w:style w:type="character" w:customStyle="1" w:styleId="Heading2Char">
    <w:name w:val="Heading 2 Char"/>
    <w:basedOn w:val="DefaultParagraphFont"/>
    <w:link w:val="Heading2"/>
    <w:uiPriority w:val="9"/>
    <w:rsid w:val="002222D6"/>
    <w:rPr>
      <w:b/>
      <w:color w:val="002060"/>
      <w:sz w:val="20"/>
      <w:szCs w:val="20"/>
    </w:rPr>
  </w:style>
  <w:style w:type="table" w:styleId="TableGrid">
    <w:name w:val="Table Grid"/>
    <w:basedOn w:val="TableNormal"/>
    <w:uiPriority w:val="99"/>
    <w:rsid w:val="0064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1,Table Col Head"/>
    <w:basedOn w:val="Normal"/>
    <w:next w:val="Normal"/>
    <w:link w:val="SubtitleChar"/>
    <w:uiPriority w:val="11"/>
    <w:qFormat/>
    <w:rsid w:val="006462A3"/>
    <w:pPr>
      <w:spacing w:after="0" w:line="240" w:lineRule="auto"/>
      <w:jc w:val="center"/>
    </w:pPr>
    <w:rPr>
      <w:b/>
      <w:sz w:val="18"/>
      <w:szCs w:val="18"/>
    </w:rPr>
  </w:style>
  <w:style w:type="character" w:customStyle="1" w:styleId="SubtitleChar">
    <w:name w:val="Subtitle Char"/>
    <w:aliases w:val="T1 Char,Table Col Head Char"/>
    <w:basedOn w:val="DefaultParagraphFont"/>
    <w:link w:val="Subtitle"/>
    <w:uiPriority w:val="11"/>
    <w:rsid w:val="006462A3"/>
    <w:rPr>
      <w:b/>
      <w:sz w:val="18"/>
      <w:szCs w:val="18"/>
    </w:rPr>
  </w:style>
  <w:style w:type="character" w:styleId="SubtleEmphasis">
    <w:name w:val="Subtle Emphasis"/>
    <w:aliases w:val="Table 2"/>
    <w:uiPriority w:val="19"/>
    <w:rsid w:val="006462A3"/>
  </w:style>
  <w:style w:type="paragraph" w:customStyle="1" w:styleId="T2">
    <w:name w:val="T2"/>
    <w:basedOn w:val="Subtitle"/>
    <w:link w:val="T2Char"/>
    <w:qFormat/>
    <w:rsid w:val="006462A3"/>
    <w:rPr>
      <w:b w:val="0"/>
    </w:rPr>
  </w:style>
  <w:style w:type="paragraph" w:styleId="ListParagraph">
    <w:name w:val="List Paragraph"/>
    <w:basedOn w:val="Normal"/>
    <w:link w:val="ListParagraphChar"/>
    <w:uiPriority w:val="34"/>
    <w:qFormat/>
    <w:rsid w:val="00DA4412"/>
    <w:pPr>
      <w:ind w:left="720"/>
      <w:contextualSpacing/>
    </w:pPr>
  </w:style>
  <w:style w:type="character" w:customStyle="1" w:styleId="T2Char">
    <w:name w:val="T2 Char"/>
    <w:basedOn w:val="SubtitleChar"/>
    <w:link w:val="T2"/>
    <w:rsid w:val="006462A3"/>
    <w:rPr>
      <w:b w:val="0"/>
      <w:sz w:val="18"/>
      <w:szCs w:val="18"/>
    </w:rPr>
  </w:style>
  <w:style w:type="paragraph" w:customStyle="1" w:styleId="Paragraph">
    <w:name w:val="Paragraph"/>
    <w:basedOn w:val="Normal"/>
    <w:link w:val="ParagraphChar"/>
    <w:qFormat/>
    <w:rsid w:val="00DA4412"/>
    <w:pPr>
      <w:spacing w:before="160" w:after="0" w:line="240" w:lineRule="auto"/>
    </w:pPr>
    <w:rPr>
      <w:sz w:val="18"/>
      <w:szCs w:val="18"/>
    </w:rPr>
  </w:style>
  <w:style w:type="character" w:customStyle="1" w:styleId="ParagraphChar">
    <w:name w:val="Paragraph Char"/>
    <w:basedOn w:val="DefaultParagraphFont"/>
    <w:link w:val="Paragraph"/>
    <w:rsid w:val="00DA4412"/>
    <w:rPr>
      <w:sz w:val="18"/>
      <w:szCs w:val="18"/>
    </w:rPr>
  </w:style>
  <w:style w:type="paragraph" w:customStyle="1" w:styleId="ParaBulletStyle">
    <w:name w:val="Para Bullet Style"/>
    <w:basedOn w:val="Paragraph"/>
    <w:link w:val="ParaBulletStyleChar"/>
    <w:qFormat/>
    <w:rsid w:val="00921843"/>
    <w:pPr>
      <w:numPr>
        <w:numId w:val="1"/>
      </w:numPr>
      <w:spacing w:before="80"/>
      <w:ind w:left="714" w:hanging="357"/>
    </w:pPr>
  </w:style>
  <w:style w:type="character" w:customStyle="1" w:styleId="ParaBulletStyleChar">
    <w:name w:val="Para Bullet Style Char"/>
    <w:basedOn w:val="ParagraphChar"/>
    <w:link w:val="ParaBulletStyle"/>
    <w:rsid w:val="00921843"/>
    <w:rPr>
      <w:sz w:val="18"/>
      <w:szCs w:val="18"/>
    </w:rPr>
  </w:style>
  <w:style w:type="paragraph" w:styleId="Header">
    <w:name w:val="header"/>
    <w:basedOn w:val="Normal"/>
    <w:link w:val="HeaderChar"/>
    <w:unhideWhenUsed/>
    <w:rsid w:val="00E34FD1"/>
    <w:pPr>
      <w:tabs>
        <w:tab w:val="center" w:pos="4513"/>
        <w:tab w:val="right" w:pos="9026"/>
      </w:tabs>
      <w:spacing w:after="0" w:line="240" w:lineRule="auto"/>
    </w:pPr>
  </w:style>
  <w:style w:type="character" w:customStyle="1" w:styleId="HeaderChar">
    <w:name w:val="Header Char"/>
    <w:basedOn w:val="DefaultParagraphFont"/>
    <w:link w:val="Header"/>
    <w:rsid w:val="00E34FD1"/>
  </w:style>
  <w:style w:type="paragraph" w:styleId="Footer">
    <w:name w:val="footer"/>
    <w:basedOn w:val="Normal"/>
    <w:link w:val="FooterChar"/>
    <w:uiPriority w:val="99"/>
    <w:unhideWhenUsed/>
    <w:rsid w:val="00E3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D1"/>
  </w:style>
  <w:style w:type="paragraph" w:customStyle="1" w:styleId="Style1">
    <w:name w:val="Style1"/>
    <w:basedOn w:val="ListParagraph"/>
    <w:link w:val="Style1Char"/>
    <w:qFormat/>
    <w:rsid w:val="00205633"/>
    <w:pPr>
      <w:numPr>
        <w:numId w:val="2"/>
      </w:numPr>
      <w:ind w:left="927"/>
    </w:pPr>
    <w:rPr>
      <w:b/>
      <w:sz w:val="18"/>
      <w:szCs w:val="18"/>
    </w:rPr>
  </w:style>
  <w:style w:type="character" w:customStyle="1" w:styleId="ListParagraphChar">
    <w:name w:val="List Paragraph Char"/>
    <w:basedOn w:val="DefaultParagraphFont"/>
    <w:link w:val="ListParagraph"/>
    <w:uiPriority w:val="34"/>
    <w:rsid w:val="00205633"/>
  </w:style>
  <w:style w:type="character" w:customStyle="1" w:styleId="Style1Char">
    <w:name w:val="Style1 Char"/>
    <w:basedOn w:val="ListParagraphChar"/>
    <w:link w:val="Style1"/>
    <w:rsid w:val="00205633"/>
    <w:rPr>
      <w:b/>
      <w:sz w:val="18"/>
      <w:szCs w:val="18"/>
    </w:rPr>
  </w:style>
  <w:style w:type="paragraph" w:styleId="BalloonText">
    <w:name w:val="Balloon Text"/>
    <w:basedOn w:val="Normal"/>
    <w:link w:val="BalloonTextChar"/>
    <w:uiPriority w:val="99"/>
    <w:semiHidden/>
    <w:unhideWhenUsed/>
    <w:rsid w:val="003F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95"/>
    <w:rPr>
      <w:rFonts w:ascii="Segoe UI" w:hAnsi="Segoe UI" w:cs="Segoe UI"/>
      <w:sz w:val="18"/>
      <w:szCs w:val="18"/>
    </w:rPr>
  </w:style>
  <w:style w:type="character" w:styleId="CommentReference">
    <w:name w:val="annotation reference"/>
    <w:basedOn w:val="DefaultParagraphFont"/>
    <w:uiPriority w:val="99"/>
    <w:semiHidden/>
    <w:unhideWhenUsed/>
    <w:rsid w:val="00215E7D"/>
    <w:rPr>
      <w:sz w:val="16"/>
      <w:szCs w:val="16"/>
    </w:rPr>
  </w:style>
  <w:style w:type="paragraph" w:styleId="CommentText">
    <w:name w:val="annotation text"/>
    <w:basedOn w:val="Normal"/>
    <w:link w:val="CommentTextChar"/>
    <w:uiPriority w:val="99"/>
    <w:semiHidden/>
    <w:unhideWhenUsed/>
    <w:rsid w:val="00215E7D"/>
    <w:pPr>
      <w:spacing w:line="240" w:lineRule="auto"/>
    </w:pPr>
    <w:rPr>
      <w:sz w:val="20"/>
      <w:szCs w:val="20"/>
    </w:rPr>
  </w:style>
  <w:style w:type="character" w:customStyle="1" w:styleId="CommentTextChar">
    <w:name w:val="Comment Text Char"/>
    <w:basedOn w:val="DefaultParagraphFont"/>
    <w:link w:val="CommentText"/>
    <w:uiPriority w:val="99"/>
    <w:semiHidden/>
    <w:rsid w:val="00215E7D"/>
    <w:rPr>
      <w:sz w:val="20"/>
      <w:szCs w:val="20"/>
    </w:rPr>
  </w:style>
  <w:style w:type="paragraph" w:styleId="CommentSubject">
    <w:name w:val="annotation subject"/>
    <w:basedOn w:val="CommentText"/>
    <w:next w:val="CommentText"/>
    <w:link w:val="CommentSubjectChar"/>
    <w:uiPriority w:val="99"/>
    <w:semiHidden/>
    <w:unhideWhenUsed/>
    <w:rsid w:val="00215E7D"/>
    <w:rPr>
      <w:b/>
      <w:bCs/>
    </w:rPr>
  </w:style>
  <w:style w:type="character" w:customStyle="1" w:styleId="CommentSubjectChar">
    <w:name w:val="Comment Subject Char"/>
    <w:basedOn w:val="CommentTextChar"/>
    <w:link w:val="CommentSubject"/>
    <w:uiPriority w:val="99"/>
    <w:semiHidden/>
    <w:rsid w:val="00215E7D"/>
    <w:rPr>
      <w:b/>
      <w:bCs/>
      <w:sz w:val="20"/>
      <w:szCs w:val="20"/>
    </w:rPr>
  </w:style>
  <w:style w:type="paragraph" w:styleId="Revision">
    <w:name w:val="Revision"/>
    <w:hidden/>
    <w:uiPriority w:val="99"/>
    <w:semiHidden/>
    <w:rsid w:val="006E1E13"/>
    <w:pPr>
      <w:spacing w:after="0" w:line="240" w:lineRule="auto"/>
    </w:pPr>
  </w:style>
  <w:style w:type="paragraph" w:customStyle="1" w:styleId="Default">
    <w:name w:val="Default"/>
    <w:rsid w:val="006910FB"/>
    <w:pPr>
      <w:autoSpaceDE w:val="0"/>
      <w:autoSpaceDN w:val="0"/>
      <w:adjustRightInd w:val="0"/>
      <w:spacing w:after="0" w:line="240" w:lineRule="auto"/>
    </w:pPr>
    <w:rPr>
      <w:rFonts w:ascii="Verdana" w:eastAsia="Times New Roman" w:hAnsi="Verdana" w:cs="Times New Roman"/>
      <w:sz w:val="20"/>
      <w:szCs w:val="20"/>
      <w:lang w:val="en-US"/>
    </w:rPr>
  </w:style>
  <w:style w:type="character" w:styleId="Hyperlink">
    <w:name w:val="Hyperlink"/>
    <w:basedOn w:val="DefaultParagraphFont"/>
    <w:rsid w:val="006910FB"/>
    <w:rPr>
      <w:rFonts w:cs="Times New Roman"/>
      <w:color w:val="0000FF"/>
      <w:u w:val="single"/>
    </w:rPr>
  </w:style>
  <w:style w:type="character" w:customStyle="1" w:styleId="Heading3Char">
    <w:name w:val="Heading 3 Char"/>
    <w:basedOn w:val="DefaultParagraphFont"/>
    <w:link w:val="Heading3"/>
    <w:uiPriority w:val="9"/>
    <w:rsid w:val="003C7BC3"/>
    <w:rPr>
      <w:rFonts w:ascii="Calibri" w:eastAsia="Calibri" w:hAnsi="Calibri" w:cs="Calibri"/>
      <w:b/>
      <w:bCs/>
      <w:i/>
      <w:sz w:val="18"/>
      <w:szCs w:val="18"/>
      <w:lang w:eastAsia="en-GB" w:bidi="en-GB"/>
    </w:rPr>
  </w:style>
  <w:style w:type="paragraph" w:styleId="BodyText">
    <w:name w:val="Body Text"/>
    <w:basedOn w:val="Normal"/>
    <w:link w:val="BodyTextChar"/>
    <w:uiPriority w:val="1"/>
    <w:qFormat/>
    <w:rsid w:val="003C7BC3"/>
    <w:pPr>
      <w:widowControl w:val="0"/>
      <w:autoSpaceDE w:val="0"/>
      <w:autoSpaceDN w:val="0"/>
      <w:spacing w:before="4" w:after="0" w:line="240" w:lineRule="auto"/>
    </w:pPr>
    <w:rPr>
      <w:rFonts w:eastAsia="Calibri" w:cstheme="minorHAnsi"/>
      <w:sz w:val="18"/>
      <w:szCs w:val="18"/>
      <w:lang w:eastAsia="en-GB" w:bidi="en-GB"/>
    </w:rPr>
  </w:style>
  <w:style w:type="character" w:customStyle="1" w:styleId="BodyTextChar">
    <w:name w:val="Body Text Char"/>
    <w:basedOn w:val="DefaultParagraphFont"/>
    <w:link w:val="BodyText"/>
    <w:uiPriority w:val="1"/>
    <w:rsid w:val="003C7BC3"/>
    <w:rPr>
      <w:rFonts w:eastAsia="Calibri" w:cstheme="minorHAnsi"/>
      <w:sz w:val="18"/>
      <w:szCs w:val="18"/>
      <w:lang w:eastAsia="en-GB" w:bidi="en-GB"/>
    </w:rPr>
  </w:style>
  <w:style w:type="paragraph" w:customStyle="1" w:styleId="TableParagraph">
    <w:name w:val="Table Paragraph"/>
    <w:basedOn w:val="Normal"/>
    <w:uiPriority w:val="1"/>
    <w:qFormat/>
    <w:rsid w:val="003C7BC3"/>
    <w:pPr>
      <w:widowControl w:val="0"/>
      <w:autoSpaceDE w:val="0"/>
      <w:autoSpaceDN w:val="0"/>
      <w:spacing w:after="0" w:line="240" w:lineRule="auto"/>
    </w:pPr>
    <w:rPr>
      <w:rFonts w:ascii="Calibri" w:eastAsia="Calibri" w:hAnsi="Calibri" w:cs="Calibri"/>
      <w:lang w:eastAsia="en-GB" w:bidi="en-GB"/>
    </w:rPr>
  </w:style>
  <w:style w:type="table" w:customStyle="1" w:styleId="TableGrid1">
    <w:name w:val="Table Grid1"/>
    <w:basedOn w:val="TableNormal"/>
    <w:next w:val="TableGrid"/>
    <w:uiPriority w:val="39"/>
    <w:rsid w:val="003C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
    <w:name w:val="Table Row Head"/>
    <w:basedOn w:val="T2"/>
    <w:link w:val="TableRowHeadChar"/>
    <w:qFormat/>
    <w:rsid w:val="003C7BC3"/>
    <w:pPr>
      <w:jc w:val="left"/>
    </w:pPr>
  </w:style>
  <w:style w:type="character" w:customStyle="1" w:styleId="TableRowHeadChar">
    <w:name w:val="Table Row Head Char"/>
    <w:basedOn w:val="T2Char"/>
    <w:link w:val="TableRowHead"/>
    <w:rsid w:val="003C7BC3"/>
    <w:rPr>
      <w:b w:val="0"/>
      <w:sz w:val="18"/>
      <w:szCs w:val="18"/>
    </w:rPr>
  </w:style>
  <w:style w:type="paragraph" w:customStyle="1" w:styleId="TableComments">
    <w:name w:val="Table Comments"/>
    <w:basedOn w:val="Normal"/>
    <w:link w:val="TableCommentsChar"/>
    <w:qFormat/>
    <w:rsid w:val="003C7BC3"/>
    <w:pPr>
      <w:widowControl w:val="0"/>
      <w:autoSpaceDE w:val="0"/>
      <w:autoSpaceDN w:val="0"/>
      <w:spacing w:after="0" w:line="240" w:lineRule="auto"/>
      <w:ind w:left="307" w:right="738"/>
    </w:pPr>
    <w:rPr>
      <w:rFonts w:ascii="Calibri" w:eastAsia="Calibri" w:hAnsi="Calibri" w:cs="Calibri"/>
      <w:sz w:val="16"/>
      <w:szCs w:val="18"/>
      <w:lang w:eastAsia="en-GB" w:bidi="en-GB"/>
    </w:rPr>
  </w:style>
  <w:style w:type="character" w:customStyle="1" w:styleId="TableCommentsChar">
    <w:name w:val="Table Comments Char"/>
    <w:basedOn w:val="T2Char"/>
    <w:link w:val="TableComments"/>
    <w:rsid w:val="003C7BC3"/>
    <w:rPr>
      <w:rFonts w:ascii="Calibri" w:eastAsia="Calibri" w:hAnsi="Calibri" w:cs="Calibri"/>
      <w:b w:val="0"/>
      <w:sz w:val="16"/>
      <w:szCs w:val="18"/>
      <w:lang w:eastAsia="en-GB" w:bidi="en-GB"/>
    </w:rPr>
  </w:style>
  <w:style w:type="character" w:styleId="Strong">
    <w:name w:val="Strong"/>
    <w:basedOn w:val="DefaultParagraphFont"/>
    <w:uiPriority w:val="22"/>
    <w:qFormat/>
    <w:rsid w:val="003C7BC3"/>
    <w:rPr>
      <w:b/>
      <w:bCs/>
    </w:rPr>
  </w:style>
  <w:style w:type="character" w:styleId="FollowedHyperlink">
    <w:name w:val="FollowedHyperlink"/>
    <w:basedOn w:val="DefaultParagraphFont"/>
    <w:uiPriority w:val="99"/>
    <w:semiHidden/>
    <w:unhideWhenUsed/>
    <w:rsid w:val="003C7BC3"/>
    <w:rPr>
      <w:color w:val="954F72" w:themeColor="followedHyperlink"/>
      <w:u w:val="single"/>
    </w:rPr>
  </w:style>
  <w:style w:type="numbering" w:customStyle="1" w:styleId="NoList1">
    <w:name w:val="No List1"/>
    <w:next w:val="NoList"/>
    <w:uiPriority w:val="99"/>
    <w:semiHidden/>
    <w:unhideWhenUsed/>
    <w:rsid w:val="003C7BC3"/>
  </w:style>
  <w:style w:type="character" w:customStyle="1" w:styleId="be">
    <w:name w:val="be"/>
    <w:basedOn w:val="DefaultParagraphFont"/>
    <w:rsid w:val="00A72827"/>
  </w:style>
  <w:style w:type="paragraph" w:customStyle="1" w:styleId="SectionH2">
    <w:name w:val="Section H2"/>
    <w:basedOn w:val="Normal"/>
    <w:link w:val="SectionH2Char"/>
    <w:qFormat/>
    <w:rsid w:val="002663ED"/>
    <w:pPr>
      <w:spacing w:line="240" w:lineRule="auto"/>
    </w:pPr>
    <w:rPr>
      <w:rFonts w:ascii="Calibri" w:eastAsia="Calibri" w:hAnsi="Calibri" w:cs="Arial"/>
      <w:b/>
      <w:sz w:val="20"/>
      <w:szCs w:val="18"/>
      <w:lang w:eastAsia="en-GB" w:bidi="en-GB"/>
    </w:rPr>
  </w:style>
  <w:style w:type="paragraph" w:customStyle="1" w:styleId="SectionH3">
    <w:name w:val="Section H3"/>
    <w:basedOn w:val="Normal"/>
    <w:link w:val="SectionH3Char"/>
    <w:qFormat/>
    <w:rsid w:val="008B4F3E"/>
    <w:pPr>
      <w:widowControl w:val="0"/>
      <w:autoSpaceDE w:val="0"/>
      <w:autoSpaceDN w:val="0"/>
      <w:spacing w:after="120" w:line="240" w:lineRule="auto"/>
      <w:jc w:val="both"/>
    </w:pPr>
    <w:rPr>
      <w:rFonts w:ascii="Calibri" w:eastAsia="Calibri" w:hAnsi="Calibri" w:cs="Arial"/>
      <w:b/>
      <w:bCs/>
      <w:sz w:val="18"/>
      <w:szCs w:val="18"/>
      <w:lang w:val="en-US" w:eastAsia="en-GB" w:bidi="en-GB"/>
    </w:rPr>
  </w:style>
  <w:style w:type="character" w:customStyle="1" w:styleId="SectionH2Char">
    <w:name w:val="Section H2 Char"/>
    <w:basedOn w:val="DefaultParagraphFont"/>
    <w:link w:val="SectionH2"/>
    <w:rsid w:val="002663ED"/>
    <w:rPr>
      <w:rFonts w:ascii="Calibri" w:eastAsia="Calibri" w:hAnsi="Calibri" w:cs="Arial"/>
      <w:b/>
      <w:sz w:val="20"/>
      <w:szCs w:val="18"/>
      <w:lang w:eastAsia="en-GB" w:bidi="en-GB"/>
    </w:rPr>
  </w:style>
  <w:style w:type="character" w:customStyle="1" w:styleId="SectionH3Char">
    <w:name w:val="Section H3 Char"/>
    <w:basedOn w:val="DefaultParagraphFont"/>
    <w:link w:val="SectionH3"/>
    <w:rsid w:val="008B4F3E"/>
    <w:rPr>
      <w:rFonts w:ascii="Calibri" w:eastAsia="Calibri" w:hAnsi="Calibri" w:cs="Arial"/>
      <w:b/>
      <w:bCs/>
      <w:sz w:val="18"/>
      <w:szCs w:val="18"/>
      <w:lang w:val="en-US" w:eastAsia="en-GB" w:bidi="en-GB"/>
    </w:rPr>
  </w:style>
  <w:style w:type="paragraph" w:customStyle="1" w:styleId="Body">
    <w:name w:val="Body"/>
    <w:rsid w:val="00AA12F9"/>
    <w:pPr>
      <w:pBdr>
        <w:top w:val="nil"/>
        <w:left w:val="nil"/>
        <w:bottom w:val="nil"/>
        <w:right w:val="nil"/>
        <w:between w:val="nil"/>
        <w:bar w:val="nil"/>
      </w:pBdr>
    </w:pPr>
    <w:rPr>
      <w:rFonts w:ascii="Calibri" w:eastAsia="Arial Unicode MS" w:hAnsi="Calibri" w:cs="Arial Unicode MS"/>
      <w:color w:val="000000"/>
      <w:u w:color="000000"/>
      <w:bdr w:val="nil"/>
      <w:lang w:val="pt-PT"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0707">
      <w:bodyDiv w:val="1"/>
      <w:marLeft w:val="0"/>
      <w:marRight w:val="0"/>
      <w:marTop w:val="0"/>
      <w:marBottom w:val="0"/>
      <w:divBdr>
        <w:top w:val="none" w:sz="0" w:space="0" w:color="auto"/>
        <w:left w:val="none" w:sz="0" w:space="0" w:color="auto"/>
        <w:bottom w:val="none" w:sz="0" w:space="0" w:color="auto"/>
        <w:right w:val="none" w:sz="0" w:space="0" w:color="auto"/>
      </w:divBdr>
    </w:div>
    <w:div w:id="87123890">
      <w:bodyDiv w:val="1"/>
      <w:marLeft w:val="0"/>
      <w:marRight w:val="0"/>
      <w:marTop w:val="0"/>
      <w:marBottom w:val="0"/>
      <w:divBdr>
        <w:top w:val="none" w:sz="0" w:space="0" w:color="auto"/>
        <w:left w:val="none" w:sz="0" w:space="0" w:color="auto"/>
        <w:bottom w:val="none" w:sz="0" w:space="0" w:color="auto"/>
        <w:right w:val="none" w:sz="0" w:space="0" w:color="auto"/>
      </w:divBdr>
    </w:div>
    <w:div w:id="119031325">
      <w:bodyDiv w:val="1"/>
      <w:marLeft w:val="0"/>
      <w:marRight w:val="0"/>
      <w:marTop w:val="0"/>
      <w:marBottom w:val="0"/>
      <w:divBdr>
        <w:top w:val="none" w:sz="0" w:space="0" w:color="auto"/>
        <w:left w:val="none" w:sz="0" w:space="0" w:color="auto"/>
        <w:bottom w:val="none" w:sz="0" w:space="0" w:color="auto"/>
        <w:right w:val="none" w:sz="0" w:space="0" w:color="auto"/>
      </w:divBdr>
    </w:div>
    <w:div w:id="193201844">
      <w:bodyDiv w:val="1"/>
      <w:marLeft w:val="0"/>
      <w:marRight w:val="0"/>
      <w:marTop w:val="0"/>
      <w:marBottom w:val="0"/>
      <w:divBdr>
        <w:top w:val="none" w:sz="0" w:space="0" w:color="auto"/>
        <w:left w:val="none" w:sz="0" w:space="0" w:color="auto"/>
        <w:bottom w:val="none" w:sz="0" w:space="0" w:color="auto"/>
        <w:right w:val="none" w:sz="0" w:space="0" w:color="auto"/>
      </w:divBdr>
      <w:divsChild>
        <w:div w:id="1388457085">
          <w:marLeft w:val="446"/>
          <w:marRight w:val="0"/>
          <w:marTop w:val="0"/>
          <w:marBottom w:val="0"/>
          <w:divBdr>
            <w:top w:val="none" w:sz="0" w:space="0" w:color="auto"/>
            <w:left w:val="none" w:sz="0" w:space="0" w:color="auto"/>
            <w:bottom w:val="none" w:sz="0" w:space="0" w:color="auto"/>
            <w:right w:val="none" w:sz="0" w:space="0" w:color="auto"/>
          </w:divBdr>
        </w:div>
        <w:div w:id="469176785">
          <w:marLeft w:val="446"/>
          <w:marRight w:val="0"/>
          <w:marTop w:val="0"/>
          <w:marBottom w:val="0"/>
          <w:divBdr>
            <w:top w:val="none" w:sz="0" w:space="0" w:color="auto"/>
            <w:left w:val="none" w:sz="0" w:space="0" w:color="auto"/>
            <w:bottom w:val="none" w:sz="0" w:space="0" w:color="auto"/>
            <w:right w:val="none" w:sz="0" w:space="0" w:color="auto"/>
          </w:divBdr>
        </w:div>
      </w:divsChild>
    </w:div>
    <w:div w:id="255793188">
      <w:bodyDiv w:val="1"/>
      <w:marLeft w:val="0"/>
      <w:marRight w:val="0"/>
      <w:marTop w:val="0"/>
      <w:marBottom w:val="0"/>
      <w:divBdr>
        <w:top w:val="none" w:sz="0" w:space="0" w:color="auto"/>
        <w:left w:val="none" w:sz="0" w:space="0" w:color="auto"/>
        <w:bottom w:val="none" w:sz="0" w:space="0" w:color="auto"/>
        <w:right w:val="none" w:sz="0" w:space="0" w:color="auto"/>
      </w:divBdr>
    </w:div>
    <w:div w:id="276375888">
      <w:bodyDiv w:val="1"/>
      <w:marLeft w:val="0"/>
      <w:marRight w:val="0"/>
      <w:marTop w:val="0"/>
      <w:marBottom w:val="0"/>
      <w:divBdr>
        <w:top w:val="none" w:sz="0" w:space="0" w:color="auto"/>
        <w:left w:val="none" w:sz="0" w:space="0" w:color="auto"/>
        <w:bottom w:val="none" w:sz="0" w:space="0" w:color="auto"/>
        <w:right w:val="none" w:sz="0" w:space="0" w:color="auto"/>
      </w:divBdr>
    </w:div>
    <w:div w:id="288821639">
      <w:bodyDiv w:val="1"/>
      <w:marLeft w:val="0"/>
      <w:marRight w:val="0"/>
      <w:marTop w:val="0"/>
      <w:marBottom w:val="0"/>
      <w:divBdr>
        <w:top w:val="none" w:sz="0" w:space="0" w:color="auto"/>
        <w:left w:val="none" w:sz="0" w:space="0" w:color="auto"/>
        <w:bottom w:val="none" w:sz="0" w:space="0" w:color="auto"/>
        <w:right w:val="none" w:sz="0" w:space="0" w:color="auto"/>
      </w:divBdr>
    </w:div>
    <w:div w:id="443691085">
      <w:bodyDiv w:val="1"/>
      <w:marLeft w:val="0"/>
      <w:marRight w:val="0"/>
      <w:marTop w:val="0"/>
      <w:marBottom w:val="0"/>
      <w:divBdr>
        <w:top w:val="none" w:sz="0" w:space="0" w:color="auto"/>
        <w:left w:val="none" w:sz="0" w:space="0" w:color="auto"/>
        <w:bottom w:val="none" w:sz="0" w:space="0" w:color="auto"/>
        <w:right w:val="none" w:sz="0" w:space="0" w:color="auto"/>
      </w:divBdr>
    </w:div>
    <w:div w:id="454563374">
      <w:bodyDiv w:val="1"/>
      <w:marLeft w:val="0"/>
      <w:marRight w:val="0"/>
      <w:marTop w:val="0"/>
      <w:marBottom w:val="0"/>
      <w:divBdr>
        <w:top w:val="none" w:sz="0" w:space="0" w:color="auto"/>
        <w:left w:val="none" w:sz="0" w:space="0" w:color="auto"/>
        <w:bottom w:val="none" w:sz="0" w:space="0" w:color="auto"/>
        <w:right w:val="none" w:sz="0" w:space="0" w:color="auto"/>
      </w:divBdr>
    </w:div>
    <w:div w:id="509294408">
      <w:bodyDiv w:val="1"/>
      <w:marLeft w:val="0"/>
      <w:marRight w:val="0"/>
      <w:marTop w:val="0"/>
      <w:marBottom w:val="0"/>
      <w:divBdr>
        <w:top w:val="none" w:sz="0" w:space="0" w:color="auto"/>
        <w:left w:val="none" w:sz="0" w:space="0" w:color="auto"/>
        <w:bottom w:val="none" w:sz="0" w:space="0" w:color="auto"/>
        <w:right w:val="none" w:sz="0" w:space="0" w:color="auto"/>
      </w:divBdr>
    </w:div>
    <w:div w:id="528186020">
      <w:bodyDiv w:val="1"/>
      <w:marLeft w:val="0"/>
      <w:marRight w:val="0"/>
      <w:marTop w:val="0"/>
      <w:marBottom w:val="0"/>
      <w:divBdr>
        <w:top w:val="none" w:sz="0" w:space="0" w:color="auto"/>
        <w:left w:val="none" w:sz="0" w:space="0" w:color="auto"/>
        <w:bottom w:val="none" w:sz="0" w:space="0" w:color="auto"/>
        <w:right w:val="none" w:sz="0" w:space="0" w:color="auto"/>
      </w:divBdr>
    </w:div>
    <w:div w:id="544373479">
      <w:bodyDiv w:val="1"/>
      <w:marLeft w:val="0"/>
      <w:marRight w:val="0"/>
      <w:marTop w:val="0"/>
      <w:marBottom w:val="0"/>
      <w:divBdr>
        <w:top w:val="none" w:sz="0" w:space="0" w:color="auto"/>
        <w:left w:val="none" w:sz="0" w:space="0" w:color="auto"/>
        <w:bottom w:val="none" w:sz="0" w:space="0" w:color="auto"/>
        <w:right w:val="none" w:sz="0" w:space="0" w:color="auto"/>
      </w:divBdr>
    </w:div>
    <w:div w:id="610010470">
      <w:bodyDiv w:val="1"/>
      <w:marLeft w:val="0"/>
      <w:marRight w:val="0"/>
      <w:marTop w:val="0"/>
      <w:marBottom w:val="0"/>
      <w:divBdr>
        <w:top w:val="none" w:sz="0" w:space="0" w:color="auto"/>
        <w:left w:val="none" w:sz="0" w:space="0" w:color="auto"/>
        <w:bottom w:val="none" w:sz="0" w:space="0" w:color="auto"/>
        <w:right w:val="none" w:sz="0" w:space="0" w:color="auto"/>
      </w:divBdr>
    </w:div>
    <w:div w:id="687558508">
      <w:bodyDiv w:val="1"/>
      <w:marLeft w:val="0"/>
      <w:marRight w:val="0"/>
      <w:marTop w:val="0"/>
      <w:marBottom w:val="0"/>
      <w:divBdr>
        <w:top w:val="none" w:sz="0" w:space="0" w:color="auto"/>
        <w:left w:val="none" w:sz="0" w:space="0" w:color="auto"/>
        <w:bottom w:val="none" w:sz="0" w:space="0" w:color="auto"/>
        <w:right w:val="none" w:sz="0" w:space="0" w:color="auto"/>
      </w:divBdr>
    </w:div>
    <w:div w:id="784037404">
      <w:bodyDiv w:val="1"/>
      <w:marLeft w:val="0"/>
      <w:marRight w:val="0"/>
      <w:marTop w:val="0"/>
      <w:marBottom w:val="0"/>
      <w:divBdr>
        <w:top w:val="none" w:sz="0" w:space="0" w:color="auto"/>
        <w:left w:val="none" w:sz="0" w:space="0" w:color="auto"/>
        <w:bottom w:val="none" w:sz="0" w:space="0" w:color="auto"/>
        <w:right w:val="none" w:sz="0" w:space="0" w:color="auto"/>
      </w:divBdr>
    </w:div>
    <w:div w:id="786195956">
      <w:bodyDiv w:val="1"/>
      <w:marLeft w:val="0"/>
      <w:marRight w:val="0"/>
      <w:marTop w:val="0"/>
      <w:marBottom w:val="0"/>
      <w:divBdr>
        <w:top w:val="none" w:sz="0" w:space="0" w:color="auto"/>
        <w:left w:val="none" w:sz="0" w:space="0" w:color="auto"/>
        <w:bottom w:val="none" w:sz="0" w:space="0" w:color="auto"/>
        <w:right w:val="none" w:sz="0" w:space="0" w:color="auto"/>
      </w:divBdr>
    </w:div>
    <w:div w:id="803549419">
      <w:bodyDiv w:val="1"/>
      <w:marLeft w:val="0"/>
      <w:marRight w:val="0"/>
      <w:marTop w:val="0"/>
      <w:marBottom w:val="0"/>
      <w:divBdr>
        <w:top w:val="none" w:sz="0" w:space="0" w:color="auto"/>
        <w:left w:val="none" w:sz="0" w:space="0" w:color="auto"/>
        <w:bottom w:val="none" w:sz="0" w:space="0" w:color="auto"/>
        <w:right w:val="none" w:sz="0" w:space="0" w:color="auto"/>
      </w:divBdr>
    </w:div>
    <w:div w:id="1009213555">
      <w:bodyDiv w:val="1"/>
      <w:marLeft w:val="0"/>
      <w:marRight w:val="0"/>
      <w:marTop w:val="0"/>
      <w:marBottom w:val="0"/>
      <w:divBdr>
        <w:top w:val="none" w:sz="0" w:space="0" w:color="auto"/>
        <w:left w:val="none" w:sz="0" w:space="0" w:color="auto"/>
        <w:bottom w:val="none" w:sz="0" w:space="0" w:color="auto"/>
        <w:right w:val="none" w:sz="0" w:space="0" w:color="auto"/>
      </w:divBdr>
    </w:div>
    <w:div w:id="1055542892">
      <w:bodyDiv w:val="1"/>
      <w:marLeft w:val="0"/>
      <w:marRight w:val="0"/>
      <w:marTop w:val="0"/>
      <w:marBottom w:val="0"/>
      <w:divBdr>
        <w:top w:val="none" w:sz="0" w:space="0" w:color="auto"/>
        <w:left w:val="none" w:sz="0" w:space="0" w:color="auto"/>
        <w:bottom w:val="none" w:sz="0" w:space="0" w:color="auto"/>
        <w:right w:val="none" w:sz="0" w:space="0" w:color="auto"/>
      </w:divBdr>
    </w:div>
    <w:div w:id="1213619221">
      <w:bodyDiv w:val="1"/>
      <w:marLeft w:val="0"/>
      <w:marRight w:val="0"/>
      <w:marTop w:val="0"/>
      <w:marBottom w:val="0"/>
      <w:divBdr>
        <w:top w:val="none" w:sz="0" w:space="0" w:color="auto"/>
        <w:left w:val="none" w:sz="0" w:space="0" w:color="auto"/>
        <w:bottom w:val="none" w:sz="0" w:space="0" w:color="auto"/>
        <w:right w:val="none" w:sz="0" w:space="0" w:color="auto"/>
      </w:divBdr>
    </w:div>
    <w:div w:id="1221752081">
      <w:bodyDiv w:val="1"/>
      <w:marLeft w:val="0"/>
      <w:marRight w:val="0"/>
      <w:marTop w:val="0"/>
      <w:marBottom w:val="0"/>
      <w:divBdr>
        <w:top w:val="none" w:sz="0" w:space="0" w:color="auto"/>
        <w:left w:val="none" w:sz="0" w:space="0" w:color="auto"/>
        <w:bottom w:val="none" w:sz="0" w:space="0" w:color="auto"/>
        <w:right w:val="none" w:sz="0" w:space="0" w:color="auto"/>
      </w:divBdr>
    </w:div>
    <w:div w:id="1303773205">
      <w:bodyDiv w:val="1"/>
      <w:marLeft w:val="0"/>
      <w:marRight w:val="0"/>
      <w:marTop w:val="0"/>
      <w:marBottom w:val="0"/>
      <w:divBdr>
        <w:top w:val="none" w:sz="0" w:space="0" w:color="auto"/>
        <w:left w:val="none" w:sz="0" w:space="0" w:color="auto"/>
        <w:bottom w:val="none" w:sz="0" w:space="0" w:color="auto"/>
        <w:right w:val="none" w:sz="0" w:space="0" w:color="auto"/>
      </w:divBdr>
    </w:div>
    <w:div w:id="1305309344">
      <w:bodyDiv w:val="1"/>
      <w:marLeft w:val="0"/>
      <w:marRight w:val="0"/>
      <w:marTop w:val="0"/>
      <w:marBottom w:val="0"/>
      <w:divBdr>
        <w:top w:val="none" w:sz="0" w:space="0" w:color="auto"/>
        <w:left w:val="none" w:sz="0" w:space="0" w:color="auto"/>
        <w:bottom w:val="none" w:sz="0" w:space="0" w:color="auto"/>
        <w:right w:val="none" w:sz="0" w:space="0" w:color="auto"/>
      </w:divBdr>
    </w:div>
    <w:div w:id="1441141661">
      <w:bodyDiv w:val="1"/>
      <w:marLeft w:val="0"/>
      <w:marRight w:val="0"/>
      <w:marTop w:val="0"/>
      <w:marBottom w:val="0"/>
      <w:divBdr>
        <w:top w:val="none" w:sz="0" w:space="0" w:color="auto"/>
        <w:left w:val="none" w:sz="0" w:space="0" w:color="auto"/>
        <w:bottom w:val="none" w:sz="0" w:space="0" w:color="auto"/>
        <w:right w:val="none" w:sz="0" w:space="0" w:color="auto"/>
      </w:divBdr>
    </w:div>
    <w:div w:id="1482653019">
      <w:bodyDiv w:val="1"/>
      <w:marLeft w:val="0"/>
      <w:marRight w:val="0"/>
      <w:marTop w:val="0"/>
      <w:marBottom w:val="0"/>
      <w:divBdr>
        <w:top w:val="none" w:sz="0" w:space="0" w:color="auto"/>
        <w:left w:val="none" w:sz="0" w:space="0" w:color="auto"/>
        <w:bottom w:val="none" w:sz="0" w:space="0" w:color="auto"/>
        <w:right w:val="none" w:sz="0" w:space="0" w:color="auto"/>
      </w:divBdr>
    </w:div>
    <w:div w:id="1494684966">
      <w:bodyDiv w:val="1"/>
      <w:marLeft w:val="0"/>
      <w:marRight w:val="0"/>
      <w:marTop w:val="0"/>
      <w:marBottom w:val="0"/>
      <w:divBdr>
        <w:top w:val="none" w:sz="0" w:space="0" w:color="auto"/>
        <w:left w:val="none" w:sz="0" w:space="0" w:color="auto"/>
        <w:bottom w:val="none" w:sz="0" w:space="0" w:color="auto"/>
        <w:right w:val="none" w:sz="0" w:space="0" w:color="auto"/>
      </w:divBdr>
    </w:div>
    <w:div w:id="1579559411">
      <w:bodyDiv w:val="1"/>
      <w:marLeft w:val="0"/>
      <w:marRight w:val="0"/>
      <w:marTop w:val="0"/>
      <w:marBottom w:val="0"/>
      <w:divBdr>
        <w:top w:val="none" w:sz="0" w:space="0" w:color="auto"/>
        <w:left w:val="none" w:sz="0" w:space="0" w:color="auto"/>
        <w:bottom w:val="none" w:sz="0" w:space="0" w:color="auto"/>
        <w:right w:val="none" w:sz="0" w:space="0" w:color="auto"/>
      </w:divBdr>
    </w:div>
    <w:div w:id="1761870087">
      <w:bodyDiv w:val="1"/>
      <w:marLeft w:val="0"/>
      <w:marRight w:val="0"/>
      <w:marTop w:val="0"/>
      <w:marBottom w:val="0"/>
      <w:divBdr>
        <w:top w:val="none" w:sz="0" w:space="0" w:color="auto"/>
        <w:left w:val="none" w:sz="0" w:space="0" w:color="auto"/>
        <w:bottom w:val="none" w:sz="0" w:space="0" w:color="auto"/>
        <w:right w:val="none" w:sz="0" w:space="0" w:color="auto"/>
      </w:divBdr>
    </w:div>
    <w:div w:id="1817331357">
      <w:bodyDiv w:val="1"/>
      <w:marLeft w:val="0"/>
      <w:marRight w:val="0"/>
      <w:marTop w:val="0"/>
      <w:marBottom w:val="0"/>
      <w:divBdr>
        <w:top w:val="none" w:sz="0" w:space="0" w:color="auto"/>
        <w:left w:val="none" w:sz="0" w:space="0" w:color="auto"/>
        <w:bottom w:val="none" w:sz="0" w:space="0" w:color="auto"/>
        <w:right w:val="none" w:sz="0" w:space="0" w:color="auto"/>
      </w:divBdr>
    </w:div>
    <w:div w:id="1826509498">
      <w:bodyDiv w:val="1"/>
      <w:marLeft w:val="0"/>
      <w:marRight w:val="0"/>
      <w:marTop w:val="0"/>
      <w:marBottom w:val="0"/>
      <w:divBdr>
        <w:top w:val="none" w:sz="0" w:space="0" w:color="auto"/>
        <w:left w:val="none" w:sz="0" w:space="0" w:color="auto"/>
        <w:bottom w:val="none" w:sz="0" w:space="0" w:color="auto"/>
        <w:right w:val="none" w:sz="0" w:space="0" w:color="auto"/>
      </w:divBdr>
    </w:div>
    <w:div w:id="1841191538">
      <w:bodyDiv w:val="1"/>
      <w:marLeft w:val="0"/>
      <w:marRight w:val="0"/>
      <w:marTop w:val="0"/>
      <w:marBottom w:val="0"/>
      <w:divBdr>
        <w:top w:val="none" w:sz="0" w:space="0" w:color="auto"/>
        <w:left w:val="none" w:sz="0" w:space="0" w:color="auto"/>
        <w:bottom w:val="none" w:sz="0" w:space="0" w:color="auto"/>
        <w:right w:val="none" w:sz="0" w:space="0" w:color="auto"/>
      </w:divBdr>
    </w:div>
    <w:div w:id="1855144700">
      <w:bodyDiv w:val="1"/>
      <w:marLeft w:val="0"/>
      <w:marRight w:val="0"/>
      <w:marTop w:val="0"/>
      <w:marBottom w:val="0"/>
      <w:divBdr>
        <w:top w:val="none" w:sz="0" w:space="0" w:color="auto"/>
        <w:left w:val="none" w:sz="0" w:space="0" w:color="auto"/>
        <w:bottom w:val="none" w:sz="0" w:space="0" w:color="auto"/>
        <w:right w:val="none" w:sz="0" w:space="0" w:color="auto"/>
      </w:divBdr>
    </w:div>
    <w:div w:id="1864054835">
      <w:bodyDiv w:val="1"/>
      <w:marLeft w:val="0"/>
      <w:marRight w:val="0"/>
      <w:marTop w:val="0"/>
      <w:marBottom w:val="0"/>
      <w:divBdr>
        <w:top w:val="none" w:sz="0" w:space="0" w:color="auto"/>
        <w:left w:val="none" w:sz="0" w:space="0" w:color="auto"/>
        <w:bottom w:val="none" w:sz="0" w:space="0" w:color="auto"/>
        <w:right w:val="none" w:sz="0" w:space="0" w:color="auto"/>
      </w:divBdr>
    </w:div>
    <w:div w:id="1882746969">
      <w:bodyDiv w:val="1"/>
      <w:marLeft w:val="0"/>
      <w:marRight w:val="0"/>
      <w:marTop w:val="0"/>
      <w:marBottom w:val="0"/>
      <w:divBdr>
        <w:top w:val="none" w:sz="0" w:space="0" w:color="auto"/>
        <w:left w:val="none" w:sz="0" w:space="0" w:color="auto"/>
        <w:bottom w:val="none" w:sz="0" w:space="0" w:color="auto"/>
        <w:right w:val="none" w:sz="0" w:space="0" w:color="auto"/>
      </w:divBdr>
    </w:div>
    <w:div w:id="1994721188">
      <w:bodyDiv w:val="1"/>
      <w:marLeft w:val="0"/>
      <w:marRight w:val="0"/>
      <w:marTop w:val="0"/>
      <w:marBottom w:val="0"/>
      <w:divBdr>
        <w:top w:val="none" w:sz="0" w:space="0" w:color="auto"/>
        <w:left w:val="none" w:sz="0" w:space="0" w:color="auto"/>
        <w:bottom w:val="none" w:sz="0" w:space="0" w:color="auto"/>
        <w:right w:val="none" w:sz="0" w:space="0" w:color="auto"/>
      </w:divBdr>
    </w:div>
    <w:div w:id="2022471585">
      <w:bodyDiv w:val="1"/>
      <w:marLeft w:val="0"/>
      <w:marRight w:val="0"/>
      <w:marTop w:val="0"/>
      <w:marBottom w:val="0"/>
      <w:divBdr>
        <w:top w:val="none" w:sz="0" w:space="0" w:color="auto"/>
        <w:left w:val="none" w:sz="0" w:space="0" w:color="auto"/>
        <w:bottom w:val="none" w:sz="0" w:space="0" w:color="auto"/>
        <w:right w:val="none" w:sz="0" w:space="0" w:color="auto"/>
      </w:divBdr>
    </w:div>
    <w:div w:id="2036735272">
      <w:bodyDiv w:val="1"/>
      <w:marLeft w:val="0"/>
      <w:marRight w:val="0"/>
      <w:marTop w:val="0"/>
      <w:marBottom w:val="0"/>
      <w:divBdr>
        <w:top w:val="none" w:sz="0" w:space="0" w:color="auto"/>
        <w:left w:val="none" w:sz="0" w:space="0" w:color="auto"/>
        <w:bottom w:val="none" w:sz="0" w:space="0" w:color="auto"/>
        <w:right w:val="none" w:sz="0" w:space="0" w:color="auto"/>
      </w:divBdr>
    </w:div>
    <w:div w:id="2051416156">
      <w:bodyDiv w:val="1"/>
      <w:marLeft w:val="0"/>
      <w:marRight w:val="0"/>
      <w:marTop w:val="0"/>
      <w:marBottom w:val="0"/>
      <w:divBdr>
        <w:top w:val="none" w:sz="0" w:space="0" w:color="auto"/>
        <w:left w:val="none" w:sz="0" w:space="0" w:color="auto"/>
        <w:bottom w:val="none" w:sz="0" w:space="0" w:color="auto"/>
        <w:right w:val="none" w:sz="0" w:space="0" w:color="auto"/>
      </w:divBdr>
    </w:div>
    <w:div w:id="2056004140">
      <w:bodyDiv w:val="1"/>
      <w:marLeft w:val="0"/>
      <w:marRight w:val="0"/>
      <w:marTop w:val="0"/>
      <w:marBottom w:val="0"/>
      <w:divBdr>
        <w:top w:val="none" w:sz="0" w:space="0" w:color="auto"/>
        <w:left w:val="none" w:sz="0" w:space="0" w:color="auto"/>
        <w:bottom w:val="none" w:sz="0" w:space="0" w:color="auto"/>
        <w:right w:val="none" w:sz="0" w:space="0" w:color="auto"/>
      </w:divBdr>
    </w:div>
    <w:div w:id="2113475233">
      <w:bodyDiv w:val="1"/>
      <w:marLeft w:val="0"/>
      <w:marRight w:val="0"/>
      <w:marTop w:val="0"/>
      <w:marBottom w:val="0"/>
      <w:divBdr>
        <w:top w:val="none" w:sz="0" w:space="0" w:color="auto"/>
        <w:left w:val="none" w:sz="0" w:space="0" w:color="auto"/>
        <w:bottom w:val="none" w:sz="0" w:space="0" w:color="auto"/>
        <w:right w:val="none" w:sz="0" w:space="0" w:color="auto"/>
      </w:divBdr>
    </w:div>
    <w:div w:id="2114663232">
      <w:bodyDiv w:val="1"/>
      <w:marLeft w:val="0"/>
      <w:marRight w:val="0"/>
      <w:marTop w:val="0"/>
      <w:marBottom w:val="0"/>
      <w:divBdr>
        <w:top w:val="none" w:sz="0" w:space="0" w:color="auto"/>
        <w:left w:val="none" w:sz="0" w:space="0" w:color="auto"/>
        <w:bottom w:val="none" w:sz="0" w:space="0" w:color="auto"/>
        <w:right w:val="none" w:sz="0" w:space="0" w:color="auto"/>
      </w:divBdr>
    </w:div>
    <w:div w:id="2117212305">
      <w:bodyDiv w:val="1"/>
      <w:marLeft w:val="0"/>
      <w:marRight w:val="0"/>
      <w:marTop w:val="0"/>
      <w:marBottom w:val="0"/>
      <w:divBdr>
        <w:top w:val="none" w:sz="0" w:space="0" w:color="auto"/>
        <w:left w:val="none" w:sz="0" w:space="0" w:color="auto"/>
        <w:bottom w:val="none" w:sz="0" w:space="0" w:color="auto"/>
        <w:right w:val="none" w:sz="0" w:space="0" w:color="auto"/>
      </w:divBdr>
    </w:div>
    <w:div w:id="21275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greencore.com%2F&amp;data=04%7C01%7CJack.Gorman%40greencore.com%7Cd31c21bcbab843d2c3bd08d87fdbf5c5%7C3d4de73ce9884fe691860de21962280c%7C0%7C0%7C637399929983318143%7CUnknown%7CTWFpbGZsb3d8eyJWIjoiMC4wLjAwMDAiLCJQIjoiV2luMzIiLCJBTiI6Ik1haWwiLCJXVCI6Mn0%3D%7C1000&amp;sdata=ZkSnV9wyBmAOrOgwJpK7m0VxdDpWJbfpghwAfYg%2FD3A%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58B7-525E-47EE-9FEB-AA12EFA8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15650</Words>
  <Characters>89210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Bhangoo</dc:creator>
  <cp:keywords/>
  <dc:description/>
  <cp:lastModifiedBy>Natasha Short</cp:lastModifiedBy>
  <cp:revision>3</cp:revision>
  <cp:lastPrinted>2020-05-18T22:15:00Z</cp:lastPrinted>
  <dcterms:created xsi:type="dcterms:W3CDTF">2021-05-24T20:50:00Z</dcterms:created>
  <dcterms:modified xsi:type="dcterms:W3CDTF">2021-05-25T05:46:00Z</dcterms:modified>
</cp:coreProperties>
</file>