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BCC0D" w14:textId="21D640DE" w:rsidR="000C55E6" w:rsidRPr="00BD1A2B" w:rsidRDefault="007041A0" w:rsidP="000C55E6">
      <w:pPr>
        <w:rPr>
          <w:b/>
        </w:rPr>
      </w:pPr>
      <w:r>
        <w:t>2</w:t>
      </w:r>
      <w:r w:rsidR="003550A6">
        <w:t>7</w:t>
      </w:r>
      <w:r w:rsidR="000C55E6">
        <w:t xml:space="preserve"> January 202</w:t>
      </w:r>
      <w:r w:rsidR="003550A6">
        <w:t>2</w:t>
      </w:r>
    </w:p>
    <w:p w14:paraId="643FCA24" w14:textId="77777777" w:rsidR="000C55E6" w:rsidRPr="00A57C80" w:rsidRDefault="000C55E6" w:rsidP="000C55E6">
      <w:pPr>
        <w:jc w:val="center"/>
        <w:rPr>
          <w:b/>
        </w:rPr>
      </w:pPr>
      <w:r w:rsidRPr="00A57C80">
        <w:rPr>
          <w:b/>
        </w:rPr>
        <w:t>Greencore Group plc</w:t>
      </w:r>
    </w:p>
    <w:p w14:paraId="7E3AA27D" w14:textId="60456E72" w:rsidR="000C55E6" w:rsidRPr="00A57C80" w:rsidRDefault="000C416E" w:rsidP="000C55E6">
      <w:pPr>
        <w:jc w:val="center"/>
        <w:rPr>
          <w:b/>
        </w:rPr>
      </w:pPr>
      <w:r>
        <w:rPr>
          <w:b/>
        </w:rPr>
        <w:t xml:space="preserve">Q1 </w:t>
      </w:r>
      <w:r w:rsidR="001D29C1">
        <w:rPr>
          <w:b/>
        </w:rPr>
        <w:t>revenue back above pre-COVID levels; FY22 guidance maintained</w:t>
      </w:r>
    </w:p>
    <w:p w14:paraId="2A788654" w14:textId="62FE82DF" w:rsidR="000C55E6" w:rsidRDefault="000C55E6" w:rsidP="000C55E6">
      <w:pPr>
        <w:jc w:val="both"/>
      </w:pPr>
      <w:r>
        <w:t xml:space="preserve">Greencore Group plc (“Greencore” or the “Group”), a leading manufacturer of convenience foods in the UK, today issues a trading update covering the 13 weeks to </w:t>
      </w:r>
      <w:r w:rsidR="005D65FC" w:rsidRPr="007826B9">
        <w:t>24</w:t>
      </w:r>
      <w:r>
        <w:t xml:space="preserve"> December 202</w:t>
      </w:r>
      <w:r w:rsidR="005D65FC">
        <w:t>1</w:t>
      </w:r>
      <w:r>
        <w:t xml:space="preserve"> (“Q1” or “the quarter”).</w:t>
      </w:r>
      <w:r w:rsidR="00B5607C" w:rsidRPr="00B5607C">
        <w:rPr>
          <w:noProof/>
        </w:rPr>
        <w:t xml:space="preserve"> </w:t>
      </w:r>
    </w:p>
    <w:p w14:paraId="315578D7" w14:textId="35AD1770" w:rsidR="00093B4B" w:rsidRDefault="00093B4B" w:rsidP="000210BB">
      <w:pPr>
        <w:rPr>
          <w:b/>
        </w:rPr>
      </w:pPr>
    </w:p>
    <w:p w14:paraId="1E2A0E13" w14:textId="43C41A86" w:rsidR="000210BB" w:rsidRPr="00A57C80" w:rsidRDefault="000210BB" w:rsidP="000210BB">
      <w:pPr>
        <w:rPr>
          <w:b/>
        </w:rPr>
      </w:pPr>
      <w:r>
        <w:rPr>
          <w:b/>
        </w:rPr>
        <w:t>Q1 Trading</w:t>
      </w:r>
      <w:r w:rsidR="00E77097" w:rsidRPr="00E77097">
        <w:rPr>
          <w:b/>
          <w:vertAlign w:val="superscript"/>
        </w:rPr>
        <w:t>1</w:t>
      </w:r>
    </w:p>
    <w:tbl>
      <w:tblPr>
        <w:tblW w:w="87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47"/>
        <w:gridCol w:w="1275"/>
        <w:gridCol w:w="1562"/>
        <w:gridCol w:w="1841"/>
        <w:gridCol w:w="1559"/>
      </w:tblGrid>
      <w:tr w:rsidR="004C39AE" w14:paraId="405EAA06" w14:textId="6278465E" w:rsidTr="007F6CEA">
        <w:trPr>
          <w:trHeight w:val="57"/>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4E6AB20A" w14:textId="77777777" w:rsidR="004C39AE" w:rsidRPr="00A57C80" w:rsidRDefault="004C39AE" w:rsidP="000E372F">
            <w:pPr>
              <w:rPr>
                <w:sz w:val="1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CF9E1" w14:textId="77777777" w:rsidR="004C39AE" w:rsidRDefault="004C39AE" w:rsidP="000E372F">
            <w:pPr>
              <w:pStyle w:val="Body"/>
              <w:spacing w:after="0" w:line="240" w:lineRule="auto"/>
              <w:jc w:val="center"/>
              <w:rPr>
                <w:b/>
                <w:bCs/>
              </w:rPr>
            </w:pPr>
            <w:r>
              <w:rPr>
                <w:b/>
                <w:bCs/>
              </w:rPr>
              <w:t>Revenue</w:t>
            </w:r>
          </w:p>
        </w:tc>
        <w:tc>
          <w:tcPr>
            <w:tcW w:w="34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3C009" w14:textId="77777777" w:rsidR="004C39AE" w:rsidRDefault="004C39AE" w:rsidP="000E372F">
            <w:pPr>
              <w:pStyle w:val="Body"/>
              <w:spacing w:after="0" w:line="240" w:lineRule="auto"/>
              <w:jc w:val="center"/>
              <w:rPr>
                <w:b/>
                <w:bCs/>
              </w:rPr>
            </w:pPr>
            <w:r>
              <w:rPr>
                <w:b/>
                <w:bCs/>
              </w:rPr>
              <w:t xml:space="preserve">Growth </w:t>
            </w:r>
          </w:p>
          <w:p w14:paraId="344B1B2F" w14:textId="1DE2109B" w:rsidR="004C39AE" w:rsidRDefault="004C39AE" w:rsidP="000E372F">
            <w:pPr>
              <w:pStyle w:val="Body"/>
              <w:spacing w:after="0" w:line="240" w:lineRule="auto"/>
              <w:jc w:val="center"/>
              <w:rPr>
                <w:b/>
                <w:bCs/>
              </w:rPr>
            </w:pPr>
            <w:r>
              <w:rPr>
                <w:b/>
                <w:bCs/>
              </w:rPr>
              <w:t>(versus Q1 21)</w:t>
            </w:r>
          </w:p>
        </w:tc>
        <w:tc>
          <w:tcPr>
            <w:tcW w:w="1559" w:type="dxa"/>
            <w:tcBorders>
              <w:top w:val="single" w:sz="4" w:space="0" w:color="000000"/>
              <w:left w:val="single" w:sz="4" w:space="0" w:color="000000"/>
              <w:bottom w:val="single" w:sz="4" w:space="0" w:color="000000"/>
              <w:right w:val="single" w:sz="4" w:space="0" w:color="000000"/>
            </w:tcBorders>
          </w:tcPr>
          <w:p w14:paraId="3B306EFF" w14:textId="350E69F8" w:rsidR="004C39AE" w:rsidRDefault="004C39AE" w:rsidP="000E372F">
            <w:pPr>
              <w:pStyle w:val="Body"/>
              <w:spacing w:after="0" w:line="240" w:lineRule="auto"/>
              <w:jc w:val="center"/>
              <w:rPr>
                <w:b/>
                <w:bCs/>
              </w:rPr>
            </w:pPr>
            <w:r>
              <w:rPr>
                <w:b/>
                <w:bCs/>
              </w:rPr>
              <w:t>Growth (versus Q1 19)</w:t>
            </w:r>
          </w:p>
        </w:tc>
      </w:tr>
      <w:tr w:rsidR="004C39AE" w14:paraId="5F79DCFC" w14:textId="4C1F073A" w:rsidTr="004C39AE">
        <w:trPr>
          <w:trHeight w:val="57"/>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0AAD7AC1" w14:textId="77777777" w:rsidR="00DB0ED6" w:rsidRPr="00A57C80" w:rsidRDefault="00DB0ED6" w:rsidP="000E372F">
            <w:pPr>
              <w:rPr>
                <w:sz w:val="1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AF809" w14:textId="77777777" w:rsidR="00DB0ED6" w:rsidRDefault="00DB0ED6" w:rsidP="000E372F">
            <w:pPr>
              <w:pStyle w:val="Body"/>
              <w:spacing w:after="0" w:line="240" w:lineRule="auto"/>
              <w:jc w:val="center"/>
            </w:pPr>
            <w:r>
              <w:rPr>
                <w:b/>
                <w:bCs/>
              </w:rPr>
              <w:t>£m</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A3468" w14:textId="77777777" w:rsidR="00DB0ED6" w:rsidRDefault="00DB0ED6" w:rsidP="000E372F">
            <w:pPr>
              <w:pStyle w:val="Body"/>
              <w:spacing w:after="0" w:line="240" w:lineRule="auto"/>
              <w:jc w:val="center"/>
            </w:pPr>
            <w:r>
              <w:rPr>
                <w:b/>
                <w:bCs/>
              </w:rPr>
              <w:t>Reported</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594A08" w14:textId="77777777" w:rsidR="00DB0ED6" w:rsidRDefault="00DB0ED6" w:rsidP="000E372F">
            <w:pPr>
              <w:pStyle w:val="Body"/>
              <w:spacing w:after="0" w:line="240" w:lineRule="auto"/>
              <w:jc w:val="center"/>
            </w:pPr>
            <w:r>
              <w:rPr>
                <w:b/>
                <w:bCs/>
              </w:rPr>
              <w:t>Pro forma</w:t>
            </w:r>
          </w:p>
        </w:tc>
        <w:tc>
          <w:tcPr>
            <w:tcW w:w="1559" w:type="dxa"/>
            <w:tcBorders>
              <w:top w:val="single" w:sz="4" w:space="0" w:color="000000"/>
              <w:left w:val="single" w:sz="4" w:space="0" w:color="000000"/>
              <w:bottom w:val="single" w:sz="4" w:space="0" w:color="000000"/>
              <w:right w:val="single" w:sz="4" w:space="0" w:color="000000"/>
            </w:tcBorders>
          </w:tcPr>
          <w:p w14:paraId="5D6506B3" w14:textId="53CE1075" w:rsidR="00DB0ED6" w:rsidRDefault="004C39AE" w:rsidP="000E372F">
            <w:pPr>
              <w:pStyle w:val="Body"/>
              <w:spacing w:after="0" w:line="240" w:lineRule="auto"/>
              <w:jc w:val="center"/>
              <w:rPr>
                <w:b/>
                <w:bCs/>
              </w:rPr>
            </w:pPr>
            <w:r>
              <w:rPr>
                <w:b/>
                <w:bCs/>
              </w:rPr>
              <w:t>Pro forma</w:t>
            </w:r>
          </w:p>
        </w:tc>
      </w:tr>
      <w:tr w:rsidR="00C15AAA" w:rsidRPr="009A21BE" w14:paraId="0AB84F02" w14:textId="07BED793" w:rsidTr="004C39AE">
        <w:trPr>
          <w:trHeight w:val="57"/>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FA5B5" w14:textId="77777777" w:rsidR="00C15AAA" w:rsidRPr="009A21BE" w:rsidRDefault="00C15AAA" w:rsidP="00C15AAA">
            <w:pPr>
              <w:pStyle w:val="Body"/>
              <w:spacing w:after="0" w:line="240" w:lineRule="auto"/>
            </w:pPr>
            <w:r w:rsidRPr="009A21BE">
              <w:t xml:space="preserve">Group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4FBC1" w14:textId="4C11CE32" w:rsidR="00C15AAA" w:rsidRPr="009A21BE" w:rsidRDefault="00C15AAA" w:rsidP="00C15AAA">
            <w:pPr>
              <w:pStyle w:val="Body"/>
              <w:spacing w:after="0" w:line="240" w:lineRule="auto"/>
              <w:jc w:val="center"/>
            </w:pPr>
            <w:r>
              <w:t>389.0</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ADD47" w14:textId="62203292" w:rsidR="00C15AAA" w:rsidRPr="009A21BE" w:rsidRDefault="00C15AAA" w:rsidP="00C15AAA">
            <w:pPr>
              <w:pStyle w:val="Body"/>
              <w:spacing w:after="0" w:line="240" w:lineRule="auto"/>
              <w:jc w:val="center"/>
            </w:pPr>
            <w:r>
              <w:t>+24.4%</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67AF2F" w14:textId="08410626" w:rsidR="00C15AAA" w:rsidRPr="009A21BE" w:rsidRDefault="00C15AAA" w:rsidP="00C15AAA">
            <w:pPr>
              <w:pStyle w:val="Body"/>
              <w:spacing w:after="0" w:line="240" w:lineRule="auto"/>
              <w:jc w:val="center"/>
            </w:pPr>
            <w:r>
              <w:t>+26.4%</w:t>
            </w:r>
          </w:p>
        </w:tc>
        <w:tc>
          <w:tcPr>
            <w:tcW w:w="1559" w:type="dxa"/>
            <w:tcBorders>
              <w:top w:val="single" w:sz="4" w:space="0" w:color="000000"/>
              <w:left w:val="single" w:sz="4" w:space="0" w:color="000000"/>
              <w:bottom w:val="single" w:sz="4" w:space="0" w:color="000000"/>
              <w:right w:val="single" w:sz="4" w:space="0" w:color="000000"/>
            </w:tcBorders>
          </w:tcPr>
          <w:p w14:paraId="3F60CE03" w14:textId="4195A3FD" w:rsidR="00C15AAA" w:rsidRDefault="00C15AAA" w:rsidP="00C15AAA">
            <w:pPr>
              <w:pStyle w:val="Body"/>
              <w:spacing w:after="0" w:line="240" w:lineRule="auto"/>
              <w:jc w:val="center"/>
            </w:pPr>
            <w:r>
              <w:t>+7.5%</w:t>
            </w:r>
          </w:p>
        </w:tc>
      </w:tr>
      <w:tr w:rsidR="00C15AAA" w14:paraId="43241DCC" w14:textId="7FCC17FC" w:rsidTr="004C39AE">
        <w:trPr>
          <w:trHeight w:val="57"/>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BA44A" w14:textId="77777777" w:rsidR="00C15AAA" w:rsidRDefault="00C15AAA" w:rsidP="00C15AAA">
            <w:pPr>
              <w:pStyle w:val="Body"/>
              <w:spacing w:after="0" w:line="240" w:lineRule="auto"/>
            </w:pPr>
            <w:r>
              <w:t>Food to go categories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A9D4C" w14:textId="1CFB393A" w:rsidR="00C15AAA" w:rsidRDefault="00C15AAA" w:rsidP="00C15AAA">
            <w:pPr>
              <w:pStyle w:val="Body"/>
              <w:spacing w:after="0" w:line="240" w:lineRule="auto"/>
              <w:jc w:val="center"/>
            </w:pPr>
            <w:r>
              <w:t>254.3</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15475" w14:textId="6CCF1FC3" w:rsidR="00C15AAA" w:rsidRDefault="00C15AAA" w:rsidP="00C15AAA">
            <w:pPr>
              <w:pStyle w:val="Body"/>
              <w:spacing w:after="0" w:line="240" w:lineRule="auto"/>
              <w:jc w:val="center"/>
            </w:pPr>
            <w:r>
              <w:t>+34.9%</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20344" w14:textId="610276CC" w:rsidR="00C15AAA" w:rsidRDefault="00C15AAA" w:rsidP="00C15AAA">
            <w:pPr>
              <w:pStyle w:val="Body"/>
              <w:spacing w:after="0" w:line="240" w:lineRule="auto"/>
              <w:jc w:val="center"/>
            </w:pPr>
            <w:r>
              <w:t>+34.9%</w:t>
            </w:r>
          </w:p>
        </w:tc>
        <w:tc>
          <w:tcPr>
            <w:tcW w:w="1559" w:type="dxa"/>
            <w:tcBorders>
              <w:top w:val="single" w:sz="4" w:space="0" w:color="000000"/>
              <w:left w:val="single" w:sz="4" w:space="0" w:color="000000"/>
              <w:bottom w:val="single" w:sz="4" w:space="0" w:color="000000"/>
              <w:right w:val="single" w:sz="4" w:space="0" w:color="000000"/>
            </w:tcBorders>
          </w:tcPr>
          <w:p w14:paraId="53C12903" w14:textId="36944CCC" w:rsidR="00C15AAA" w:rsidRDefault="00C15AAA" w:rsidP="00C15AAA">
            <w:pPr>
              <w:pStyle w:val="Body"/>
              <w:spacing w:after="0" w:line="240" w:lineRule="auto"/>
              <w:jc w:val="center"/>
            </w:pPr>
            <w:r>
              <w:t>+6.1%</w:t>
            </w:r>
          </w:p>
        </w:tc>
      </w:tr>
      <w:tr w:rsidR="00C15AAA" w14:paraId="01F7C51D" w14:textId="344F4BB5" w:rsidTr="004C39AE">
        <w:trPr>
          <w:trHeight w:val="57"/>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7E9A2" w14:textId="77777777" w:rsidR="00C15AAA" w:rsidRDefault="00C15AAA" w:rsidP="00C15AAA">
            <w:pPr>
              <w:pStyle w:val="Body"/>
              <w:spacing w:after="0" w:line="240" w:lineRule="auto"/>
            </w:pPr>
            <w:r>
              <w:t>Other convenience food categories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AD37A" w14:textId="15756D21" w:rsidR="00C15AAA" w:rsidRDefault="00C15AAA" w:rsidP="00C15AAA">
            <w:pPr>
              <w:pStyle w:val="Body"/>
              <w:spacing w:after="0" w:line="240" w:lineRule="auto"/>
              <w:jc w:val="center"/>
            </w:pPr>
            <w:r>
              <w:t>134.7</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FD12D" w14:textId="54E84B0D" w:rsidR="00C15AAA" w:rsidRDefault="00C15AAA" w:rsidP="00C15AAA">
            <w:pPr>
              <w:pStyle w:val="Body"/>
              <w:spacing w:after="0" w:line="240" w:lineRule="auto"/>
              <w:jc w:val="center"/>
            </w:pPr>
            <w:r>
              <w:t>+8.5%</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88DE1" w14:textId="6E94172C" w:rsidR="00C15AAA" w:rsidRDefault="00C15AAA" w:rsidP="00C15AAA">
            <w:pPr>
              <w:pStyle w:val="Body"/>
              <w:spacing w:after="0" w:line="240" w:lineRule="auto"/>
              <w:jc w:val="center"/>
            </w:pPr>
            <w:r>
              <w:t>+13.1%</w:t>
            </w:r>
          </w:p>
        </w:tc>
        <w:tc>
          <w:tcPr>
            <w:tcW w:w="1559" w:type="dxa"/>
            <w:tcBorders>
              <w:top w:val="single" w:sz="4" w:space="0" w:color="000000"/>
              <w:left w:val="single" w:sz="4" w:space="0" w:color="000000"/>
              <w:bottom w:val="single" w:sz="4" w:space="0" w:color="000000"/>
              <w:right w:val="single" w:sz="4" w:space="0" w:color="000000"/>
            </w:tcBorders>
          </w:tcPr>
          <w:p w14:paraId="61181CA5" w14:textId="4249F0F0" w:rsidR="00C15AAA" w:rsidRDefault="00C15AAA" w:rsidP="00C15AAA">
            <w:pPr>
              <w:pStyle w:val="Body"/>
              <w:spacing w:after="0" w:line="240" w:lineRule="auto"/>
              <w:jc w:val="center"/>
            </w:pPr>
            <w:r>
              <w:t>+10.3%</w:t>
            </w:r>
          </w:p>
        </w:tc>
      </w:tr>
    </w:tbl>
    <w:p w14:paraId="19518AE2" w14:textId="77777777" w:rsidR="000210BB" w:rsidRDefault="000210BB" w:rsidP="000210BB"/>
    <w:p w14:paraId="31B38EF6" w14:textId="6BBDD6E2" w:rsidR="005D65FC" w:rsidRPr="005D65FC" w:rsidRDefault="005D65FC" w:rsidP="005D65FC">
      <w:pPr>
        <w:rPr>
          <w:b/>
          <w:bCs/>
        </w:rPr>
      </w:pPr>
      <w:r w:rsidRPr="005D65FC">
        <w:rPr>
          <w:b/>
          <w:bCs/>
        </w:rPr>
        <w:t>PERFORMANCE</w:t>
      </w:r>
      <w:r w:rsidR="00E77097">
        <w:rPr>
          <w:b/>
          <w:bCs/>
          <w:vertAlign w:val="superscript"/>
        </w:rPr>
        <w:t>1</w:t>
      </w:r>
      <w:r w:rsidRPr="005D65FC">
        <w:rPr>
          <w:b/>
          <w:bCs/>
        </w:rPr>
        <w:t xml:space="preserve"> </w:t>
      </w:r>
    </w:p>
    <w:p w14:paraId="2CE35AEB" w14:textId="769CCFFB" w:rsidR="005D65FC" w:rsidRPr="003E0D05" w:rsidRDefault="000C416E" w:rsidP="00511C9A">
      <w:pPr>
        <w:pStyle w:val="ListParagraph"/>
        <w:numPr>
          <w:ilvl w:val="0"/>
          <w:numId w:val="4"/>
        </w:numPr>
        <w:jc w:val="both"/>
      </w:pPr>
      <w:r w:rsidRPr="003E0D05">
        <w:t xml:space="preserve">Group </w:t>
      </w:r>
      <w:r w:rsidR="00202D95" w:rsidRPr="003E0D05">
        <w:t xml:space="preserve">reported </w:t>
      </w:r>
      <w:r w:rsidRPr="003E0D05">
        <w:t xml:space="preserve">revenue </w:t>
      </w:r>
      <w:r w:rsidR="00285AED" w:rsidRPr="003E0D05">
        <w:t>increased by</w:t>
      </w:r>
      <w:r w:rsidR="00C15AAA" w:rsidRPr="003E0D05">
        <w:t xml:space="preserve"> 24.4</w:t>
      </w:r>
      <w:r w:rsidR="00AD0035" w:rsidRPr="003E0D05">
        <w:t>% year on year</w:t>
      </w:r>
      <w:r w:rsidR="00B27345" w:rsidRPr="003E0D05">
        <w:t>, driven by strong growth in food to go categories</w:t>
      </w:r>
      <w:r w:rsidR="008D4933" w:rsidRPr="003E0D05">
        <w:t xml:space="preserve"> and notwithstanding some limited impact </w:t>
      </w:r>
      <w:r w:rsidR="002358F4" w:rsidRPr="003E0D05">
        <w:t xml:space="preserve">on demand </w:t>
      </w:r>
      <w:r w:rsidR="008D4933" w:rsidRPr="003E0D05">
        <w:t xml:space="preserve">from the emergence of the Omicron </w:t>
      </w:r>
      <w:r w:rsidR="00963D7B" w:rsidRPr="00D23D00">
        <w:t xml:space="preserve">COVID-19 </w:t>
      </w:r>
      <w:r w:rsidR="008D4933" w:rsidRPr="003E0D05">
        <w:t xml:space="preserve">variant </w:t>
      </w:r>
      <w:r w:rsidR="0091496C" w:rsidRPr="003E0D05">
        <w:t xml:space="preserve">in the UK </w:t>
      </w:r>
      <w:r w:rsidR="008D4933" w:rsidRPr="003E0D05">
        <w:t>during December</w:t>
      </w:r>
      <w:r w:rsidR="00B27345" w:rsidRPr="003E0D05">
        <w:t xml:space="preserve">. Pro forma revenue </w:t>
      </w:r>
      <w:r w:rsidR="00FD1BCD" w:rsidRPr="003E0D05">
        <w:t>grew by</w:t>
      </w:r>
      <w:r w:rsidR="00B27345" w:rsidRPr="003E0D05">
        <w:t xml:space="preserve"> </w:t>
      </w:r>
      <w:r w:rsidR="00C15AAA" w:rsidRPr="003E0D05">
        <w:t>26.4</w:t>
      </w:r>
      <w:r w:rsidR="00B27345" w:rsidRPr="003E0D05">
        <w:t>% year on year</w:t>
      </w:r>
      <w:r w:rsidR="00AD0035" w:rsidRPr="003E0D05">
        <w:t xml:space="preserve"> </w:t>
      </w:r>
      <w:r w:rsidRPr="003E0D05">
        <w:t xml:space="preserve">and </w:t>
      </w:r>
      <w:r w:rsidR="00FD1BCD" w:rsidRPr="003E0D05">
        <w:t xml:space="preserve">was </w:t>
      </w:r>
      <w:r w:rsidR="00C15AAA" w:rsidRPr="003E0D05">
        <w:t>7.5</w:t>
      </w:r>
      <w:r w:rsidR="00AD0035" w:rsidRPr="003E0D05">
        <w:t xml:space="preserve">% above </w:t>
      </w:r>
      <w:r w:rsidRPr="003E0D05">
        <w:t>equivalent pre</w:t>
      </w:r>
      <w:r w:rsidR="0032442D" w:rsidRPr="003E0D05">
        <w:t>-COVID levels in Q1 19</w:t>
      </w:r>
      <w:r w:rsidR="00963D7B" w:rsidRPr="003E0D05">
        <w:t xml:space="preserve"> </w:t>
      </w:r>
    </w:p>
    <w:p w14:paraId="1EE01CFF" w14:textId="6A21758A" w:rsidR="00B34215" w:rsidRPr="00D574C7" w:rsidRDefault="005D65FC" w:rsidP="00B34215">
      <w:pPr>
        <w:pStyle w:val="ListParagraph"/>
        <w:numPr>
          <w:ilvl w:val="0"/>
          <w:numId w:val="4"/>
        </w:numPr>
        <w:jc w:val="both"/>
      </w:pPr>
      <w:r w:rsidRPr="003E0D05">
        <w:t xml:space="preserve">Pro forma revenue in food to go categories </w:t>
      </w:r>
      <w:r w:rsidR="00FD1BCD" w:rsidRPr="003E0D05">
        <w:t xml:space="preserve">increased by </w:t>
      </w:r>
      <w:r w:rsidR="00C15AAA" w:rsidRPr="003E0D05">
        <w:t>34.9</w:t>
      </w:r>
      <w:r w:rsidR="0032442D" w:rsidRPr="003E0D05">
        <w:t xml:space="preserve">% </w:t>
      </w:r>
      <w:r w:rsidR="00A9092F" w:rsidRPr="003E0D05">
        <w:t xml:space="preserve">year on year </w:t>
      </w:r>
      <w:r w:rsidR="000C416E" w:rsidRPr="003E0D05">
        <w:t xml:space="preserve">and </w:t>
      </w:r>
      <w:r w:rsidR="00FD1BCD" w:rsidRPr="003E0D05">
        <w:t xml:space="preserve">was </w:t>
      </w:r>
      <w:r w:rsidR="00C15AAA" w:rsidRPr="003E0D05">
        <w:t>6.1</w:t>
      </w:r>
      <w:r w:rsidR="00A9092F" w:rsidRPr="003E0D05">
        <w:t xml:space="preserve">% above </w:t>
      </w:r>
      <w:r w:rsidR="000C416E" w:rsidRPr="003E0D05">
        <w:t>equivalent pre</w:t>
      </w:r>
      <w:r w:rsidR="00A9092F" w:rsidRPr="003E0D05">
        <w:t>-COVID</w:t>
      </w:r>
      <w:r w:rsidR="000C416E" w:rsidRPr="003E0D05">
        <w:t xml:space="preserve"> </w:t>
      </w:r>
      <w:r w:rsidR="00D470C2" w:rsidRPr="003E0D05">
        <w:t xml:space="preserve">levels </w:t>
      </w:r>
      <w:r w:rsidR="00A9092F" w:rsidRPr="003E0D05">
        <w:t xml:space="preserve">in Q1 19. </w:t>
      </w:r>
      <w:r w:rsidR="00B34215" w:rsidRPr="00D574C7">
        <w:t>The underlying recovery in food to go categories continued in the period, and was augmented by the onboarding of new business wins, continued growth in the distribution component of the Group’s business, and the emerging impact of inflation</w:t>
      </w:r>
    </w:p>
    <w:p w14:paraId="5B8645FA" w14:textId="16C52F24" w:rsidR="005D65FC" w:rsidRPr="00282E0D" w:rsidRDefault="00A9092F" w:rsidP="000C416E">
      <w:pPr>
        <w:pStyle w:val="ListParagraph"/>
        <w:numPr>
          <w:ilvl w:val="0"/>
          <w:numId w:val="4"/>
        </w:numPr>
        <w:jc w:val="both"/>
      </w:pPr>
      <w:r w:rsidRPr="00282E0D">
        <w:t xml:space="preserve">Pro forma revenue growth in other convenience categories </w:t>
      </w:r>
      <w:r w:rsidR="00FD1BCD">
        <w:t xml:space="preserve">was </w:t>
      </w:r>
      <w:r w:rsidR="004A36A2">
        <w:t>13.1</w:t>
      </w:r>
      <w:r w:rsidRPr="00282E0D">
        <w:t xml:space="preserve">% year on year and </w:t>
      </w:r>
      <w:r w:rsidR="00C15AAA">
        <w:t>10</w:t>
      </w:r>
      <w:r w:rsidR="004A36A2">
        <w:t>.3</w:t>
      </w:r>
      <w:r w:rsidRPr="00282E0D">
        <w:t xml:space="preserve">% above equivalent pre-COVID </w:t>
      </w:r>
      <w:r w:rsidR="00D470C2">
        <w:t xml:space="preserve">levels </w:t>
      </w:r>
      <w:r w:rsidRPr="00282E0D">
        <w:t>in Q1 19</w:t>
      </w:r>
    </w:p>
    <w:p w14:paraId="23ADC224" w14:textId="08E89C93" w:rsidR="005D65FC" w:rsidRDefault="0091496C" w:rsidP="002358F4">
      <w:pPr>
        <w:pStyle w:val="ListParagraph"/>
        <w:numPr>
          <w:ilvl w:val="0"/>
          <w:numId w:val="4"/>
        </w:numPr>
        <w:jc w:val="both"/>
      </w:pPr>
      <w:r>
        <w:t>In the quarter t</w:t>
      </w:r>
      <w:r w:rsidR="00FD1BCD">
        <w:t xml:space="preserve">he Group continued to </w:t>
      </w:r>
      <w:r w:rsidR="00202D95">
        <w:t xml:space="preserve">progress well </w:t>
      </w:r>
      <w:r w:rsidR="004414CA">
        <w:t>with the recovery of</w:t>
      </w:r>
      <w:r w:rsidR="00FD1BCD">
        <w:t xml:space="preserve"> input cost and other i</w:t>
      </w:r>
      <w:r w:rsidR="008D4933">
        <w:t>nflation</w:t>
      </w:r>
      <w:r w:rsidR="00202D95">
        <w:t xml:space="preserve"> with customers</w:t>
      </w:r>
      <w:r w:rsidR="00FD1BCD">
        <w:t xml:space="preserve">. </w:t>
      </w:r>
      <w:r w:rsidR="00CC5126" w:rsidRPr="00CC5126">
        <w:t xml:space="preserve">The pace of profit conversion </w:t>
      </w:r>
      <w:r w:rsidR="0068015A">
        <w:t>continued to be</w:t>
      </w:r>
      <w:r w:rsidR="0068015A" w:rsidRPr="00CC5126">
        <w:t xml:space="preserve"> </w:t>
      </w:r>
      <w:r w:rsidR="00CC5126" w:rsidRPr="00CC5126">
        <w:t xml:space="preserve">impacted by industry </w:t>
      </w:r>
      <w:r w:rsidR="00991FA4">
        <w:t xml:space="preserve">wide </w:t>
      </w:r>
      <w:r w:rsidR="00CC5126" w:rsidRPr="00CC5126">
        <w:t xml:space="preserve">supply chain and labour challenges </w:t>
      </w:r>
    </w:p>
    <w:p w14:paraId="2E756F03" w14:textId="77777777" w:rsidR="005D65FC" w:rsidRPr="005D65FC" w:rsidRDefault="005D65FC" w:rsidP="005D65FC">
      <w:pPr>
        <w:rPr>
          <w:b/>
          <w:bCs/>
        </w:rPr>
      </w:pPr>
      <w:r w:rsidRPr="005D65FC">
        <w:rPr>
          <w:b/>
          <w:bCs/>
        </w:rPr>
        <w:t xml:space="preserve">STRATEGIC DEVELOPMENTS </w:t>
      </w:r>
    </w:p>
    <w:p w14:paraId="22C854D9" w14:textId="67399FD2" w:rsidR="00556008" w:rsidRDefault="00556008" w:rsidP="00556008">
      <w:pPr>
        <w:pStyle w:val="ListParagraph"/>
        <w:numPr>
          <w:ilvl w:val="0"/>
          <w:numId w:val="4"/>
        </w:numPr>
        <w:jc w:val="both"/>
      </w:pPr>
      <w:r>
        <w:t xml:space="preserve">The Group is </w:t>
      </w:r>
      <w:r w:rsidR="0040662E">
        <w:t xml:space="preserve">on track </w:t>
      </w:r>
      <w:r>
        <w:t xml:space="preserve">with its strategic capital investment programme </w:t>
      </w:r>
      <w:r w:rsidR="005B3646">
        <w:t xml:space="preserve">of approximately £30m </w:t>
      </w:r>
      <w:r>
        <w:t xml:space="preserve">across three existing manufacturing sites, to support the delivery of previously announced business wins. Revenue from these wins </w:t>
      </w:r>
      <w:r w:rsidR="000872D8">
        <w:t xml:space="preserve">is anticipated to begin in the </w:t>
      </w:r>
      <w:r w:rsidR="00D22D03">
        <w:t>second half of FY22</w:t>
      </w:r>
    </w:p>
    <w:p w14:paraId="07420926" w14:textId="57612603" w:rsidR="00080320" w:rsidRDefault="00165F46" w:rsidP="003F52E5">
      <w:pPr>
        <w:pStyle w:val="ListParagraph"/>
        <w:numPr>
          <w:ilvl w:val="0"/>
          <w:numId w:val="4"/>
        </w:numPr>
        <w:jc w:val="both"/>
      </w:pPr>
      <w:r w:rsidRPr="00EA6CD9">
        <w:t>The return to pre-COVID volume levels has enabled t</w:t>
      </w:r>
      <w:r w:rsidR="00482E99" w:rsidRPr="00EA6CD9">
        <w:t xml:space="preserve">he Group </w:t>
      </w:r>
      <w:r w:rsidRPr="00EA6CD9">
        <w:t xml:space="preserve">to </w:t>
      </w:r>
      <w:r w:rsidR="004A36A2">
        <w:t>revitalise</w:t>
      </w:r>
      <w:r w:rsidR="00482E99" w:rsidRPr="00EA6CD9">
        <w:t xml:space="preserve"> its </w:t>
      </w:r>
      <w:r w:rsidR="003F52E5" w:rsidRPr="003F52E5">
        <w:rPr>
          <w:bCs/>
        </w:rPr>
        <w:t>Excellence cost efficiency programmes across operational and commercial functions</w:t>
      </w:r>
      <w:r w:rsidR="002358F4">
        <w:rPr>
          <w:bCs/>
        </w:rPr>
        <w:t>.</w:t>
      </w:r>
      <w:r w:rsidR="003F52E5" w:rsidRPr="003F52E5">
        <w:rPr>
          <w:bCs/>
        </w:rPr>
        <w:t xml:space="preserve"> </w:t>
      </w:r>
      <w:r w:rsidR="002358F4">
        <w:rPr>
          <w:bCs/>
        </w:rPr>
        <w:t xml:space="preserve">These programmes enable the Group </w:t>
      </w:r>
      <w:r w:rsidR="003F52E5" w:rsidRPr="003F52E5">
        <w:rPr>
          <w:bCs/>
        </w:rPr>
        <w:t xml:space="preserve">to optimise capacity utilisation, </w:t>
      </w:r>
      <w:r w:rsidR="003F52E5">
        <w:rPr>
          <w:bCs/>
        </w:rPr>
        <w:t xml:space="preserve">enhance </w:t>
      </w:r>
      <w:r w:rsidR="003F52E5" w:rsidRPr="003F52E5">
        <w:rPr>
          <w:bCs/>
        </w:rPr>
        <w:t xml:space="preserve">process engineering </w:t>
      </w:r>
      <w:r w:rsidR="00E22704">
        <w:rPr>
          <w:bCs/>
        </w:rPr>
        <w:t xml:space="preserve">and </w:t>
      </w:r>
      <w:r w:rsidR="00CF6627">
        <w:rPr>
          <w:bCs/>
        </w:rPr>
        <w:t xml:space="preserve">make further </w:t>
      </w:r>
      <w:r w:rsidR="00525A4A">
        <w:rPr>
          <w:bCs/>
        </w:rPr>
        <w:t>progress with automation initiatives</w:t>
      </w:r>
      <w:r w:rsidR="003F52E5" w:rsidRPr="003F52E5">
        <w:rPr>
          <w:bCs/>
        </w:rPr>
        <w:t>. This will be augmented by a</w:t>
      </w:r>
      <w:r w:rsidR="00CE4D02">
        <w:rPr>
          <w:bCs/>
        </w:rPr>
        <w:t xml:space="preserve">n extensive </w:t>
      </w:r>
      <w:r w:rsidR="003F52E5" w:rsidRPr="003F52E5">
        <w:rPr>
          <w:bCs/>
        </w:rPr>
        <w:t xml:space="preserve">review </w:t>
      </w:r>
      <w:r w:rsidR="003F52E5" w:rsidRPr="003F52E5">
        <w:rPr>
          <w:bCs/>
        </w:rPr>
        <w:lastRenderedPageBreak/>
        <w:t xml:space="preserve">of </w:t>
      </w:r>
      <w:r w:rsidR="00050BDD">
        <w:rPr>
          <w:bCs/>
        </w:rPr>
        <w:t xml:space="preserve">costs across the </w:t>
      </w:r>
      <w:r w:rsidR="00525A4A">
        <w:rPr>
          <w:bCs/>
        </w:rPr>
        <w:t xml:space="preserve">Group </w:t>
      </w:r>
      <w:r w:rsidR="00CB6799">
        <w:t xml:space="preserve">that will also </w:t>
      </w:r>
      <w:r w:rsidR="00D877FB">
        <w:t>drive the recovery in</w:t>
      </w:r>
      <w:r w:rsidR="008B0897">
        <w:t xml:space="preserve"> </w:t>
      </w:r>
      <w:r w:rsidR="0040662E" w:rsidRPr="00EA6CD9">
        <w:t xml:space="preserve">profit conversion </w:t>
      </w:r>
      <w:r w:rsidR="000F37C3" w:rsidRPr="00EA6CD9">
        <w:t xml:space="preserve">from the </w:t>
      </w:r>
      <w:r w:rsidRPr="00EA6CD9">
        <w:t xml:space="preserve">growing </w:t>
      </w:r>
      <w:r w:rsidR="000F37C3" w:rsidRPr="00EA6CD9">
        <w:t>revenue base</w:t>
      </w:r>
      <w:r w:rsidR="00CE4D02">
        <w:t>. More detail will be provided on this review in the Group’s H1 22 Results</w:t>
      </w:r>
    </w:p>
    <w:p w14:paraId="38B3D108" w14:textId="2CF178CF" w:rsidR="00080320" w:rsidRPr="0085640F" w:rsidRDefault="00080320" w:rsidP="00080320">
      <w:pPr>
        <w:pStyle w:val="ListParagraph"/>
        <w:numPr>
          <w:ilvl w:val="0"/>
          <w:numId w:val="4"/>
        </w:numPr>
        <w:jc w:val="both"/>
      </w:pPr>
      <w:r w:rsidRPr="0085640F">
        <w:t xml:space="preserve">In November 2021 the Group </w:t>
      </w:r>
      <w:r w:rsidR="00983105">
        <w:t xml:space="preserve">further strengthened </w:t>
      </w:r>
      <w:r w:rsidR="00D22D03">
        <w:t xml:space="preserve">its </w:t>
      </w:r>
      <w:r w:rsidR="00983105">
        <w:t xml:space="preserve">balance sheet when it </w:t>
      </w:r>
      <w:r w:rsidRPr="0085640F">
        <w:t>extended the maturity on its £340m revolving credit facility by one year to January 2026</w:t>
      </w:r>
      <w:r w:rsidR="00983105">
        <w:t>.</w:t>
      </w:r>
      <w:r w:rsidRPr="0085640F">
        <w:t xml:space="preserve"> </w:t>
      </w:r>
      <w:r w:rsidR="00983105">
        <w:t>This i</w:t>
      </w:r>
      <w:r w:rsidRPr="0085640F">
        <w:t>ncreas</w:t>
      </w:r>
      <w:r w:rsidR="00983105">
        <w:t>ed</w:t>
      </w:r>
      <w:r w:rsidRPr="0085640F">
        <w:t xml:space="preserve"> the weighted average maturity of </w:t>
      </w:r>
      <w:r w:rsidR="00983105">
        <w:t xml:space="preserve">the Group’s </w:t>
      </w:r>
      <w:r w:rsidRPr="0085640F">
        <w:t>total committed debt facilities to 3.4 years</w:t>
      </w:r>
      <w:r w:rsidR="00D22D03">
        <w:t>, from 2.7 years at the end of FY21</w:t>
      </w:r>
    </w:p>
    <w:p w14:paraId="56FB3C3F" w14:textId="42400284" w:rsidR="00692AF1" w:rsidRDefault="009E5479" w:rsidP="00080320">
      <w:pPr>
        <w:pStyle w:val="ListParagraph"/>
        <w:numPr>
          <w:ilvl w:val="0"/>
          <w:numId w:val="4"/>
        </w:numPr>
        <w:jc w:val="both"/>
      </w:pPr>
      <w:bookmarkStart w:id="0" w:name="_Hlk93497153"/>
      <w:r>
        <w:t xml:space="preserve">The Group continued to advance its sustainability agenda in Q1, including increasing engagement with suppliers on carbon intensive ingredients and progressing plans to transparently share data on the health and sustainability profile of </w:t>
      </w:r>
      <w:r w:rsidR="00547B81">
        <w:t xml:space="preserve">its </w:t>
      </w:r>
      <w:r>
        <w:t>products with stakeholders</w:t>
      </w:r>
      <w:bookmarkEnd w:id="0"/>
      <w:r w:rsidR="00080320">
        <w:t xml:space="preserve"> </w:t>
      </w:r>
    </w:p>
    <w:p w14:paraId="6566EECE" w14:textId="59B02EAB" w:rsidR="00080320" w:rsidRPr="00282E0D" w:rsidRDefault="00080320" w:rsidP="00080320">
      <w:pPr>
        <w:pStyle w:val="ListParagraph"/>
        <w:numPr>
          <w:ilvl w:val="0"/>
          <w:numId w:val="4"/>
        </w:numPr>
        <w:jc w:val="both"/>
      </w:pPr>
      <w:r>
        <w:t xml:space="preserve">The Group </w:t>
      </w:r>
      <w:r w:rsidR="00CF6627">
        <w:t xml:space="preserve">has </w:t>
      </w:r>
      <w:r>
        <w:t xml:space="preserve">also introduced </w:t>
      </w:r>
      <w:r w:rsidR="004447B2">
        <w:t xml:space="preserve">a </w:t>
      </w:r>
      <w:r>
        <w:t xml:space="preserve">new share </w:t>
      </w:r>
      <w:r w:rsidR="004447B2">
        <w:t xml:space="preserve">ownership scheme </w:t>
      </w:r>
      <w:r>
        <w:t>for all colleagues</w:t>
      </w:r>
      <w:r w:rsidR="00CF6627">
        <w:t xml:space="preserve">, </w:t>
      </w:r>
      <w:r w:rsidR="004447B2">
        <w:t>details of which</w:t>
      </w:r>
      <w:r w:rsidR="00CF6627">
        <w:t xml:space="preserve"> </w:t>
      </w:r>
      <w:r w:rsidR="004447B2">
        <w:t xml:space="preserve">are provided in </w:t>
      </w:r>
      <w:r w:rsidR="00CF6627">
        <w:t>a separate announcement this morning</w:t>
      </w:r>
    </w:p>
    <w:p w14:paraId="1417017A" w14:textId="6D3ADD84" w:rsidR="00080320" w:rsidRDefault="00080320" w:rsidP="00080320">
      <w:pPr>
        <w:pStyle w:val="ListParagraph"/>
        <w:numPr>
          <w:ilvl w:val="0"/>
          <w:numId w:val="4"/>
        </w:numPr>
        <w:jc w:val="both"/>
      </w:pPr>
      <w:r>
        <w:t>The search process to appoint a new CEO is ongoing</w:t>
      </w:r>
      <w:r w:rsidR="008B0897">
        <w:t xml:space="preserve"> </w:t>
      </w:r>
      <w:r w:rsidR="004447B2">
        <w:t>and a</w:t>
      </w:r>
      <w:r w:rsidR="008B0897">
        <w:t xml:space="preserve">n </w:t>
      </w:r>
      <w:r>
        <w:t xml:space="preserve">update </w:t>
      </w:r>
      <w:r w:rsidR="008B0897">
        <w:t xml:space="preserve">on the appointment </w:t>
      </w:r>
      <w:r>
        <w:t xml:space="preserve">will be provided in due course </w:t>
      </w:r>
    </w:p>
    <w:p w14:paraId="00DF90CB" w14:textId="51A06755" w:rsidR="0040662E" w:rsidRPr="00EA6CD9" w:rsidRDefault="0040662E" w:rsidP="00B27345">
      <w:pPr>
        <w:pStyle w:val="ListParagraph"/>
        <w:jc w:val="both"/>
      </w:pPr>
    </w:p>
    <w:p w14:paraId="1FB3E9FE" w14:textId="76B065B2" w:rsidR="005D65FC" w:rsidRPr="005D65FC" w:rsidRDefault="005D65FC" w:rsidP="005D65FC">
      <w:pPr>
        <w:rPr>
          <w:b/>
          <w:bCs/>
        </w:rPr>
      </w:pPr>
      <w:r w:rsidRPr="005D65FC">
        <w:rPr>
          <w:b/>
          <w:bCs/>
        </w:rPr>
        <w:t>OUTLOOK</w:t>
      </w:r>
      <w:r w:rsidR="00E77097">
        <w:rPr>
          <w:b/>
          <w:bCs/>
          <w:vertAlign w:val="superscript"/>
        </w:rPr>
        <w:t>2</w:t>
      </w:r>
      <w:r w:rsidRPr="005D65FC">
        <w:rPr>
          <w:b/>
          <w:bCs/>
        </w:rPr>
        <w:t xml:space="preserve"> </w:t>
      </w:r>
    </w:p>
    <w:p w14:paraId="136BE415" w14:textId="0633B28E" w:rsidR="005D65FC" w:rsidRPr="00EA6CD9" w:rsidRDefault="003241A5" w:rsidP="000C416E">
      <w:pPr>
        <w:pStyle w:val="ListParagraph"/>
        <w:numPr>
          <w:ilvl w:val="0"/>
          <w:numId w:val="4"/>
        </w:numPr>
        <w:jc w:val="both"/>
      </w:pPr>
      <w:r w:rsidRPr="00543C52">
        <w:t xml:space="preserve">The uncertainty regarding the duration and impact of </w:t>
      </w:r>
      <w:r w:rsidR="00CF6627" w:rsidRPr="00195FD3">
        <w:t xml:space="preserve">COVID-19 </w:t>
      </w:r>
      <w:r w:rsidR="008D4933" w:rsidRPr="00543C52">
        <w:t>variant</w:t>
      </w:r>
      <w:r w:rsidR="00A45F3D">
        <w:t>s</w:t>
      </w:r>
      <w:r w:rsidR="008D4933" w:rsidRPr="00543C52">
        <w:t xml:space="preserve"> </w:t>
      </w:r>
      <w:r w:rsidRPr="00543C52">
        <w:t xml:space="preserve">on the Group’s trading environment, particularly on demand in its food to go categories, </w:t>
      </w:r>
      <w:r w:rsidR="00315BF3">
        <w:t>has made</w:t>
      </w:r>
      <w:r w:rsidRPr="00543C52">
        <w:t xml:space="preserve"> it more difficult to predict FY22 performance.</w:t>
      </w:r>
      <w:r w:rsidRPr="003241A5">
        <w:t xml:space="preserve"> </w:t>
      </w:r>
      <w:r w:rsidR="00CE4D02">
        <w:t>To date, t</w:t>
      </w:r>
      <w:r>
        <w:t>he</w:t>
      </w:r>
      <w:r w:rsidR="00F64C2D">
        <w:t xml:space="preserve">re has been </w:t>
      </w:r>
      <w:r w:rsidR="00CE4D02">
        <w:t xml:space="preserve">some </w:t>
      </w:r>
      <w:r>
        <w:t xml:space="preserve">impact on </w:t>
      </w:r>
      <w:r w:rsidR="00CE4D02">
        <w:t xml:space="preserve">the Group’s </w:t>
      </w:r>
      <w:r>
        <w:t xml:space="preserve">revenue momentum </w:t>
      </w:r>
      <w:r w:rsidR="00C75D4D">
        <w:t xml:space="preserve">in what is </w:t>
      </w:r>
      <w:r w:rsidR="00CE4D02">
        <w:t xml:space="preserve">its </w:t>
      </w:r>
      <w:r w:rsidR="00C75D4D">
        <w:t>seasonally quieter period of the year</w:t>
      </w:r>
      <w:r w:rsidR="00A45F3D">
        <w:t xml:space="preserve">. The Group welcomes the </w:t>
      </w:r>
      <w:r w:rsidR="00511C9A">
        <w:t xml:space="preserve">UK Government’s </w:t>
      </w:r>
      <w:r w:rsidR="00A45F3D">
        <w:t>recent announcement to ease the 'Plan B’ restrictions on mobility arising from the Omicron COVID-19 variant</w:t>
      </w:r>
    </w:p>
    <w:p w14:paraId="5B67563A" w14:textId="09B9804C" w:rsidR="00E144E9" w:rsidRPr="00EA6CD9" w:rsidRDefault="00282E0D" w:rsidP="000C416E">
      <w:pPr>
        <w:pStyle w:val="ListParagraph"/>
        <w:numPr>
          <w:ilvl w:val="0"/>
          <w:numId w:val="4"/>
        </w:numPr>
        <w:jc w:val="both"/>
      </w:pPr>
      <w:r w:rsidRPr="00EA6CD9">
        <w:t xml:space="preserve">The Group is </w:t>
      </w:r>
      <w:r w:rsidR="00511C9A">
        <w:t xml:space="preserve">committed to </w:t>
      </w:r>
      <w:r w:rsidR="00F626F1">
        <w:t xml:space="preserve">the recovery of </w:t>
      </w:r>
      <w:r w:rsidRPr="00EA6CD9">
        <w:t>input cost and other i</w:t>
      </w:r>
      <w:r w:rsidR="00E144E9" w:rsidRPr="00EA6CD9">
        <w:t>nflation</w:t>
      </w:r>
      <w:r w:rsidR="00920903">
        <w:t xml:space="preserve"> with customers</w:t>
      </w:r>
      <w:r w:rsidRPr="00EA6CD9">
        <w:t xml:space="preserve">, </w:t>
      </w:r>
      <w:r w:rsidR="0068015A">
        <w:t xml:space="preserve">with </w:t>
      </w:r>
      <w:r w:rsidR="00BA4C24" w:rsidRPr="00EA6CD9">
        <w:t>the scale of this inflation</w:t>
      </w:r>
      <w:r w:rsidRPr="00EA6CD9">
        <w:t xml:space="preserve"> increas</w:t>
      </w:r>
      <w:r w:rsidR="0068015A">
        <w:t>ing</w:t>
      </w:r>
      <w:r w:rsidRPr="00EA6CD9">
        <w:t xml:space="preserve"> </w:t>
      </w:r>
      <w:r w:rsidR="00BA4C24" w:rsidRPr="00EA6CD9">
        <w:t>again in recent months</w:t>
      </w:r>
      <w:r w:rsidR="00D470C2">
        <w:t>.</w:t>
      </w:r>
      <w:r w:rsidR="00BA4C24" w:rsidRPr="00EA6CD9">
        <w:t xml:space="preserve"> </w:t>
      </w:r>
      <w:r w:rsidR="00BA27DA">
        <w:t>S</w:t>
      </w:r>
      <w:r w:rsidR="00E144E9" w:rsidRPr="00EA6CD9">
        <w:t>upply chain and labour</w:t>
      </w:r>
      <w:r w:rsidR="0085640F" w:rsidRPr="00EA6CD9">
        <w:t xml:space="preserve"> challenges </w:t>
      </w:r>
      <w:r w:rsidR="00BA27DA">
        <w:t>remain elevated across the UK food industry</w:t>
      </w:r>
      <w:r w:rsidR="0068015A">
        <w:t xml:space="preserve">, </w:t>
      </w:r>
      <w:r w:rsidR="00205ED0">
        <w:t xml:space="preserve">exacerbated </w:t>
      </w:r>
      <w:r w:rsidR="0068015A">
        <w:t xml:space="preserve">by </w:t>
      </w:r>
      <w:r w:rsidR="0068015A" w:rsidRPr="00CC5126">
        <w:t xml:space="preserve">the </w:t>
      </w:r>
      <w:r w:rsidR="00205ED0">
        <w:t xml:space="preserve">impact </w:t>
      </w:r>
      <w:r w:rsidR="0068015A" w:rsidRPr="00CC5126">
        <w:t xml:space="preserve">of the Omicron </w:t>
      </w:r>
      <w:r w:rsidR="00943E54">
        <w:t xml:space="preserve">COVID-19 </w:t>
      </w:r>
      <w:r w:rsidR="0068015A" w:rsidRPr="00CC5126">
        <w:t>variant</w:t>
      </w:r>
      <w:r w:rsidR="0068015A">
        <w:t xml:space="preserve">  </w:t>
      </w:r>
    </w:p>
    <w:p w14:paraId="3E237572" w14:textId="235FD31B" w:rsidR="00E144E9" w:rsidRPr="00EA6CD9" w:rsidRDefault="0085640F" w:rsidP="000C416E">
      <w:pPr>
        <w:pStyle w:val="ListParagraph"/>
        <w:numPr>
          <w:ilvl w:val="0"/>
          <w:numId w:val="4"/>
        </w:numPr>
        <w:jc w:val="both"/>
      </w:pPr>
      <w:r w:rsidRPr="00EA6CD9">
        <w:t xml:space="preserve">Though these challenges </w:t>
      </w:r>
      <w:r w:rsidR="00BA27DA">
        <w:t>persist</w:t>
      </w:r>
      <w:r w:rsidRPr="00EA6CD9">
        <w:t>, the Group c</w:t>
      </w:r>
      <w:r w:rsidR="00EF2347" w:rsidRPr="00EA6CD9">
        <w:t>ontinue</w:t>
      </w:r>
      <w:r w:rsidRPr="00EA6CD9">
        <w:t>s</w:t>
      </w:r>
      <w:r w:rsidR="00EF2347" w:rsidRPr="00EA6CD9">
        <w:t xml:space="preserve"> to anticipate a FY22 outturn in line with market expectations. </w:t>
      </w:r>
      <w:r w:rsidR="00D877FB">
        <w:t xml:space="preserve">This assumes no material resumption of mobility restrictions or lockdowns arising </w:t>
      </w:r>
      <w:r w:rsidR="00320F92">
        <w:t xml:space="preserve">from increasing COVID-19 infection rates in the UK. </w:t>
      </w:r>
      <w:r w:rsidR="00EF2347" w:rsidRPr="00EA6CD9">
        <w:t xml:space="preserve">Profitability will be heavily weighted towards the </w:t>
      </w:r>
      <w:r w:rsidR="00BB41FF">
        <w:t xml:space="preserve">seasonally important </w:t>
      </w:r>
      <w:r w:rsidR="00EF2347" w:rsidRPr="00EA6CD9">
        <w:t>second half of the year</w:t>
      </w:r>
    </w:p>
    <w:p w14:paraId="7E52032A" w14:textId="446E2466" w:rsidR="00C75D4D" w:rsidRPr="00C75D4D" w:rsidRDefault="00EF2347" w:rsidP="00C75D4D">
      <w:pPr>
        <w:pStyle w:val="ListParagraph"/>
        <w:numPr>
          <w:ilvl w:val="0"/>
          <w:numId w:val="4"/>
        </w:numPr>
        <w:jc w:val="both"/>
      </w:pPr>
      <w:r w:rsidRPr="00BF69F9">
        <w:t>The Group is focussed on further deleveraging the balance sheet</w:t>
      </w:r>
      <w:r w:rsidR="00434854">
        <w:t xml:space="preserve"> in FY22</w:t>
      </w:r>
      <w:r w:rsidR="00D85F9F">
        <w:t xml:space="preserve">. </w:t>
      </w:r>
      <w:r w:rsidR="00C75D4D" w:rsidRPr="00C75D4D">
        <w:t xml:space="preserve">The Board also remains committed to recommencing </w:t>
      </w:r>
      <w:r w:rsidR="00F626F1">
        <w:t xml:space="preserve">value </w:t>
      </w:r>
      <w:r w:rsidR="00C75D4D" w:rsidRPr="00C75D4D">
        <w:t xml:space="preserve">return to shareholders </w:t>
      </w:r>
      <w:r w:rsidR="00C75D4D">
        <w:t xml:space="preserve">in FY22 </w:t>
      </w:r>
    </w:p>
    <w:p w14:paraId="55794C3E" w14:textId="2002DEAC" w:rsidR="00E3664A" w:rsidRPr="00E3664A" w:rsidRDefault="00E3664A" w:rsidP="00E3664A">
      <w:pPr>
        <w:pStyle w:val="ListParagraph"/>
        <w:numPr>
          <w:ilvl w:val="0"/>
          <w:numId w:val="4"/>
        </w:numPr>
        <w:jc w:val="both"/>
      </w:pPr>
      <w:r>
        <w:t xml:space="preserve">Greencore will report its H1 22 results on </w:t>
      </w:r>
      <w:r w:rsidR="000210BB">
        <w:t>24</w:t>
      </w:r>
      <w:r>
        <w:t xml:space="preserve"> May 202</w:t>
      </w:r>
      <w:r w:rsidR="00D85F9F">
        <w:t>2</w:t>
      </w:r>
    </w:p>
    <w:p w14:paraId="5A4BEBE5" w14:textId="77777777" w:rsidR="000C55E6" w:rsidRDefault="000C55E6" w:rsidP="000C55E6"/>
    <w:p w14:paraId="2DA5A7B4" w14:textId="74A5134B" w:rsidR="000C55E6" w:rsidRDefault="000C55E6" w:rsidP="000C55E6">
      <w:pPr>
        <w:rPr>
          <w:b/>
        </w:rPr>
      </w:pPr>
      <w:r w:rsidRPr="00A57C80">
        <w:rPr>
          <w:b/>
        </w:rPr>
        <w:t xml:space="preserve">Commenting on the performance, </w:t>
      </w:r>
      <w:r w:rsidR="00B27345">
        <w:rPr>
          <w:b/>
        </w:rPr>
        <w:t>Gary Kennedy</w:t>
      </w:r>
      <w:r w:rsidRPr="00A57C80">
        <w:rPr>
          <w:b/>
        </w:rPr>
        <w:t xml:space="preserve">, </w:t>
      </w:r>
      <w:r w:rsidR="008B7D3B">
        <w:rPr>
          <w:b/>
        </w:rPr>
        <w:t xml:space="preserve">Board </w:t>
      </w:r>
      <w:r w:rsidR="00B27345">
        <w:rPr>
          <w:b/>
        </w:rPr>
        <w:t>Chair</w:t>
      </w:r>
      <w:r>
        <w:rPr>
          <w:b/>
        </w:rPr>
        <w:t xml:space="preserve">, said: </w:t>
      </w:r>
    </w:p>
    <w:p w14:paraId="02407C92" w14:textId="1BD6A26B" w:rsidR="00205ED0" w:rsidRPr="00A57C80" w:rsidRDefault="000C416E" w:rsidP="000C55E6">
      <w:pPr>
        <w:jc w:val="both"/>
        <w:rPr>
          <w:i/>
        </w:rPr>
      </w:pPr>
      <w:r>
        <w:rPr>
          <w:i/>
        </w:rPr>
        <w:t>“</w:t>
      </w:r>
      <w:r w:rsidR="00B27345">
        <w:rPr>
          <w:i/>
        </w:rPr>
        <w:t xml:space="preserve">I am encouraged by the progress that we have made during Q1 in what continued to be </w:t>
      </w:r>
      <w:r w:rsidR="0064553C">
        <w:rPr>
          <w:i/>
        </w:rPr>
        <w:t xml:space="preserve">a </w:t>
      </w:r>
      <w:r w:rsidR="00B27345">
        <w:rPr>
          <w:i/>
        </w:rPr>
        <w:t xml:space="preserve">challenging trading </w:t>
      </w:r>
      <w:r w:rsidR="0064553C">
        <w:rPr>
          <w:i/>
        </w:rPr>
        <w:t>environment</w:t>
      </w:r>
      <w:r w:rsidR="00B27345">
        <w:rPr>
          <w:i/>
        </w:rPr>
        <w:t>.</w:t>
      </w:r>
      <w:r w:rsidR="0064553C">
        <w:rPr>
          <w:i/>
        </w:rPr>
        <w:t xml:space="preserve"> </w:t>
      </w:r>
      <w:r w:rsidR="00F626F1">
        <w:rPr>
          <w:i/>
        </w:rPr>
        <w:t>We</w:t>
      </w:r>
      <w:r w:rsidR="0064553C">
        <w:rPr>
          <w:i/>
        </w:rPr>
        <w:t xml:space="preserve"> </w:t>
      </w:r>
      <w:r w:rsidR="0064553C" w:rsidRPr="0064553C">
        <w:rPr>
          <w:i/>
        </w:rPr>
        <w:t xml:space="preserve">remain focused on rebuilding our economic model effectively and sustainably with all </w:t>
      </w:r>
      <w:r w:rsidR="003A4C96" w:rsidRPr="0064553C">
        <w:rPr>
          <w:i/>
        </w:rPr>
        <w:t>stakeholders</w:t>
      </w:r>
      <w:r w:rsidR="00F626F1">
        <w:rPr>
          <w:i/>
        </w:rPr>
        <w:t>, thereby</w:t>
      </w:r>
      <w:r w:rsidR="003A4C96">
        <w:rPr>
          <w:i/>
        </w:rPr>
        <w:t xml:space="preserve"> </w:t>
      </w:r>
      <w:r w:rsidR="008B7D3B" w:rsidRPr="008B7D3B">
        <w:rPr>
          <w:i/>
        </w:rPr>
        <w:t>positioning</w:t>
      </w:r>
      <w:r w:rsidR="0064553C" w:rsidRPr="008B7D3B">
        <w:rPr>
          <w:i/>
        </w:rPr>
        <w:t xml:space="preserve"> the company for a strong future</w:t>
      </w:r>
      <w:r w:rsidR="0064553C" w:rsidRPr="0064553C">
        <w:rPr>
          <w:i/>
        </w:rPr>
        <w:t>.</w:t>
      </w:r>
      <w:r>
        <w:rPr>
          <w:i/>
        </w:rPr>
        <w:t>”</w:t>
      </w:r>
    </w:p>
    <w:p w14:paraId="4CE33E0D" w14:textId="77777777" w:rsidR="000C55E6" w:rsidRDefault="000C55E6" w:rsidP="000C55E6"/>
    <w:p w14:paraId="04698668" w14:textId="77777777" w:rsidR="00A11D98" w:rsidRDefault="00A11D98" w:rsidP="00A11D98">
      <w:pPr>
        <w:jc w:val="both"/>
        <w:rPr>
          <w:rFonts w:cs="Arial"/>
          <w:b/>
          <w:sz w:val="20"/>
          <w:szCs w:val="18"/>
        </w:rPr>
      </w:pPr>
      <w:r w:rsidRPr="00E512C6">
        <w:rPr>
          <w:rFonts w:cs="Arial"/>
          <w:b/>
          <w:sz w:val="20"/>
          <w:szCs w:val="18"/>
        </w:rPr>
        <w:t>For further information, please contact:</w:t>
      </w:r>
    </w:p>
    <w:tbl>
      <w:tblPr>
        <w:tblW w:w="7969" w:type="dxa"/>
        <w:jc w:val="center"/>
        <w:tblLayout w:type="fixed"/>
        <w:tblCellMar>
          <w:left w:w="0" w:type="dxa"/>
        </w:tblCellMar>
        <w:tblLook w:val="04A0" w:firstRow="1" w:lastRow="0" w:firstColumn="1" w:lastColumn="0" w:noHBand="0" w:noVBand="1"/>
      </w:tblPr>
      <w:tblGrid>
        <w:gridCol w:w="3544"/>
        <w:gridCol w:w="2410"/>
        <w:gridCol w:w="2015"/>
      </w:tblGrid>
      <w:tr w:rsidR="00A11D98" w14:paraId="0783F0B9" w14:textId="77777777" w:rsidTr="00AA6C4D">
        <w:trPr>
          <w:jc w:val="center"/>
        </w:trPr>
        <w:tc>
          <w:tcPr>
            <w:tcW w:w="3544" w:type="dxa"/>
            <w:shd w:val="clear" w:color="auto" w:fill="auto"/>
            <w:hideMark/>
          </w:tcPr>
          <w:p w14:paraId="37FAB9C5"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Emma Hynes</w:t>
            </w:r>
          </w:p>
        </w:tc>
        <w:tc>
          <w:tcPr>
            <w:tcW w:w="2410" w:type="dxa"/>
            <w:shd w:val="clear" w:color="auto" w:fill="auto"/>
            <w:hideMark/>
          </w:tcPr>
          <w:p w14:paraId="28B57B9B"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Chief Financial Officer</w:t>
            </w:r>
          </w:p>
        </w:tc>
        <w:tc>
          <w:tcPr>
            <w:tcW w:w="2015" w:type="dxa"/>
            <w:shd w:val="clear" w:color="auto" w:fill="auto"/>
            <w:hideMark/>
          </w:tcPr>
          <w:p w14:paraId="5553B642"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Tel: +353 (0) 1 486 3307</w:t>
            </w:r>
          </w:p>
        </w:tc>
      </w:tr>
      <w:tr w:rsidR="00A11D98" w14:paraId="04569348" w14:textId="77777777" w:rsidTr="00AA6C4D">
        <w:trPr>
          <w:jc w:val="center"/>
        </w:trPr>
        <w:tc>
          <w:tcPr>
            <w:tcW w:w="3544" w:type="dxa"/>
            <w:shd w:val="clear" w:color="auto" w:fill="auto"/>
            <w:hideMark/>
          </w:tcPr>
          <w:p w14:paraId="6BB6AE83"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Jack Gorman</w:t>
            </w:r>
          </w:p>
        </w:tc>
        <w:tc>
          <w:tcPr>
            <w:tcW w:w="2410" w:type="dxa"/>
            <w:shd w:val="clear" w:color="auto" w:fill="auto"/>
            <w:hideMark/>
          </w:tcPr>
          <w:p w14:paraId="5A51D877"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 xml:space="preserve">Head of </w:t>
            </w:r>
            <w:r>
              <w:rPr>
                <w:rFonts w:cs="Arial"/>
                <w:bCs/>
                <w:sz w:val="18"/>
                <w:szCs w:val="18"/>
                <w:lang w:val="en-US"/>
              </w:rPr>
              <w:t>Investor Relations</w:t>
            </w:r>
          </w:p>
        </w:tc>
        <w:tc>
          <w:tcPr>
            <w:tcW w:w="2015" w:type="dxa"/>
            <w:shd w:val="clear" w:color="auto" w:fill="auto"/>
            <w:hideMark/>
          </w:tcPr>
          <w:p w14:paraId="10EA3742"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Tel: +353 (0) 1 486 3308</w:t>
            </w:r>
          </w:p>
        </w:tc>
      </w:tr>
      <w:tr w:rsidR="00A11D98" w:rsidRPr="00A11D98" w14:paraId="3157CC89" w14:textId="77777777" w:rsidTr="00AA6C4D">
        <w:trPr>
          <w:jc w:val="center"/>
        </w:trPr>
        <w:tc>
          <w:tcPr>
            <w:tcW w:w="3544" w:type="dxa"/>
            <w:shd w:val="clear" w:color="auto" w:fill="auto"/>
          </w:tcPr>
          <w:p w14:paraId="085CDC65" w14:textId="77777777" w:rsidR="00A11D98" w:rsidRPr="00A11D98" w:rsidRDefault="00A11D98" w:rsidP="00A11D98">
            <w:pPr>
              <w:spacing w:line="240" w:lineRule="auto"/>
              <w:jc w:val="both"/>
              <w:rPr>
                <w:rFonts w:cs="Arial"/>
                <w:bCs/>
                <w:sz w:val="14"/>
                <w:szCs w:val="14"/>
                <w:lang w:val="en-US"/>
              </w:rPr>
            </w:pPr>
          </w:p>
        </w:tc>
        <w:tc>
          <w:tcPr>
            <w:tcW w:w="2410" w:type="dxa"/>
            <w:shd w:val="clear" w:color="auto" w:fill="auto"/>
          </w:tcPr>
          <w:p w14:paraId="6D7FBABF" w14:textId="77777777" w:rsidR="00A11D98" w:rsidRPr="00A11D98" w:rsidRDefault="00A11D98" w:rsidP="00A11D98">
            <w:pPr>
              <w:spacing w:line="240" w:lineRule="auto"/>
              <w:jc w:val="both"/>
              <w:rPr>
                <w:rFonts w:cs="Arial"/>
                <w:bCs/>
                <w:sz w:val="14"/>
                <w:szCs w:val="14"/>
                <w:lang w:val="en-US"/>
              </w:rPr>
            </w:pPr>
          </w:p>
        </w:tc>
        <w:tc>
          <w:tcPr>
            <w:tcW w:w="2015" w:type="dxa"/>
            <w:shd w:val="clear" w:color="auto" w:fill="auto"/>
          </w:tcPr>
          <w:p w14:paraId="582C2A18" w14:textId="77777777" w:rsidR="00A11D98" w:rsidRPr="00A11D98" w:rsidRDefault="00A11D98" w:rsidP="00A11D98">
            <w:pPr>
              <w:spacing w:line="240" w:lineRule="auto"/>
              <w:jc w:val="both"/>
              <w:rPr>
                <w:rFonts w:cs="Arial"/>
                <w:bCs/>
                <w:sz w:val="14"/>
                <w:szCs w:val="14"/>
                <w:lang w:val="en-US"/>
              </w:rPr>
            </w:pPr>
          </w:p>
        </w:tc>
      </w:tr>
      <w:tr w:rsidR="00A11D98" w14:paraId="3D017686" w14:textId="77777777" w:rsidTr="00AA6C4D">
        <w:trPr>
          <w:jc w:val="center"/>
        </w:trPr>
        <w:tc>
          <w:tcPr>
            <w:tcW w:w="3544" w:type="dxa"/>
            <w:shd w:val="clear" w:color="auto" w:fill="auto"/>
            <w:hideMark/>
          </w:tcPr>
          <w:p w14:paraId="104E7A3D" w14:textId="77777777" w:rsidR="00A11D98" w:rsidRPr="00E509A4" w:rsidRDefault="00A11D98" w:rsidP="00A11D98">
            <w:pPr>
              <w:spacing w:line="240" w:lineRule="auto"/>
              <w:jc w:val="both"/>
              <w:rPr>
                <w:rFonts w:cs="Arial"/>
                <w:bCs/>
                <w:sz w:val="18"/>
                <w:szCs w:val="18"/>
                <w:lang w:val="en-US"/>
              </w:rPr>
            </w:pPr>
          </w:p>
        </w:tc>
        <w:tc>
          <w:tcPr>
            <w:tcW w:w="2410" w:type="dxa"/>
            <w:shd w:val="clear" w:color="auto" w:fill="auto"/>
            <w:hideMark/>
          </w:tcPr>
          <w:p w14:paraId="2DB4412A" w14:textId="77777777" w:rsidR="00A11D98" w:rsidRPr="00E509A4" w:rsidRDefault="00A11D98" w:rsidP="00A11D98">
            <w:pPr>
              <w:spacing w:line="240" w:lineRule="auto"/>
              <w:jc w:val="both"/>
              <w:rPr>
                <w:rFonts w:cs="Arial"/>
                <w:bCs/>
                <w:sz w:val="18"/>
                <w:szCs w:val="18"/>
                <w:lang w:val="en-US"/>
              </w:rPr>
            </w:pPr>
          </w:p>
        </w:tc>
        <w:tc>
          <w:tcPr>
            <w:tcW w:w="2015" w:type="dxa"/>
            <w:shd w:val="clear" w:color="auto" w:fill="auto"/>
            <w:hideMark/>
          </w:tcPr>
          <w:p w14:paraId="7734BB46" w14:textId="77777777" w:rsidR="00A11D98" w:rsidRPr="00E509A4" w:rsidRDefault="00A11D98" w:rsidP="00A11D98">
            <w:pPr>
              <w:spacing w:line="240" w:lineRule="auto"/>
              <w:jc w:val="both"/>
              <w:rPr>
                <w:rFonts w:cs="Arial"/>
                <w:bCs/>
                <w:sz w:val="18"/>
                <w:szCs w:val="18"/>
                <w:lang w:val="en-US"/>
              </w:rPr>
            </w:pPr>
          </w:p>
        </w:tc>
      </w:tr>
      <w:tr w:rsidR="00A11D98" w14:paraId="04B4499C" w14:textId="77777777" w:rsidTr="00AA6C4D">
        <w:trPr>
          <w:jc w:val="center"/>
        </w:trPr>
        <w:tc>
          <w:tcPr>
            <w:tcW w:w="3544" w:type="dxa"/>
            <w:shd w:val="clear" w:color="auto" w:fill="auto"/>
            <w:hideMark/>
          </w:tcPr>
          <w:p w14:paraId="7C2CC386"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Rob Greening</w:t>
            </w:r>
            <w:r>
              <w:rPr>
                <w:rFonts w:cs="Arial"/>
                <w:bCs/>
                <w:sz w:val="18"/>
                <w:szCs w:val="18"/>
                <w:lang w:val="en-US"/>
              </w:rPr>
              <w:t>/ Nick Hayns/</w:t>
            </w:r>
            <w:r w:rsidRPr="00E509A4">
              <w:rPr>
                <w:rFonts w:cs="Arial"/>
                <w:bCs/>
                <w:sz w:val="18"/>
                <w:szCs w:val="18"/>
                <w:lang w:val="en-US"/>
              </w:rPr>
              <w:t xml:space="preserve"> Sam Austrums</w:t>
            </w:r>
          </w:p>
        </w:tc>
        <w:tc>
          <w:tcPr>
            <w:tcW w:w="2410" w:type="dxa"/>
            <w:shd w:val="clear" w:color="auto" w:fill="auto"/>
            <w:hideMark/>
          </w:tcPr>
          <w:p w14:paraId="5C55EB82"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Powerscourt</w:t>
            </w:r>
          </w:p>
        </w:tc>
        <w:tc>
          <w:tcPr>
            <w:tcW w:w="2015" w:type="dxa"/>
            <w:shd w:val="clear" w:color="auto" w:fill="auto"/>
            <w:hideMark/>
          </w:tcPr>
          <w:p w14:paraId="6738AF91"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Tel: +44 (0) 20 7250 1446</w:t>
            </w:r>
          </w:p>
        </w:tc>
      </w:tr>
      <w:tr w:rsidR="00A11D98" w14:paraId="4DAD765B" w14:textId="77777777" w:rsidTr="00AA6C4D">
        <w:trPr>
          <w:jc w:val="center"/>
        </w:trPr>
        <w:tc>
          <w:tcPr>
            <w:tcW w:w="3544" w:type="dxa"/>
            <w:shd w:val="clear" w:color="auto" w:fill="auto"/>
            <w:hideMark/>
          </w:tcPr>
          <w:p w14:paraId="1378A9C9"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Billy Murphy</w:t>
            </w:r>
            <w:r>
              <w:rPr>
                <w:rFonts w:cs="Arial"/>
                <w:bCs/>
                <w:sz w:val="18"/>
                <w:szCs w:val="18"/>
                <w:lang w:val="en-US"/>
              </w:rPr>
              <w:t xml:space="preserve">/ </w:t>
            </w:r>
            <w:r w:rsidRPr="00E509A4">
              <w:rPr>
                <w:rFonts w:cs="Arial"/>
                <w:bCs/>
                <w:sz w:val="18"/>
                <w:szCs w:val="18"/>
                <w:lang w:val="en-US"/>
              </w:rPr>
              <w:t>Louise Walsh</w:t>
            </w:r>
          </w:p>
        </w:tc>
        <w:tc>
          <w:tcPr>
            <w:tcW w:w="2410" w:type="dxa"/>
            <w:shd w:val="clear" w:color="auto" w:fill="auto"/>
            <w:hideMark/>
          </w:tcPr>
          <w:p w14:paraId="17163BC5"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 xml:space="preserve">Drury </w:t>
            </w:r>
            <w:r>
              <w:rPr>
                <w:rFonts w:cs="Arial"/>
                <w:bCs/>
                <w:sz w:val="18"/>
                <w:szCs w:val="18"/>
                <w:lang w:val="en-US"/>
              </w:rPr>
              <w:t>Communications</w:t>
            </w:r>
          </w:p>
        </w:tc>
        <w:tc>
          <w:tcPr>
            <w:tcW w:w="2015" w:type="dxa"/>
            <w:shd w:val="clear" w:color="auto" w:fill="auto"/>
            <w:hideMark/>
          </w:tcPr>
          <w:p w14:paraId="4AFFAD70" w14:textId="77777777" w:rsidR="00A11D98" w:rsidRPr="00E509A4" w:rsidRDefault="00A11D98" w:rsidP="00A11D98">
            <w:pPr>
              <w:spacing w:line="240" w:lineRule="auto"/>
              <w:jc w:val="both"/>
              <w:rPr>
                <w:rFonts w:cs="Arial"/>
                <w:bCs/>
                <w:sz w:val="18"/>
                <w:szCs w:val="18"/>
                <w:lang w:val="en-US"/>
              </w:rPr>
            </w:pPr>
            <w:r w:rsidRPr="00E509A4">
              <w:rPr>
                <w:rFonts w:cs="Arial"/>
                <w:bCs/>
                <w:sz w:val="18"/>
                <w:szCs w:val="18"/>
                <w:lang w:val="en-US"/>
              </w:rPr>
              <w:t>Tel: +353 (0) 1 260 5000</w:t>
            </w:r>
          </w:p>
        </w:tc>
      </w:tr>
    </w:tbl>
    <w:p w14:paraId="12A264A4" w14:textId="77777777" w:rsidR="00A11D98" w:rsidRPr="00FF4280" w:rsidRDefault="00A11D98" w:rsidP="00A11D98">
      <w:pPr>
        <w:jc w:val="both"/>
        <w:rPr>
          <w:rFonts w:cs="Arial"/>
          <w:sz w:val="18"/>
          <w:szCs w:val="18"/>
        </w:rPr>
      </w:pPr>
    </w:p>
    <w:p w14:paraId="44D05D5A" w14:textId="77777777" w:rsidR="000C55E6" w:rsidRDefault="000C55E6" w:rsidP="000C55E6"/>
    <w:p w14:paraId="089A1D5D" w14:textId="77777777" w:rsidR="000C55E6" w:rsidRPr="00A57C80" w:rsidRDefault="000C55E6" w:rsidP="000C55E6">
      <w:pPr>
        <w:rPr>
          <w:b/>
        </w:rPr>
      </w:pPr>
      <w:r w:rsidRPr="00A57C80">
        <w:rPr>
          <w:b/>
        </w:rPr>
        <w:t>Conference Call</w:t>
      </w:r>
    </w:p>
    <w:p w14:paraId="1B654032" w14:textId="2EDCF458" w:rsidR="000C55E6" w:rsidRDefault="000C55E6" w:rsidP="000C55E6">
      <w:r>
        <w:t xml:space="preserve">A conference call for investors and analysts will be held at 8.30am on </w:t>
      </w:r>
      <w:r w:rsidR="000C416E">
        <w:t>27</w:t>
      </w:r>
      <w:r>
        <w:t xml:space="preserve"> January 202</w:t>
      </w:r>
      <w:r w:rsidR="00FD14A3">
        <w:t>2</w:t>
      </w:r>
      <w:r>
        <w:t xml:space="preserve">.  Registration and dial in details are available at </w:t>
      </w:r>
      <w:r w:rsidR="00AA6C4D" w:rsidRPr="00AA6C4D">
        <w:t>www.greencore.com/investor-relations/</w:t>
      </w:r>
    </w:p>
    <w:p w14:paraId="3AB19D82" w14:textId="77777777" w:rsidR="00AA6C4D" w:rsidRDefault="00AA6C4D" w:rsidP="000C55E6"/>
    <w:p w14:paraId="003A0FE3" w14:textId="0F129E9A" w:rsidR="00A11D98" w:rsidRPr="00AA6C4D" w:rsidRDefault="00A11D98" w:rsidP="0085640F">
      <w:pPr>
        <w:jc w:val="both"/>
        <w:rPr>
          <w:sz w:val="18"/>
          <w:szCs w:val="18"/>
        </w:rPr>
      </w:pPr>
      <w:r w:rsidRPr="00AA6C4D">
        <w:rPr>
          <w:sz w:val="18"/>
          <w:szCs w:val="18"/>
          <w:vertAlign w:val="superscript"/>
        </w:rPr>
        <w:t xml:space="preserve">1 </w:t>
      </w:r>
      <w:r w:rsidR="00F626F1" w:rsidRPr="00F626F1">
        <w:rPr>
          <w:sz w:val="18"/>
          <w:szCs w:val="18"/>
        </w:rPr>
        <w:t>Pro</w:t>
      </w:r>
      <w:r w:rsidR="00F626F1">
        <w:rPr>
          <w:sz w:val="18"/>
          <w:szCs w:val="18"/>
        </w:rPr>
        <w:t xml:space="preserve"> F</w:t>
      </w:r>
      <w:r w:rsidR="00F626F1" w:rsidRPr="00F626F1">
        <w:rPr>
          <w:sz w:val="18"/>
          <w:szCs w:val="18"/>
        </w:rPr>
        <w:t xml:space="preserve">orma </w:t>
      </w:r>
      <w:r w:rsidR="00F626F1">
        <w:rPr>
          <w:sz w:val="18"/>
          <w:szCs w:val="18"/>
        </w:rPr>
        <w:t xml:space="preserve">Revenue Growth </w:t>
      </w:r>
      <w:r w:rsidR="00F626F1" w:rsidRPr="00F626F1">
        <w:rPr>
          <w:sz w:val="18"/>
          <w:szCs w:val="18"/>
        </w:rPr>
        <w:t>presents reported revenue on a constant currency basis. For the comparative pro</w:t>
      </w:r>
      <w:r w:rsidR="00F626F1">
        <w:rPr>
          <w:sz w:val="18"/>
          <w:szCs w:val="18"/>
        </w:rPr>
        <w:t xml:space="preserve"> </w:t>
      </w:r>
      <w:r w:rsidR="00F626F1" w:rsidRPr="00F626F1">
        <w:rPr>
          <w:sz w:val="18"/>
          <w:szCs w:val="18"/>
        </w:rPr>
        <w:t xml:space="preserve">forma revenue periods used for Q1 21, Q1 20 and Q1 19, reported revenue has also been </w:t>
      </w:r>
      <w:r w:rsidR="00F626F1" w:rsidRPr="00D574C7">
        <w:rPr>
          <w:sz w:val="18"/>
          <w:szCs w:val="18"/>
        </w:rPr>
        <w:t>adjusted</w:t>
      </w:r>
      <w:r w:rsidR="00F626F1" w:rsidRPr="00F626F1">
        <w:rPr>
          <w:sz w:val="18"/>
          <w:szCs w:val="18"/>
        </w:rPr>
        <w:t xml:space="preserve"> for the impact of acquisitions and disposals during those periods</w:t>
      </w:r>
      <w:r w:rsidR="00F626F1">
        <w:rPr>
          <w:sz w:val="18"/>
          <w:szCs w:val="18"/>
        </w:rPr>
        <w:t xml:space="preserve">. </w:t>
      </w:r>
    </w:p>
    <w:p w14:paraId="1819BA4A" w14:textId="2B9CB2E7" w:rsidR="000C55E6" w:rsidRPr="00AA6C4D" w:rsidRDefault="00A11D98" w:rsidP="0085640F">
      <w:pPr>
        <w:jc w:val="both"/>
        <w:rPr>
          <w:sz w:val="18"/>
          <w:szCs w:val="18"/>
        </w:rPr>
      </w:pPr>
      <w:r w:rsidRPr="00AA6C4D">
        <w:rPr>
          <w:sz w:val="18"/>
          <w:szCs w:val="18"/>
          <w:vertAlign w:val="superscript"/>
        </w:rPr>
        <w:t xml:space="preserve">2 </w:t>
      </w:r>
      <w:r w:rsidR="0085640F" w:rsidRPr="0085640F">
        <w:rPr>
          <w:sz w:val="18"/>
          <w:szCs w:val="18"/>
        </w:rPr>
        <w:t xml:space="preserve">Consensus market expectations as compiled by Greencore from available analyst estimates on </w:t>
      </w:r>
      <w:r w:rsidR="003A4C96">
        <w:rPr>
          <w:sz w:val="18"/>
          <w:szCs w:val="18"/>
        </w:rPr>
        <w:t>13</w:t>
      </w:r>
      <w:r w:rsidR="0085640F">
        <w:rPr>
          <w:sz w:val="18"/>
          <w:szCs w:val="18"/>
        </w:rPr>
        <w:t xml:space="preserve"> January 2022 </w:t>
      </w:r>
      <w:r w:rsidR="0085640F" w:rsidRPr="0085640F">
        <w:rPr>
          <w:sz w:val="18"/>
          <w:szCs w:val="18"/>
        </w:rPr>
        <w:t>and as reported in the Investor Relations section of the Group website.</w:t>
      </w:r>
    </w:p>
    <w:p w14:paraId="344D4824" w14:textId="77777777" w:rsidR="00AA6C4D" w:rsidRDefault="00AA6C4D" w:rsidP="003550A6">
      <w:pPr>
        <w:rPr>
          <w:b/>
          <w:bCs/>
          <w:lang w:bidi="en-GB"/>
        </w:rPr>
      </w:pPr>
    </w:p>
    <w:p w14:paraId="72AD966C" w14:textId="164D734F" w:rsidR="003550A6" w:rsidRPr="003550A6" w:rsidRDefault="003550A6" w:rsidP="003550A6">
      <w:pPr>
        <w:rPr>
          <w:b/>
          <w:bCs/>
          <w:lang w:bidi="en-GB"/>
        </w:rPr>
      </w:pPr>
      <w:r w:rsidRPr="003550A6">
        <w:rPr>
          <w:b/>
          <w:bCs/>
          <w:lang w:bidi="en-GB"/>
        </w:rPr>
        <w:t xml:space="preserve">About Greencore </w:t>
      </w:r>
    </w:p>
    <w:p w14:paraId="63FCE767" w14:textId="77777777" w:rsidR="003550A6" w:rsidRPr="003550A6" w:rsidRDefault="003550A6" w:rsidP="000C416E">
      <w:pPr>
        <w:jc w:val="both"/>
        <w:rPr>
          <w:lang w:bidi="en-GB"/>
        </w:rPr>
      </w:pPr>
      <w:r w:rsidRPr="003550A6">
        <w:rPr>
          <w:lang w:bidi="en-GB"/>
        </w:rPr>
        <w:t xml:space="preserve">We are a leading manufacturer of convenience food in the UK and our purpose is to make every day taste better. We supply all of the major supermarkets in the UK. We also supply convenience and travel retail outlets, discounters, coffee shops, foodservice and other retailers. We have strong market positions in a range of categories including sandwiches, salads, sushi, chilled snacking, chilled ready meals, chilled soups and sauces, chilled quiche, ambient sauces and pickles, and frozen Yorkshire Puddings. </w:t>
      </w:r>
    </w:p>
    <w:p w14:paraId="3BFB8F5C" w14:textId="77777777" w:rsidR="003550A6" w:rsidRPr="003550A6" w:rsidRDefault="003550A6" w:rsidP="000C416E">
      <w:pPr>
        <w:jc w:val="both"/>
        <w:rPr>
          <w:lang w:bidi="en-GB"/>
        </w:rPr>
      </w:pPr>
      <w:bookmarkStart w:id="1" w:name="_Hlk87868870"/>
      <w:r w:rsidRPr="003550A6">
        <w:rPr>
          <w:lang w:bidi="en-GB"/>
        </w:rPr>
        <w:t>In FY21 we manufactured 645m sandwiches and other food to go products, 117m chilled prepared meals, and 256m bottles of cooking sauces, pickles and condiments. We carry out more than 10,500 direct to store deliveries each day. We have 21 world-class manufacturing units across 16 locations in the UK, with industry-leading technology and supply chain capabilities. We generated revenues of £1.3bn in FY21 and employ approximately 13,000 people. We are headquartered in Dublin, Ireland.</w:t>
      </w:r>
    </w:p>
    <w:bookmarkEnd w:id="1"/>
    <w:p w14:paraId="69432310" w14:textId="77777777" w:rsidR="003550A6" w:rsidRPr="003550A6" w:rsidRDefault="003550A6" w:rsidP="000C416E">
      <w:pPr>
        <w:jc w:val="both"/>
        <w:rPr>
          <w:lang w:bidi="en-GB"/>
        </w:rPr>
      </w:pPr>
      <w:r w:rsidRPr="003550A6">
        <w:rPr>
          <w:lang w:bidi="en-GB"/>
        </w:rPr>
        <w:t>For further information go to greencore.com or follow Greencore on social media.</w:t>
      </w:r>
    </w:p>
    <w:p w14:paraId="76E9098A" w14:textId="651FE180" w:rsidR="003550A6" w:rsidRDefault="003550A6"/>
    <w:p w14:paraId="43F54047" w14:textId="77777777" w:rsidR="003550A6" w:rsidRPr="003550A6" w:rsidRDefault="003550A6" w:rsidP="003550A6">
      <w:pPr>
        <w:rPr>
          <w:lang w:bidi="en-GB"/>
        </w:rPr>
      </w:pPr>
      <w:r w:rsidRPr="003550A6">
        <w:rPr>
          <w:b/>
          <w:bCs/>
          <w:lang w:bidi="en-GB"/>
        </w:rPr>
        <w:t>Forward‐looking statements</w:t>
      </w:r>
    </w:p>
    <w:p w14:paraId="6C4F2EE2" w14:textId="664304ED" w:rsidR="003550A6" w:rsidRDefault="003550A6" w:rsidP="003550A6">
      <w:pPr>
        <w:jc w:val="both"/>
        <w:rPr>
          <w:bCs/>
          <w:lang w:bidi="en-GB"/>
        </w:rPr>
      </w:pPr>
      <w:r w:rsidRPr="003550A6">
        <w:rPr>
          <w:bCs/>
          <w:lang w:bidi="en-GB"/>
        </w:rPr>
        <w:t>This announcement is based on information sourced from unaudited management accounts.</w:t>
      </w:r>
    </w:p>
    <w:p w14:paraId="32AFB6AA" w14:textId="1901921D" w:rsidR="003550A6" w:rsidRPr="003550A6" w:rsidRDefault="003550A6" w:rsidP="003550A6">
      <w:pPr>
        <w:jc w:val="both"/>
        <w:rPr>
          <w:bCs/>
          <w:lang w:val="en-IE"/>
        </w:rPr>
      </w:pPr>
      <w:r w:rsidRPr="003550A6">
        <w:rPr>
          <w:bCs/>
          <w:lang w:bidi="en-GB"/>
        </w:rPr>
        <w:t xml:space="preserve">Certain statements made in this document are forward‐looking.  These represent expectations for the Group’s business, and involve known and unknown risks and uncertainties, many of which are beyond the Group’s control.  The Group has based these forward‐looking statements on current expectations and projections about future events based on information currently available to the Group.  These forward-looking statements include all statements that are not historical facts and may generally, but not always, be identified by the use of words such as ‘will’, ‘aims’, achieves’, ‘anticipates’, ‘continue’, ‘could’, ‘develop’, ‘should’, ‘expects’, ‘is expected to’, ‘may’, maintain’, ‘grow’, ‘estimates’, ‘ensure’, ‘believes’, ‘intends’, ‘projects’, ‘sustain’, ‘targets’, or the negative thereof, or similar future or conditional expressions.  </w:t>
      </w:r>
    </w:p>
    <w:p w14:paraId="19FF6D8E" w14:textId="77777777" w:rsidR="003550A6" w:rsidRPr="003550A6" w:rsidRDefault="003550A6" w:rsidP="003550A6">
      <w:pPr>
        <w:jc w:val="both"/>
        <w:rPr>
          <w:bCs/>
          <w:lang w:bidi="en-GB"/>
        </w:rPr>
      </w:pPr>
      <w:r w:rsidRPr="003550A6">
        <w:rPr>
          <w:bCs/>
          <w:lang w:bidi="en-GB"/>
        </w:rPr>
        <w:lastRenderedPageBreak/>
        <w:t>By their nature, forward-looking statements involve risk and uncertainty because they relate to events and depend on circumstances that may or may not occur in the future and reflect the Group's current expectations and assumptions as to such future events and circumstances that may not prove accurate. A number of material factors could cause actual results and developments to differ materially from those expressed or implied by forward-looking statements. There may be risks and uncertainties that the Group is unable to predict at this time or that the Group currently does not expect to have a material adverse effect on its business. You should not place undue reliance on any forward-looking statements. These forward-looking statements are made as of the date of this announcement. The Group expressly disclaims any obligation to publicly update or review these forward-looking statements other than as required by law.</w:t>
      </w:r>
    </w:p>
    <w:p w14:paraId="131ADAC6" w14:textId="77777777" w:rsidR="003550A6" w:rsidRDefault="003550A6"/>
    <w:sectPr w:rsidR="003550A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0D3D7" w14:textId="77777777" w:rsidR="00C21074" w:rsidRDefault="00C21074" w:rsidP="00D02495">
      <w:pPr>
        <w:spacing w:after="0" w:line="240" w:lineRule="auto"/>
      </w:pPr>
      <w:r>
        <w:separator/>
      </w:r>
    </w:p>
  </w:endnote>
  <w:endnote w:type="continuationSeparator" w:id="0">
    <w:p w14:paraId="4051C32B" w14:textId="77777777" w:rsidR="00C21074" w:rsidRDefault="00C21074" w:rsidP="00D0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3C91" w14:textId="77777777" w:rsidR="00D02495" w:rsidRDefault="00D02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35751" w14:textId="77777777" w:rsidR="00D02495" w:rsidRDefault="00D02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4D6" w14:textId="77777777" w:rsidR="00D02495" w:rsidRDefault="00D02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B2BD" w14:textId="77777777" w:rsidR="00C21074" w:rsidRDefault="00C21074" w:rsidP="00D02495">
      <w:pPr>
        <w:spacing w:after="0" w:line="240" w:lineRule="auto"/>
      </w:pPr>
      <w:r>
        <w:separator/>
      </w:r>
    </w:p>
  </w:footnote>
  <w:footnote w:type="continuationSeparator" w:id="0">
    <w:p w14:paraId="286324D3" w14:textId="77777777" w:rsidR="00C21074" w:rsidRDefault="00C21074" w:rsidP="00D02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E130" w14:textId="77777777" w:rsidR="00D02495" w:rsidRDefault="00D02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47F0" w14:textId="26B6EF92" w:rsidR="00D02495" w:rsidRDefault="00D02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CD76" w14:textId="77777777" w:rsidR="00D02495" w:rsidRDefault="00D02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D7AD3"/>
    <w:multiLevelType w:val="hybridMultilevel"/>
    <w:tmpl w:val="037E58C0"/>
    <w:lvl w:ilvl="0" w:tplc="FFFFFFF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25B94"/>
    <w:multiLevelType w:val="hybridMultilevel"/>
    <w:tmpl w:val="168409F8"/>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15:restartNumberingAfterBreak="0">
    <w:nsid w:val="265B30E0"/>
    <w:multiLevelType w:val="hybridMultilevel"/>
    <w:tmpl w:val="878A2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97AD9"/>
    <w:multiLevelType w:val="hybridMultilevel"/>
    <w:tmpl w:val="664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2607D"/>
    <w:multiLevelType w:val="hybridMultilevel"/>
    <w:tmpl w:val="BBA8D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033F77"/>
    <w:multiLevelType w:val="hybridMultilevel"/>
    <w:tmpl w:val="04D25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B356B50"/>
    <w:multiLevelType w:val="hybridMultilevel"/>
    <w:tmpl w:val="B6B4CF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E6"/>
    <w:rsid w:val="0000104A"/>
    <w:rsid w:val="000210BB"/>
    <w:rsid w:val="00023235"/>
    <w:rsid w:val="00050BDD"/>
    <w:rsid w:val="00080320"/>
    <w:rsid w:val="000872D8"/>
    <w:rsid w:val="00093B4B"/>
    <w:rsid w:val="000B2BAA"/>
    <w:rsid w:val="000C416E"/>
    <w:rsid w:val="000C55E6"/>
    <w:rsid w:val="000F37C3"/>
    <w:rsid w:val="001059A1"/>
    <w:rsid w:val="0010600E"/>
    <w:rsid w:val="00165F46"/>
    <w:rsid w:val="00193E30"/>
    <w:rsid w:val="00195FD3"/>
    <w:rsid w:val="001D29C1"/>
    <w:rsid w:val="00201B0E"/>
    <w:rsid w:val="00202D95"/>
    <w:rsid w:val="00205ED0"/>
    <w:rsid w:val="002335BE"/>
    <w:rsid w:val="002358F4"/>
    <w:rsid w:val="00282E0D"/>
    <w:rsid w:val="00285AED"/>
    <w:rsid w:val="002D3706"/>
    <w:rsid w:val="00315BF3"/>
    <w:rsid w:val="00320F92"/>
    <w:rsid w:val="003241A5"/>
    <w:rsid w:val="0032442D"/>
    <w:rsid w:val="003550A6"/>
    <w:rsid w:val="00366435"/>
    <w:rsid w:val="0039586A"/>
    <w:rsid w:val="003A4C96"/>
    <w:rsid w:val="003D4891"/>
    <w:rsid w:val="003E0D05"/>
    <w:rsid w:val="003F52E5"/>
    <w:rsid w:val="003F7063"/>
    <w:rsid w:val="00403C85"/>
    <w:rsid w:val="0040662E"/>
    <w:rsid w:val="00422362"/>
    <w:rsid w:val="00432D05"/>
    <w:rsid w:val="00434854"/>
    <w:rsid w:val="004414CA"/>
    <w:rsid w:val="004447B2"/>
    <w:rsid w:val="00482E99"/>
    <w:rsid w:val="004A36A2"/>
    <w:rsid w:val="004C39AE"/>
    <w:rsid w:val="00511C9A"/>
    <w:rsid w:val="00525A4A"/>
    <w:rsid w:val="00542658"/>
    <w:rsid w:val="00543C52"/>
    <w:rsid w:val="00547B81"/>
    <w:rsid w:val="00556008"/>
    <w:rsid w:val="00582EC7"/>
    <w:rsid w:val="005B3646"/>
    <w:rsid w:val="005D65FC"/>
    <w:rsid w:val="005E27A0"/>
    <w:rsid w:val="00625F4D"/>
    <w:rsid w:val="0064553C"/>
    <w:rsid w:val="00650746"/>
    <w:rsid w:val="0068015A"/>
    <w:rsid w:val="00692AF1"/>
    <w:rsid w:val="006A10E8"/>
    <w:rsid w:val="006E69D6"/>
    <w:rsid w:val="007041A0"/>
    <w:rsid w:val="007826B9"/>
    <w:rsid w:val="007C5FC8"/>
    <w:rsid w:val="007D256B"/>
    <w:rsid w:val="007F64E7"/>
    <w:rsid w:val="0081682F"/>
    <w:rsid w:val="00820208"/>
    <w:rsid w:val="0085640F"/>
    <w:rsid w:val="00880052"/>
    <w:rsid w:val="008874BC"/>
    <w:rsid w:val="008B0897"/>
    <w:rsid w:val="008B6EF2"/>
    <w:rsid w:val="008B7D3B"/>
    <w:rsid w:val="008C4396"/>
    <w:rsid w:val="008D4933"/>
    <w:rsid w:val="008E531B"/>
    <w:rsid w:val="0091496C"/>
    <w:rsid w:val="00920903"/>
    <w:rsid w:val="00943E54"/>
    <w:rsid w:val="00954357"/>
    <w:rsid w:val="00963D7B"/>
    <w:rsid w:val="00963FF3"/>
    <w:rsid w:val="00977000"/>
    <w:rsid w:val="00983105"/>
    <w:rsid w:val="00991FA4"/>
    <w:rsid w:val="009E0BD1"/>
    <w:rsid w:val="009E5479"/>
    <w:rsid w:val="009F4F74"/>
    <w:rsid w:val="00A11D98"/>
    <w:rsid w:val="00A166F8"/>
    <w:rsid w:val="00A3700B"/>
    <w:rsid w:val="00A45F3D"/>
    <w:rsid w:val="00A468F3"/>
    <w:rsid w:val="00A9092F"/>
    <w:rsid w:val="00AA6C4D"/>
    <w:rsid w:val="00AB35FC"/>
    <w:rsid w:val="00AD0035"/>
    <w:rsid w:val="00B27345"/>
    <w:rsid w:val="00B34215"/>
    <w:rsid w:val="00B5607C"/>
    <w:rsid w:val="00BA27DA"/>
    <w:rsid w:val="00BA4C24"/>
    <w:rsid w:val="00BB41FF"/>
    <w:rsid w:val="00BF69F9"/>
    <w:rsid w:val="00C15AAA"/>
    <w:rsid w:val="00C21074"/>
    <w:rsid w:val="00C57B7D"/>
    <w:rsid w:val="00C75D4D"/>
    <w:rsid w:val="00CB6799"/>
    <w:rsid w:val="00CC35B1"/>
    <w:rsid w:val="00CC5126"/>
    <w:rsid w:val="00CE4D02"/>
    <w:rsid w:val="00CF6627"/>
    <w:rsid w:val="00D02495"/>
    <w:rsid w:val="00D22D03"/>
    <w:rsid w:val="00D470C2"/>
    <w:rsid w:val="00D574C7"/>
    <w:rsid w:val="00D85F9F"/>
    <w:rsid w:val="00D877FB"/>
    <w:rsid w:val="00D933A6"/>
    <w:rsid w:val="00DB0ED6"/>
    <w:rsid w:val="00E144E9"/>
    <w:rsid w:val="00E22704"/>
    <w:rsid w:val="00E3664A"/>
    <w:rsid w:val="00E75412"/>
    <w:rsid w:val="00E77097"/>
    <w:rsid w:val="00EA6CD9"/>
    <w:rsid w:val="00EF2347"/>
    <w:rsid w:val="00F626F1"/>
    <w:rsid w:val="00F64C2D"/>
    <w:rsid w:val="00F87E3B"/>
    <w:rsid w:val="00FD14A3"/>
    <w:rsid w:val="00FD1BCD"/>
    <w:rsid w:val="00FF3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689AF"/>
  <w15:chartTrackingRefBased/>
  <w15:docId w15:val="{1D265235-8A8D-4017-A102-2F4DBF74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C55E6"/>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paragraph" w:styleId="ListParagraph">
    <w:name w:val="List Paragraph"/>
    <w:basedOn w:val="Normal"/>
    <w:uiPriority w:val="34"/>
    <w:qFormat/>
    <w:rsid w:val="000C55E6"/>
    <w:pPr>
      <w:ind w:left="720"/>
      <w:contextualSpacing/>
    </w:pPr>
  </w:style>
  <w:style w:type="paragraph" w:styleId="Header">
    <w:name w:val="header"/>
    <w:basedOn w:val="Normal"/>
    <w:link w:val="HeaderChar"/>
    <w:uiPriority w:val="99"/>
    <w:unhideWhenUsed/>
    <w:rsid w:val="00D02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495"/>
  </w:style>
  <w:style w:type="paragraph" w:styleId="Footer">
    <w:name w:val="footer"/>
    <w:basedOn w:val="Normal"/>
    <w:link w:val="FooterChar"/>
    <w:uiPriority w:val="99"/>
    <w:unhideWhenUsed/>
    <w:rsid w:val="00D02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2495"/>
  </w:style>
  <w:style w:type="character" w:styleId="CommentReference">
    <w:name w:val="annotation reference"/>
    <w:basedOn w:val="DefaultParagraphFont"/>
    <w:uiPriority w:val="99"/>
    <w:semiHidden/>
    <w:unhideWhenUsed/>
    <w:rsid w:val="00D02495"/>
    <w:rPr>
      <w:sz w:val="16"/>
      <w:szCs w:val="16"/>
    </w:rPr>
  </w:style>
  <w:style w:type="paragraph" w:styleId="CommentText">
    <w:name w:val="annotation text"/>
    <w:basedOn w:val="Normal"/>
    <w:link w:val="CommentTextChar"/>
    <w:uiPriority w:val="99"/>
    <w:semiHidden/>
    <w:unhideWhenUsed/>
    <w:rsid w:val="00D02495"/>
    <w:pPr>
      <w:spacing w:line="240" w:lineRule="auto"/>
    </w:pPr>
    <w:rPr>
      <w:sz w:val="20"/>
      <w:szCs w:val="20"/>
    </w:rPr>
  </w:style>
  <w:style w:type="character" w:customStyle="1" w:styleId="CommentTextChar">
    <w:name w:val="Comment Text Char"/>
    <w:basedOn w:val="DefaultParagraphFont"/>
    <w:link w:val="CommentText"/>
    <w:uiPriority w:val="99"/>
    <w:semiHidden/>
    <w:rsid w:val="00D02495"/>
    <w:rPr>
      <w:sz w:val="20"/>
      <w:szCs w:val="20"/>
    </w:rPr>
  </w:style>
  <w:style w:type="paragraph" w:styleId="CommentSubject">
    <w:name w:val="annotation subject"/>
    <w:basedOn w:val="CommentText"/>
    <w:next w:val="CommentText"/>
    <w:link w:val="CommentSubjectChar"/>
    <w:uiPriority w:val="99"/>
    <w:semiHidden/>
    <w:unhideWhenUsed/>
    <w:rsid w:val="00D02495"/>
    <w:rPr>
      <w:b/>
      <w:bCs/>
    </w:rPr>
  </w:style>
  <w:style w:type="character" w:customStyle="1" w:styleId="CommentSubjectChar">
    <w:name w:val="Comment Subject Char"/>
    <w:basedOn w:val="CommentTextChar"/>
    <w:link w:val="CommentSubject"/>
    <w:uiPriority w:val="99"/>
    <w:semiHidden/>
    <w:rsid w:val="00D02495"/>
    <w:rPr>
      <w:b/>
      <w:bCs/>
      <w:sz w:val="20"/>
      <w:szCs w:val="20"/>
    </w:rPr>
  </w:style>
  <w:style w:type="character" w:styleId="Hyperlink">
    <w:name w:val="Hyperlink"/>
    <w:basedOn w:val="DefaultParagraphFont"/>
    <w:uiPriority w:val="99"/>
    <w:unhideWhenUsed/>
    <w:rsid w:val="00AA6C4D"/>
    <w:rPr>
      <w:color w:val="0563C1" w:themeColor="hyperlink"/>
      <w:u w:val="single"/>
    </w:rPr>
  </w:style>
  <w:style w:type="character" w:styleId="UnresolvedMention">
    <w:name w:val="Unresolved Mention"/>
    <w:basedOn w:val="DefaultParagraphFont"/>
    <w:uiPriority w:val="99"/>
    <w:semiHidden/>
    <w:unhideWhenUsed/>
    <w:rsid w:val="00AA6C4D"/>
    <w:rPr>
      <w:color w:val="605E5C"/>
      <w:shd w:val="clear" w:color="auto" w:fill="E1DFDD"/>
    </w:rPr>
  </w:style>
  <w:style w:type="paragraph" w:styleId="Revision">
    <w:name w:val="Revision"/>
    <w:hidden/>
    <w:uiPriority w:val="99"/>
    <w:semiHidden/>
    <w:rsid w:val="000803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8691">
      <w:bodyDiv w:val="1"/>
      <w:marLeft w:val="0"/>
      <w:marRight w:val="0"/>
      <w:marTop w:val="0"/>
      <w:marBottom w:val="0"/>
      <w:divBdr>
        <w:top w:val="none" w:sz="0" w:space="0" w:color="auto"/>
        <w:left w:val="none" w:sz="0" w:space="0" w:color="auto"/>
        <w:bottom w:val="none" w:sz="0" w:space="0" w:color="auto"/>
        <w:right w:val="none" w:sz="0" w:space="0" w:color="auto"/>
      </w:divBdr>
    </w:div>
    <w:div w:id="177597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Gorman</dc:creator>
  <cp:keywords/>
  <dc:description/>
  <cp:lastModifiedBy>Alison Odea</cp:lastModifiedBy>
  <cp:revision>6</cp:revision>
  <cp:lastPrinted>2022-01-26T11:20:00Z</cp:lastPrinted>
  <dcterms:created xsi:type="dcterms:W3CDTF">2022-01-26T15:03:00Z</dcterms:created>
  <dcterms:modified xsi:type="dcterms:W3CDTF">2022-01-26T21:07:00Z</dcterms:modified>
</cp:coreProperties>
</file>