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61E6" w14:textId="1592705F" w:rsidR="00F52596" w:rsidRPr="00BD1A2B" w:rsidRDefault="00637E7A" w:rsidP="00F52596">
      <w:pPr>
        <w:rPr>
          <w:b/>
        </w:rPr>
      </w:pPr>
      <w:r>
        <w:t>26</w:t>
      </w:r>
      <w:r w:rsidR="00F52596">
        <w:t xml:space="preserve"> </w:t>
      </w:r>
      <w:r>
        <w:t xml:space="preserve">July </w:t>
      </w:r>
      <w:r w:rsidR="00F52596">
        <w:t>2022</w:t>
      </w:r>
    </w:p>
    <w:p w14:paraId="7BB5AB2A" w14:textId="77777777" w:rsidR="00F52596" w:rsidRPr="00A57C80" w:rsidRDefault="00F52596" w:rsidP="00F52596">
      <w:pPr>
        <w:jc w:val="center"/>
        <w:rPr>
          <w:b/>
        </w:rPr>
      </w:pPr>
      <w:r w:rsidRPr="00A57C80">
        <w:rPr>
          <w:b/>
        </w:rPr>
        <w:t>Greencore Group plc</w:t>
      </w:r>
    </w:p>
    <w:p w14:paraId="03746658" w14:textId="6BDE9EA9" w:rsidR="00F52596" w:rsidRPr="00A57C80" w:rsidRDefault="000B15DC" w:rsidP="00F52596">
      <w:pPr>
        <w:jc w:val="center"/>
        <w:rPr>
          <w:b/>
        </w:rPr>
      </w:pPr>
      <w:r>
        <w:rPr>
          <w:b/>
        </w:rPr>
        <w:t>Q3</w:t>
      </w:r>
      <w:r w:rsidR="00602423">
        <w:rPr>
          <w:b/>
        </w:rPr>
        <w:t xml:space="preserve"> </w:t>
      </w:r>
      <w:r w:rsidR="003A1DAD">
        <w:rPr>
          <w:b/>
        </w:rPr>
        <w:t xml:space="preserve">pro forma </w:t>
      </w:r>
      <w:r w:rsidR="00546CC0">
        <w:rPr>
          <w:b/>
        </w:rPr>
        <w:t>revenue</w:t>
      </w:r>
      <w:r w:rsidR="001E7807">
        <w:rPr>
          <w:b/>
        </w:rPr>
        <w:t xml:space="preserve"> up </w:t>
      </w:r>
      <w:r w:rsidR="003A1DAD">
        <w:rPr>
          <w:b/>
        </w:rPr>
        <w:t>25.8</w:t>
      </w:r>
      <w:r w:rsidR="001E7807">
        <w:rPr>
          <w:b/>
        </w:rPr>
        <w:t>%</w:t>
      </w:r>
      <w:r w:rsidR="00546CC0">
        <w:rPr>
          <w:b/>
        </w:rPr>
        <w:t xml:space="preserve">; </w:t>
      </w:r>
      <w:r w:rsidR="00452A57">
        <w:rPr>
          <w:b/>
        </w:rPr>
        <w:t xml:space="preserve">on track for strong </w:t>
      </w:r>
      <w:r w:rsidR="003A1DAD">
        <w:rPr>
          <w:b/>
        </w:rPr>
        <w:t xml:space="preserve">earnings </w:t>
      </w:r>
      <w:r w:rsidR="00452A57">
        <w:rPr>
          <w:b/>
        </w:rPr>
        <w:t xml:space="preserve">growth in FY22 </w:t>
      </w:r>
    </w:p>
    <w:p w14:paraId="73AC4BDA" w14:textId="22CA9382" w:rsidR="004375EA" w:rsidRDefault="00F52596" w:rsidP="006F48B3">
      <w:pPr>
        <w:jc w:val="both"/>
      </w:pPr>
      <w:r>
        <w:t>Greencore Group plc (“Greencore” or the “Group”), a leading manufacturer of convenience foods in the UK</w:t>
      </w:r>
      <w:r w:rsidR="004F78A3">
        <w:t>,</w:t>
      </w:r>
      <w:r w:rsidR="006F48B3">
        <w:t xml:space="preserve"> </w:t>
      </w:r>
      <w:r w:rsidR="00F226B3" w:rsidRPr="00F226B3">
        <w:t xml:space="preserve">today issues a trading update covering the </w:t>
      </w:r>
      <w:r w:rsidR="00E17DFD">
        <w:t>14</w:t>
      </w:r>
      <w:r w:rsidR="00F226B3" w:rsidRPr="00F226B3">
        <w:t xml:space="preserve"> weeks from </w:t>
      </w:r>
      <w:r w:rsidR="007C6852">
        <w:t>25</w:t>
      </w:r>
      <w:r w:rsidR="00F226B3" w:rsidRPr="00F226B3">
        <w:t xml:space="preserve"> March 202</w:t>
      </w:r>
      <w:r w:rsidR="009519AB">
        <w:t>2</w:t>
      </w:r>
      <w:r w:rsidR="00F226B3" w:rsidRPr="00F226B3">
        <w:t xml:space="preserve"> to </w:t>
      </w:r>
      <w:r w:rsidR="007C6852">
        <w:t>1 July</w:t>
      </w:r>
      <w:r w:rsidR="00F226B3" w:rsidRPr="00F226B3">
        <w:t xml:space="preserve"> </w:t>
      </w:r>
      <w:r w:rsidR="009519AB">
        <w:t xml:space="preserve">2022 </w:t>
      </w:r>
      <w:r w:rsidR="00F226B3" w:rsidRPr="00F226B3">
        <w:t>(“Q3” or “the quarter”).</w:t>
      </w:r>
    </w:p>
    <w:p w14:paraId="11A4C7A1" w14:textId="69FD2475" w:rsidR="00822D13" w:rsidRDefault="00822D13" w:rsidP="006F48B3">
      <w:pPr>
        <w:jc w:val="both"/>
      </w:pPr>
    </w:p>
    <w:p w14:paraId="5D11FDF3" w14:textId="68FBFF02" w:rsidR="00A061A2" w:rsidRPr="0030738F" w:rsidRDefault="00A061A2" w:rsidP="00A061A2">
      <w:pPr>
        <w:rPr>
          <w:b/>
        </w:rPr>
      </w:pPr>
      <w:r w:rsidRPr="0030738F">
        <w:rPr>
          <w:b/>
        </w:rPr>
        <w:t xml:space="preserve">Q3 Trading </w:t>
      </w:r>
      <w:r w:rsidR="00324078">
        <w:rPr>
          <w:b/>
          <w:vertAlign w:val="superscript"/>
        </w:rPr>
        <w:t>1</w:t>
      </w: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5"/>
        <w:gridCol w:w="1356"/>
        <w:gridCol w:w="1220"/>
        <w:gridCol w:w="1220"/>
        <w:gridCol w:w="1220"/>
        <w:gridCol w:w="1221"/>
      </w:tblGrid>
      <w:tr w:rsidR="00A061A2" w:rsidRPr="00F83316" w14:paraId="15AF7A8E" w14:textId="77777777" w:rsidTr="00A061A2">
        <w:trPr>
          <w:trHeight w:val="264"/>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82C25" w14:textId="77777777" w:rsidR="00A061A2" w:rsidRPr="00F83316" w:rsidRDefault="00A061A2" w:rsidP="000E1412">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69D24B40" w14:textId="77777777" w:rsidR="00A061A2" w:rsidRPr="00F83316" w:rsidRDefault="00A061A2" w:rsidP="000E1412">
            <w:pPr>
              <w:pStyle w:val="Body"/>
              <w:spacing w:after="0" w:line="240" w:lineRule="auto"/>
              <w:jc w:val="center"/>
              <w:rPr>
                <w:b/>
                <w:bCs/>
                <w:sz w:val="20"/>
                <w:szCs w:val="20"/>
              </w:rPr>
            </w:pPr>
            <w:r>
              <w:rPr>
                <w:b/>
                <w:bCs/>
                <w:sz w:val="20"/>
                <w:szCs w:val="20"/>
              </w:rPr>
              <w:t>Revenue</w:t>
            </w:r>
          </w:p>
        </w:tc>
        <w:tc>
          <w:tcPr>
            <w:tcW w:w="488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DBEDA" w14:textId="500DBDED" w:rsidR="00A061A2" w:rsidRPr="00F83316" w:rsidRDefault="00A061A2" w:rsidP="000E1412">
            <w:pPr>
              <w:pStyle w:val="Body"/>
              <w:spacing w:after="0" w:line="240" w:lineRule="auto"/>
              <w:jc w:val="center"/>
              <w:rPr>
                <w:sz w:val="20"/>
                <w:szCs w:val="20"/>
              </w:rPr>
            </w:pPr>
            <w:r w:rsidRPr="00F83316">
              <w:rPr>
                <w:b/>
                <w:bCs/>
                <w:sz w:val="20"/>
                <w:szCs w:val="20"/>
              </w:rPr>
              <w:t>Revenue Growth</w:t>
            </w:r>
            <w:r>
              <w:rPr>
                <w:b/>
                <w:bCs/>
                <w:sz w:val="20"/>
                <w:szCs w:val="20"/>
              </w:rPr>
              <w:t xml:space="preserve"> (versus FY2</w:t>
            </w:r>
            <w:r w:rsidR="00321335">
              <w:rPr>
                <w:b/>
                <w:bCs/>
                <w:sz w:val="20"/>
                <w:szCs w:val="20"/>
              </w:rPr>
              <w:t>1</w:t>
            </w:r>
            <w:r>
              <w:rPr>
                <w:b/>
                <w:bCs/>
                <w:sz w:val="20"/>
                <w:szCs w:val="20"/>
              </w:rPr>
              <w:t>)</w:t>
            </w:r>
          </w:p>
        </w:tc>
      </w:tr>
      <w:tr w:rsidR="00A061A2" w:rsidRPr="00F83316" w14:paraId="6C36C8EB" w14:textId="77777777" w:rsidTr="00822D13">
        <w:trPr>
          <w:trHeight w:val="54"/>
        </w:trPr>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07FD4666" w14:textId="77777777" w:rsidR="00A061A2" w:rsidRPr="00F83316" w:rsidRDefault="00A061A2" w:rsidP="000E1412">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1A825BFF" w14:textId="77777777" w:rsidR="00A061A2" w:rsidRPr="00F83316" w:rsidRDefault="00A061A2" w:rsidP="000E1412">
            <w:pPr>
              <w:pStyle w:val="Body"/>
              <w:spacing w:after="0" w:line="240" w:lineRule="auto"/>
              <w:jc w:val="center"/>
              <w:rPr>
                <w:b/>
                <w:bCs/>
                <w:sz w:val="20"/>
                <w:szCs w:val="20"/>
              </w:rPr>
            </w:pPr>
            <w:r>
              <w:rPr>
                <w:b/>
                <w:bCs/>
                <w:sz w:val="20"/>
                <w:szCs w:val="20"/>
              </w:rPr>
              <w:t>£m</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00E2C" w14:textId="77777777" w:rsidR="00A061A2" w:rsidRPr="00F83316" w:rsidRDefault="00A061A2" w:rsidP="000E1412">
            <w:pPr>
              <w:pStyle w:val="Body"/>
              <w:spacing w:after="0" w:line="240" w:lineRule="auto"/>
              <w:jc w:val="center"/>
              <w:rPr>
                <w:sz w:val="20"/>
                <w:szCs w:val="20"/>
              </w:rPr>
            </w:pPr>
            <w:r w:rsidRPr="00F83316">
              <w:rPr>
                <w:b/>
                <w:bCs/>
                <w:sz w:val="20"/>
                <w:szCs w:val="20"/>
              </w:rPr>
              <w:t>Q3</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C5ADF" w14:textId="77777777" w:rsidR="00A061A2" w:rsidRPr="00F83316" w:rsidRDefault="00A061A2" w:rsidP="000E1412">
            <w:pPr>
              <w:pStyle w:val="Body"/>
              <w:spacing w:after="0" w:line="240" w:lineRule="auto"/>
              <w:jc w:val="center"/>
              <w:rPr>
                <w:sz w:val="20"/>
                <w:szCs w:val="20"/>
              </w:rPr>
            </w:pPr>
            <w:r w:rsidRPr="00F83316">
              <w:rPr>
                <w:b/>
                <w:bCs/>
                <w:sz w:val="20"/>
                <w:szCs w:val="20"/>
              </w:rPr>
              <w:t>9 months</w:t>
            </w:r>
          </w:p>
        </w:tc>
      </w:tr>
      <w:tr w:rsidR="00A061A2" w:rsidRPr="00F83316" w14:paraId="210123ED" w14:textId="77777777" w:rsidTr="00822D13">
        <w:trPr>
          <w:trHeight w:val="54"/>
        </w:trPr>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0CC6CA26" w14:textId="77777777" w:rsidR="00A061A2" w:rsidRPr="00F83316" w:rsidRDefault="00A061A2" w:rsidP="000E1412">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4145CCAD" w14:textId="77777777" w:rsidR="00A061A2" w:rsidRPr="00F83316" w:rsidRDefault="00A061A2" w:rsidP="000E1412">
            <w:pPr>
              <w:pStyle w:val="Body"/>
              <w:spacing w:after="0" w:line="240" w:lineRule="auto"/>
              <w:jc w:val="center"/>
              <w:rPr>
                <w:b/>
                <w:bCs/>
                <w:sz w:val="20"/>
                <w:szCs w:val="20"/>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9DD85" w14:textId="77777777" w:rsidR="00A061A2" w:rsidRPr="00F83316" w:rsidRDefault="00A061A2" w:rsidP="000E1412">
            <w:pPr>
              <w:pStyle w:val="Body"/>
              <w:spacing w:after="0" w:line="240" w:lineRule="auto"/>
              <w:jc w:val="center"/>
              <w:rPr>
                <w:sz w:val="20"/>
                <w:szCs w:val="20"/>
              </w:rPr>
            </w:pPr>
            <w:r w:rsidRPr="00F83316">
              <w:rPr>
                <w:b/>
                <w:bCs/>
                <w:sz w:val="20"/>
                <w:szCs w:val="20"/>
              </w:rPr>
              <w:t>Reported</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3F489" w14:textId="77777777" w:rsidR="00A061A2" w:rsidRPr="00F83316" w:rsidRDefault="00A061A2" w:rsidP="000E1412">
            <w:pPr>
              <w:pStyle w:val="Body"/>
              <w:spacing w:after="0" w:line="240" w:lineRule="auto"/>
              <w:jc w:val="center"/>
              <w:rPr>
                <w:sz w:val="20"/>
                <w:szCs w:val="20"/>
              </w:rPr>
            </w:pPr>
            <w:r w:rsidRPr="00F83316">
              <w:rPr>
                <w:b/>
                <w:bCs/>
                <w:sz w:val="20"/>
                <w:szCs w:val="20"/>
              </w:rPr>
              <w:t>Pro forma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8EE9B" w14:textId="77777777" w:rsidR="00A061A2" w:rsidRPr="00F83316" w:rsidRDefault="00A061A2" w:rsidP="000E1412">
            <w:pPr>
              <w:pStyle w:val="Body"/>
              <w:spacing w:after="0" w:line="240" w:lineRule="auto"/>
              <w:jc w:val="center"/>
              <w:rPr>
                <w:sz w:val="20"/>
                <w:szCs w:val="20"/>
              </w:rPr>
            </w:pPr>
            <w:r w:rsidRPr="00F83316">
              <w:rPr>
                <w:b/>
                <w:bCs/>
                <w:sz w:val="20"/>
                <w:szCs w:val="20"/>
              </w:rPr>
              <w:t>Reported</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68B0C" w14:textId="77777777" w:rsidR="00A061A2" w:rsidRPr="00F83316" w:rsidRDefault="00A061A2" w:rsidP="000E1412">
            <w:pPr>
              <w:pStyle w:val="Body"/>
              <w:spacing w:after="0" w:line="240" w:lineRule="auto"/>
              <w:jc w:val="center"/>
              <w:rPr>
                <w:sz w:val="20"/>
                <w:szCs w:val="20"/>
              </w:rPr>
            </w:pPr>
            <w:r w:rsidRPr="00F83316">
              <w:rPr>
                <w:b/>
                <w:bCs/>
                <w:sz w:val="20"/>
                <w:szCs w:val="20"/>
              </w:rPr>
              <w:t>Pro forma</w:t>
            </w:r>
          </w:p>
        </w:tc>
      </w:tr>
      <w:tr w:rsidR="009B3C77" w:rsidRPr="00F83316" w14:paraId="31F87BE6" w14:textId="77777777" w:rsidTr="00822D13">
        <w:trPr>
          <w:trHeight w:val="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C0966" w14:textId="77777777" w:rsidR="009B3C77" w:rsidRPr="00F83316" w:rsidRDefault="009B3C77" w:rsidP="009B3C77">
            <w:pPr>
              <w:pStyle w:val="Body"/>
              <w:spacing w:after="0" w:line="240" w:lineRule="auto"/>
              <w:rPr>
                <w:sz w:val="20"/>
                <w:szCs w:val="20"/>
              </w:rPr>
            </w:pPr>
            <w:r w:rsidRPr="00F83316">
              <w:rPr>
                <w:sz w:val="20"/>
                <w:szCs w:val="20"/>
              </w:rPr>
              <w:t xml:space="preserve">Group </w:t>
            </w:r>
          </w:p>
        </w:tc>
        <w:tc>
          <w:tcPr>
            <w:tcW w:w="1356" w:type="dxa"/>
            <w:tcBorders>
              <w:top w:val="single" w:sz="4" w:space="0" w:color="000000"/>
              <w:left w:val="single" w:sz="4" w:space="0" w:color="000000"/>
              <w:bottom w:val="single" w:sz="4" w:space="0" w:color="000000"/>
              <w:right w:val="single" w:sz="4" w:space="0" w:color="000000"/>
            </w:tcBorders>
          </w:tcPr>
          <w:p w14:paraId="059160C8" w14:textId="63E27477" w:rsidR="009B3C77" w:rsidRPr="00BC2183" w:rsidRDefault="008B5BB3" w:rsidP="009B3C77">
            <w:pPr>
              <w:pStyle w:val="Body"/>
              <w:spacing w:after="0" w:line="240" w:lineRule="auto"/>
              <w:jc w:val="center"/>
              <w:rPr>
                <w:sz w:val="20"/>
                <w:szCs w:val="20"/>
              </w:rPr>
            </w:pPr>
            <w:r>
              <w:rPr>
                <w:sz w:val="20"/>
                <w:szCs w:val="20"/>
              </w:rPr>
              <w:t>486.2</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A7A26" w14:textId="379AADEE" w:rsidR="009B3C77" w:rsidRPr="00BC2183" w:rsidRDefault="009B3C77" w:rsidP="009B3C77">
            <w:pPr>
              <w:pStyle w:val="Body"/>
              <w:spacing w:after="0" w:line="240" w:lineRule="auto"/>
              <w:jc w:val="center"/>
              <w:rPr>
                <w:sz w:val="20"/>
                <w:szCs w:val="20"/>
              </w:rPr>
            </w:pPr>
            <w:r>
              <w:rPr>
                <w:sz w:val="20"/>
                <w:szCs w:val="20"/>
              </w:rPr>
              <w:t>+</w:t>
            </w:r>
            <w:r w:rsidR="008B5BB3">
              <w:rPr>
                <w:sz w:val="20"/>
                <w:szCs w:val="20"/>
              </w:rPr>
              <w:t>35.0</w:t>
            </w:r>
            <w:r>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CE510" w14:textId="197BABD1" w:rsidR="009B3C77" w:rsidRPr="00BC2183" w:rsidRDefault="009B3C77" w:rsidP="009B3C77">
            <w:pPr>
              <w:pStyle w:val="Body"/>
              <w:spacing w:after="0" w:line="240" w:lineRule="auto"/>
              <w:jc w:val="center"/>
              <w:rPr>
                <w:sz w:val="20"/>
                <w:szCs w:val="20"/>
              </w:rPr>
            </w:pPr>
            <w:r w:rsidRPr="007B1976">
              <w:rPr>
                <w:sz w:val="20"/>
                <w:szCs w:val="20"/>
              </w:rPr>
              <w:t>+</w:t>
            </w:r>
            <w:r w:rsidR="008B5BB3">
              <w:rPr>
                <w:sz w:val="20"/>
                <w:szCs w:val="20"/>
              </w:rPr>
              <w:t>25.8</w:t>
            </w:r>
            <w:r w:rsidRPr="007B1976">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C67D0" w14:textId="07D53708" w:rsidR="009B3C77" w:rsidRPr="00F83316" w:rsidRDefault="009B3C77" w:rsidP="009B3C77">
            <w:pPr>
              <w:pStyle w:val="Body"/>
              <w:spacing w:after="0" w:line="240" w:lineRule="auto"/>
              <w:jc w:val="center"/>
              <w:rPr>
                <w:sz w:val="20"/>
                <w:szCs w:val="20"/>
              </w:rPr>
            </w:pPr>
            <w:r w:rsidRPr="007B1976">
              <w:rPr>
                <w:sz w:val="20"/>
                <w:szCs w:val="20"/>
              </w:rPr>
              <w:t>+</w:t>
            </w:r>
            <w:r w:rsidR="008B5BB3">
              <w:rPr>
                <w:sz w:val="20"/>
                <w:szCs w:val="20"/>
              </w:rPr>
              <w:t>34.1</w:t>
            </w:r>
            <w:r w:rsidRPr="007B1976">
              <w:rPr>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7579A" w14:textId="439D1B86" w:rsidR="009B3C77" w:rsidRPr="00F83316" w:rsidRDefault="009B3C77" w:rsidP="009B3C77">
            <w:pPr>
              <w:pStyle w:val="Body"/>
              <w:spacing w:after="0" w:line="240" w:lineRule="auto"/>
              <w:jc w:val="center"/>
              <w:rPr>
                <w:sz w:val="20"/>
                <w:szCs w:val="20"/>
              </w:rPr>
            </w:pPr>
            <w:r w:rsidRPr="007B1976">
              <w:rPr>
                <w:sz w:val="20"/>
                <w:szCs w:val="20"/>
              </w:rPr>
              <w:t>+</w:t>
            </w:r>
            <w:r w:rsidR="008B5BB3">
              <w:rPr>
                <w:sz w:val="20"/>
                <w:szCs w:val="20"/>
              </w:rPr>
              <w:t>31.4</w:t>
            </w:r>
            <w:r w:rsidRPr="007B1976">
              <w:rPr>
                <w:sz w:val="20"/>
                <w:szCs w:val="20"/>
              </w:rPr>
              <w:t>%</w:t>
            </w:r>
          </w:p>
        </w:tc>
      </w:tr>
      <w:tr w:rsidR="009B3C77" w:rsidRPr="00F83316" w14:paraId="3AC7A804" w14:textId="77777777" w:rsidTr="00822D13">
        <w:trPr>
          <w:trHeight w:val="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5EEF0" w14:textId="77777777" w:rsidR="009B3C77" w:rsidRPr="00F83316" w:rsidRDefault="009B3C77" w:rsidP="009B3C77">
            <w:pPr>
              <w:pStyle w:val="Body"/>
              <w:spacing w:after="0" w:line="240" w:lineRule="auto"/>
              <w:rPr>
                <w:sz w:val="20"/>
                <w:szCs w:val="20"/>
              </w:rPr>
            </w:pPr>
            <w:r w:rsidRPr="00F83316">
              <w:rPr>
                <w:sz w:val="20"/>
                <w:szCs w:val="20"/>
              </w:rPr>
              <w:t>Food to go categories</w:t>
            </w:r>
          </w:p>
        </w:tc>
        <w:tc>
          <w:tcPr>
            <w:tcW w:w="1356" w:type="dxa"/>
            <w:tcBorders>
              <w:top w:val="single" w:sz="4" w:space="0" w:color="000000"/>
              <w:left w:val="single" w:sz="4" w:space="0" w:color="000000"/>
              <w:bottom w:val="single" w:sz="4" w:space="0" w:color="000000"/>
              <w:right w:val="single" w:sz="4" w:space="0" w:color="000000"/>
            </w:tcBorders>
          </w:tcPr>
          <w:p w14:paraId="729C327E" w14:textId="717A7A10" w:rsidR="009B3C77" w:rsidRPr="00BC2183" w:rsidRDefault="008B5BB3" w:rsidP="009B3C77">
            <w:pPr>
              <w:pStyle w:val="Body"/>
              <w:spacing w:after="0" w:line="240" w:lineRule="auto"/>
              <w:jc w:val="center"/>
              <w:rPr>
                <w:sz w:val="20"/>
                <w:szCs w:val="20"/>
              </w:rPr>
            </w:pPr>
            <w:r>
              <w:rPr>
                <w:sz w:val="20"/>
                <w:szCs w:val="20"/>
              </w:rPr>
              <w:t>333.4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A0CA6" w14:textId="7595265E" w:rsidR="009B3C77" w:rsidRPr="00BC2183" w:rsidRDefault="009B3C77" w:rsidP="009B3C77">
            <w:pPr>
              <w:pStyle w:val="Body"/>
              <w:spacing w:after="0" w:line="240" w:lineRule="auto"/>
              <w:jc w:val="center"/>
              <w:rPr>
                <w:sz w:val="20"/>
                <w:szCs w:val="20"/>
              </w:rPr>
            </w:pPr>
            <w:r w:rsidRPr="00294C0F">
              <w:rPr>
                <w:sz w:val="20"/>
                <w:szCs w:val="20"/>
              </w:rPr>
              <w:t>+</w:t>
            </w:r>
            <w:r w:rsidR="008B5BB3">
              <w:rPr>
                <w:sz w:val="20"/>
                <w:szCs w:val="20"/>
              </w:rPr>
              <w:t>41.0</w:t>
            </w:r>
            <w:r w:rsidRPr="00294C0F">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42654" w14:textId="6D690D4D" w:rsidR="009B3C77" w:rsidRPr="00BC2183" w:rsidRDefault="009B3C77" w:rsidP="009B3C77">
            <w:pPr>
              <w:pStyle w:val="Body"/>
              <w:spacing w:after="0" w:line="240" w:lineRule="auto"/>
              <w:jc w:val="center"/>
              <w:rPr>
                <w:sz w:val="20"/>
                <w:szCs w:val="20"/>
              </w:rPr>
            </w:pPr>
            <w:r w:rsidRPr="007B1976">
              <w:rPr>
                <w:sz w:val="20"/>
                <w:szCs w:val="20"/>
              </w:rPr>
              <w:t>+</w:t>
            </w:r>
            <w:r w:rsidR="008B5BB3">
              <w:rPr>
                <w:sz w:val="20"/>
                <w:szCs w:val="20"/>
              </w:rPr>
              <w:t>31.2</w:t>
            </w:r>
            <w:r w:rsidRPr="007B1976">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F3F42" w14:textId="64F30359" w:rsidR="009B3C77" w:rsidRPr="00F83316" w:rsidRDefault="009B3C77" w:rsidP="009B3C77">
            <w:pPr>
              <w:pStyle w:val="Body"/>
              <w:spacing w:after="0" w:line="240" w:lineRule="auto"/>
              <w:jc w:val="center"/>
              <w:rPr>
                <w:sz w:val="20"/>
                <w:szCs w:val="20"/>
              </w:rPr>
            </w:pPr>
            <w:r w:rsidRPr="007B1976">
              <w:rPr>
                <w:sz w:val="20"/>
                <w:szCs w:val="20"/>
              </w:rPr>
              <w:t>+</w:t>
            </w:r>
            <w:r w:rsidR="008B5BB3">
              <w:rPr>
                <w:sz w:val="20"/>
                <w:szCs w:val="20"/>
              </w:rPr>
              <w:t>45.1</w:t>
            </w:r>
            <w:r w:rsidRPr="007B1976">
              <w:rPr>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A792F" w14:textId="0A5F9BFB" w:rsidR="009B3C77" w:rsidRPr="00F83316" w:rsidRDefault="009B3C77" w:rsidP="009B3C77">
            <w:pPr>
              <w:pStyle w:val="Body"/>
              <w:spacing w:after="0" w:line="240" w:lineRule="auto"/>
              <w:jc w:val="center"/>
              <w:rPr>
                <w:sz w:val="20"/>
                <w:szCs w:val="20"/>
              </w:rPr>
            </w:pPr>
            <w:r w:rsidRPr="007B1976">
              <w:rPr>
                <w:sz w:val="20"/>
                <w:szCs w:val="20"/>
              </w:rPr>
              <w:t>+</w:t>
            </w:r>
            <w:r w:rsidR="008B5BB3">
              <w:rPr>
                <w:sz w:val="20"/>
                <w:szCs w:val="20"/>
              </w:rPr>
              <w:t>41.1</w:t>
            </w:r>
            <w:r w:rsidRPr="007B1976">
              <w:rPr>
                <w:sz w:val="20"/>
                <w:szCs w:val="20"/>
              </w:rPr>
              <w:t>%</w:t>
            </w:r>
          </w:p>
        </w:tc>
      </w:tr>
      <w:tr w:rsidR="009B3C77" w:rsidRPr="00F83316" w14:paraId="5025E31F" w14:textId="77777777" w:rsidTr="00822D13">
        <w:trPr>
          <w:trHeight w:val="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564CF" w14:textId="77777777" w:rsidR="009B3C77" w:rsidRPr="00F83316" w:rsidRDefault="009B3C77" w:rsidP="009B3C77">
            <w:pPr>
              <w:pStyle w:val="Body"/>
              <w:spacing w:after="0" w:line="240" w:lineRule="auto"/>
              <w:rPr>
                <w:sz w:val="20"/>
                <w:szCs w:val="20"/>
              </w:rPr>
            </w:pPr>
            <w:r w:rsidRPr="00F83316">
              <w:rPr>
                <w:sz w:val="20"/>
                <w:szCs w:val="20"/>
              </w:rPr>
              <w:t>Other convenience food categories</w:t>
            </w:r>
          </w:p>
        </w:tc>
        <w:tc>
          <w:tcPr>
            <w:tcW w:w="1356" w:type="dxa"/>
            <w:tcBorders>
              <w:top w:val="single" w:sz="4" w:space="0" w:color="000000"/>
              <w:left w:val="single" w:sz="4" w:space="0" w:color="000000"/>
              <w:bottom w:val="single" w:sz="4" w:space="0" w:color="000000"/>
              <w:right w:val="single" w:sz="4" w:space="0" w:color="000000"/>
            </w:tcBorders>
          </w:tcPr>
          <w:p w14:paraId="507908B4" w14:textId="34206985" w:rsidR="009B3C77" w:rsidRDefault="008B5BB3" w:rsidP="009B3C77">
            <w:pPr>
              <w:pStyle w:val="Body"/>
              <w:spacing w:after="0" w:line="240" w:lineRule="auto"/>
              <w:jc w:val="center"/>
              <w:rPr>
                <w:sz w:val="20"/>
                <w:szCs w:val="20"/>
              </w:rPr>
            </w:pPr>
            <w:r>
              <w:rPr>
                <w:sz w:val="20"/>
                <w:szCs w:val="20"/>
              </w:rPr>
              <w:t>152.9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FC160" w14:textId="1B7BBE79" w:rsidR="009B3C77" w:rsidRPr="00F83316" w:rsidRDefault="009B3C77" w:rsidP="009B3C77">
            <w:pPr>
              <w:pStyle w:val="Body"/>
              <w:spacing w:after="0" w:line="240" w:lineRule="auto"/>
              <w:jc w:val="center"/>
              <w:rPr>
                <w:sz w:val="20"/>
                <w:szCs w:val="20"/>
              </w:rPr>
            </w:pPr>
            <w:r w:rsidRPr="00294C0F">
              <w:rPr>
                <w:sz w:val="20"/>
                <w:szCs w:val="20"/>
              </w:rPr>
              <w:t>+</w:t>
            </w:r>
            <w:r w:rsidR="008B5BB3">
              <w:rPr>
                <w:sz w:val="20"/>
                <w:szCs w:val="20"/>
              </w:rPr>
              <w:t>23.5</w:t>
            </w:r>
            <w:r w:rsidRPr="00294C0F">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A4D80" w14:textId="2A728947" w:rsidR="009B3C77" w:rsidRPr="00F83316" w:rsidRDefault="009B3C77" w:rsidP="009B3C77">
            <w:pPr>
              <w:pStyle w:val="Body"/>
              <w:spacing w:after="0" w:line="240" w:lineRule="auto"/>
              <w:jc w:val="center"/>
              <w:rPr>
                <w:sz w:val="20"/>
                <w:szCs w:val="20"/>
              </w:rPr>
            </w:pPr>
            <w:r w:rsidRPr="007B1976">
              <w:rPr>
                <w:sz w:val="20"/>
                <w:szCs w:val="20"/>
              </w:rPr>
              <w:t>+</w:t>
            </w:r>
            <w:r w:rsidR="008B5BB3">
              <w:rPr>
                <w:sz w:val="20"/>
                <w:szCs w:val="20"/>
              </w:rPr>
              <w:t>15.5</w:t>
            </w:r>
            <w:r w:rsidRPr="007B1976">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C083B" w14:textId="0F436726" w:rsidR="009B3C77" w:rsidRPr="00F83316" w:rsidRDefault="009B3C77" w:rsidP="009B3C77">
            <w:pPr>
              <w:pStyle w:val="Body"/>
              <w:spacing w:after="0" w:line="240" w:lineRule="auto"/>
              <w:jc w:val="center"/>
              <w:rPr>
                <w:sz w:val="20"/>
                <w:szCs w:val="20"/>
              </w:rPr>
            </w:pPr>
            <w:r w:rsidRPr="007B1976">
              <w:rPr>
                <w:sz w:val="20"/>
                <w:szCs w:val="20"/>
              </w:rPr>
              <w:t>+</w:t>
            </w:r>
            <w:r w:rsidR="008B5BB3">
              <w:rPr>
                <w:sz w:val="20"/>
                <w:szCs w:val="20"/>
              </w:rPr>
              <w:t>16.6</w:t>
            </w:r>
            <w:r w:rsidRPr="007B1976">
              <w:rPr>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AC61" w14:textId="4139F75F" w:rsidR="009B3C77" w:rsidRPr="00F83316" w:rsidRDefault="009B3C77" w:rsidP="009B3C77">
            <w:pPr>
              <w:pStyle w:val="Body"/>
              <w:spacing w:after="0" w:line="240" w:lineRule="auto"/>
              <w:jc w:val="center"/>
              <w:rPr>
                <w:sz w:val="20"/>
                <w:szCs w:val="20"/>
              </w:rPr>
            </w:pPr>
            <w:r w:rsidRPr="007B1976">
              <w:rPr>
                <w:sz w:val="20"/>
                <w:szCs w:val="20"/>
              </w:rPr>
              <w:t>+</w:t>
            </w:r>
            <w:r w:rsidR="008B5BB3">
              <w:rPr>
                <w:sz w:val="20"/>
                <w:szCs w:val="20"/>
              </w:rPr>
              <w:t>15.7</w:t>
            </w:r>
            <w:r w:rsidRPr="007B1976">
              <w:rPr>
                <w:sz w:val="20"/>
                <w:szCs w:val="20"/>
              </w:rPr>
              <w:t>%</w:t>
            </w:r>
          </w:p>
        </w:tc>
      </w:tr>
    </w:tbl>
    <w:p w14:paraId="58870CF4" w14:textId="77777777" w:rsidR="00A061A2" w:rsidRDefault="00A061A2" w:rsidP="00A061A2">
      <w:pPr>
        <w:pStyle w:val="Body"/>
        <w:widowControl w:val="0"/>
        <w:spacing w:line="240" w:lineRule="auto"/>
        <w:jc w:val="center"/>
        <w:rPr>
          <w:b/>
          <w:bCs/>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5"/>
        <w:gridCol w:w="1356"/>
        <w:gridCol w:w="1220"/>
        <w:gridCol w:w="1220"/>
        <w:gridCol w:w="1220"/>
        <w:gridCol w:w="1221"/>
      </w:tblGrid>
      <w:tr w:rsidR="00321335" w:rsidRPr="00F83316" w14:paraId="5FD3FE38" w14:textId="77777777" w:rsidTr="000E1412">
        <w:trPr>
          <w:trHeight w:val="264"/>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ACD21" w14:textId="77777777" w:rsidR="00321335" w:rsidRPr="00F83316" w:rsidRDefault="00321335" w:rsidP="000E1412">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178C49B3" w14:textId="77777777" w:rsidR="00321335" w:rsidRPr="00F83316" w:rsidRDefault="00321335" w:rsidP="000E1412">
            <w:pPr>
              <w:pStyle w:val="Body"/>
              <w:spacing w:after="0" w:line="240" w:lineRule="auto"/>
              <w:jc w:val="center"/>
              <w:rPr>
                <w:b/>
                <w:bCs/>
                <w:sz w:val="20"/>
                <w:szCs w:val="20"/>
              </w:rPr>
            </w:pPr>
            <w:r>
              <w:rPr>
                <w:b/>
                <w:bCs/>
                <w:sz w:val="20"/>
                <w:szCs w:val="20"/>
              </w:rPr>
              <w:t>Revenue</w:t>
            </w:r>
          </w:p>
        </w:tc>
        <w:tc>
          <w:tcPr>
            <w:tcW w:w="488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42247" w14:textId="7DF9843C" w:rsidR="00321335" w:rsidRPr="00F83316" w:rsidRDefault="00321335" w:rsidP="000E1412">
            <w:pPr>
              <w:pStyle w:val="Body"/>
              <w:spacing w:after="0" w:line="240" w:lineRule="auto"/>
              <w:jc w:val="center"/>
              <w:rPr>
                <w:sz w:val="20"/>
                <w:szCs w:val="20"/>
              </w:rPr>
            </w:pPr>
            <w:r w:rsidRPr="00F83316">
              <w:rPr>
                <w:b/>
                <w:bCs/>
                <w:sz w:val="20"/>
                <w:szCs w:val="20"/>
              </w:rPr>
              <w:t>Revenue Growth</w:t>
            </w:r>
            <w:r>
              <w:rPr>
                <w:b/>
                <w:bCs/>
                <w:sz w:val="20"/>
                <w:szCs w:val="20"/>
              </w:rPr>
              <w:t xml:space="preserve"> (versus FY19)</w:t>
            </w:r>
          </w:p>
        </w:tc>
      </w:tr>
      <w:tr w:rsidR="00321335" w:rsidRPr="00F83316" w14:paraId="0BEBD58A" w14:textId="77777777" w:rsidTr="000E1412">
        <w:trPr>
          <w:trHeight w:val="54"/>
        </w:trPr>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62CC9112" w14:textId="77777777" w:rsidR="00321335" w:rsidRPr="00F83316" w:rsidRDefault="00321335" w:rsidP="000E1412">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5CE63A80" w14:textId="77777777" w:rsidR="00321335" w:rsidRPr="00F83316" w:rsidRDefault="00321335" w:rsidP="000E1412">
            <w:pPr>
              <w:pStyle w:val="Body"/>
              <w:spacing w:after="0" w:line="240" w:lineRule="auto"/>
              <w:jc w:val="center"/>
              <w:rPr>
                <w:b/>
                <w:bCs/>
                <w:sz w:val="20"/>
                <w:szCs w:val="20"/>
              </w:rPr>
            </w:pPr>
            <w:r>
              <w:rPr>
                <w:b/>
                <w:bCs/>
                <w:sz w:val="20"/>
                <w:szCs w:val="20"/>
              </w:rPr>
              <w:t>£m</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F2DF9" w14:textId="77777777" w:rsidR="00321335" w:rsidRPr="00F83316" w:rsidRDefault="00321335" w:rsidP="000E1412">
            <w:pPr>
              <w:pStyle w:val="Body"/>
              <w:spacing w:after="0" w:line="240" w:lineRule="auto"/>
              <w:jc w:val="center"/>
              <w:rPr>
                <w:sz w:val="20"/>
                <w:szCs w:val="20"/>
              </w:rPr>
            </w:pPr>
            <w:r w:rsidRPr="00F83316">
              <w:rPr>
                <w:b/>
                <w:bCs/>
                <w:sz w:val="20"/>
                <w:szCs w:val="20"/>
              </w:rPr>
              <w:t>Q3</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36B64" w14:textId="77777777" w:rsidR="00321335" w:rsidRPr="00F83316" w:rsidRDefault="00321335" w:rsidP="000E1412">
            <w:pPr>
              <w:pStyle w:val="Body"/>
              <w:spacing w:after="0" w:line="240" w:lineRule="auto"/>
              <w:jc w:val="center"/>
              <w:rPr>
                <w:sz w:val="20"/>
                <w:szCs w:val="20"/>
              </w:rPr>
            </w:pPr>
            <w:r w:rsidRPr="00F83316">
              <w:rPr>
                <w:b/>
                <w:bCs/>
                <w:sz w:val="20"/>
                <w:szCs w:val="20"/>
              </w:rPr>
              <w:t>9 months</w:t>
            </w:r>
          </w:p>
        </w:tc>
      </w:tr>
      <w:tr w:rsidR="00321335" w:rsidRPr="00F83316" w14:paraId="3AC2F515" w14:textId="77777777" w:rsidTr="000E1412">
        <w:trPr>
          <w:trHeight w:val="54"/>
        </w:trPr>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716BCC6C" w14:textId="77777777" w:rsidR="00321335" w:rsidRPr="00F83316" w:rsidRDefault="00321335" w:rsidP="000E1412">
            <w:pPr>
              <w:rPr>
                <w:sz w:val="20"/>
                <w:szCs w:val="20"/>
              </w:rPr>
            </w:pPr>
          </w:p>
        </w:tc>
        <w:tc>
          <w:tcPr>
            <w:tcW w:w="1356" w:type="dxa"/>
            <w:tcBorders>
              <w:top w:val="single" w:sz="4" w:space="0" w:color="000000"/>
              <w:left w:val="single" w:sz="4" w:space="0" w:color="000000"/>
              <w:bottom w:val="single" w:sz="4" w:space="0" w:color="000000"/>
              <w:right w:val="single" w:sz="4" w:space="0" w:color="000000"/>
            </w:tcBorders>
          </w:tcPr>
          <w:p w14:paraId="4F8E3B67" w14:textId="77777777" w:rsidR="00321335" w:rsidRPr="00F83316" w:rsidRDefault="00321335" w:rsidP="000E1412">
            <w:pPr>
              <w:pStyle w:val="Body"/>
              <w:spacing w:after="0" w:line="240" w:lineRule="auto"/>
              <w:jc w:val="center"/>
              <w:rPr>
                <w:b/>
                <w:bCs/>
                <w:sz w:val="20"/>
                <w:szCs w:val="20"/>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9B51D" w14:textId="77777777" w:rsidR="00321335" w:rsidRPr="00F83316" w:rsidRDefault="00321335" w:rsidP="000E1412">
            <w:pPr>
              <w:pStyle w:val="Body"/>
              <w:spacing w:after="0" w:line="240" w:lineRule="auto"/>
              <w:jc w:val="center"/>
              <w:rPr>
                <w:sz w:val="20"/>
                <w:szCs w:val="20"/>
              </w:rPr>
            </w:pPr>
            <w:r w:rsidRPr="00F83316">
              <w:rPr>
                <w:b/>
                <w:bCs/>
                <w:sz w:val="20"/>
                <w:szCs w:val="20"/>
              </w:rPr>
              <w:t>Reported</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5D315" w14:textId="77777777" w:rsidR="00321335" w:rsidRPr="00F83316" w:rsidRDefault="00321335" w:rsidP="000E1412">
            <w:pPr>
              <w:pStyle w:val="Body"/>
              <w:spacing w:after="0" w:line="240" w:lineRule="auto"/>
              <w:jc w:val="center"/>
              <w:rPr>
                <w:sz w:val="20"/>
                <w:szCs w:val="20"/>
              </w:rPr>
            </w:pPr>
            <w:r w:rsidRPr="00F83316">
              <w:rPr>
                <w:b/>
                <w:bCs/>
                <w:sz w:val="20"/>
                <w:szCs w:val="20"/>
              </w:rPr>
              <w:t>Pro forma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F934A" w14:textId="77777777" w:rsidR="00321335" w:rsidRPr="00F83316" w:rsidRDefault="00321335" w:rsidP="000E1412">
            <w:pPr>
              <w:pStyle w:val="Body"/>
              <w:spacing w:after="0" w:line="240" w:lineRule="auto"/>
              <w:jc w:val="center"/>
              <w:rPr>
                <w:sz w:val="20"/>
                <w:szCs w:val="20"/>
              </w:rPr>
            </w:pPr>
            <w:r w:rsidRPr="00F83316">
              <w:rPr>
                <w:b/>
                <w:bCs/>
                <w:sz w:val="20"/>
                <w:szCs w:val="20"/>
              </w:rPr>
              <w:t>Reported</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23C5F" w14:textId="77777777" w:rsidR="00321335" w:rsidRPr="00F83316" w:rsidRDefault="00321335" w:rsidP="000E1412">
            <w:pPr>
              <w:pStyle w:val="Body"/>
              <w:spacing w:after="0" w:line="240" w:lineRule="auto"/>
              <w:jc w:val="center"/>
              <w:rPr>
                <w:sz w:val="20"/>
                <w:szCs w:val="20"/>
              </w:rPr>
            </w:pPr>
            <w:r w:rsidRPr="00F83316">
              <w:rPr>
                <w:b/>
                <w:bCs/>
                <w:sz w:val="20"/>
                <w:szCs w:val="20"/>
              </w:rPr>
              <w:t>Pro forma</w:t>
            </w:r>
          </w:p>
        </w:tc>
      </w:tr>
      <w:tr w:rsidR="009B3C77" w:rsidRPr="00F83316" w14:paraId="2F2A23B8" w14:textId="77777777" w:rsidTr="000E1412">
        <w:trPr>
          <w:trHeight w:val="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1081C" w14:textId="77777777" w:rsidR="009B3C77" w:rsidRPr="00F83316" w:rsidRDefault="009B3C77" w:rsidP="009B3C77">
            <w:pPr>
              <w:pStyle w:val="Body"/>
              <w:spacing w:after="0" w:line="240" w:lineRule="auto"/>
              <w:rPr>
                <w:sz w:val="20"/>
                <w:szCs w:val="20"/>
              </w:rPr>
            </w:pPr>
            <w:r w:rsidRPr="00F83316">
              <w:rPr>
                <w:sz w:val="20"/>
                <w:szCs w:val="20"/>
              </w:rPr>
              <w:t xml:space="preserve">Group </w:t>
            </w:r>
          </w:p>
        </w:tc>
        <w:tc>
          <w:tcPr>
            <w:tcW w:w="1356" w:type="dxa"/>
            <w:tcBorders>
              <w:top w:val="single" w:sz="4" w:space="0" w:color="000000"/>
              <w:left w:val="single" w:sz="4" w:space="0" w:color="000000"/>
              <w:bottom w:val="single" w:sz="4" w:space="0" w:color="000000"/>
              <w:right w:val="single" w:sz="4" w:space="0" w:color="000000"/>
            </w:tcBorders>
          </w:tcPr>
          <w:p w14:paraId="2DE10013" w14:textId="72D84E8C" w:rsidR="009B3C77" w:rsidRPr="00BC2183" w:rsidRDefault="008B5BB3" w:rsidP="009B3C77">
            <w:pPr>
              <w:pStyle w:val="Body"/>
              <w:spacing w:after="0" w:line="240" w:lineRule="auto"/>
              <w:jc w:val="center"/>
              <w:rPr>
                <w:sz w:val="20"/>
                <w:szCs w:val="20"/>
              </w:rPr>
            </w:pPr>
            <w:r>
              <w:rPr>
                <w:sz w:val="20"/>
                <w:szCs w:val="20"/>
              </w:rPr>
              <w:t>486.2</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CB3F1" w14:textId="10793159" w:rsidR="009B3C77" w:rsidRPr="00BC2183" w:rsidRDefault="009B3C77" w:rsidP="009B3C77">
            <w:pPr>
              <w:pStyle w:val="Body"/>
              <w:spacing w:after="0" w:line="240" w:lineRule="auto"/>
              <w:jc w:val="center"/>
              <w:rPr>
                <w:sz w:val="20"/>
                <w:szCs w:val="20"/>
              </w:rPr>
            </w:pPr>
            <w:r w:rsidRPr="00A67D30">
              <w:rPr>
                <w:sz w:val="20"/>
                <w:szCs w:val="20"/>
              </w:rPr>
              <w:t>+</w:t>
            </w:r>
            <w:r w:rsidR="008B5BB3">
              <w:rPr>
                <w:sz w:val="20"/>
                <w:szCs w:val="20"/>
              </w:rPr>
              <w:t>33.2</w:t>
            </w:r>
            <w:r w:rsidRPr="00A67D30">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FF2A0" w14:textId="061ED201" w:rsidR="009B3C77" w:rsidRPr="00BC2183" w:rsidRDefault="009B3C77" w:rsidP="009B3C77">
            <w:pPr>
              <w:pStyle w:val="Body"/>
              <w:spacing w:after="0" w:line="240" w:lineRule="auto"/>
              <w:jc w:val="center"/>
              <w:rPr>
                <w:sz w:val="20"/>
                <w:szCs w:val="20"/>
              </w:rPr>
            </w:pPr>
            <w:r w:rsidRPr="00A67D30">
              <w:rPr>
                <w:sz w:val="20"/>
                <w:szCs w:val="20"/>
              </w:rPr>
              <w:t>+</w:t>
            </w:r>
            <w:r w:rsidR="00B3266B">
              <w:rPr>
                <w:sz w:val="20"/>
                <w:szCs w:val="20"/>
              </w:rPr>
              <w:t>22.3</w:t>
            </w:r>
            <w:r w:rsidRPr="00A67D30">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BC84E" w14:textId="39AB6BE8" w:rsidR="009B3C77" w:rsidRPr="00F83316" w:rsidRDefault="009B3C77" w:rsidP="009B3C77">
            <w:pPr>
              <w:pStyle w:val="Body"/>
              <w:spacing w:after="0" w:line="240" w:lineRule="auto"/>
              <w:jc w:val="center"/>
              <w:rPr>
                <w:sz w:val="20"/>
                <w:szCs w:val="20"/>
              </w:rPr>
            </w:pPr>
            <w:r w:rsidRPr="00A67D30">
              <w:rPr>
                <w:sz w:val="20"/>
                <w:szCs w:val="20"/>
              </w:rPr>
              <w:t>+</w:t>
            </w:r>
            <w:r w:rsidR="00B3266B">
              <w:rPr>
                <w:sz w:val="20"/>
                <w:szCs w:val="20"/>
              </w:rPr>
              <w:t>17.9</w:t>
            </w:r>
            <w:r w:rsidRPr="00A67D30">
              <w:rPr>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02C8F" w14:textId="151ACDA2" w:rsidR="009B3C77" w:rsidRPr="00F83316" w:rsidRDefault="009B3C77" w:rsidP="009B3C77">
            <w:pPr>
              <w:pStyle w:val="Body"/>
              <w:spacing w:after="0" w:line="240" w:lineRule="auto"/>
              <w:jc w:val="center"/>
              <w:rPr>
                <w:sz w:val="20"/>
                <w:szCs w:val="20"/>
              </w:rPr>
            </w:pPr>
            <w:r w:rsidRPr="00A67D30">
              <w:rPr>
                <w:sz w:val="20"/>
                <w:szCs w:val="20"/>
              </w:rPr>
              <w:t>+</w:t>
            </w:r>
            <w:r w:rsidR="00B3266B">
              <w:rPr>
                <w:sz w:val="20"/>
                <w:szCs w:val="20"/>
              </w:rPr>
              <w:t>14.1</w:t>
            </w:r>
            <w:r w:rsidRPr="00A67D30">
              <w:rPr>
                <w:sz w:val="20"/>
                <w:szCs w:val="20"/>
              </w:rPr>
              <w:t>%</w:t>
            </w:r>
          </w:p>
        </w:tc>
      </w:tr>
      <w:tr w:rsidR="009B3C77" w:rsidRPr="00F83316" w14:paraId="0ABECF43" w14:textId="77777777" w:rsidTr="000E1412">
        <w:trPr>
          <w:trHeight w:val="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92567" w14:textId="77777777" w:rsidR="009B3C77" w:rsidRPr="00F83316" w:rsidRDefault="009B3C77" w:rsidP="009B3C77">
            <w:pPr>
              <w:pStyle w:val="Body"/>
              <w:spacing w:after="0" w:line="240" w:lineRule="auto"/>
              <w:rPr>
                <w:sz w:val="20"/>
                <w:szCs w:val="20"/>
              </w:rPr>
            </w:pPr>
            <w:r w:rsidRPr="00F83316">
              <w:rPr>
                <w:sz w:val="20"/>
                <w:szCs w:val="20"/>
              </w:rPr>
              <w:t>Food to go categories</w:t>
            </w:r>
          </w:p>
        </w:tc>
        <w:tc>
          <w:tcPr>
            <w:tcW w:w="1356" w:type="dxa"/>
            <w:tcBorders>
              <w:top w:val="single" w:sz="4" w:space="0" w:color="000000"/>
              <w:left w:val="single" w:sz="4" w:space="0" w:color="000000"/>
              <w:bottom w:val="single" w:sz="4" w:space="0" w:color="000000"/>
              <w:right w:val="single" w:sz="4" w:space="0" w:color="000000"/>
            </w:tcBorders>
          </w:tcPr>
          <w:p w14:paraId="3A0CDF46" w14:textId="649ED5A5" w:rsidR="009B3C77" w:rsidRPr="00BC2183" w:rsidRDefault="008B5BB3" w:rsidP="009B3C77">
            <w:pPr>
              <w:pStyle w:val="Body"/>
              <w:spacing w:after="0" w:line="240" w:lineRule="auto"/>
              <w:jc w:val="center"/>
              <w:rPr>
                <w:sz w:val="20"/>
                <w:szCs w:val="20"/>
              </w:rPr>
            </w:pPr>
            <w:r>
              <w:rPr>
                <w:sz w:val="20"/>
                <w:szCs w:val="20"/>
              </w:rPr>
              <w:t>333.4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E47D7" w14:textId="056D13D9" w:rsidR="009B3C77" w:rsidRPr="00BC2183" w:rsidRDefault="009B3C77" w:rsidP="009B3C77">
            <w:pPr>
              <w:pStyle w:val="Body"/>
              <w:spacing w:after="0" w:line="240" w:lineRule="auto"/>
              <w:jc w:val="center"/>
              <w:rPr>
                <w:sz w:val="20"/>
                <w:szCs w:val="20"/>
              </w:rPr>
            </w:pPr>
            <w:r w:rsidRPr="00A67D30">
              <w:rPr>
                <w:sz w:val="20"/>
                <w:szCs w:val="20"/>
              </w:rPr>
              <w:t>+</w:t>
            </w:r>
            <w:r w:rsidR="008B5BB3">
              <w:rPr>
                <w:sz w:val="20"/>
                <w:szCs w:val="20"/>
              </w:rPr>
              <w:t>33.0</w:t>
            </w:r>
            <w:r w:rsidRPr="00A67D30">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6BA8D" w14:textId="33B589D7" w:rsidR="009B3C77" w:rsidRPr="00BC2183" w:rsidRDefault="009B3C77" w:rsidP="009B3C77">
            <w:pPr>
              <w:pStyle w:val="Body"/>
              <w:spacing w:after="0" w:line="240" w:lineRule="auto"/>
              <w:jc w:val="center"/>
              <w:rPr>
                <w:sz w:val="20"/>
                <w:szCs w:val="20"/>
              </w:rPr>
            </w:pPr>
            <w:r w:rsidRPr="00A67D30">
              <w:rPr>
                <w:sz w:val="20"/>
                <w:szCs w:val="20"/>
              </w:rPr>
              <w:t>+</w:t>
            </w:r>
            <w:r w:rsidR="00B3266B">
              <w:rPr>
                <w:sz w:val="20"/>
                <w:szCs w:val="20"/>
              </w:rPr>
              <w:t>19.0</w:t>
            </w:r>
            <w:r w:rsidRPr="00A67D30">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F9CF2" w14:textId="30DDFBC0" w:rsidR="009B3C77" w:rsidRPr="00F83316" w:rsidRDefault="009B3C77" w:rsidP="009B3C77">
            <w:pPr>
              <w:pStyle w:val="Body"/>
              <w:spacing w:after="0" w:line="240" w:lineRule="auto"/>
              <w:jc w:val="center"/>
              <w:rPr>
                <w:sz w:val="20"/>
                <w:szCs w:val="20"/>
              </w:rPr>
            </w:pPr>
            <w:r w:rsidRPr="00A67D30">
              <w:rPr>
                <w:sz w:val="20"/>
                <w:szCs w:val="20"/>
              </w:rPr>
              <w:t>+</w:t>
            </w:r>
            <w:r w:rsidR="00B3266B">
              <w:rPr>
                <w:sz w:val="20"/>
                <w:szCs w:val="20"/>
              </w:rPr>
              <w:t>19.7</w:t>
            </w:r>
            <w:r w:rsidRPr="00A67D30">
              <w:rPr>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4D512" w14:textId="794082D7" w:rsidR="009B3C77" w:rsidRPr="00F83316" w:rsidRDefault="009B3C77" w:rsidP="009B3C77">
            <w:pPr>
              <w:pStyle w:val="Body"/>
              <w:spacing w:after="0" w:line="240" w:lineRule="auto"/>
              <w:jc w:val="center"/>
              <w:rPr>
                <w:sz w:val="20"/>
                <w:szCs w:val="20"/>
              </w:rPr>
            </w:pPr>
            <w:r w:rsidRPr="00A67D30">
              <w:rPr>
                <w:sz w:val="20"/>
                <w:szCs w:val="20"/>
              </w:rPr>
              <w:t>+</w:t>
            </w:r>
            <w:r w:rsidR="00B3266B">
              <w:rPr>
                <w:sz w:val="20"/>
                <w:szCs w:val="20"/>
              </w:rPr>
              <w:t>11.9</w:t>
            </w:r>
            <w:r w:rsidRPr="00A67D30">
              <w:rPr>
                <w:sz w:val="20"/>
                <w:szCs w:val="20"/>
              </w:rPr>
              <w:t>%</w:t>
            </w:r>
          </w:p>
        </w:tc>
      </w:tr>
      <w:tr w:rsidR="009B3C77" w:rsidRPr="00F83316" w14:paraId="01BD0A48" w14:textId="77777777" w:rsidTr="000E1412">
        <w:trPr>
          <w:trHeight w:val="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1E7E6" w14:textId="77777777" w:rsidR="009B3C77" w:rsidRPr="00F83316" w:rsidRDefault="009B3C77" w:rsidP="009B3C77">
            <w:pPr>
              <w:pStyle w:val="Body"/>
              <w:spacing w:after="0" w:line="240" w:lineRule="auto"/>
              <w:rPr>
                <w:sz w:val="20"/>
                <w:szCs w:val="20"/>
              </w:rPr>
            </w:pPr>
            <w:r w:rsidRPr="00F83316">
              <w:rPr>
                <w:sz w:val="20"/>
                <w:szCs w:val="20"/>
              </w:rPr>
              <w:t>Other convenience food categories</w:t>
            </w:r>
          </w:p>
        </w:tc>
        <w:tc>
          <w:tcPr>
            <w:tcW w:w="1356" w:type="dxa"/>
            <w:tcBorders>
              <w:top w:val="single" w:sz="4" w:space="0" w:color="000000"/>
              <w:left w:val="single" w:sz="4" w:space="0" w:color="000000"/>
              <w:bottom w:val="single" w:sz="4" w:space="0" w:color="000000"/>
              <w:right w:val="single" w:sz="4" w:space="0" w:color="000000"/>
            </w:tcBorders>
          </w:tcPr>
          <w:p w14:paraId="10CA42FE" w14:textId="2F5556D1" w:rsidR="009B3C77" w:rsidRDefault="008B5BB3" w:rsidP="009B3C77">
            <w:pPr>
              <w:pStyle w:val="Body"/>
              <w:spacing w:after="0" w:line="240" w:lineRule="auto"/>
              <w:jc w:val="center"/>
              <w:rPr>
                <w:sz w:val="20"/>
                <w:szCs w:val="20"/>
              </w:rPr>
            </w:pPr>
            <w:r>
              <w:rPr>
                <w:sz w:val="20"/>
                <w:szCs w:val="20"/>
              </w:rPr>
              <w:t>152.9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8B4FC" w14:textId="6C5CEEDE" w:rsidR="009B3C77" w:rsidRPr="00F83316" w:rsidRDefault="009B3C77" w:rsidP="009B3C77">
            <w:pPr>
              <w:pStyle w:val="Body"/>
              <w:spacing w:after="0" w:line="240" w:lineRule="auto"/>
              <w:jc w:val="center"/>
              <w:rPr>
                <w:sz w:val="20"/>
                <w:szCs w:val="20"/>
              </w:rPr>
            </w:pPr>
            <w:r w:rsidRPr="00A67D30">
              <w:rPr>
                <w:sz w:val="20"/>
                <w:szCs w:val="20"/>
              </w:rPr>
              <w:t>+</w:t>
            </w:r>
            <w:r w:rsidR="008B5BB3">
              <w:rPr>
                <w:sz w:val="20"/>
                <w:szCs w:val="20"/>
              </w:rPr>
              <w:t>33.7</w:t>
            </w:r>
            <w:r w:rsidRPr="00A67D30">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3EF8E" w14:textId="145A6F1E" w:rsidR="009B3C77" w:rsidRPr="00F83316" w:rsidRDefault="009B3C77" w:rsidP="009B3C77">
            <w:pPr>
              <w:pStyle w:val="Body"/>
              <w:spacing w:after="0" w:line="240" w:lineRule="auto"/>
              <w:jc w:val="center"/>
              <w:rPr>
                <w:sz w:val="20"/>
                <w:szCs w:val="20"/>
              </w:rPr>
            </w:pPr>
            <w:r w:rsidRPr="00A67D30">
              <w:rPr>
                <w:sz w:val="20"/>
                <w:szCs w:val="20"/>
              </w:rPr>
              <w:t>+</w:t>
            </w:r>
            <w:r w:rsidR="00B3266B">
              <w:rPr>
                <w:sz w:val="20"/>
                <w:szCs w:val="20"/>
              </w:rPr>
              <w:t>30.2</w:t>
            </w:r>
            <w:r w:rsidRPr="00A67D30">
              <w:rPr>
                <w:sz w:val="20"/>
                <w:szCs w:val="20"/>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9E36A" w14:textId="17C0B2A8" w:rsidR="009B3C77" w:rsidRPr="00F83316" w:rsidRDefault="009B3C77" w:rsidP="009B3C77">
            <w:pPr>
              <w:pStyle w:val="Body"/>
              <w:spacing w:after="0" w:line="240" w:lineRule="auto"/>
              <w:jc w:val="center"/>
              <w:rPr>
                <w:sz w:val="20"/>
                <w:szCs w:val="20"/>
              </w:rPr>
            </w:pPr>
            <w:r w:rsidRPr="00A67D30">
              <w:rPr>
                <w:sz w:val="20"/>
                <w:szCs w:val="20"/>
              </w:rPr>
              <w:t>+</w:t>
            </w:r>
            <w:r w:rsidR="00B3266B">
              <w:rPr>
                <w:sz w:val="20"/>
                <w:szCs w:val="20"/>
              </w:rPr>
              <w:t>14.4</w:t>
            </w:r>
            <w:r w:rsidRPr="00A67D30">
              <w:rPr>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648A1" w14:textId="3B091682" w:rsidR="009B3C77" w:rsidRPr="00F83316" w:rsidRDefault="009B3C77" w:rsidP="009B3C77">
            <w:pPr>
              <w:pStyle w:val="Body"/>
              <w:spacing w:after="0" w:line="240" w:lineRule="auto"/>
              <w:jc w:val="center"/>
              <w:rPr>
                <w:sz w:val="20"/>
                <w:szCs w:val="20"/>
              </w:rPr>
            </w:pPr>
            <w:r w:rsidRPr="00A67D30">
              <w:rPr>
                <w:sz w:val="20"/>
                <w:szCs w:val="20"/>
              </w:rPr>
              <w:t>+</w:t>
            </w:r>
            <w:r w:rsidR="00B3266B">
              <w:rPr>
                <w:sz w:val="20"/>
                <w:szCs w:val="20"/>
              </w:rPr>
              <w:t>18.9</w:t>
            </w:r>
            <w:r w:rsidRPr="00A67D30">
              <w:rPr>
                <w:sz w:val="20"/>
                <w:szCs w:val="20"/>
              </w:rPr>
              <w:t>%</w:t>
            </w:r>
          </w:p>
        </w:tc>
      </w:tr>
    </w:tbl>
    <w:p w14:paraId="0CE6FB57" w14:textId="77777777" w:rsidR="00A061A2" w:rsidRDefault="00A061A2" w:rsidP="006F48B3">
      <w:pPr>
        <w:jc w:val="both"/>
      </w:pPr>
    </w:p>
    <w:p w14:paraId="781E5B85" w14:textId="373DFA08" w:rsidR="00CC578D" w:rsidRPr="00CC578D" w:rsidRDefault="006F48B3" w:rsidP="00CC578D">
      <w:pPr>
        <w:jc w:val="both"/>
        <w:rPr>
          <w:b/>
          <w:bCs/>
        </w:rPr>
      </w:pPr>
      <w:r>
        <w:cr/>
      </w:r>
      <w:r w:rsidR="00CC578D" w:rsidRPr="00CC578D">
        <w:rPr>
          <w:b/>
          <w:bCs/>
        </w:rPr>
        <w:t>PERFORMANCE</w:t>
      </w:r>
      <w:r w:rsidR="00324078">
        <w:rPr>
          <w:b/>
          <w:bCs/>
          <w:vertAlign w:val="superscript"/>
        </w:rPr>
        <w:t xml:space="preserve"> 1</w:t>
      </w:r>
      <w:r w:rsidR="00CC578D" w:rsidRPr="00CC578D">
        <w:rPr>
          <w:b/>
          <w:bCs/>
        </w:rPr>
        <w:t xml:space="preserve"> </w:t>
      </w:r>
    </w:p>
    <w:p w14:paraId="79A08138" w14:textId="7626CA57" w:rsidR="00FB7E4E" w:rsidRPr="00C71B47" w:rsidRDefault="003C79E6" w:rsidP="00CC578D">
      <w:pPr>
        <w:numPr>
          <w:ilvl w:val="0"/>
          <w:numId w:val="1"/>
        </w:numPr>
        <w:jc w:val="both"/>
      </w:pPr>
      <w:r>
        <w:t>Group r</w:t>
      </w:r>
      <w:r w:rsidR="00CC578D" w:rsidRPr="00C71B47">
        <w:t xml:space="preserve">eported revenue increased </w:t>
      </w:r>
      <w:r w:rsidR="003C11A9" w:rsidRPr="00C71B47">
        <w:t xml:space="preserve">in Q3 22 </w:t>
      </w:r>
      <w:r w:rsidR="00CC578D" w:rsidRPr="00C71B47">
        <w:t xml:space="preserve">by </w:t>
      </w:r>
      <w:r w:rsidR="00B3266B">
        <w:t>35.0</w:t>
      </w:r>
      <w:r w:rsidR="00CC578D" w:rsidRPr="00C71B47">
        <w:t xml:space="preserve">% year on year, driven by </w:t>
      </w:r>
      <w:r w:rsidR="003C11A9" w:rsidRPr="00C71B47">
        <w:t xml:space="preserve">continued </w:t>
      </w:r>
      <w:r w:rsidR="00CC578D" w:rsidRPr="00C71B47">
        <w:t xml:space="preserve">strong growth in </w:t>
      </w:r>
      <w:r w:rsidR="00DE146B">
        <w:t xml:space="preserve">both </w:t>
      </w:r>
      <w:r w:rsidR="00CC578D" w:rsidRPr="00C71B47">
        <w:t xml:space="preserve">food to go </w:t>
      </w:r>
      <w:r w:rsidR="003C11A9" w:rsidRPr="00C71B47">
        <w:t xml:space="preserve">and other convenience </w:t>
      </w:r>
      <w:r w:rsidR="00CC578D" w:rsidRPr="00C71B47">
        <w:t xml:space="preserve">categories. </w:t>
      </w:r>
      <w:r w:rsidR="00202591" w:rsidRPr="00C71B47">
        <w:t>P</w:t>
      </w:r>
      <w:r w:rsidR="00CC578D" w:rsidRPr="00C71B47">
        <w:t xml:space="preserve">ro forma revenue grew by </w:t>
      </w:r>
      <w:r w:rsidR="00B3266B">
        <w:t>25.8</w:t>
      </w:r>
      <w:r w:rsidR="00CC578D" w:rsidRPr="00C71B47">
        <w:t>% year on year</w:t>
      </w:r>
      <w:r w:rsidR="00202591" w:rsidRPr="00C71B47">
        <w:t xml:space="preserve">, after adjusting for the impact of an </w:t>
      </w:r>
      <w:r w:rsidR="00AB116D" w:rsidRPr="00C71B47">
        <w:t xml:space="preserve">additional week in </w:t>
      </w:r>
      <w:r w:rsidR="00F040C3">
        <w:t>FY22’s</w:t>
      </w:r>
      <w:r w:rsidR="00AB116D" w:rsidRPr="00C71B47">
        <w:t xml:space="preserve"> accounting period </w:t>
      </w:r>
      <w:r w:rsidR="00202591" w:rsidRPr="00C71B47">
        <w:t>and for movements in foreign exchange</w:t>
      </w:r>
      <w:r w:rsidR="00C71B47" w:rsidRPr="00C71B47">
        <w:t xml:space="preserve">. Pro forma revenue was </w:t>
      </w:r>
      <w:r w:rsidR="00B3266B">
        <w:t>22.3</w:t>
      </w:r>
      <w:r w:rsidR="00CC578D" w:rsidRPr="00C71B47">
        <w:t>% above equivalent pre-COVID levels in Q</w:t>
      </w:r>
      <w:r w:rsidR="003C11A9" w:rsidRPr="00C71B47">
        <w:t>3</w:t>
      </w:r>
      <w:r w:rsidR="00CC578D" w:rsidRPr="00C71B47">
        <w:t xml:space="preserve"> 19</w:t>
      </w:r>
      <w:r w:rsidR="00F34C41" w:rsidRPr="00C71B47">
        <w:t xml:space="preserve"> </w:t>
      </w:r>
    </w:p>
    <w:p w14:paraId="3FA9FCEB" w14:textId="138019E2" w:rsidR="00CC578D" w:rsidRPr="00C71B47" w:rsidRDefault="003C11A9" w:rsidP="00CC578D">
      <w:pPr>
        <w:numPr>
          <w:ilvl w:val="0"/>
          <w:numId w:val="1"/>
        </w:numPr>
        <w:jc w:val="both"/>
      </w:pPr>
      <w:r w:rsidRPr="00C71B47">
        <w:t xml:space="preserve">Pro forma revenue growth in Q3 </w:t>
      </w:r>
      <w:r w:rsidR="00F040C3">
        <w:t xml:space="preserve">22 </w:t>
      </w:r>
      <w:r w:rsidRPr="00C71B47">
        <w:t xml:space="preserve">was </w:t>
      </w:r>
      <w:r w:rsidR="00746A7F">
        <w:t>driven by a combination of increased volumes</w:t>
      </w:r>
      <w:r w:rsidR="00114B9A">
        <w:t>,</w:t>
      </w:r>
      <w:r w:rsidR="00746A7F">
        <w:t xml:space="preserve"> a </w:t>
      </w:r>
      <w:r w:rsidR="00114B9A">
        <w:t>low</w:t>
      </w:r>
      <w:r w:rsidR="000F21C9" w:rsidRPr="00FF55A5">
        <w:t>-</w:t>
      </w:r>
      <w:r w:rsidR="00746A7F" w:rsidRPr="00FF55A5">
        <w:t>teen</w:t>
      </w:r>
      <w:r w:rsidR="002B6929" w:rsidRPr="000F21C9">
        <w:t xml:space="preserve"> percentage increas</w:t>
      </w:r>
      <w:r w:rsidR="00C71B47" w:rsidRPr="000F21C9">
        <w:t>e</w:t>
      </w:r>
      <w:r w:rsidR="002B6929" w:rsidRPr="000F21C9">
        <w:t xml:space="preserve"> in </w:t>
      </w:r>
      <w:r w:rsidR="0085411E">
        <w:t xml:space="preserve">underlying </w:t>
      </w:r>
      <w:r w:rsidR="002B6929" w:rsidRPr="000F21C9">
        <w:t>pricing</w:t>
      </w:r>
      <w:r w:rsidR="00D40FD5">
        <w:t xml:space="preserve">, and </w:t>
      </w:r>
      <w:r w:rsidR="0085411E">
        <w:t xml:space="preserve">increased </w:t>
      </w:r>
      <w:r w:rsidR="00C75B8A">
        <w:t xml:space="preserve">revenue in the Group’s </w:t>
      </w:r>
      <w:r w:rsidR="0085411E">
        <w:t>Irish ingredient</w:t>
      </w:r>
      <w:r w:rsidR="006333F8">
        <w:t>s trading business</w:t>
      </w:r>
      <w:r w:rsidR="002B6929" w:rsidRPr="00C71B47">
        <w:t xml:space="preserve">. </w:t>
      </w:r>
      <w:r w:rsidR="004D5B1D">
        <w:t>Notwithstanding the inflationary challenges impacting the broader UK food industry at present, t</w:t>
      </w:r>
      <w:r w:rsidR="00C71B47" w:rsidRPr="00C71B47">
        <w:t xml:space="preserve">here </w:t>
      </w:r>
      <w:r w:rsidR="00B95762">
        <w:t>has been</w:t>
      </w:r>
      <w:r w:rsidR="00B95762" w:rsidRPr="00C71B47">
        <w:t xml:space="preserve"> </w:t>
      </w:r>
      <w:r w:rsidR="00AD4BC7">
        <w:t>limited</w:t>
      </w:r>
      <w:r w:rsidR="00F34C41" w:rsidRPr="00C71B47">
        <w:t xml:space="preserve"> </w:t>
      </w:r>
      <w:r w:rsidR="002A52AA">
        <w:t xml:space="preserve">demand </w:t>
      </w:r>
      <w:r w:rsidR="00F34C41" w:rsidRPr="00C71B47">
        <w:t xml:space="preserve">impact </w:t>
      </w:r>
      <w:r w:rsidR="00B95762">
        <w:t xml:space="preserve">to date </w:t>
      </w:r>
      <w:r w:rsidR="00C71B47" w:rsidRPr="00C71B47">
        <w:t>in the Group’s categories</w:t>
      </w:r>
      <w:r w:rsidR="004D5B1D">
        <w:t xml:space="preserve">. The Group </w:t>
      </w:r>
      <w:r w:rsidR="00C71B47" w:rsidRPr="00C71B47">
        <w:t xml:space="preserve">will continue to </w:t>
      </w:r>
      <w:r w:rsidR="004D5B1D">
        <w:t xml:space="preserve">monitor the impact of increased prices at a consumer level closely </w:t>
      </w:r>
    </w:p>
    <w:p w14:paraId="7758AA18" w14:textId="03CA7B61" w:rsidR="00CC578D" w:rsidRPr="00C71B47" w:rsidRDefault="00CC578D" w:rsidP="00E86412">
      <w:pPr>
        <w:pStyle w:val="ListParagraph"/>
        <w:numPr>
          <w:ilvl w:val="0"/>
          <w:numId w:val="1"/>
        </w:numPr>
        <w:jc w:val="both"/>
      </w:pPr>
      <w:r w:rsidRPr="00C71B47">
        <w:lastRenderedPageBreak/>
        <w:t xml:space="preserve">Pro forma revenue in food to go categories increased </w:t>
      </w:r>
      <w:r w:rsidR="003C11A9" w:rsidRPr="00C71B47">
        <w:t xml:space="preserve">in Q3 22 </w:t>
      </w:r>
      <w:r w:rsidRPr="00C71B47">
        <w:t xml:space="preserve">by </w:t>
      </w:r>
      <w:r w:rsidR="00B3266B">
        <w:t>31.2</w:t>
      </w:r>
      <w:r w:rsidRPr="00C71B47">
        <w:t>% year on year</w:t>
      </w:r>
      <w:r w:rsidR="00B61875">
        <w:t>,</w:t>
      </w:r>
      <w:r w:rsidRPr="00C71B47">
        <w:t xml:space="preserve"> </w:t>
      </w:r>
      <w:r w:rsidR="003C11A9" w:rsidRPr="00C71B47">
        <w:t xml:space="preserve">driven by continued </w:t>
      </w:r>
      <w:r w:rsidRPr="00C71B47">
        <w:t xml:space="preserve">recovery in </w:t>
      </w:r>
      <w:r w:rsidR="003C11A9" w:rsidRPr="00C71B47">
        <w:t xml:space="preserve">underlying </w:t>
      </w:r>
      <w:r w:rsidRPr="00C71B47">
        <w:t xml:space="preserve">food to go </w:t>
      </w:r>
      <w:r w:rsidR="003C11A9" w:rsidRPr="00C71B47">
        <w:t>demand</w:t>
      </w:r>
      <w:r w:rsidR="00B61875">
        <w:t xml:space="preserve"> and</w:t>
      </w:r>
      <w:r w:rsidRPr="00C71B47">
        <w:t xml:space="preserve"> augmented by the onboarding of new business wins</w:t>
      </w:r>
      <w:r w:rsidR="00B95762">
        <w:t xml:space="preserve"> and </w:t>
      </w:r>
      <w:r w:rsidR="002B6929" w:rsidRPr="00C71B47">
        <w:t xml:space="preserve">increased </w:t>
      </w:r>
      <w:r w:rsidR="003C11A9" w:rsidRPr="00C71B47">
        <w:t>pricing</w:t>
      </w:r>
      <w:r w:rsidR="00E77B14">
        <w:t xml:space="preserve">. </w:t>
      </w:r>
      <w:r w:rsidR="00861875">
        <w:t>The s</w:t>
      </w:r>
      <w:r w:rsidR="00E86412">
        <w:t xml:space="preserve">trongest growth was </w:t>
      </w:r>
      <w:r w:rsidR="00861875">
        <w:t xml:space="preserve">seen </w:t>
      </w:r>
      <w:r w:rsidR="00E86412" w:rsidRPr="00E86412">
        <w:t xml:space="preserve">in customers that have a balanced </w:t>
      </w:r>
      <w:r w:rsidR="00E86412">
        <w:t xml:space="preserve">portfolio </w:t>
      </w:r>
      <w:r w:rsidR="00E86412" w:rsidRPr="00E86412">
        <w:t>mix of urban and suburban locations</w:t>
      </w:r>
      <w:r w:rsidR="00B3266B">
        <w:t xml:space="preserve">. Pro forma revenue </w:t>
      </w:r>
      <w:r w:rsidR="00B3266B" w:rsidRPr="00C71B47">
        <w:t xml:space="preserve">was </w:t>
      </w:r>
      <w:r w:rsidR="00B3266B">
        <w:t>19.0</w:t>
      </w:r>
      <w:r w:rsidR="00B3266B" w:rsidRPr="00C71B47">
        <w:t>% above equivalent pre-COVID levels in Q3 19</w:t>
      </w:r>
    </w:p>
    <w:p w14:paraId="633F8F8B" w14:textId="172F26E2" w:rsidR="00D761DE" w:rsidRPr="00C71B47" w:rsidRDefault="00CC578D" w:rsidP="00D761DE">
      <w:pPr>
        <w:numPr>
          <w:ilvl w:val="0"/>
          <w:numId w:val="1"/>
        </w:numPr>
        <w:jc w:val="both"/>
      </w:pPr>
      <w:r w:rsidRPr="00C71B47">
        <w:t xml:space="preserve">Pro forma revenue in other convenience categories </w:t>
      </w:r>
      <w:r w:rsidR="00C71B47" w:rsidRPr="00C71B47">
        <w:t xml:space="preserve">increased by </w:t>
      </w:r>
      <w:r w:rsidR="00B3266B">
        <w:t>15.5</w:t>
      </w:r>
      <w:r w:rsidRPr="00C71B47">
        <w:t>% year on year</w:t>
      </w:r>
      <w:r w:rsidR="00B61875">
        <w:t xml:space="preserve">, </w:t>
      </w:r>
      <w:r w:rsidR="00BD122A">
        <w:t xml:space="preserve">driven by </w:t>
      </w:r>
      <w:r w:rsidR="009861E5">
        <w:t xml:space="preserve">increased underlying pricing and higher </w:t>
      </w:r>
      <w:r w:rsidR="00F65C1B">
        <w:t xml:space="preserve">revenue in the Group’s Irish ingredients trading </w:t>
      </w:r>
      <w:r w:rsidR="00024E87">
        <w:t>business</w:t>
      </w:r>
      <w:r w:rsidR="009861E5">
        <w:t xml:space="preserve">. There was a </w:t>
      </w:r>
      <w:r w:rsidR="00563600">
        <w:t xml:space="preserve">modest reduction </w:t>
      </w:r>
      <w:r w:rsidR="003B23AD">
        <w:t xml:space="preserve">in </w:t>
      </w:r>
      <w:r w:rsidR="00FB51D5">
        <w:t xml:space="preserve">grocery </w:t>
      </w:r>
      <w:r w:rsidR="003B23AD">
        <w:t>volumes</w:t>
      </w:r>
      <w:r w:rsidR="00FB51D5">
        <w:t xml:space="preserve"> in Q3</w:t>
      </w:r>
      <w:r w:rsidR="003B23AD">
        <w:t xml:space="preserve">. </w:t>
      </w:r>
      <w:r w:rsidR="00B3266B">
        <w:t xml:space="preserve">Pro forma revenue </w:t>
      </w:r>
      <w:r w:rsidR="00B3266B" w:rsidRPr="00C71B47">
        <w:t xml:space="preserve">was </w:t>
      </w:r>
      <w:r w:rsidR="00324078">
        <w:t>30.2</w:t>
      </w:r>
      <w:r w:rsidR="00B3266B" w:rsidRPr="00C71B47">
        <w:t>% above equivalent pre-COVID levels in Q3 19</w:t>
      </w:r>
    </w:p>
    <w:p w14:paraId="23902319" w14:textId="6A7889C8" w:rsidR="00212B72" w:rsidRPr="0036353C" w:rsidRDefault="00DC79FA" w:rsidP="00D761DE">
      <w:pPr>
        <w:numPr>
          <w:ilvl w:val="0"/>
          <w:numId w:val="1"/>
        </w:numPr>
        <w:jc w:val="both"/>
      </w:pPr>
      <w:r w:rsidRPr="00DC79FA">
        <w:t xml:space="preserve">Profit momentum improved in Q3 22 driven by volume growth and better conversion due to enhanced productivity. </w:t>
      </w:r>
      <w:r>
        <w:t xml:space="preserve">The Group’s </w:t>
      </w:r>
      <w:r w:rsidRPr="00DC79FA">
        <w:t>Excellence programmes</w:t>
      </w:r>
      <w:r>
        <w:t>,</w:t>
      </w:r>
      <w:r w:rsidRPr="00DC79FA">
        <w:t xml:space="preserve"> enhanced through Better Greencore</w:t>
      </w:r>
      <w:r>
        <w:t xml:space="preserve">, </w:t>
      </w:r>
      <w:r w:rsidRPr="00DC79FA">
        <w:t xml:space="preserve">have underpinned this recovery. </w:t>
      </w:r>
      <w:r w:rsidR="0083228D">
        <w:t xml:space="preserve">Cost inflation </w:t>
      </w:r>
      <w:r w:rsidR="004D5B1D">
        <w:t xml:space="preserve">remains elevated across the UK food industry; however, the </w:t>
      </w:r>
      <w:r w:rsidR="00212B72" w:rsidRPr="0036353C">
        <w:t xml:space="preserve">Group </w:t>
      </w:r>
      <w:r w:rsidR="00B61875">
        <w:t xml:space="preserve">continues to </w:t>
      </w:r>
      <w:r w:rsidR="00D761DE" w:rsidRPr="0036353C">
        <w:t>progress well with the recovery of the</w:t>
      </w:r>
      <w:r w:rsidR="0083228D">
        <w:t>se</w:t>
      </w:r>
      <w:r w:rsidR="00D761DE" w:rsidRPr="0036353C">
        <w:t xml:space="preserve"> inflationary challenges </w:t>
      </w:r>
      <w:r w:rsidR="00212B72" w:rsidRPr="0036353C">
        <w:t xml:space="preserve">through </w:t>
      </w:r>
      <w:r w:rsidR="003C79E6" w:rsidRPr="0036353C">
        <w:t xml:space="preserve">constructive dialogue with customers, </w:t>
      </w:r>
      <w:r w:rsidR="00212B72" w:rsidRPr="0036353C">
        <w:t xml:space="preserve">price recovery </w:t>
      </w:r>
      <w:r w:rsidRPr="00DC79FA">
        <w:t xml:space="preserve">mechanisms, </w:t>
      </w:r>
      <w:r w:rsidR="00BF37D6">
        <w:t>effective</w:t>
      </w:r>
      <w:r w:rsidRPr="00DC79FA">
        <w:t xml:space="preserve"> supply chain management and operational efficiencies </w:t>
      </w:r>
    </w:p>
    <w:p w14:paraId="6711FF9D" w14:textId="3A04F1F5" w:rsidR="00CC578D" w:rsidRDefault="00B95762" w:rsidP="00C65339">
      <w:pPr>
        <w:numPr>
          <w:ilvl w:val="0"/>
          <w:numId w:val="1"/>
        </w:numPr>
        <w:jc w:val="both"/>
      </w:pPr>
      <w:r>
        <w:t>C</w:t>
      </w:r>
      <w:r w:rsidRPr="00C8791A">
        <w:t>onsistent with the Group’s capital management policy</w:t>
      </w:r>
      <w:r>
        <w:t>,</w:t>
      </w:r>
      <w:r w:rsidRPr="00C8791A">
        <w:t xml:space="preserve"> </w:t>
      </w:r>
      <w:r>
        <w:t>o</w:t>
      </w:r>
      <w:r w:rsidR="00C8791A" w:rsidRPr="00C8791A">
        <w:t xml:space="preserve">n 24 May 2022 the Group announced its intention to recommence value return of up to £50m over the next two years, initially in the form of a share buyback programme. </w:t>
      </w:r>
      <w:r w:rsidR="00D761DE" w:rsidRPr="00C8791A">
        <w:t xml:space="preserve">On </w:t>
      </w:r>
      <w:r w:rsidR="00B61875">
        <w:t>26</w:t>
      </w:r>
      <w:r w:rsidR="00D761DE" w:rsidRPr="00C8791A">
        <w:t xml:space="preserve"> July 2022 the Group </w:t>
      </w:r>
      <w:r w:rsidR="00C65339" w:rsidRPr="00C8791A">
        <w:t>announce</w:t>
      </w:r>
      <w:r w:rsidR="00C8791A" w:rsidRPr="00C8791A">
        <w:t>d</w:t>
      </w:r>
      <w:r w:rsidR="00C65339" w:rsidRPr="00C8791A">
        <w:t xml:space="preserve"> the commencement of </w:t>
      </w:r>
      <w:r>
        <w:t xml:space="preserve">this </w:t>
      </w:r>
      <w:r w:rsidR="00C65339" w:rsidRPr="00C8791A">
        <w:t xml:space="preserve">share buyback programme whereby it will repurchase ordinary shares of the Group for up to a maximum aggregate consideration of £10m </w:t>
      </w:r>
    </w:p>
    <w:p w14:paraId="0D3BD3FF" w14:textId="77777777" w:rsidR="00C8791A" w:rsidRPr="00C8791A" w:rsidRDefault="00C8791A" w:rsidP="00C8791A">
      <w:pPr>
        <w:ind w:left="720"/>
        <w:jc w:val="both"/>
      </w:pPr>
    </w:p>
    <w:p w14:paraId="38882046" w14:textId="7DFFA336" w:rsidR="00CC578D" w:rsidRPr="00CC578D" w:rsidRDefault="00913931" w:rsidP="00CC578D">
      <w:pPr>
        <w:jc w:val="both"/>
        <w:rPr>
          <w:b/>
          <w:bCs/>
        </w:rPr>
      </w:pPr>
      <w:r>
        <w:rPr>
          <w:b/>
          <w:bCs/>
        </w:rPr>
        <w:t xml:space="preserve">OPERATING &amp; </w:t>
      </w:r>
      <w:r w:rsidR="00CC578D" w:rsidRPr="00CC578D">
        <w:rPr>
          <w:b/>
          <w:bCs/>
        </w:rPr>
        <w:t xml:space="preserve">STRATEGIC </w:t>
      </w:r>
      <w:r>
        <w:rPr>
          <w:b/>
          <w:bCs/>
        </w:rPr>
        <w:t>UPDATE</w:t>
      </w:r>
    </w:p>
    <w:p w14:paraId="719B857D" w14:textId="0A50E402" w:rsidR="00630057" w:rsidRDefault="00630057" w:rsidP="00630057">
      <w:pPr>
        <w:numPr>
          <w:ilvl w:val="0"/>
          <w:numId w:val="1"/>
        </w:numPr>
        <w:jc w:val="both"/>
      </w:pPr>
      <w:r>
        <w:t xml:space="preserve">The Group maintained high operational service levels during the quarter and worked closely with its customers and supply partners to manage through ongoing supply-side challenges </w:t>
      </w:r>
    </w:p>
    <w:p w14:paraId="0BF21ADE" w14:textId="50AD2F39" w:rsidR="002A52AA" w:rsidRPr="000318FF" w:rsidRDefault="000318FF" w:rsidP="00CC578D">
      <w:pPr>
        <w:numPr>
          <w:ilvl w:val="0"/>
          <w:numId w:val="1"/>
        </w:numPr>
        <w:jc w:val="both"/>
      </w:pPr>
      <w:r w:rsidRPr="000318FF">
        <w:t>O</w:t>
      </w:r>
      <w:r w:rsidR="009F7179" w:rsidRPr="000318FF">
        <w:t xml:space="preserve">nboarding of new business wins </w:t>
      </w:r>
      <w:r w:rsidRPr="000318FF">
        <w:t xml:space="preserve">continued </w:t>
      </w:r>
      <w:r w:rsidR="00F040C3">
        <w:t>during the quarter</w:t>
      </w:r>
      <w:r w:rsidRPr="000318FF">
        <w:t xml:space="preserve">, </w:t>
      </w:r>
      <w:r w:rsidR="009F7179" w:rsidRPr="000318FF">
        <w:t>across the Group’s categories and customers</w:t>
      </w:r>
      <w:r w:rsidRPr="000318FF">
        <w:t xml:space="preserve">, </w:t>
      </w:r>
      <w:r w:rsidR="000C5104" w:rsidRPr="000318FF">
        <w:t>expanding its product ranges and channel reach</w:t>
      </w:r>
      <w:r w:rsidRPr="000318FF">
        <w:t xml:space="preserve">. </w:t>
      </w:r>
      <w:r w:rsidR="00E27F60">
        <w:t xml:space="preserve">The Group </w:t>
      </w:r>
      <w:r w:rsidR="00861875">
        <w:t xml:space="preserve">has </w:t>
      </w:r>
      <w:r w:rsidR="00E27F60">
        <w:t xml:space="preserve">continued to work closely with customers on </w:t>
      </w:r>
      <w:r w:rsidR="002A52AA" w:rsidRPr="000318FF">
        <w:t xml:space="preserve">product </w:t>
      </w:r>
      <w:r w:rsidR="00E27F60">
        <w:t xml:space="preserve">and range innovations </w:t>
      </w:r>
      <w:r w:rsidR="002A52AA" w:rsidRPr="001A0C94">
        <w:t xml:space="preserve">to </w:t>
      </w:r>
      <w:r w:rsidR="001A0C94" w:rsidRPr="001A0C94">
        <w:t>mitigate the</w:t>
      </w:r>
      <w:r w:rsidR="002A52AA" w:rsidRPr="001A0C94">
        <w:t xml:space="preserve"> impact of inflation</w:t>
      </w:r>
      <w:r w:rsidR="001A0C94">
        <w:t xml:space="preserve"> at consumer level</w:t>
      </w:r>
    </w:p>
    <w:p w14:paraId="2E1BBDD6" w14:textId="4C4128B7" w:rsidR="003C79E6" w:rsidRPr="000318FF" w:rsidRDefault="003C79E6" w:rsidP="00CC578D">
      <w:pPr>
        <w:numPr>
          <w:ilvl w:val="0"/>
          <w:numId w:val="1"/>
        </w:numPr>
        <w:jc w:val="both"/>
      </w:pPr>
      <w:r w:rsidRPr="003C79E6">
        <w:t xml:space="preserve">The Group’s strategic capital investment programme of approximately £30m across three existing manufacturing sites, to support the delivery of previously announced business wins, has progressed to plan with product launches from the extended Wisbech and Kiveton sites having begun in May and July respectively </w:t>
      </w:r>
    </w:p>
    <w:p w14:paraId="1EE0DF07" w14:textId="4A068423" w:rsidR="00334767" w:rsidRPr="000318FF" w:rsidRDefault="00DC79FA" w:rsidP="000318FF">
      <w:pPr>
        <w:numPr>
          <w:ilvl w:val="0"/>
          <w:numId w:val="1"/>
        </w:numPr>
        <w:jc w:val="both"/>
      </w:pPr>
      <w:bookmarkStart w:id="0" w:name="_Hlk93497153"/>
      <w:r w:rsidRPr="00DC79FA">
        <w:t xml:space="preserve">Better Greencore continues to progress well. </w:t>
      </w:r>
      <w:r w:rsidR="000318FF" w:rsidRPr="000318FF">
        <w:t xml:space="preserve">The first phase of the programme will deliver an annual recurring benefit of approximately £30m in FY24. The Group will invest a total of approximately £24m during FY22 and FY23, including capital </w:t>
      </w:r>
      <w:r w:rsidR="00F040C3">
        <w:t>expenditure</w:t>
      </w:r>
      <w:r w:rsidR="00F040C3" w:rsidRPr="000318FF">
        <w:t xml:space="preserve"> </w:t>
      </w:r>
      <w:r w:rsidR="000318FF" w:rsidRPr="000318FF">
        <w:t>of approximately £8m, to unlock these improvements</w:t>
      </w:r>
      <w:r w:rsidR="008C06B5">
        <w:t xml:space="preserve">. </w:t>
      </w:r>
      <w:r>
        <w:t>The Group has</w:t>
      </w:r>
      <w:r w:rsidRPr="00DC79FA">
        <w:t xml:space="preserve"> </w:t>
      </w:r>
      <w:r w:rsidR="00AB6349">
        <w:t xml:space="preserve">initiated </w:t>
      </w:r>
      <w:r w:rsidR="00C14E25">
        <w:t xml:space="preserve">planning for </w:t>
      </w:r>
      <w:r>
        <w:t xml:space="preserve">the second phase </w:t>
      </w:r>
      <w:r w:rsidRPr="00DC79FA">
        <w:t>of the programme which focuses on output optimisation</w:t>
      </w:r>
      <w:r w:rsidR="00BF37D6">
        <w:t>.</w:t>
      </w:r>
      <w:r w:rsidRPr="00DC79FA">
        <w:t xml:space="preserve"> </w:t>
      </w:r>
      <w:r w:rsidR="009758BC">
        <w:t>Additional benefits to the Group are expected from this phase and the Group will provide further detail upon launch</w:t>
      </w:r>
      <w:r w:rsidRPr="00DC79FA">
        <w:t xml:space="preserve"> </w:t>
      </w:r>
    </w:p>
    <w:bookmarkEnd w:id="0"/>
    <w:p w14:paraId="3D0D716C" w14:textId="48726FB8" w:rsidR="00CC578D" w:rsidRPr="00047DC3" w:rsidRDefault="00047DC3" w:rsidP="00047DC3">
      <w:pPr>
        <w:numPr>
          <w:ilvl w:val="0"/>
          <w:numId w:val="1"/>
        </w:numPr>
        <w:jc w:val="both"/>
      </w:pPr>
      <w:r>
        <w:t>The Group advanced its sustainability agenda in Q3</w:t>
      </w:r>
      <w:r w:rsidR="00F040C3">
        <w:t xml:space="preserve"> 22</w:t>
      </w:r>
      <w:r>
        <w:t xml:space="preserve"> as it builds the necessary data and systems framework to measure performance effectively. </w:t>
      </w:r>
      <w:r w:rsidR="000C0CF2">
        <w:t xml:space="preserve">It also </w:t>
      </w:r>
      <w:r w:rsidR="000C0CF2" w:rsidRPr="000C0CF2">
        <w:t xml:space="preserve">commenced </w:t>
      </w:r>
      <w:r w:rsidR="000C0CF2">
        <w:t xml:space="preserve">a </w:t>
      </w:r>
      <w:r w:rsidR="000C0CF2" w:rsidRPr="000C0CF2">
        <w:t xml:space="preserve">collaboration project with </w:t>
      </w:r>
      <w:r w:rsidR="000C0CF2">
        <w:t xml:space="preserve">a key </w:t>
      </w:r>
      <w:r w:rsidR="000C0CF2" w:rsidRPr="000C0CF2">
        <w:t>customer on category level eco-footprinting</w:t>
      </w:r>
    </w:p>
    <w:p w14:paraId="667FA0A3" w14:textId="77777777" w:rsidR="00CC578D" w:rsidRPr="00CC578D" w:rsidRDefault="00CC578D" w:rsidP="00CC578D">
      <w:pPr>
        <w:jc w:val="both"/>
      </w:pPr>
    </w:p>
    <w:p w14:paraId="494269C0" w14:textId="18B42958" w:rsidR="00CC578D" w:rsidRPr="00CC578D" w:rsidRDefault="00CC578D" w:rsidP="00CC578D">
      <w:pPr>
        <w:jc w:val="both"/>
        <w:rPr>
          <w:b/>
          <w:bCs/>
        </w:rPr>
      </w:pPr>
      <w:r w:rsidRPr="00CC578D">
        <w:rPr>
          <w:b/>
          <w:bCs/>
        </w:rPr>
        <w:t>OUTLOOK</w:t>
      </w:r>
      <w:r w:rsidR="00324078">
        <w:rPr>
          <w:b/>
          <w:bCs/>
          <w:vertAlign w:val="superscript"/>
        </w:rPr>
        <w:t xml:space="preserve"> 2</w:t>
      </w:r>
      <w:r w:rsidRPr="00CC578D">
        <w:rPr>
          <w:b/>
          <w:bCs/>
        </w:rPr>
        <w:t xml:space="preserve"> </w:t>
      </w:r>
    </w:p>
    <w:p w14:paraId="71B8B576" w14:textId="0FC4B9D4" w:rsidR="001040C9" w:rsidRDefault="001040C9" w:rsidP="001040C9">
      <w:pPr>
        <w:numPr>
          <w:ilvl w:val="0"/>
          <w:numId w:val="1"/>
        </w:numPr>
        <w:jc w:val="both"/>
      </w:pPr>
      <w:r w:rsidRPr="001040C9">
        <w:t xml:space="preserve">The Group continues to deliver good </w:t>
      </w:r>
      <w:r w:rsidR="003522CA">
        <w:t xml:space="preserve">year on year </w:t>
      </w:r>
      <w:r w:rsidR="00215972">
        <w:t xml:space="preserve">volume </w:t>
      </w:r>
      <w:r w:rsidRPr="001040C9">
        <w:t xml:space="preserve">growth while </w:t>
      </w:r>
      <w:r w:rsidR="00215972">
        <w:t>recovering</w:t>
      </w:r>
      <w:r w:rsidRPr="001040C9">
        <w:t xml:space="preserve"> significant levels of </w:t>
      </w:r>
      <w:r w:rsidR="003522CA">
        <w:t xml:space="preserve">ongoing </w:t>
      </w:r>
      <w:r w:rsidR="00215972">
        <w:t>inflation</w:t>
      </w:r>
      <w:r w:rsidRPr="001040C9">
        <w:t xml:space="preserve"> </w:t>
      </w:r>
      <w:r w:rsidR="00215972">
        <w:t>and enhancing profit conversion</w:t>
      </w:r>
      <w:r w:rsidRPr="001040C9">
        <w:t xml:space="preserve">. </w:t>
      </w:r>
      <w:r w:rsidR="00215972">
        <w:t xml:space="preserve">It </w:t>
      </w:r>
      <w:r>
        <w:t xml:space="preserve">is confident in its ability to deliver </w:t>
      </w:r>
      <w:r w:rsidR="003522CA">
        <w:t xml:space="preserve">very </w:t>
      </w:r>
      <w:r>
        <w:t>strong year on year profit and cashflow progression in the second half of the year</w:t>
      </w:r>
      <w:r w:rsidR="0059035D">
        <w:t>, its peak seasonal trading period</w:t>
      </w:r>
    </w:p>
    <w:p w14:paraId="4FA9A523" w14:textId="5CFA9CFD" w:rsidR="001040C9" w:rsidRDefault="001040C9" w:rsidP="001040C9">
      <w:pPr>
        <w:numPr>
          <w:ilvl w:val="0"/>
          <w:numId w:val="1"/>
        </w:numPr>
        <w:jc w:val="both"/>
      </w:pPr>
      <w:r>
        <w:t>The Group expects to generate an FY22 Adjusted Operating Profit outturn of between £</w:t>
      </w:r>
      <w:r w:rsidR="00861875">
        <w:t>7</w:t>
      </w:r>
      <w:r w:rsidR="00FC4ECD">
        <w:t>2</w:t>
      </w:r>
      <w:r>
        <w:t>m and £</w:t>
      </w:r>
      <w:r w:rsidR="00255050">
        <w:t>77</w:t>
      </w:r>
      <w:r>
        <w:t xml:space="preserve">m and Adjusted EPS of between </w:t>
      </w:r>
      <w:r w:rsidR="00255050">
        <w:t>9.</w:t>
      </w:r>
      <w:r w:rsidR="00FC4ECD">
        <w:t>2</w:t>
      </w:r>
      <w:r>
        <w:t xml:space="preserve">p and </w:t>
      </w:r>
      <w:r w:rsidR="00255050">
        <w:t>10.0</w:t>
      </w:r>
      <w:r>
        <w:t xml:space="preserve">p. Given strong cashflow momentum, Net Debt (excluding lease liabilities) at the end of FY22 is anticipated to be approximately £200m with Net Debt:EBITDA comfortably below </w:t>
      </w:r>
      <w:r w:rsidR="00215972">
        <w:t>2</w:t>
      </w:r>
      <w:r>
        <w:t>x, as measured under financing agreements</w:t>
      </w:r>
    </w:p>
    <w:p w14:paraId="0D48A86A" w14:textId="75066AA3" w:rsidR="00FC4ECD" w:rsidRDefault="00FC4ECD" w:rsidP="001040C9">
      <w:pPr>
        <w:numPr>
          <w:ilvl w:val="0"/>
          <w:numId w:val="1"/>
        </w:numPr>
        <w:jc w:val="both"/>
      </w:pPr>
      <w:r>
        <w:t xml:space="preserve">Inflation trends are expected to continue into FY23 and </w:t>
      </w:r>
      <w:r w:rsidR="00557872">
        <w:t xml:space="preserve">the Group </w:t>
      </w:r>
      <w:r w:rsidR="00B00E6E">
        <w:t>continue</w:t>
      </w:r>
      <w:r w:rsidR="00557872">
        <w:t>s</w:t>
      </w:r>
      <w:r w:rsidR="00B00E6E">
        <w:t xml:space="preserve"> to monitor </w:t>
      </w:r>
      <w:r w:rsidR="00BA527E">
        <w:t xml:space="preserve">closely </w:t>
      </w:r>
      <w:r w:rsidR="00B00E6E">
        <w:t xml:space="preserve">the impact of </w:t>
      </w:r>
      <w:r w:rsidR="00AD4BC7">
        <w:t xml:space="preserve">the </w:t>
      </w:r>
      <w:r w:rsidR="00B00E6E">
        <w:t>inflation</w:t>
      </w:r>
      <w:r w:rsidR="00AD4BC7">
        <w:t>ary environment</w:t>
      </w:r>
      <w:r w:rsidR="00B00E6E">
        <w:t xml:space="preserve"> on consumer </w:t>
      </w:r>
      <w:r w:rsidR="00AD4BC7">
        <w:t xml:space="preserve">sentiment and </w:t>
      </w:r>
      <w:r w:rsidR="00B00E6E">
        <w:t>demand</w:t>
      </w:r>
      <w:r w:rsidR="00557872">
        <w:t xml:space="preserve">, </w:t>
      </w:r>
      <w:r w:rsidR="00B00E6E">
        <w:t xml:space="preserve">as well as working </w:t>
      </w:r>
      <w:r>
        <w:t xml:space="preserve">with customers and supply partners to mitigate the </w:t>
      </w:r>
      <w:r w:rsidR="00494767">
        <w:t xml:space="preserve">ongoing </w:t>
      </w:r>
      <w:r>
        <w:t>impact</w:t>
      </w:r>
      <w:r w:rsidR="00B00E6E">
        <w:t xml:space="preserve"> on consumer prices</w:t>
      </w:r>
      <w:r>
        <w:t xml:space="preserve"> </w:t>
      </w:r>
    </w:p>
    <w:p w14:paraId="3B690D99" w14:textId="58561BD2" w:rsidR="00CC578D" w:rsidRPr="00CC578D" w:rsidRDefault="00CC578D" w:rsidP="00AB116D">
      <w:pPr>
        <w:numPr>
          <w:ilvl w:val="0"/>
          <w:numId w:val="1"/>
        </w:numPr>
        <w:jc w:val="both"/>
      </w:pPr>
      <w:r w:rsidRPr="00CC578D">
        <w:t xml:space="preserve">Greencore will </w:t>
      </w:r>
      <w:r w:rsidR="0083281D">
        <w:t xml:space="preserve">report </w:t>
      </w:r>
      <w:r w:rsidR="0059035D" w:rsidRPr="0059035D">
        <w:t xml:space="preserve">its FY22 results for the year ending </w:t>
      </w:r>
      <w:r w:rsidR="0059035D">
        <w:t>30</w:t>
      </w:r>
      <w:r w:rsidR="0059035D" w:rsidRPr="0059035D">
        <w:t xml:space="preserve"> September 2022 </w:t>
      </w:r>
      <w:r w:rsidRPr="00CC578D">
        <w:t xml:space="preserve">on </w:t>
      </w:r>
      <w:r w:rsidR="00215972">
        <w:t>29</w:t>
      </w:r>
      <w:r w:rsidR="0050556C">
        <w:t xml:space="preserve"> November </w:t>
      </w:r>
      <w:r w:rsidRPr="00CC578D">
        <w:t>2022</w:t>
      </w:r>
    </w:p>
    <w:p w14:paraId="71338C27" w14:textId="483B7E2C" w:rsidR="00A57B42" w:rsidRDefault="00A57B42" w:rsidP="006F48B3">
      <w:pPr>
        <w:jc w:val="both"/>
      </w:pPr>
    </w:p>
    <w:p w14:paraId="4DE86806" w14:textId="1BB9DC2D" w:rsidR="000A485D" w:rsidRPr="000A485D" w:rsidRDefault="000A485D" w:rsidP="000A485D">
      <w:pPr>
        <w:jc w:val="both"/>
        <w:rPr>
          <w:b/>
          <w:bCs/>
        </w:rPr>
      </w:pPr>
      <w:r w:rsidRPr="000A485D">
        <w:rPr>
          <w:b/>
          <w:bCs/>
        </w:rPr>
        <w:t xml:space="preserve">Commenting on the </w:t>
      </w:r>
      <w:r w:rsidR="00215972">
        <w:rPr>
          <w:b/>
          <w:bCs/>
        </w:rPr>
        <w:t>performance</w:t>
      </w:r>
      <w:r w:rsidRPr="000A485D">
        <w:rPr>
          <w:b/>
          <w:bCs/>
        </w:rPr>
        <w:t xml:space="preserve">, Gary Kennedy, Executive Chair, said: </w:t>
      </w:r>
    </w:p>
    <w:p w14:paraId="7BC20CF9" w14:textId="1076D770" w:rsidR="006503C8" w:rsidRPr="009E48FD" w:rsidRDefault="000A485D" w:rsidP="008F4EE4">
      <w:pPr>
        <w:jc w:val="both"/>
        <w:rPr>
          <w:i/>
          <w:iCs/>
        </w:rPr>
      </w:pPr>
      <w:r w:rsidRPr="009E48FD">
        <w:rPr>
          <w:i/>
          <w:iCs/>
        </w:rPr>
        <w:t>“</w:t>
      </w:r>
      <w:r w:rsidR="004D5B1D" w:rsidRPr="004D5B1D">
        <w:rPr>
          <w:i/>
          <w:iCs/>
        </w:rPr>
        <w:t xml:space="preserve">I am encouraged by the progress we have made during Q3 against the backdrop of inflationary pressures for the industry. </w:t>
      </w:r>
      <w:r w:rsidR="00BA527E" w:rsidRPr="00BA527E">
        <w:rPr>
          <w:i/>
          <w:iCs/>
        </w:rPr>
        <w:t xml:space="preserve">Revenue and profit conversion through the period has been encouraging and we are confident in our ability to continue to manage the various industry challenges and end the year strongly. </w:t>
      </w:r>
      <w:r w:rsidR="004D5B1D" w:rsidRPr="004D5B1D">
        <w:rPr>
          <w:i/>
          <w:iCs/>
        </w:rPr>
        <w:t xml:space="preserve">Our leading market positions, close customer relationships and intense focus on efficiencies mean that we look to the future with optimism, and we expect to deliver a strong </w:t>
      </w:r>
      <w:r w:rsidR="00F040C3">
        <w:rPr>
          <w:i/>
          <w:iCs/>
        </w:rPr>
        <w:t xml:space="preserve">year on year </w:t>
      </w:r>
      <w:r w:rsidR="004D5B1D" w:rsidRPr="004D5B1D">
        <w:rPr>
          <w:i/>
          <w:iCs/>
        </w:rPr>
        <w:t>improvement in profitability, cash flow and returns</w:t>
      </w:r>
      <w:r w:rsidR="0059035D">
        <w:rPr>
          <w:i/>
          <w:iCs/>
        </w:rPr>
        <w:t xml:space="preserve"> for FY22</w:t>
      </w:r>
      <w:r w:rsidR="00325771">
        <w:rPr>
          <w:i/>
          <w:iCs/>
        </w:rPr>
        <w:t>”</w:t>
      </w:r>
    </w:p>
    <w:p w14:paraId="097DDB98" w14:textId="3C5E1802" w:rsidR="009D4D44" w:rsidRDefault="009D4D44" w:rsidP="00F52596"/>
    <w:p w14:paraId="252994C0" w14:textId="77777777" w:rsidR="009D4D44" w:rsidRPr="009C7D60" w:rsidRDefault="009D4D44" w:rsidP="009D4D44">
      <w:pPr>
        <w:jc w:val="both"/>
        <w:rPr>
          <w:rFonts w:cs="Arial"/>
          <w:b/>
          <w:szCs w:val="20"/>
        </w:rPr>
      </w:pPr>
      <w:r w:rsidRPr="009C7D60">
        <w:rPr>
          <w:rFonts w:cs="Arial"/>
          <w:b/>
          <w:szCs w:val="20"/>
        </w:rPr>
        <w:t>For further information, please contact:</w:t>
      </w:r>
    </w:p>
    <w:p w14:paraId="473C52CE" w14:textId="77777777" w:rsidR="009D4D44" w:rsidRDefault="009D4D44" w:rsidP="009D4D44">
      <w:pPr>
        <w:tabs>
          <w:tab w:val="left" w:pos="5018"/>
        </w:tabs>
        <w:spacing w:after="0" w:line="240" w:lineRule="auto"/>
        <w:ind w:left="-284" w:right="-330"/>
        <w:jc w:val="both"/>
        <w:rPr>
          <w:b/>
          <w:sz w:val="18"/>
          <w:szCs w:val="18"/>
        </w:rPr>
      </w:pPr>
    </w:p>
    <w:tbl>
      <w:tblPr>
        <w:tblW w:w="8820" w:type="dxa"/>
        <w:jc w:val="center"/>
        <w:tblLayout w:type="fixed"/>
        <w:tblCellMar>
          <w:left w:w="0" w:type="dxa"/>
        </w:tblCellMar>
        <w:tblLook w:val="04A0" w:firstRow="1" w:lastRow="0" w:firstColumn="1" w:lastColumn="0" w:noHBand="0" w:noVBand="1"/>
      </w:tblPr>
      <w:tblGrid>
        <w:gridCol w:w="3828"/>
        <w:gridCol w:w="2693"/>
        <w:gridCol w:w="2299"/>
      </w:tblGrid>
      <w:tr w:rsidR="009D4D44" w14:paraId="4A9E8B5F" w14:textId="77777777" w:rsidTr="00DC2B2F">
        <w:trPr>
          <w:jc w:val="center"/>
        </w:trPr>
        <w:tc>
          <w:tcPr>
            <w:tcW w:w="3828" w:type="dxa"/>
            <w:shd w:val="clear" w:color="auto" w:fill="auto"/>
            <w:hideMark/>
          </w:tcPr>
          <w:p w14:paraId="0F597BCC" w14:textId="109AF116" w:rsidR="009D4D44" w:rsidRPr="00E509A4" w:rsidRDefault="005955D8" w:rsidP="00DC2B2F">
            <w:pPr>
              <w:spacing w:after="0" w:line="240" w:lineRule="auto"/>
              <w:jc w:val="both"/>
              <w:rPr>
                <w:rFonts w:cs="Arial"/>
                <w:bCs/>
                <w:sz w:val="18"/>
                <w:szCs w:val="18"/>
                <w:lang w:val="en-US"/>
              </w:rPr>
            </w:pPr>
            <w:r>
              <w:rPr>
                <w:rFonts w:cs="Arial"/>
                <w:bCs/>
                <w:sz w:val="18"/>
                <w:szCs w:val="18"/>
                <w:lang w:val="en-US"/>
              </w:rPr>
              <w:t>Gary Kennedy</w:t>
            </w:r>
          </w:p>
        </w:tc>
        <w:tc>
          <w:tcPr>
            <w:tcW w:w="2693" w:type="dxa"/>
            <w:shd w:val="clear" w:color="auto" w:fill="auto"/>
            <w:hideMark/>
          </w:tcPr>
          <w:p w14:paraId="76EF01D8" w14:textId="5DB6B3E6" w:rsidR="009D4D44" w:rsidRPr="00E509A4" w:rsidRDefault="005955D8" w:rsidP="00DC2B2F">
            <w:pPr>
              <w:spacing w:after="0" w:line="240" w:lineRule="auto"/>
              <w:jc w:val="both"/>
              <w:rPr>
                <w:rFonts w:cs="Arial"/>
                <w:bCs/>
                <w:sz w:val="18"/>
                <w:szCs w:val="18"/>
                <w:lang w:val="en-US"/>
              </w:rPr>
            </w:pPr>
            <w:r>
              <w:rPr>
                <w:rFonts w:cs="Arial"/>
                <w:bCs/>
                <w:sz w:val="18"/>
                <w:szCs w:val="18"/>
                <w:lang w:val="en-US"/>
              </w:rPr>
              <w:t>Executive Chair</w:t>
            </w:r>
          </w:p>
        </w:tc>
        <w:tc>
          <w:tcPr>
            <w:tcW w:w="2299" w:type="dxa"/>
            <w:shd w:val="clear" w:color="auto" w:fill="auto"/>
            <w:hideMark/>
          </w:tcPr>
          <w:p w14:paraId="4A26B946" w14:textId="5BE49A58"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+353 (0) 1 486 33</w:t>
            </w:r>
            <w:r w:rsidR="005955D8">
              <w:rPr>
                <w:rFonts w:cs="Arial"/>
                <w:bCs/>
                <w:sz w:val="18"/>
                <w:szCs w:val="18"/>
                <w:lang w:val="en-US"/>
              </w:rPr>
              <w:t>13</w:t>
            </w:r>
          </w:p>
        </w:tc>
      </w:tr>
      <w:tr w:rsidR="007F357F" w14:paraId="0836241D" w14:textId="77777777" w:rsidTr="00714D31">
        <w:trPr>
          <w:jc w:val="center"/>
        </w:trPr>
        <w:tc>
          <w:tcPr>
            <w:tcW w:w="3828" w:type="dxa"/>
            <w:shd w:val="clear" w:color="auto" w:fill="auto"/>
            <w:hideMark/>
          </w:tcPr>
          <w:p w14:paraId="7458A26A" w14:textId="77777777" w:rsidR="007F357F" w:rsidRPr="00E509A4" w:rsidRDefault="007F357F" w:rsidP="00714D31">
            <w:pPr>
              <w:spacing w:after="0" w:line="240" w:lineRule="auto"/>
              <w:jc w:val="both"/>
              <w:rPr>
                <w:rFonts w:cs="Arial"/>
                <w:bCs/>
                <w:sz w:val="18"/>
                <w:szCs w:val="18"/>
                <w:lang w:val="en-US"/>
              </w:rPr>
            </w:pPr>
            <w:r w:rsidRPr="00E509A4">
              <w:rPr>
                <w:rFonts w:cs="Arial"/>
                <w:bCs/>
                <w:sz w:val="18"/>
                <w:szCs w:val="18"/>
                <w:lang w:val="en-US"/>
              </w:rPr>
              <w:t>Emma Hynes</w:t>
            </w:r>
          </w:p>
        </w:tc>
        <w:tc>
          <w:tcPr>
            <w:tcW w:w="2693" w:type="dxa"/>
            <w:shd w:val="clear" w:color="auto" w:fill="auto"/>
            <w:hideMark/>
          </w:tcPr>
          <w:p w14:paraId="075BA58D" w14:textId="77777777" w:rsidR="007F357F" w:rsidRPr="00E509A4" w:rsidRDefault="007F357F" w:rsidP="00714D31">
            <w:pPr>
              <w:spacing w:after="0" w:line="240" w:lineRule="auto"/>
              <w:jc w:val="both"/>
              <w:rPr>
                <w:rFonts w:cs="Arial"/>
                <w:bCs/>
                <w:sz w:val="18"/>
                <w:szCs w:val="18"/>
                <w:lang w:val="en-US"/>
              </w:rPr>
            </w:pPr>
            <w:r w:rsidRPr="00E509A4">
              <w:rPr>
                <w:rFonts w:cs="Arial"/>
                <w:bCs/>
                <w:sz w:val="18"/>
                <w:szCs w:val="18"/>
                <w:lang w:val="en-US"/>
              </w:rPr>
              <w:t>Chief Financial Officer</w:t>
            </w:r>
          </w:p>
        </w:tc>
        <w:tc>
          <w:tcPr>
            <w:tcW w:w="2299" w:type="dxa"/>
            <w:shd w:val="clear" w:color="auto" w:fill="auto"/>
            <w:hideMark/>
          </w:tcPr>
          <w:p w14:paraId="61EACFE3" w14:textId="77777777" w:rsidR="007F357F" w:rsidRPr="00E509A4" w:rsidRDefault="007F357F" w:rsidP="00714D31">
            <w:pPr>
              <w:spacing w:after="0" w:line="240" w:lineRule="auto"/>
              <w:jc w:val="both"/>
              <w:rPr>
                <w:rFonts w:cs="Arial"/>
                <w:bCs/>
                <w:sz w:val="18"/>
                <w:szCs w:val="18"/>
                <w:lang w:val="en-US"/>
              </w:rPr>
            </w:pPr>
            <w:r w:rsidRPr="00E509A4">
              <w:rPr>
                <w:rFonts w:cs="Arial"/>
                <w:bCs/>
                <w:sz w:val="18"/>
                <w:szCs w:val="18"/>
                <w:lang w:val="en-US"/>
              </w:rPr>
              <w:t>Tel: +353 (0) 1 486 3307</w:t>
            </w:r>
          </w:p>
        </w:tc>
      </w:tr>
      <w:tr w:rsidR="009D4D44" w14:paraId="29CA7D9B" w14:textId="77777777" w:rsidTr="00DC2B2F">
        <w:trPr>
          <w:jc w:val="center"/>
        </w:trPr>
        <w:tc>
          <w:tcPr>
            <w:tcW w:w="3828" w:type="dxa"/>
            <w:shd w:val="clear" w:color="auto" w:fill="auto"/>
            <w:hideMark/>
          </w:tcPr>
          <w:p w14:paraId="3F55864A"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Jack Gorman</w:t>
            </w:r>
          </w:p>
        </w:tc>
        <w:tc>
          <w:tcPr>
            <w:tcW w:w="2693" w:type="dxa"/>
            <w:shd w:val="clear" w:color="auto" w:fill="auto"/>
            <w:hideMark/>
          </w:tcPr>
          <w:p w14:paraId="4F0DA95C"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 xml:space="preserve">Head of </w:t>
            </w:r>
            <w:r>
              <w:rPr>
                <w:rFonts w:cs="Arial"/>
                <w:bCs/>
                <w:sz w:val="18"/>
                <w:szCs w:val="18"/>
                <w:lang w:val="en-US"/>
              </w:rPr>
              <w:t>Investor Relations</w:t>
            </w:r>
          </w:p>
        </w:tc>
        <w:tc>
          <w:tcPr>
            <w:tcW w:w="2299" w:type="dxa"/>
            <w:shd w:val="clear" w:color="auto" w:fill="auto"/>
            <w:hideMark/>
          </w:tcPr>
          <w:p w14:paraId="5A271E83"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+353 (0) 1 486 3308</w:t>
            </w:r>
          </w:p>
        </w:tc>
      </w:tr>
      <w:tr w:rsidR="009D4D44" w14:paraId="1CBD6E3F" w14:textId="77777777" w:rsidTr="00DC2B2F">
        <w:trPr>
          <w:jc w:val="center"/>
        </w:trPr>
        <w:tc>
          <w:tcPr>
            <w:tcW w:w="3828" w:type="dxa"/>
            <w:shd w:val="clear" w:color="auto" w:fill="auto"/>
          </w:tcPr>
          <w:p w14:paraId="58415A01" w14:textId="77777777" w:rsidR="009D4D44" w:rsidRPr="00E509A4" w:rsidRDefault="009D4D44" w:rsidP="00DC2B2F">
            <w:pPr>
              <w:spacing w:after="0" w:line="240" w:lineRule="auto"/>
              <w:jc w:val="both"/>
              <w:rPr>
                <w:rFonts w:cs="Arial"/>
                <w:bCs/>
                <w:sz w:val="18"/>
                <w:szCs w:val="18"/>
                <w:lang w:val="en-US"/>
              </w:rPr>
            </w:pPr>
          </w:p>
        </w:tc>
        <w:tc>
          <w:tcPr>
            <w:tcW w:w="2693" w:type="dxa"/>
            <w:shd w:val="clear" w:color="auto" w:fill="auto"/>
          </w:tcPr>
          <w:p w14:paraId="5E26C921" w14:textId="77777777" w:rsidR="009D4D44" w:rsidRPr="00E509A4" w:rsidRDefault="009D4D44" w:rsidP="00DC2B2F">
            <w:pPr>
              <w:spacing w:after="0" w:line="240" w:lineRule="auto"/>
              <w:jc w:val="both"/>
              <w:rPr>
                <w:rFonts w:cs="Arial"/>
                <w:bCs/>
                <w:sz w:val="18"/>
                <w:szCs w:val="18"/>
                <w:lang w:val="en-US"/>
              </w:rPr>
            </w:pPr>
          </w:p>
        </w:tc>
        <w:tc>
          <w:tcPr>
            <w:tcW w:w="2299" w:type="dxa"/>
            <w:shd w:val="clear" w:color="auto" w:fill="auto"/>
          </w:tcPr>
          <w:p w14:paraId="10FEDEFE" w14:textId="77777777" w:rsidR="009D4D44" w:rsidRPr="00E509A4" w:rsidRDefault="009D4D44" w:rsidP="00DC2B2F">
            <w:pPr>
              <w:spacing w:after="0" w:line="240" w:lineRule="auto"/>
              <w:jc w:val="both"/>
              <w:rPr>
                <w:rFonts w:cs="Arial"/>
                <w:bCs/>
                <w:sz w:val="18"/>
                <w:szCs w:val="18"/>
                <w:lang w:val="en-US"/>
              </w:rPr>
            </w:pPr>
          </w:p>
        </w:tc>
      </w:tr>
      <w:tr w:rsidR="009D4D44" w14:paraId="72365E96" w14:textId="77777777" w:rsidTr="00DC2B2F">
        <w:trPr>
          <w:jc w:val="center"/>
        </w:trPr>
        <w:tc>
          <w:tcPr>
            <w:tcW w:w="3828" w:type="dxa"/>
            <w:shd w:val="clear" w:color="auto" w:fill="auto"/>
            <w:hideMark/>
          </w:tcPr>
          <w:p w14:paraId="2A3B34AA" w14:textId="77777777" w:rsidR="009D4D44" w:rsidRPr="00E509A4" w:rsidRDefault="009D4D44" w:rsidP="00DC2B2F">
            <w:pPr>
              <w:spacing w:after="0" w:line="240" w:lineRule="auto"/>
              <w:jc w:val="both"/>
              <w:rPr>
                <w:rFonts w:cs="Arial"/>
                <w:bCs/>
                <w:sz w:val="18"/>
                <w:szCs w:val="18"/>
                <w:lang w:val="en-US"/>
              </w:rPr>
            </w:pPr>
          </w:p>
        </w:tc>
        <w:tc>
          <w:tcPr>
            <w:tcW w:w="2693" w:type="dxa"/>
            <w:shd w:val="clear" w:color="auto" w:fill="auto"/>
            <w:hideMark/>
          </w:tcPr>
          <w:p w14:paraId="3C602610" w14:textId="77777777" w:rsidR="009D4D44" w:rsidRPr="00E509A4" w:rsidRDefault="009D4D44" w:rsidP="00DC2B2F">
            <w:pPr>
              <w:spacing w:after="0" w:line="240" w:lineRule="auto"/>
              <w:jc w:val="both"/>
              <w:rPr>
                <w:rFonts w:cs="Arial"/>
                <w:bCs/>
                <w:sz w:val="18"/>
                <w:szCs w:val="18"/>
                <w:lang w:val="en-US"/>
              </w:rPr>
            </w:pPr>
          </w:p>
        </w:tc>
        <w:tc>
          <w:tcPr>
            <w:tcW w:w="2299" w:type="dxa"/>
            <w:shd w:val="clear" w:color="auto" w:fill="auto"/>
            <w:hideMark/>
          </w:tcPr>
          <w:p w14:paraId="4FA11884" w14:textId="77777777" w:rsidR="009D4D44" w:rsidRPr="00E509A4" w:rsidRDefault="009D4D44" w:rsidP="00DC2B2F">
            <w:pPr>
              <w:spacing w:after="0" w:line="240" w:lineRule="auto"/>
              <w:jc w:val="both"/>
              <w:rPr>
                <w:rFonts w:cs="Arial"/>
                <w:bCs/>
                <w:sz w:val="18"/>
                <w:szCs w:val="18"/>
                <w:lang w:val="en-US"/>
              </w:rPr>
            </w:pPr>
          </w:p>
        </w:tc>
      </w:tr>
      <w:tr w:rsidR="009D4D44" w14:paraId="6876F5D3" w14:textId="77777777" w:rsidTr="00DC2B2F">
        <w:trPr>
          <w:jc w:val="center"/>
        </w:trPr>
        <w:tc>
          <w:tcPr>
            <w:tcW w:w="3828" w:type="dxa"/>
            <w:shd w:val="clear" w:color="auto" w:fill="auto"/>
            <w:hideMark/>
          </w:tcPr>
          <w:p w14:paraId="2AD78A25"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Rob Greening</w:t>
            </w:r>
            <w:r>
              <w:rPr>
                <w:rFonts w:cs="Arial"/>
                <w:bCs/>
                <w:sz w:val="18"/>
                <w:szCs w:val="18"/>
                <w:lang w:val="en-US"/>
              </w:rPr>
              <w:t>/ Nick Hayns/</w:t>
            </w:r>
            <w:r w:rsidRPr="00E509A4">
              <w:rPr>
                <w:rFonts w:cs="Arial"/>
                <w:bCs/>
                <w:sz w:val="18"/>
                <w:szCs w:val="18"/>
                <w:lang w:val="en-US"/>
              </w:rPr>
              <w:t xml:space="preserve"> Sam Austrums</w:t>
            </w:r>
          </w:p>
        </w:tc>
        <w:tc>
          <w:tcPr>
            <w:tcW w:w="2693" w:type="dxa"/>
            <w:shd w:val="clear" w:color="auto" w:fill="auto"/>
            <w:hideMark/>
          </w:tcPr>
          <w:p w14:paraId="29DB656A"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Powerscourt</w:t>
            </w:r>
          </w:p>
        </w:tc>
        <w:tc>
          <w:tcPr>
            <w:tcW w:w="2299" w:type="dxa"/>
            <w:shd w:val="clear" w:color="auto" w:fill="auto"/>
            <w:hideMark/>
          </w:tcPr>
          <w:p w14:paraId="60CE6148"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+44 (0) 20 7250 1446</w:t>
            </w:r>
          </w:p>
        </w:tc>
      </w:tr>
      <w:tr w:rsidR="009D4D44" w14:paraId="77F27876" w14:textId="77777777" w:rsidTr="00DC2B2F">
        <w:trPr>
          <w:jc w:val="center"/>
        </w:trPr>
        <w:tc>
          <w:tcPr>
            <w:tcW w:w="3828" w:type="dxa"/>
            <w:shd w:val="clear" w:color="auto" w:fill="auto"/>
            <w:hideMark/>
          </w:tcPr>
          <w:p w14:paraId="36C1845B" w14:textId="77777777" w:rsidR="009D4D44" w:rsidRPr="00C3586E" w:rsidRDefault="009D4D44" w:rsidP="00DC2B2F">
            <w:pPr>
              <w:spacing w:after="0" w:line="240" w:lineRule="auto"/>
              <w:jc w:val="both"/>
              <w:rPr>
                <w:rFonts w:cs="Arial"/>
                <w:bCs/>
                <w:sz w:val="18"/>
                <w:szCs w:val="18"/>
                <w:lang w:val="en-US"/>
              </w:rPr>
            </w:pPr>
            <w:r w:rsidRPr="00C3586E">
              <w:rPr>
                <w:rFonts w:cs="Arial"/>
                <w:bCs/>
                <w:sz w:val="18"/>
                <w:szCs w:val="18"/>
                <w:lang w:val="en-US"/>
              </w:rPr>
              <w:t>Billy Murphy/ Claire Rowley</w:t>
            </w:r>
            <w:r>
              <w:rPr>
                <w:rFonts w:cs="Arial"/>
                <w:bCs/>
                <w:sz w:val="18"/>
                <w:szCs w:val="18"/>
                <w:lang w:val="en-US"/>
              </w:rPr>
              <w:t>/ Cian Doherty</w:t>
            </w:r>
          </w:p>
        </w:tc>
        <w:tc>
          <w:tcPr>
            <w:tcW w:w="2693" w:type="dxa"/>
            <w:shd w:val="clear" w:color="auto" w:fill="auto"/>
            <w:hideMark/>
          </w:tcPr>
          <w:p w14:paraId="38FF75B2"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 xml:space="preserve">Drury </w:t>
            </w:r>
            <w:r>
              <w:rPr>
                <w:rFonts w:cs="Arial"/>
                <w:bCs/>
                <w:sz w:val="18"/>
                <w:szCs w:val="18"/>
                <w:lang w:val="en-US"/>
              </w:rPr>
              <w:t>Communications</w:t>
            </w:r>
          </w:p>
        </w:tc>
        <w:tc>
          <w:tcPr>
            <w:tcW w:w="2299" w:type="dxa"/>
            <w:shd w:val="clear" w:color="auto" w:fill="auto"/>
            <w:hideMark/>
          </w:tcPr>
          <w:p w14:paraId="3B52F0F3"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+353 (0) 1 260 5000</w:t>
            </w:r>
          </w:p>
        </w:tc>
      </w:tr>
    </w:tbl>
    <w:p w14:paraId="2C042D12" w14:textId="481DE539" w:rsidR="009D4D44" w:rsidRDefault="009D4D44" w:rsidP="009D4D44">
      <w:pPr>
        <w:tabs>
          <w:tab w:val="left" w:pos="5018"/>
        </w:tabs>
        <w:spacing w:after="0" w:line="240" w:lineRule="auto"/>
        <w:ind w:left="-284" w:right="-330"/>
        <w:jc w:val="both"/>
        <w:rPr>
          <w:b/>
          <w:sz w:val="18"/>
          <w:szCs w:val="18"/>
        </w:rPr>
      </w:pPr>
    </w:p>
    <w:p w14:paraId="3DEF988B" w14:textId="2BBBE85C" w:rsidR="00162E36" w:rsidRDefault="00162E36" w:rsidP="009D4D44">
      <w:pPr>
        <w:tabs>
          <w:tab w:val="left" w:pos="5018"/>
        </w:tabs>
        <w:spacing w:after="0" w:line="240" w:lineRule="auto"/>
        <w:ind w:left="-284" w:right="-330"/>
        <w:jc w:val="both"/>
        <w:rPr>
          <w:b/>
          <w:sz w:val="18"/>
          <w:szCs w:val="18"/>
        </w:rPr>
      </w:pPr>
    </w:p>
    <w:p w14:paraId="6B4D1674" w14:textId="77777777" w:rsidR="00162E36" w:rsidRPr="00A57C80" w:rsidRDefault="00162E36" w:rsidP="00162E36">
      <w:pPr>
        <w:rPr>
          <w:b/>
        </w:rPr>
      </w:pPr>
      <w:r w:rsidRPr="00A57C80">
        <w:rPr>
          <w:b/>
        </w:rPr>
        <w:t>Conference Call</w:t>
      </w:r>
    </w:p>
    <w:p w14:paraId="07635D6D" w14:textId="7D54678A" w:rsidR="00162E36" w:rsidRDefault="00162E36" w:rsidP="00162E36">
      <w:r>
        <w:t xml:space="preserve">A conference call for investors and analysts will be held at 8.30am on </w:t>
      </w:r>
      <w:r w:rsidR="00215972">
        <w:t>26 July 2022</w:t>
      </w:r>
      <w:r>
        <w:t xml:space="preserve">. Registration and dial in details are available at </w:t>
      </w:r>
      <w:r w:rsidRPr="00AA6C4D">
        <w:t>www.greencore.com/investor-relations/</w:t>
      </w:r>
    </w:p>
    <w:p w14:paraId="0A03C6B0" w14:textId="77777777" w:rsidR="00162E36" w:rsidRDefault="00162E36" w:rsidP="00162E36"/>
    <w:p w14:paraId="4DEA083B" w14:textId="1727E606" w:rsidR="00162E36" w:rsidRDefault="00162E36" w:rsidP="00125DCB">
      <w:pPr>
        <w:jc w:val="both"/>
        <w:rPr>
          <w:sz w:val="18"/>
          <w:szCs w:val="18"/>
        </w:rPr>
      </w:pPr>
      <w:bookmarkStart w:id="1" w:name="_Hlk108174558"/>
      <w:r w:rsidRPr="00452A57">
        <w:rPr>
          <w:sz w:val="18"/>
          <w:szCs w:val="18"/>
          <w:vertAlign w:val="superscript"/>
        </w:rPr>
        <w:t xml:space="preserve">1 </w:t>
      </w:r>
      <w:r w:rsidR="00125DCB" w:rsidRPr="00125DCB">
        <w:rPr>
          <w:sz w:val="18"/>
          <w:szCs w:val="18"/>
        </w:rPr>
        <w:t>Pro Forma Revenue Growth</w:t>
      </w:r>
      <w:r w:rsidR="00125DCB">
        <w:rPr>
          <w:sz w:val="18"/>
          <w:szCs w:val="18"/>
        </w:rPr>
        <w:t xml:space="preserve"> (versus FY21)</w:t>
      </w:r>
      <w:r w:rsidR="00125DCB" w:rsidRPr="00125DCB">
        <w:rPr>
          <w:sz w:val="18"/>
          <w:szCs w:val="18"/>
        </w:rPr>
        <w:t xml:space="preserve"> adjusts reported revenue to reflect the disposal of Premier Molasses Company Limited for the period in</w:t>
      </w:r>
      <w:r w:rsidR="00125DCB">
        <w:rPr>
          <w:sz w:val="18"/>
          <w:szCs w:val="18"/>
        </w:rPr>
        <w:t xml:space="preserve"> </w:t>
      </w:r>
      <w:r w:rsidR="00125DCB" w:rsidRPr="00125DCB">
        <w:rPr>
          <w:sz w:val="18"/>
          <w:szCs w:val="18"/>
        </w:rPr>
        <w:t xml:space="preserve">FY21 up to the date of disposal. </w:t>
      </w:r>
      <w:r w:rsidR="00220CB8">
        <w:rPr>
          <w:sz w:val="18"/>
          <w:szCs w:val="18"/>
        </w:rPr>
        <w:t xml:space="preserve">It excludes the impact of the additional week in the FY22 accounting period. </w:t>
      </w:r>
      <w:r w:rsidR="00125DCB" w:rsidRPr="00125DCB">
        <w:rPr>
          <w:sz w:val="18"/>
          <w:szCs w:val="18"/>
        </w:rPr>
        <w:t>It also presents the revenue on a constant currency basis utilising FY21 FX rates on FY22 reported revenue</w:t>
      </w:r>
      <w:r w:rsidR="00125DCB">
        <w:rPr>
          <w:sz w:val="18"/>
          <w:szCs w:val="18"/>
        </w:rPr>
        <w:t xml:space="preserve">. </w:t>
      </w:r>
    </w:p>
    <w:p w14:paraId="11E854F2" w14:textId="044D2AC9" w:rsidR="00125DCB" w:rsidRPr="00452A57" w:rsidRDefault="00125DCB" w:rsidP="00220CB8">
      <w:pPr>
        <w:jc w:val="both"/>
        <w:rPr>
          <w:sz w:val="18"/>
          <w:szCs w:val="18"/>
        </w:rPr>
      </w:pPr>
      <w:r>
        <w:rPr>
          <w:sz w:val="18"/>
          <w:szCs w:val="18"/>
        </w:rPr>
        <w:lastRenderedPageBreak/>
        <w:t xml:space="preserve">Pro Forma Revenue Growth (versus FY19) </w:t>
      </w:r>
      <w:r w:rsidR="00220CB8" w:rsidRPr="00220CB8">
        <w:rPr>
          <w:sz w:val="18"/>
          <w:szCs w:val="18"/>
        </w:rPr>
        <w:t>adjusts reported revenue to reflect the impact of disposals</w:t>
      </w:r>
      <w:r w:rsidR="00220CB8">
        <w:rPr>
          <w:sz w:val="18"/>
          <w:szCs w:val="18"/>
        </w:rPr>
        <w:t xml:space="preserve">, </w:t>
      </w:r>
      <w:r w:rsidR="00220CB8" w:rsidRPr="00220CB8">
        <w:rPr>
          <w:sz w:val="18"/>
          <w:szCs w:val="18"/>
        </w:rPr>
        <w:t xml:space="preserve">exits of manufacturing lines </w:t>
      </w:r>
      <w:r w:rsidR="00220CB8">
        <w:rPr>
          <w:sz w:val="18"/>
          <w:szCs w:val="18"/>
        </w:rPr>
        <w:t xml:space="preserve">and </w:t>
      </w:r>
      <w:r w:rsidR="00220CB8" w:rsidRPr="00220CB8">
        <w:rPr>
          <w:sz w:val="18"/>
          <w:szCs w:val="18"/>
        </w:rPr>
        <w:t xml:space="preserve">the acquisition of Freshtime UK Limited in FY19. </w:t>
      </w:r>
      <w:r w:rsidR="00220CB8">
        <w:rPr>
          <w:sz w:val="18"/>
          <w:szCs w:val="18"/>
        </w:rPr>
        <w:t xml:space="preserve">It excludes the impact of the additional week in the FY22 accounting period. </w:t>
      </w:r>
      <w:r w:rsidR="00220CB8" w:rsidRPr="00220CB8">
        <w:rPr>
          <w:sz w:val="18"/>
          <w:szCs w:val="18"/>
        </w:rPr>
        <w:t>It also presents the revenue on a constant currency basis utilising FY19 FX rates on FY22 reported revenue</w:t>
      </w:r>
      <w:r w:rsidR="0092684C">
        <w:rPr>
          <w:sz w:val="18"/>
          <w:szCs w:val="18"/>
        </w:rPr>
        <w:t>.</w:t>
      </w:r>
    </w:p>
    <w:bookmarkEnd w:id="1"/>
    <w:p w14:paraId="264AA56A" w14:textId="1892E186" w:rsidR="00162E36" w:rsidRPr="00AA6C4D" w:rsidRDefault="00162E36" w:rsidP="00452A57">
      <w:pPr>
        <w:jc w:val="both"/>
        <w:rPr>
          <w:sz w:val="18"/>
          <w:szCs w:val="18"/>
        </w:rPr>
      </w:pPr>
      <w:r w:rsidRPr="00452A57">
        <w:rPr>
          <w:sz w:val="18"/>
          <w:szCs w:val="18"/>
          <w:vertAlign w:val="superscript"/>
        </w:rPr>
        <w:t xml:space="preserve">2 </w:t>
      </w:r>
      <w:r w:rsidR="00452A57" w:rsidRPr="00452A57">
        <w:rPr>
          <w:sz w:val="18"/>
          <w:szCs w:val="18"/>
        </w:rPr>
        <w:t xml:space="preserve">Consensus FY22 market expectations of mean Adjusted Operating Profit of £77.1m, mean Adjusted EPS of 9.6p, and mean Net Debt (excluding lease liabilities) of £201.4m, as compiled by Greencore from available analyst estimates on </w:t>
      </w:r>
      <w:r w:rsidR="00AF6C71">
        <w:rPr>
          <w:sz w:val="18"/>
          <w:szCs w:val="18"/>
        </w:rPr>
        <w:t>11</w:t>
      </w:r>
      <w:r w:rsidR="00452A57" w:rsidRPr="00452A57">
        <w:rPr>
          <w:sz w:val="18"/>
          <w:szCs w:val="18"/>
        </w:rPr>
        <w:t xml:space="preserve"> July 2022 and as reported in the Investor Relations section of the Group website</w:t>
      </w:r>
      <w:r w:rsidR="0092684C">
        <w:rPr>
          <w:sz w:val="18"/>
          <w:szCs w:val="18"/>
        </w:rPr>
        <w:t>.</w:t>
      </w:r>
    </w:p>
    <w:p w14:paraId="62CDDF6C" w14:textId="0F010F73" w:rsidR="00162E36" w:rsidRDefault="00162E36" w:rsidP="009D4D44">
      <w:pPr>
        <w:tabs>
          <w:tab w:val="left" w:pos="5018"/>
        </w:tabs>
        <w:spacing w:after="0" w:line="240" w:lineRule="auto"/>
        <w:ind w:left="-284" w:right="-330"/>
        <w:jc w:val="both"/>
        <w:rPr>
          <w:b/>
          <w:sz w:val="18"/>
          <w:szCs w:val="18"/>
        </w:rPr>
      </w:pPr>
    </w:p>
    <w:p w14:paraId="36BA60C1" w14:textId="271EABE0" w:rsidR="00162E36" w:rsidRDefault="00162E36" w:rsidP="009D4D44">
      <w:pPr>
        <w:tabs>
          <w:tab w:val="left" w:pos="5018"/>
        </w:tabs>
        <w:spacing w:after="0" w:line="240" w:lineRule="auto"/>
        <w:ind w:left="-284" w:right="-330"/>
        <w:jc w:val="both"/>
        <w:rPr>
          <w:b/>
          <w:sz w:val="18"/>
          <w:szCs w:val="18"/>
        </w:rPr>
      </w:pPr>
      <w:r>
        <w:rPr>
          <w:b/>
          <w:sz w:val="18"/>
          <w:szCs w:val="18"/>
        </w:rPr>
        <w:tab/>
      </w:r>
    </w:p>
    <w:p w14:paraId="3741DC16" w14:textId="77777777" w:rsidR="009D4D44" w:rsidRPr="009D4D44" w:rsidRDefault="009D4D44" w:rsidP="009D4D44">
      <w:pPr>
        <w:adjustRightInd w:val="0"/>
        <w:jc w:val="both"/>
        <w:rPr>
          <w:b/>
          <w:bCs/>
          <w:color w:val="000000"/>
        </w:rPr>
      </w:pPr>
      <w:r w:rsidRPr="009D4D44">
        <w:rPr>
          <w:b/>
          <w:bCs/>
          <w:color w:val="000000"/>
        </w:rPr>
        <w:t xml:space="preserve">About Greencore </w:t>
      </w:r>
    </w:p>
    <w:p w14:paraId="74A51BF2" w14:textId="77777777" w:rsidR="009D4D44" w:rsidRPr="009D4D44" w:rsidRDefault="009D4D44" w:rsidP="009D4D44">
      <w:pPr>
        <w:jc w:val="both"/>
        <w:rPr>
          <w:color w:val="000000"/>
        </w:rPr>
      </w:pPr>
      <w:r w:rsidRPr="009D4D44">
        <w:rPr>
          <w:color w:val="000000"/>
        </w:rPr>
        <w:t xml:space="preserve">We are a leading manufacturer of convenience food in the UK and our purpose is to make every day taste better. We supply all of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7D2DF897" w14:textId="77777777" w:rsidR="009D4D44" w:rsidRPr="009D4D44" w:rsidRDefault="009D4D44" w:rsidP="009D4D44">
      <w:pPr>
        <w:jc w:val="both"/>
        <w:rPr>
          <w:color w:val="000000"/>
        </w:rPr>
      </w:pPr>
      <w:bookmarkStart w:id="2" w:name="_Hlk87868870"/>
      <w:r w:rsidRPr="009D4D44">
        <w:rPr>
          <w:color w:val="000000"/>
        </w:rPr>
        <w:t>In FY21 we manufactured 645m sandwiches and other food to go products, 117m chilled prepared meals, and 256m bottles of cooking sauces, pickles and condiments. We carry out more than 10,500 direct to store deliveries each day. We have 21 world-class manufacturing units across 16 locations in the UK, with industry-leading technology and supply chain capabilities. We generated revenues of £1.3bn in FY21 and employ approximately 13,000 people. We are headquartered in Dublin, Ireland.</w:t>
      </w:r>
    </w:p>
    <w:bookmarkEnd w:id="2"/>
    <w:p w14:paraId="67A6A56D" w14:textId="77777777" w:rsidR="009D4D44" w:rsidRPr="009D4D44" w:rsidRDefault="009D4D44" w:rsidP="009D4D44">
      <w:pPr>
        <w:jc w:val="both"/>
        <w:rPr>
          <w:color w:val="000000"/>
        </w:rPr>
      </w:pPr>
      <w:r w:rsidRPr="009D4D44">
        <w:rPr>
          <w:color w:val="000000"/>
        </w:rPr>
        <w:t>For further information go to</w:t>
      </w:r>
      <w:r w:rsidRPr="009D4D44">
        <w:t xml:space="preserve"> </w:t>
      </w:r>
      <w:r w:rsidRPr="009D4D44">
        <w:rPr>
          <w:color w:val="000000"/>
        </w:rPr>
        <w:t>greencore.com or follow Greencore on social media.</w:t>
      </w:r>
    </w:p>
    <w:p w14:paraId="7E594570" w14:textId="77777777" w:rsidR="00452A57" w:rsidRDefault="00452A57" w:rsidP="00452A57"/>
    <w:p w14:paraId="18DFCCF5" w14:textId="4C0BDE3A" w:rsidR="00452A57" w:rsidRPr="00452A57" w:rsidRDefault="00452A57" w:rsidP="00452A57">
      <w:pPr>
        <w:rPr>
          <w:b/>
          <w:bCs/>
        </w:rPr>
      </w:pPr>
      <w:r w:rsidRPr="00452A57">
        <w:rPr>
          <w:b/>
          <w:bCs/>
        </w:rPr>
        <w:t>Forward‐looking statements</w:t>
      </w:r>
    </w:p>
    <w:p w14:paraId="0E009125" w14:textId="77777777" w:rsidR="00452A57" w:rsidRDefault="00452A57" w:rsidP="000265E0">
      <w:pPr>
        <w:jc w:val="both"/>
      </w:pPr>
      <w:r>
        <w:t>Certain statements made in this document are, or may be deemed to be,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based on information currently available to the Group. The forward-looking statements contained in this document include statements relating to the financial condition, results of operations, business, viability and future performance of the Group and certain of the Group’s plans and objectives. These forward-looking statements include all statements that do not relate only to historical or current facts and may generally, but not always, be identified by the use of words such as ‘will’, ‘aims’, achieves’, ‘anticipates’, ‘continue’, ‘could’, ‘develop’, ‘should’, ‘expects’, ‘is expected to’, ‘may’, maintain’, ‘grow’, ‘estimates’, ‘ensure’, ‘believes’, ‘intends’, ‘projects’, ‘sustain’, ‘targets’, or the negative thereof, or similar future or conditional expressions, but their absence does not mean that a statement is not forward-looking.</w:t>
      </w:r>
    </w:p>
    <w:p w14:paraId="00CBCAA4" w14:textId="17D750CB" w:rsidR="009D4D44" w:rsidRDefault="00452A57" w:rsidP="000265E0">
      <w:pPr>
        <w:jc w:val="both"/>
      </w:pPr>
      <w:r>
        <w:t>By their nature, forward-looking statements are prospective and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Investors should read ‘Principal Risks and Uncertainties’ as set out in the Appendix to the Interim Financial Report</w:t>
      </w:r>
      <w:r w:rsidR="000265E0">
        <w:t xml:space="preserve"> for the half-year ended 25 March 2022 issued on 24 May 2022</w:t>
      </w:r>
      <w:r>
        <w:t xml:space="preserve"> and also the discussion of risk in the Group’s Annual Report and Financial Statements for the year ended 24 September 2021 issued on 30 </w:t>
      </w:r>
      <w:r>
        <w:lastRenderedPageBreak/>
        <w:t xml:space="preserve">November 2021. There may be risks and uncertainties that the Group is unable to predict at this time or that the Group currently does not expect to have a material adverse effect on its business. None of the </w:t>
      </w:r>
      <w:r w:rsidR="000B4F61">
        <w:t xml:space="preserve">Group </w:t>
      </w:r>
      <w:r>
        <w:t>or any of its associates or Directors, officers or advisers provides any representation, assurance or guarantee that the occurrence of the events expressed or implied in any forward-looking statements in this document will actually occur. You should not place undue reliance on any forward-looking statements. These forward-looking statements are made as of the date of this announcement. The Group expressly disclaims any obligation to publicly update or review these forward-looking statements, whether as a result of new information, future events or otherwise, other than as required by law.</w:t>
      </w:r>
    </w:p>
    <w:sectPr w:rsidR="009D4D4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9152" w14:textId="77777777" w:rsidR="009A1DDE" w:rsidRDefault="009A1DDE" w:rsidP="001279C8">
      <w:pPr>
        <w:spacing w:after="0" w:line="240" w:lineRule="auto"/>
      </w:pPr>
      <w:r>
        <w:separator/>
      </w:r>
    </w:p>
  </w:endnote>
  <w:endnote w:type="continuationSeparator" w:id="0">
    <w:p w14:paraId="65A6A478" w14:textId="77777777" w:rsidR="009A1DDE" w:rsidRDefault="009A1DDE" w:rsidP="0012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5968" w14:textId="77777777" w:rsidR="009A1DDE" w:rsidRDefault="009A1DDE" w:rsidP="001279C8">
      <w:pPr>
        <w:spacing w:after="0" w:line="240" w:lineRule="auto"/>
      </w:pPr>
      <w:r>
        <w:separator/>
      </w:r>
    </w:p>
  </w:footnote>
  <w:footnote w:type="continuationSeparator" w:id="0">
    <w:p w14:paraId="55546DC7" w14:textId="77777777" w:rsidR="009A1DDE" w:rsidRDefault="009A1DDE" w:rsidP="0012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0349" w14:textId="30905374" w:rsidR="008F171A" w:rsidRDefault="008F1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69A0" w14:textId="2BDE68D3" w:rsidR="008F171A" w:rsidRDefault="008F1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5867" w14:textId="106FEAD3" w:rsidR="008F171A" w:rsidRDefault="008F1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97AD9"/>
    <w:multiLevelType w:val="hybridMultilevel"/>
    <w:tmpl w:val="664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49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E5"/>
    <w:rsid w:val="0000158E"/>
    <w:rsid w:val="00024E87"/>
    <w:rsid w:val="000265E0"/>
    <w:rsid w:val="000318FF"/>
    <w:rsid w:val="00034A02"/>
    <w:rsid w:val="00047DC3"/>
    <w:rsid w:val="00051099"/>
    <w:rsid w:val="0007212D"/>
    <w:rsid w:val="00077A52"/>
    <w:rsid w:val="000950C6"/>
    <w:rsid w:val="000A485D"/>
    <w:rsid w:val="000A6B00"/>
    <w:rsid w:val="000B15DC"/>
    <w:rsid w:val="000B4F61"/>
    <w:rsid w:val="000C0CF2"/>
    <w:rsid w:val="000C2E35"/>
    <w:rsid w:val="000C5104"/>
    <w:rsid w:val="000D1D02"/>
    <w:rsid w:val="000D70E2"/>
    <w:rsid w:val="000F21C9"/>
    <w:rsid w:val="001040C9"/>
    <w:rsid w:val="0010677C"/>
    <w:rsid w:val="00114B9A"/>
    <w:rsid w:val="00125DCB"/>
    <w:rsid w:val="001279C8"/>
    <w:rsid w:val="001318E4"/>
    <w:rsid w:val="001504F3"/>
    <w:rsid w:val="00162E36"/>
    <w:rsid w:val="00163983"/>
    <w:rsid w:val="001712D8"/>
    <w:rsid w:val="00177B1D"/>
    <w:rsid w:val="001A0C94"/>
    <w:rsid w:val="001B582D"/>
    <w:rsid w:val="001E7807"/>
    <w:rsid w:val="00202591"/>
    <w:rsid w:val="002038D5"/>
    <w:rsid w:val="00212B72"/>
    <w:rsid w:val="00215972"/>
    <w:rsid w:val="00220CB8"/>
    <w:rsid w:val="00240965"/>
    <w:rsid w:val="00255050"/>
    <w:rsid w:val="00290780"/>
    <w:rsid w:val="002A52AA"/>
    <w:rsid w:val="002A56BD"/>
    <w:rsid w:val="002B6929"/>
    <w:rsid w:val="002F5711"/>
    <w:rsid w:val="002F581D"/>
    <w:rsid w:val="0030738F"/>
    <w:rsid w:val="00321335"/>
    <w:rsid w:val="00324078"/>
    <w:rsid w:val="00325771"/>
    <w:rsid w:val="00334767"/>
    <w:rsid w:val="00336C5A"/>
    <w:rsid w:val="00337070"/>
    <w:rsid w:val="003432E5"/>
    <w:rsid w:val="003522CA"/>
    <w:rsid w:val="0036353C"/>
    <w:rsid w:val="00364979"/>
    <w:rsid w:val="00380A2E"/>
    <w:rsid w:val="003906A3"/>
    <w:rsid w:val="003A1DAD"/>
    <w:rsid w:val="003B23AD"/>
    <w:rsid w:val="003C11A9"/>
    <w:rsid w:val="003C79E6"/>
    <w:rsid w:val="003D29D1"/>
    <w:rsid w:val="003D7823"/>
    <w:rsid w:val="003F05B3"/>
    <w:rsid w:val="003F51E5"/>
    <w:rsid w:val="00400597"/>
    <w:rsid w:val="0041763C"/>
    <w:rsid w:val="004375EA"/>
    <w:rsid w:val="004520D5"/>
    <w:rsid w:val="00452A57"/>
    <w:rsid w:val="00460572"/>
    <w:rsid w:val="00494767"/>
    <w:rsid w:val="004B355D"/>
    <w:rsid w:val="004C6D91"/>
    <w:rsid w:val="004D5B1D"/>
    <w:rsid w:val="004E0201"/>
    <w:rsid w:val="004E1043"/>
    <w:rsid w:val="004F3E04"/>
    <w:rsid w:val="004F78A3"/>
    <w:rsid w:val="0050556C"/>
    <w:rsid w:val="00546CC0"/>
    <w:rsid w:val="00557872"/>
    <w:rsid w:val="00560DB9"/>
    <w:rsid w:val="00563600"/>
    <w:rsid w:val="00582872"/>
    <w:rsid w:val="0059035D"/>
    <w:rsid w:val="005955D8"/>
    <w:rsid w:val="0059650E"/>
    <w:rsid w:val="005B152C"/>
    <w:rsid w:val="005C3516"/>
    <w:rsid w:val="005D5701"/>
    <w:rsid w:val="00602423"/>
    <w:rsid w:val="006027DC"/>
    <w:rsid w:val="00623B4A"/>
    <w:rsid w:val="00630057"/>
    <w:rsid w:val="00630C78"/>
    <w:rsid w:val="006333F8"/>
    <w:rsid w:val="00637E7A"/>
    <w:rsid w:val="00647318"/>
    <w:rsid w:val="006503C8"/>
    <w:rsid w:val="00661862"/>
    <w:rsid w:val="00663D01"/>
    <w:rsid w:val="0068003B"/>
    <w:rsid w:val="006B7E32"/>
    <w:rsid w:val="006C7B68"/>
    <w:rsid w:val="006D4548"/>
    <w:rsid w:val="006F4262"/>
    <w:rsid w:val="006F480E"/>
    <w:rsid w:val="006F48B3"/>
    <w:rsid w:val="00721A92"/>
    <w:rsid w:val="007373F0"/>
    <w:rsid w:val="00740C0F"/>
    <w:rsid w:val="00746A7F"/>
    <w:rsid w:val="00774348"/>
    <w:rsid w:val="00775CA7"/>
    <w:rsid w:val="00787718"/>
    <w:rsid w:val="007942F5"/>
    <w:rsid w:val="007A4C52"/>
    <w:rsid w:val="007C6852"/>
    <w:rsid w:val="007F357F"/>
    <w:rsid w:val="00802799"/>
    <w:rsid w:val="00822D13"/>
    <w:rsid w:val="0083228D"/>
    <w:rsid w:val="0083281D"/>
    <w:rsid w:val="00834BA7"/>
    <w:rsid w:val="0085411E"/>
    <w:rsid w:val="00861875"/>
    <w:rsid w:val="00877FB1"/>
    <w:rsid w:val="00881B09"/>
    <w:rsid w:val="008A0C12"/>
    <w:rsid w:val="008B3B81"/>
    <w:rsid w:val="008B5BB3"/>
    <w:rsid w:val="008C06B5"/>
    <w:rsid w:val="008C78FD"/>
    <w:rsid w:val="008F171A"/>
    <w:rsid w:val="008F4EE4"/>
    <w:rsid w:val="00913931"/>
    <w:rsid w:val="009214B9"/>
    <w:rsid w:val="0092684C"/>
    <w:rsid w:val="009309B5"/>
    <w:rsid w:val="00935852"/>
    <w:rsid w:val="00936A05"/>
    <w:rsid w:val="0093712E"/>
    <w:rsid w:val="00950237"/>
    <w:rsid w:val="009519AB"/>
    <w:rsid w:val="009758BC"/>
    <w:rsid w:val="009861E5"/>
    <w:rsid w:val="0099028A"/>
    <w:rsid w:val="009A1DDE"/>
    <w:rsid w:val="009B3C77"/>
    <w:rsid w:val="009C7D60"/>
    <w:rsid w:val="009D4D44"/>
    <w:rsid w:val="009E22C0"/>
    <w:rsid w:val="009E48FD"/>
    <w:rsid w:val="009F44FB"/>
    <w:rsid w:val="009F7179"/>
    <w:rsid w:val="00A061A2"/>
    <w:rsid w:val="00A32114"/>
    <w:rsid w:val="00A432B4"/>
    <w:rsid w:val="00A526EC"/>
    <w:rsid w:val="00A56710"/>
    <w:rsid w:val="00A57B42"/>
    <w:rsid w:val="00A62952"/>
    <w:rsid w:val="00A7105B"/>
    <w:rsid w:val="00AB116D"/>
    <w:rsid w:val="00AB6349"/>
    <w:rsid w:val="00AD4BC7"/>
    <w:rsid w:val="00AF2C0B"/>
    <w:rsid w:val="00AF2CD2"/>
    <w:rsid w:val="00AF6C71"/>
    <w:rsid w:val="00B00E6E"/>
    <w:rsid w:val="00B054D5"/>
    <w:rsid w:val="00B13573"/>
    <w:rsid w:val="00B3266B"/>
    <w:rsid w:val="00B61875"/>
    <w:rsid w:val="00B815E5"/>
    <w:rsid w:val="00B94ABD"/>
    <w:rsid w:val="00B95762"/>
    <w:rsid w:val="00B96CCB"/>
    <w:rsid w:val="00BA527E"/>
    <w:rsid w:val="00BA71A9"/>
    <w:rsid w:val="00BB6691"/>
    <w:rsid w:val="00BD122A"/>
    <w:rsid w:val="00BE21F7"/>
    <w:rsid w:val="00BE726E"/>
    <w:rsid w:val="00BF37D6"/>
    <w:rsid w:val="00C14E25"/>
    <w:rsid w:val="00C2748B"/>
    <w:rsid w:val="00C455F5"/>
    <w:rsid w:val="00C539BA"/>
    <w:rsid w:val="00C543E4"/>
    <w:rsid w:val="00C65339"/>
    <w:rsid w:val="00C71B47"/>
    <w:rsid w:val="00C75B8A"/>
    <w:rsid w:val="00C8791A"/>
    <w:rsid w:val="00C87B9C"/>
    <w:rsid w:val="00CA5CB0"/>
    <w:rsid w:val="00CC578D"/>
    <w:rsid w:val="00CE16B9"/>
    <w:rsid w:val="00D040FD"/>
    <w:rsid w:val="00D36BD4"/>
    <w:rsid w:val="00D40FD5"/>
    <w:rsid w:val="00D45AE5"/>
    <w:rsid w:val="00D761DE"/>
    <w:rsid w:val="00D84C58"/>
    <w:rsid w:val="00DC0FF8"/>
    <w:rsid w:val="00DC276E"/>
    <w:rsid w:val="00DC79FA"/>
    <w:rsid w:val="00DD2814"/>
    <w:rsid w:val="00DD322D"/>
    <w:rsid w:val="00DD66CB"/>
    <w:rsid w:val="00DE146B"/>
    <w:rsid w:val="00DF2AED"/>
    <w:rsid w:val="00DF6B15"/>
    <w:rsid w:val="00E10674"/>
    <w:rsid w:val="00E17DFD"/>
    <w:rsid w:val="00E27F60"/>
    <w:rsid w:val="00E40C6D"/>
    <w:rsid w:val="00E46E28"/>
    <w:rsid w:val="00E57527"/>
    <w:rsid w:val="00E707FA"/>
    <w:rsid w:val="00E77B14"/>
    <w:rsid w:val="00E854F1"/>
    <w:rsid w:val="00E86412"/>
    <w:rsid w:val="00E93564"/>
    <w:rsid w:val="00EB5E6F"/>
    <w:rsid w:val="00EB6895"/>
    <w:rsid w:val="00ED396C"/>
    <w:rsid w:val="00F040C3"/>
    <w:rsid w:val="00F226B3"/>
    <w:rsid w:val="00F26A2A"/>
    <w:rsid w:val="00F34C41"/>
    <w:rsid w:val="00F34EFC"/>
    <w:rsid w:val="00F34FB2"/>
    <w:rsid w:val="00F52596"/>
    <w:rsid w:val="00F65C1B"/>
    <w:rsid w:val="00FB51D5"/>
    <w:rsid w:val="00FB7E4E"/>
    <w:rsid w:val="00FC4ECD"/>
    <w:rsid w:val="00FC59D7"/>
    <w:rsid w:val="00FD0637"/>
    <w:rsid w:val="00FE1B68"/>
    <w:rsid w:val="00FF5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03D37"/>
  <w15:chartTrackingRefBased/>
  <w15:docId w15:val="{7BF9F60F-8F2A-4065-A56C-03CEF52A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52596"/>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7A4C52"/>
    <w:rPr>
      <w:sz w:val="16"/>
      <w:szCs w:val="16"/>
    </w:rPr>
  </w:style>
  <w:style w:type="paragraph" w:styleId="CommentText">
    <w:name w:val="annotation text"/>
    <w:basedOn w:val="Normal"/>
    <w:link w:val="CommentTextChar"/>
    <w:uiPriority w:val="99"/>
    <w:semiHidden/>
    <w:unhideWhenUsed/>
    <w:rsid w:val="007A4C52"/>
    <w:pPr>
      <w:spacing w:line="240" w:lineRule="auto"/>
    </w:pPr>
    <w:rPr>
      <w:sz w:val="20"/>
      <w:szCs w:val="20"/>
    </w:rPr>
  </w:style>
  <w:style w:type="character" w:customStyle="1" w:styleId="CommentTextChar">
    <w:name w:val="Comment Text Char"/>
    <w:basedOn w:val="DefaultParagraphFont"/>
    <w:link w:val="CommentText"/>
    <w:uiPriority w:val="99"/>
    <w:semiHidden/>
    <w:rsid w:val="007A4C52"/>
    <w:rPr>
      <w:sz w:val="20"/>
      <w:szCs w:val="20"/>
    </w:rPr>
  </w:style>
  <w:style w:type="paragraph" w:styleId="CommentSubject">
    <w:name w:val="annotation subject"/>
    <w:basedOn w:val="CommentText"/>
    <w:next w:val="CommentText"/>
    <w:link w:val="CommentSubjectChar"/>
    <w:uiPriority w:val="99"/>
    <w:semiHidden/>
    <w:unhideWhenUsed/>
    <w:rsid w:val="007A4C52"/>
    <w:rPr>
      <w:b/>
      <w:bCs/>
    </w:rPr>
  </w:style>
  <w:style w:type="character" w:customStyle="1" w:styleId="CommentSubjectChar">
    <w:name w:val="Comment Subject Char"/>
    <w:basedOn w:val="CommentTextChar"/>
    <w:link w:val="CommentSubject"/>
    <w:uiPriority w:val="99"/>
    <w:semiHidden/>
    <w:rsid w:val="007A4C52"/>
    <w:rPr>
      <w:b/>
      <w:bCs/>
      <w:sz w:val="20"/>
      <w:szCs w:val="20"/>
    </w:rPr>
  </w:style>
  <w:style w:type="paragraph" w:styleId="BalloonText">
    <w:name w:val="Balloon Text"/>
    <w:basedOn w:val="Normal"/>
    <w:link w:val="BalloonTextChar"/>
    <w:uiPriority w:val="99"/>
    <w:semiHidden/>
    <w:unhideWhenUsed/>
    <w:rsid w:val="00BE7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26E"/>
    <w:rPr>
      <w:rFonts w:ascii="Segoe UI" w:hAnsi="Segoe UI" w:cs="Segoe UI"/>
      <w:sz w:val="18"/>
      <w:szCs w:val="18"/>
    </w:rPr>
  </w:style>
  <w:style w:type="paragraph" w:styleId="FootnoteText">
    <w:name w:val="footnote text"/>
    <w:basedOn w:val="Normal"/>
    <w:link w:val="FootnoteTextChar"/>
    <w:uiPriority w:val="99"/>
    <w:semiHidden/>
    <w:unhideWhenUsed/>
    <w:rsid w:val="00127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9C8"/>
    <w:rPr>
      <w:sz w:val="20"/>
      <w:szCs w:val="20"/>
    </w:rPr>
  </w:style>
  <w:style w:type="character" w:styleId="FootnoteReference">
    <w:name w:val="footnote reference"/>
    <w:basedOn w:val="DefaultParagraphFont"/>
    <w:uiPriority w:val="99"/>
    <w:semiHidden/>
    <w:unhideWhenUsed/>
    <w:rsid w:val="001279C8"/>
    <w:rPr>
      <w:vertAlign w:val="superscript"/>
    </w:rPr>
  </w:style>
  <w:style w:type="paragraph" w:styleId="Header">
    <w:name w:val="header"/>
    <w:basedOn w:val="Normal"/>
    <w:link w:val="HeaderChar"/>
    <w:uiPriority w:val="99"/>
    <w:unhideWhenUsed/>
    <w:rsid w:val="00127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9C8"/>
  </w:style>
  <w:style w:type="paragraph" w:styleId="Footer">
    <w:name w:val="footer"/>
    <w:basedOn w:val="Normal"/>
    <w:link w:val="FooterChar"/>
    <w:uiPriority w:val="99"/>
    <w:unhideWhenUsed/>
    <w:rsid w:val="0012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9C8"/>
  </w:style>
  <w:style w:type="paragraph" w:styleId="Revision">
    <w:name w:val="Revision"/>
    <w:hidden/>
    <w:uiPriority w:val="99"/>
    <w:semiHidden/>
    <w:rsid w:val="00935852"/>
    <w:pPr>
      <w:spacing w:after="0" w:line="240" w:lineRule="auto"/>
    </w:pPr>
  </w:style>
  <w:style w:type="paragraph" w:styleId="ListParagraph">
    <w:name w:val="List Paragraph"/>
    <w:basedOn w:val="Normal"/>
    <w:uiPriority w:val="34"/>
    <w:qFormat/>
    <w:rsid w:val="00E86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Gorman</dc:creator>
  <cp:keywords/>
  <dc:description/>
  <cp:lastModifiedBy>Jack Gorman</cp:lastModifiedBy>
  <cp:revision>11</cp:revision>
  <dcterms:created xsi:type="dcterms:W3CDTF">2022-07-25T13:55:00Z</dcterms:created>
  <dcterms:modified xsi:type="dcterms:W3CDTF">2022-07-25T17:00:00Z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AC#43059788.3</vt:lpwstr>
  </property>
  <property fmtid="{D5CDD505-2E9C-101B-9397-08002B2CF9AE}" pid="3" name="ACDocType">
    <vt:lpwstr>DOCUMENT</vt:lpwstr>
  </property>
  <property fmtid="{D5CDD505-2E9C-101B-9397-08002B2CF9AE}" pid="4" name="ACMatter">
    <vt:lpwstr>GR059/762/</vt:lpwstr>
  </property>
</Properties>
</file>