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61E6" w14:textId="45D2B0D6" w:rsidR="00F52596" w:rsidRPr="00BD1A2B" w:rsidRDefault="0077034D" w:rsidP="00F52596">
      <w:pPr>
        <w:rPr>
          <w:b/>
        </w:rPr>
      </w:pPr>
      <w:r>
        <w:t>26</w:t>
      </w:r>
      <w:r w:rsidR="00FB7B5A">
        <w:t xml:space="preserve"> July </w:t>
      </w:r>
      <w:r w:rsidR="00F52596">
        <w:t>2022</w:t>
      </w:r>
    </w:p>
    <w:p w14:paraId="7BB5AB2A" w14:textId="77777777" w:rsidR="00F52596" w:rsidRPr="00A57C80" w:rsidRDefault="00F52596" w:rsidP="00F52596">
      <w:pPr>
        <w:jc w:val="center"/>
        <w:rPr>
          <w:b/>
        </w:rPr>
      </w:pPr>
      <w:r w:rsidRPr="00A57C80">
        <w:rPr>
          <w:b/>
        </w:rPr>
        <w:t>Greencore Group plc</w:t>
      </w:r>
    </w:p>
    <w:p w14:paraId="03746658" w14:textId="29EFC490" w:rsidR="00F52596" w:rsidRPr="00A57C80" w:rsidRDefault="001B582D" w:rsidP="00F52596">
      <w:pPr>
        <w:jc w:val="center"/>
        <w:rPr>
          <w:b/>
        </w:rPr>
      </w:pPr>
      <w:r>
        <w:rPr>
          <w:b/>
        </w:rPr>
        <w:t xml:space="preserve">Greencore </w:t>
      </w:r>
      <w:r w:rsidR="00663D01">
        <w:rPr>
          <w:b/>
        </w:rPr>
        <w:t>launches share buyback programme</w:t>
      </w:r>
    </w:p>
    <w:p w14:paraId="73AC4BDA" w14:textId="1EA43824" w:rsidR="004375EA" w:rsidRDefault="00F52596" w:rsidP="006F48B3">
      <w:pPr>
        <w:jc w:val="both"/>
      </w:pPr>
      <w:r>
        <w:t>Greencore Group plc (“</w:t>
      </w:r>
      <w:r w:rsidRPr="005E20A5">
        <w:rPr>
          <w:b/>
        </w:rPr>
        <w:t>Greencore</w:t>
      </w:r>
      <w:r>
        <w:t>” or the “</w:t>
      </w:r>
      <w:r w:rsidRPr="005E20A5">
        <w:rPr>
          <w:b/>
        </w:rPr>
        <w:t>Group</w:t>
      </w:r>
      <w:r>
        <w:t xml:space="preserve">”), a leading manufacturer of convenience foods in the UK, today </w:t>
      </w:r>
      <w:r w:rsidR="006F48B3">
        <w:t>announces the commencement of a share buyback programme (the “</w:t>
      </w:r>
      <w:r w:rsidR="00D040FD" w:rsidRPr="005E20A5">
        <w:rPr>
          <w:b/>
        </w:rPr>
        <w:t>Programme</w:t>
      </w:r>
      <w:r w:rsidR="006F48B3">
        <w:t>”) whereby it will repurchase ordinary shares of the Group (the “</w:t>
      </w:r>
      <w:r w:rsidR="0041763C" w:rsidRPr="005E20A5">
        <w:rPr>
          <w:b/>
        </w:rPr>
        <w:t>Shares</w:t>
      </w:r>
      <w:r w:rsidR="006F48B3">
        <w:t xml:space="preserve">”) for up to a maximum aggregate consideration of </w:t>
      </w:r>
      <w:r w:rsidR="00950237">
        <w:t>£10</w:t>
      </w:r>
      <w:r w:rsidR="006F48B3">
        <w:t xml:space="preserve"> million. </w:t>
      </w:r>
    </w:p>
    <w:p w14:paraId="42D0D8CC" w14:textId="7B9209CE" w:rsidR="006F48B3" w:rsidRDefault="006F48B3" w:rsidP="006F48B3">
      <w:pPr>
        <w:jc w:val="both"/>
      </w:pPr>
      <w:r>
        <w:t xml:space="preserve">On </w:t>
      </w:r>
      <w:r w:rsidR="004375EA">
        <w:t xml:space="preserve">24 May </w:t>
      </w:r>
      <w:r>
        <w:t xml:space="preserve">2022, the Group announced its intention to </w:t>
      </w:r>
      <w:r w:rsidR="00AF2CD2">
        <w:t xml:space="preserve">recommence value return of up to £50m over the next two years, initially in the form of a </w:t>
      </w:r>
      <w:r w:rsidR="00DD322D">
        <w:t>share buyback programme and consistent with the Group’s capital management policy</w:t>
      </w:r>
      <w:r>
        <w:t xml:space="preserve">. The purpose of the </w:t>
      </w:r>
      <w:r w:rsidR="00D040FD">
        <w:t>P</w:t>
      </w:r>
      <w:r>
        <w:t>rogramme is to reduce the Group’s share capital.</w:t>
      </w:r>
      <w:r w:rsidR="000D70E2">
        <w:t xml:space="preserve"> The mechanism to </w:t>
      </w:r>
      <w:r w:rsidR="009F44FB">
        <w:t>execute the remainder of the value return plan will be</w:t>
      </w:r>
      <w:r w:rsidR="00B96CCB">
        <w:t xml:space="preserve"> decided in due course, with reference to the Group’s capital management policy and general market conditions</w:t>
      </w:r>
      <w:r w:rsidR="002F581D">
        <w:t xml:space="preserve"> at the time.</w:t>
      </w:r>
    </w:p>
    <w:p w14:paraId="04DCDBA0" w14:textId="6BEBAE5C" w:rsidR="006F48B3" w:rsidRDefault="006F48B3" w:rsidP="006F48B3">
      <w:pPr>
        <w:jc w:val="both"/>
      </w:pPr>
      <w:r>
        <w:t xml:space="preserve">The Group has entered into a non-discretionary agreement with </w:t>
      </w:r>
      <w:r w:rsidR="00DD322D">
        <w:t>Goodbody</w:t>
      </w:r>
      <w:r w:rsidR="00D040FD">
        <w:t xml:space="preserve"> Stockbrokers UC</w:t>
      </w:r>
      <w:r w:rsidR="00DD66CB">
        <w:t xml:space="preserve"> </w:t>
      </w:r>
      <w:r>
        <w:t xml:space="preserve">acting as </w:t>
      </w:r>
      <w:r w:rsidR="00A32114">
        <w:t>agent</w:t>
      </w:r>
      <w:r>
        <w:t xml:space="preserve">, to conduct the </w:t>
      </w:r>
      <w:r w:rsidR="00D040FD">
        <w:t xml:space="preserve">Programme </w:t>
      </w:r>
      <w:r>
        <w:t xml:space="preserve">and to repurchase </w:t>
      </w:r>
      <w:r w:rsidR="0041763C">
        <w:t xml:space="preserve">Shares </w:t>
      </w:r>
      <w:r>
        <w:t xml:space="preserve">on the Group’s behalf </w:t>
      </w:r>
      <w:r w:rsidR="001279C8">
        <w:t xml:space="preserve">for a maximum consideration of up to </w:t>
      </w:r>
      <w:r w:rsidR="00E707FA">
        <w:t>£</w:t>
      </w:r>
      <w:r w:rsidR="001279C8">
        <w:t xml:space="preserve">10 million </w:t>
      </w:r>
      <w:r>
        <w:t xml:space="preserve">and to make trading decisions under the </w:t>
      </w:r>
      <w:r w:rsidR="00D040FD">
        <w:t xml:space="preserve">Programme </w:t>
      </w:r>
      <w:r>
        <w:t>independently of the Group in accordance with certain pre-set parameters.</w:t>
      </w:r>
    </w:p>
    <w:p w14:paraId="55A7C9DE" w14:textId="68A1D48C" w:rsidR="006F48B3" w:rsidRDefault="006F48B3" w:rsidP="006F48B3">
      <w:pPr>
        <w:jc w:val="both"/>
      </w:pPr>
      <w:r>
        <w:t xml:space="preserve">The </w:t>
      </w:r>
      <w:r w:rsidR="00936A05">
        <w:t xml:space="preserve">Programme </w:t>
      </w:r>
      <w:r>
        <w:t xml:space="preserve">will commence today, </w:t>
      </w:r>
      <w:r w:rsidR="0077034D">
        <w:t>26</w:t>
      </w:r>
      <w:r w:rsidR="00FB7B5A">
        <w:t xml:space="preserve"> July</w:t>
      </w:r>
      <w:r w:rsidR="00647318">
        <w:t xml:space="preserve"> </w:t>
      </w:r>
      <w:r>
        <w:t xml:space="preserve">2022, and end no later than </w:t>
      </w:r>
      <w:r w:rsidR="0077034D">
        <w:t>31 October</w:t>
      </w:r>
      <w:r w:rsidR="00AF2C0B">
        <w:t xml:space="preserve"> </w:t>
      </w:r>
      <w:r>
        <w:t>2022</w:t>
      </w:r>
      <w:r w:rsidR="00E854F1">
        <w:t>, subject to market conditions</w:t>
      </w:r>
      <w:r>
        <w:t xml:space="preserve">. </w:t>
      </w:r>
      <w:r w:rsidR="00E854F1">
        <w:t>Under the terms of the Programme, t</w:t>
      </w:r>
      <w:r>
        <w:t xml:space="preserve">he maximum number of </w:t>
      </w:r>
      <w:r w:rsidR="0041763C">
        <w:t xml:space="preserve">Shares </w:t>
      </w:r>
      <w:r>
        <w:t xml:space="preserve">that can be repurchased under the </w:t>
      </w:r>
      <w:r w:rsidR="00D040FD">
        <w:t xml:space="preserve">Programme </w:t>
      </w:r>
      <w:r>
        <w:t xml:space="preserve">is </w:t>
      </w:r>
      <w:r w:rsidR="001279C8">
        <w:t xml:space="preserve">52,654,931 </w:t>
      </w:r>
      <w:r w:rsidR="00E854F1" w:rsidRPr="00E854F1">
        <w:t xml:space="preserve">(as reduced by any previous purchase of Shares pursuant to the </w:t>
      </w:r>
      <w:r w:rsidR="0010677C">
        <w:t>A</w:t>
      </w:r>
      <w:r w:rsidR="00E854F1" w:rsidRPr="00E854F1">
        <w:t>uthority</w:t>
      </w:r>
      <w:r w:rsidR="0010677C">
        <w:t xml:space="preserve"> (as defined below)</w:t>
      </w:r>
      <w:r w:rsidR="00E854F1" w:rsidRPr="00E854F1">
        <w:t>)</w:t>
      </w:r>
      <w:r>
        <w:t xml:space="preserve">. </w:t>
      </w:r>
      <w:r w:rsidR="00775CA7">
        <w:t>Under the terms of the Programme, t</w:t>
      </w:r>
      <w:r>
        <w:t xml:space="preserve">he </w:t>
      </w:r>
      <w:r w:rsidR="0041763C">
        <w:t xml:space="preserve">Shares </w:t>
      </w:r>
      <w:r>
        <w:t>will be repurchased on</w:t>
      </w:r>
      <w:r w:rsidR="00775CA7">
        <w:t xml:space="preserve"> the</w:t>
      </w:r>
      <w:r>
        <w:t xml:space="preserve"> </w:t>
      </w:r>
      <w:r w:rsidR="00177B1D">
        <w:t xml:space="preserve">London </w:t>
      </w:r>
      <w:r w:rsidR="003F51E5">
        <w:t>Stock Exchange</w:t>
      </w:r>
      <w:r w:rsidR="006F480E">
        <w:t xml:space="preserve"> </w:t>
      </w:r>
      <w:r>
        <w:t xml:space="preserve">and will be cancelled. </w:t>
      </w:r>
    </w:p>
    <w:p w14:paraId="6D676232" w14:textId="5A667AF5" w:rsidR="006F48B3" w:rsidRDefault="006F48B3" w:rsidP="00A57B42">
      <w:pPr>
        <w:jc w:val="both"/>
      </w:pPr>
      <w:r>
        <w:t xml:space="preserve">The </w:t>
      </w:r>
      <w:r w:rsidR="00D040FD">
        <w:t xml:space="preserve">Programme </w:t>
      </w:r>
      <w:r>
        <w:t>will at all times be conducted in accordance with (and within the parameters prescribed by):</w:t>
      </w:r>
    </w:p>
    <w:p w14:paraId="0FEFDD4D" w14:textId="0A5B3EDB" w:rsidR="006F48B3" w:rsidRDefault="006F48B3" w:rsidP="006F48B3">
      <w:pPr>
        <w:jc w:val="both"/>
      </w:pPr>
      <w:r>
        <w:t xml:space="preserve">(i) the Group’s general authority to repurchase shares (which authorises the repurchase of up to </w:t>
      </w:r>
      <w:r w:rsidR="001279C8">
        <w:t>52,654,931</w:t>
      </w:r>
      <w:r>
        <w:t xml:space="preserve"> </w:t>
      </w:r>
      <w:r w:rsidR="0041763C">
        <w:t>Shares</w:t>
      </w:r>
      <w:r>
        <w:t xml:space="preserve">, being approximately 10% of the issued share capital of the Group), as approved by shareholders at the Group’s AGM </w:t>
      </w:r>
      <w:r w:rsidR="00E854F1">
        <w:t xml:space="preserve">held </w:t>
      </w:r>
      <w:r>
        <w:t xml:space="preserve">on </w:t>
      </w:r>
      <w:r w:rsidR="00623B4A">
        <w:t>27 January 2022</w:t>
      </w:r>
      <w:r w:rsidR="00E854F1">
        <w:t xml:space="preserve"> (the “Authority”)</w:t>
      </w:r>
      <w:r>
        <w:t>; and</w:t>
      </w:r>
    </w:p>
    <w:p w14:paraId="3D883588" w14:textId="18871548" w:rsidR="00A57B42" w:rsidRDefault="006F48B3" w:rsidP="006F48B3">
      <w:pPr>
        <w:jc w:val="both"/>
      </w:pPr>
      <w:r>
        <w:t>(ii) the Market Abuse Regulation (EU) No 596/2014 and the Commission Delegated Regulation (EU) No 2016/1052 (including as each of them forms part of retained EU law in the United Kingdom ("</w:t>
      </w:r>
      <w:r w:rsidRPr="005E20A5">
        <w:rPr>
          <w:b/>
        </w:rPr>
        <w:t>UK</w:t>
      </w:r>
      <w:r>
        <w:t>") from time to time, including, where relevant, pursuant to the UK's European Union (Withdrawal) Act 2018 and Market Abuse (Amendment) (EU Exit) Regulations 2019) as well as the applicable laws and regulations of the UK Financial Conduct Authority.</w:t>
      </w:r>
    </w:p>
    <w:p w14:paraId="113D2C4B" w14:textId="7C604E35" w:rsidR="00034A02" w:rsidRDefault="00D45AE5" w:rsidP="006F48B3">
      <w:pPr>
        <w:jc w:val="both"/>
      </w:pPr>
      <w:r>
        <w:rPr>
          <w:rFonts w:eastAsia="Times New Roman"/>
        </w:rPr>
        <w:t xml:space="preserve">The </w:t>
      </w:r>
      <w:r w:rsidR="0041763C">
        <w:rPr>
          <w:rFonts w:eastAsia="Times New Roman"/>
        </w:rPr>
        <w:t>P</w:t>
      </w:r>
      <w:r>
        <w:rPr>
          <w:rFonts w:eastAsia="Times New Roman"/>
        </w:rPr>
        <w:t xml:space="preserve">rogramme may be augmented by the purchase of </w:t>
      </w:r>
      <w:r w:rsidR="0041763C">
        <w:rPr>
          <w:rFonts w:eastAsia="Times New Roman"/>
        </w:rPr>
        <w:t xml:space="preserve">Shares </w:t>
      </w:r>
      <w:r>
        <w:rPr>
          <w:rFonts w:eastAsia="Times New Roman"/>
        </w:rPr>
        <w:t>by way of block trades in accordance with the Company's general authority to repurchase shares</w:t>
      </w:r>
      <w:r w:rsidR="00163983">
        <w:rPr>
          <w:rFonts w:eastAsia="Times New Roman"/>
        </w:rPr>
        <w:t>.</w:t>
      </w:r>
    </w:p>
    <w:p w14:paraId="32EC9F70" w14:textId="6A6D0B70" w:rsidR="002A56BD" w:rsidRDefault="002A56BD" w:rsidP="006F48B3">
      <w:pPr>
        <w:jc w:val="both"/>
      </w:pPr>
      <w:r>
        <w:t xml:space="preserve">It is currently intended that any further </w:t>
      </w:r>
      <w:r w:rsidR="000C2E35">
        <w:t xml:space="preserve">share buyback </w:t>
      </w:r>
      <w:r>
        <w:t xml:space="preserve">programmes will be conducted in conjunction with the Group’s </w:t>
      </w:r>
      <w:r w:rsidR="007942F5">
        <w:t xml:space="preserve">other </w:t>
      </w:r>
      <w:r>
        <w:t>house brokers.</w:t>
      </w:r>
    </w:p>
    <w:p w14:paraId="71338C27" w14:textId="3D0066D8" w:rsidR="00A57B42" w:rsidRDefault="00A57B42" w:rsidP="006F48B3">
      <w:pPr>
        <w:jc w:val="both"/>
      </w:pPr>
      <w:r>
        <w:t xml:space="preserve">The </w:t>
      </w:r>
      <w:r w:rsidR="009E48FD">
        <w:t>Group</w:t>
      </w:r>
      <w:r>
        <w:t xml:space="preserve"> will make further announcements in due course following any buy back of </w:t>
      </w:r>
      <w:r w:rsidR="0041763C">
        <w:t>S</w:t>
      </w:r>
      <w:r>
        <w:t xml:space="preserve">hares. There is no guarantee that the </w:t>
      </w:r>
      <w:r w:rsidR="00D040FD">
        <w:t xml:space="preserve">Programme </w:t>
      </w:r>
      <w:r>
        <w:t xml:space="preserve">will be implemented in full or that any </w:t>
      </w:r>
      <w:r w:rsidR="0041763C">
        <w:t xml:space="preserve">Shares </w:t>
      </w:r>
      <w:r>
        <w:t xml:space="preserve">will be bought back by the </w:t>
      </w:r>
      <w:r w:rsidR="009E48FD">
        <w:t>Group</w:t>
      </w:r>
      <w:r>
        <w:t>.</w:t>
      </w:r>
      <w:r w:rsidR="006F48B3">
        <w:cr/>
      </w:r>
    </w:p>
    <w:p w14:paraId="4DE86806" w14:textId="4CD8B51C" w:rsidR="000A485D" w:rsidRPr="000A485D" w:rsidRDefault="000A485D" w:rsidP="000A485D">
      <w:pPr>
        <w:jc w:val="both"/>
        <w:rPr>
          <w:b/>
          <w:bCs/>
        </w:rPr>
      </w:pPr>
      <w:r w:rsidRPr="000A485D">
        <w:rPr>
          <w:b/>
          <w:bCs/>
        </w:rPr>
        <w:t xml:space="preserve">Commenting on the </w:t>
      </w:r>
      <w:r w:rsidR="00A57B42">
        <w:rPr>
          <w:b/>
          <w:bCs/>
        </w:rPr>
        <w:t>launch</w:t>
      </w:r>
      <w:r w:rsidRPr="000A485D">
        <w:rPr>
          <w:b/>
          <w:bCs/>
        </w:rPr>
        <w:t xml:space="preserve">, Gary Kennedy, Executive Chair, said: </w:t>
      </w:r>
    </w:p>
    <w:p w14:paraId="7BC20CF9" w14:textId="64447C9E" w:rsidR="006503C8" w:rsidRPr="009E48FD" w:rsidRDefault="000A485D" w:rsidP="000A485D">
      <w:pPr>
        <w:jc w:val="both"/>
        <w:rPr>
          <w:i/>
          <w:iCs/>
        </w:rPr>
      </w:pPr>
      <w:r w:rsidRPr="009E48FD">
        <w:rPr>
          <w:i/>
          <w:iCs/>
        </w:rPr>
        <w:lastRenderedPageBreak/>
        <w:t>“</w:t>
      </w:r>
      <w:r w:rsidR="004E0201">
        <w:rPr>
          <w:i/>
          <w:iCs/>
        </w:rPr>
        <w:t xml:space="preserve">We are </w:t>
      </w:r>
      <w:r w:rsidR="00FC59D7">
        <w:rPr>
          <w:i/>
          <w:iCs/>
        </w:rPr>
        <w:t>pleased</w:t>
      </w:r>
      <w:r w:rsidR="004E0201">
        <w:rPr>
          <w:i/>
          <w:iCs/>
        </w:rPr>
        <w:t xml:space="preserve"> to launch our share buyback programme today</w:t>
      </w:r>
      <w:r w:rsidR="004F3E04">
        <w:rPr>
          <w:i/>
          <w:iCs/>
        </w:rPr>
        <w:t xml:space="preserve"> as part of our commitment to recommence value return to shareholders</w:t>
      </w:r>
      <w:r w:rsidR="00ED396C">
        <w:rPr>
          <w:i/>
          <w:iCs/>
        </w:rPr>
        <w:t xml:space="preserve">. We plan to return up to £50m over the next two years, initially in the </w:t>
      </w:r>
      <w:r w:rsidR="00400597">
        <w:rPr>
          <w:i/>
          <w:iCs/>
        </w:rPr>
        <w:t xml:space="preserve">form of this buyback programme </w:t>
      </w:r>
      <w:r w:rsidR="004520D5">
        <w:rPr>
          <w:i/>
          <w:iCs/>
        </w:rPr>
        <w:t xml:space="preserve">and </w:t>
      </w:r>
      <w:r w:rsidR="00400597">
        <w:rPr>
          <w:i/>
          <w:iCs/>
        </w:rPr>
        <w:t xml:space="preserve">with </w:t>
      </w:r>
      <w:r w:rsidR="004520D5">
        <w:rPr>
          <w:i/>
          <w:iCs/>
        </w:rPr>
        <w:t xml:space="preserve">the ongoing </w:t>
      </w:r>
      <w:r w:rsidR="00400597">
        <w:rPr>
          <w:i/>
          <w:iCs/>
        </w:rPr>
        <w:t xml:space="preserve">flexibility to return </w:t>
      </w:r>
      <w:r w:rsidR="004520D5">
        <w:rPr>
          <w:i/>
          <w:iCs/>
        </w:rPr>
        <w:t xml:space="preserve">value in </w:t>
      </w:r>
      <w:r w:rsidR="009E22C0">
        <w:rPr>
          <w:i/>
          <w:iCs/>
        </w:rPr>
        <w:t xml:space="preserve">the form of buyback, dividends or both. </w:t>
      </w:r>
      <w:r w:rsidR="00661862">
        <w:rPr>
          <w:i/>
          <w:iCs/>
        </w:rPr>
        <w:t xml:space="preserve">This is underpinned by our </w:t>
      </w:r>
      <w:r w:rsidR="00DF2AED">
        <w:rPr>
          <w:i/>
          <w:iCs/>
        </w:rPr>
        <w:t>strong balance sheet and continued optimism around</w:t>
      </w:r>
      <w:r w:rsidR="006503C8">
        <w:rPr>
          <w:i/>
          <w:iCs/>
        </w:rPr>
        <w:t xml:space="preserve"> our business prospects</w:t>
      </w:r>
      <w:r w:rsidR="00325771">
        <w:rPr>
          <w:i/>
          <w:iCs/>
        </w:rPr>
        <w:t>”</w:t>
      </w:r>
    </w:p>
    <w:p w14:paraId="097DDB98" w14:textId="3C5E1802" w:rsidR="009D4D44" w:rsidRDefault="009D4D44" w:rsidP="00F52596"/>
    <w:p w14:paraId="252994C0" w14:textId="77777777" w:rsidR="009D4D44" w:rsidRPr="009C7D60" w:rsidRDefault="009D4D44" w:rsidP="009D4D44">
      <w:pPr>
        <w:jc w:val="both"/>
        <w:rPr>
          <w:rFonts w:cs="Arial"/>
          <w:b/>
          <w:szCs w:val="20"/>
        </w:rPr>
      </w:pPr>
      <w:r w:rsidRPr="009C7D60">
        <w:rPr>
          <w:rFonts w:cs="Arial"/>
          <w:b/>
          <w:szCs w:val="20"/>
        </w:rPr>
        <w:t>For further information, please contact:</w:t>
      </w:r>
    </w:p>
    <w:p w14:paraId="473C52CE" w14:textId="77777777" w:rsidR="009D4D44" w:rsidRDefault="009D4D44" w:rsidP="009D4D44">
      <w:pPr>
        <w:tabs>
          <w:tab w:val="left" w:pos="5018"/>
        </w:tabs>
        <w:spacing w:after="0" w:line="240" w:lineRule="auto"/>
        <w:ind w:left="-284" w:right="-330"/>
        <w:jc w:val="both"/>
        <w:rPr>
          <w:b/>
          <w:sz w:val="18"/>
          <w:szCs w:val="18"/>
        </w:rPr>
      </w:pPr>
    </w:p>
    <w:tbl>
      <w:tblPr>
        <w:tblW w:w="8820" w:type="dxa"/>
        <w:jc w:val="center"/>
        <w:tblLayout w:type="fixed"/>
        <w:tblCellMar>
          <w:left w:w="0" w:type="dxa"/>
        </w:tblCellMar>
        <w:tblLook w:val="04A0" w:firstRow="1" w:lastRow="0" w:firstColumn="1" w:lastColumn="0" w:noHBand="0" w:noVBand="1"/>
      </w:tblPr>
      <w:tblGrid>
        <w:gridCol w:w="3828"/>
        <w:gridCol w:w="2693"/>
        <w:gridCol w:w="2299"/>
      </w:tblGrid>
      <w:tr w:rsidR="009D4D44" w14:paraId="4A9E8B5F" w14:textId="77777777" w:rsidTr="00DC2B2F">
        <w:trPr>
          <w:jc w:val="center"/>
        </w:trPr>
        <w:tc>
          <w:tcPr>
            <w:tcW w:w="3828" w:type="dxa"/>
            <w:shd w:val="clear" w:color="auto" w:fill="auto"/>
            <w:hideMark/>
          </w:tcPr>
          <w:p w14:paraId="0F597BCC" w14:textId="109AF116" w:rsidR="009D4D44" w:rsidRPr="00E509A4" w:rsidRDefault="005955D8" w:rsidP="00DC2B2F">
            <w:pPr>
              <w:spacing w:after="0" w:line="240" w:lineRule="auto"/>
              <w:jc w:val="both"/>
              <w:rPr>
                <w:rFonts w:cs="Arial"/>
                <w:bCs/>
                <w:sz w:val="18"/>
                <w:szCs w:val="18"/>
                <w:lang w:val="en-US"/>
              </w:rPr>
            </w:pPr>
            <w:r>
              <w:rPr>
                <w:rFonts w:cs="Arial"/>
                <w:bCs/>
                <w:sz w:val="18"/>
                <w:szCs w:val="18"/>
                <w:lang w:val="en-US"/>
              </w:rPr>
              <w:t>Gary Kennedy</w:t>
            </w:r>
          </w:p>
        </w:tc>
        <w:tc>
          <w:tcPr>
            <w:tcW w:w="2693" w:type="dxa"/>
            <w:shd w:val="clear" w:color="auto" w:fill="auto"/>
            <w:hideMark/>
          </w:tcPr>
          <w:p w14:paraId="76EF01D8" w14:textId="5DB6B3E6" w:rsidR="009D4D44" w:rsidRPr="00E509A4" w:rsidRDefault="005955D8" w:rsidP="00DC2B2F">
            <w:pPr>
              <w:spacing w:after="0" w:line="240" w:lineRule="auto"/>
              <w:jc w:val="both"/>
              <w:rPr>
                <w:rFonts w:cs="Arial"/>
                <w:bCs/>
                <w:sz w:val="18"/>
                <w:szCs w:val="18"/>
                <w:lang w:val="en-US"/>
              </w:rPr>
            </w:pPr>
            <w:r>
              <w:rPr>
                <w:rFonts w:cs="Arial"/>
                <w:bCs/>
                <w:sz w:val="18"/>
                <w:szCs w:val="18"/>
                <w:lang w:val="en-US"/>
              </w:rPr>
              <w:t>Executive Chair</w:t>
            </w:r>
          </w:p>
        </w:tc>
        <w:tc>
          <w:tcPr>
            <w:tcW w:w="2299" w:type="dxa"/>
            <w:shd w:val="clear" w:color="auto" w:fill="auto"/>
            <w:hideMark/>
          </w:tcPr>
          <w:p w14:paraId="4A26B946" w14:textId="5BE49A58"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1 486 33</w:t>
            </w:r>
            <w:r w:rsidR="005955D8">
              <w:rPr>
                <w:rFonts w:cs="Arial"/>
                <w:bCs/>
                <w:sz w:val="18"/>
                <w:szCs w:val="18"/>
                <w:lang w:val="en-US"/>
              </w:rPr>
              <w:t>13</w:t>
            </w:r>
          </w:p>
        </w:tc>
      </w:tr>
      <w:tr w:rsidR="007F357F" w14:paraId="0836241D" w14:textId="77777777" w:rsidTr="00714D31">
        <w:trPr>
          <w:jc w:val="center"/>
        </w:trPr>
        <w:tc>
          <w:tcPr>
            <w:tcW w:w="3828" w:type="dxa"/>
            <w:shd w:val="clear" w:color="auto" w:fill="auto"/>
            <w:hideMark/>
          </w:tcPr>
          <w:p w14:paraId="7458A26A"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Emma Hynes</w:t>
            </w:r>
          </w:p>
        </w:tc>
        <w:tc>
          <w:tcPr>
            <w:tcW w:w="2693" w:type="dxa"/>
            <w:shd w:val="clear" w:color="auto" w:fill="auto"/>
            <w:hideMark/>
          </w:tcPr>
          <w:p w14:paraId="075BA58D"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61EACFE3" w14:textId="77777777" w:rsidR="007F357F" w:rsidRPr="00E509A4" w:rsidRDefault="007F357F" w:rsidP="00714D31">
            <w:pPr>
              <w:spacing w:after="0" w:line="240" w:lineRule="auto"/>
              <w:jc w:val="both"/>
              <w:rPr>
                <w:rFonts w:cs="Arial"/>
                <w:bCs/>
                <w:sz w:val="18"/>
                <w:szCs w:val="18"/>
                <w:lang w:val="en-US"/>
              </w:rPr>
            </w:pPr>
            <w:r w:rsidRPr="00E509A4">
              <w:rPr>
                <w:rFonts w:cs="Arial"/>
                <w:bCs/>
                <w:sz w:val="18"/>
                <w:szCs w:val="18"/>
                <w:lang w:val="en-US"/>
              </w:rPr>
              <w:t>Tel: +353 (0) 1 486 3307</w:t>
            </w:r>
          </w:p>
        </w:tc>
      </w:tr>
      <w:tr w:rsidR="009D4D44" w14:paraId="29CA7D9B" w14:textId="77777777" w:rsidTr="00DC2B2F">
        <w:trPr>
          <w:jc w:val="center"/>
        </w:trPr>
        <w:tc>
          <w:tcPr>
            <w:tcW w:w="3828" w:type="dxa"/>
            <w:shd w:val="clear" w:color="auto" w:fill="auto"/>
            <w:hideMark/>
          </w:tcPr>
          <w:p w14:paraId="3F55864A"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Jack Gorman</w:t>
            </w:r>
          </w:p>
        </w:tc>
        <w:tc>
          <w:tcPr>
            <w:tcW w:w="2693" w:type="dxa"/>
            <w:shd w:val="clear" w:color="auto" w:fill="auto"/>
            <w:hideMark/>
          </w:tcPr>
          <w:p w14:paraId="4F0DA95C"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5A271E83"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1 486 3308</w:t>
            </w:r>
          </w:p>
        </w:tc>
      </w:tr>
      <w:tr w:rsidR="009D4D44" w14:paraId="1CBD6E3F" w14:textId="77777777" w:rsidTr="00DC2B2F">
        <w:trPr>
          <w:jc w:val="center"/>
        </w:trPr>
        <w:tc>
          <w:tcPr>
            <w:tcW w:w="3828" w:type="dxa"/>
            <w:shd w:val="clear" w:color="auto" w:fill="auto"/>
          </w:tcPr>
          <w:p w14:paraId="58415A01" w14:textId="77777777" w:rsidR="009D4D44" w:rsidRPr="00E509A4" w:rsidRDefault="009D4D44" w:rsidP="00DC2B2F">
            <w:pPr>
              <w:spacing w:after="0" w:line="240" w:lineRule="auto"/>
              <w:jc w:val="both"/>
              <w:rPr>
                <w:rFonts w:cs="Arial"/>
                <w:bCs/>
                <w:sz w:val="18"/>
                <w:szCs w:val="18"/>
                <w:lang w:val="en-US"/>
              </w:rPr>
            </w:pPr>
          </w:p>
        </w:tc>
        <w:tc>
          <w:tcPr>
            <w:tcW w:w="2693" w:type="dxa"/>
            <w:shd w:val="clear" w:color="auto" w:fill="auto"/>
          </w:tcPr>
          <w:p w14:paraId="5E26C921" w14:textId="77777777" w:rsidR="009D4D44" w:rsidRPr="00E509A4" w:rsidRDefault="009D4D44" w:rsidP="00DC2B2F">
            <w:pPr>
              <w:spacing w:after="0" w:line="240" w:lineRule="auto"/>
              <w:jc w:val="both"/>
              <w:rPr>
                <w:rFonts w:cs="Arial"/>
                <w:bCs/>
                <w:sz w:val="18"/>
                <w:szCs w:val="18"/>
                <w:lang w:val="en-US"/>
              </w:rPr>
            </w:pPr>
          </w:p>
        </w:tc>
        <w:tc>
          <w:tcPr>
            <w:tcW w:w="2299" w:type="dxa"/>
            <w:shd w:val="clear" w:color="auto" w:fill="auto"/>
          </w:tcPr>
          <w:p w14:paraId="10FEDEFE" w14:textId="77777777" w:rsidR="009D4D44" w:rsidRPr="00E509A4" w:rsidRDefault="009D4D44" w:rsidP="00DC2B2F">
            <w:pPr>
              <w:spacing w:after="0" w:line="240" w:lineRule="auto"/>
              <w:jc w:val="both"/>
              <w:rPr>
                <w:rFonts w:cs="Arial"/>
                <w:bCs/>
                <w:sz w:val="18"/>
                <w:szCs w:val="18"/>
                <w:lang w:val="en-US"/>
              </w:rPr>
            </w:pPr>
          </w:p>
        </w:tc>
      </w:tr>
      <w:tr w:rsidR="009D4D44" w14:paraId="72365E96" w14:textId="77777777" w:rsidTr="00DC2B2F">
        <w:trPr>
          <w:jc w:val="center"/>
        </w:trPr>
        <w:tc>
          <w:tcPr>
            <w:tcW w:w="3828" w:type="dxa"/>
            <w:shd w:val="clear" w:color="auto" w:fill="auto"/>
            <w:hideMark/>
          </w:tcPr>
          <w:p w14:paraId="2A3B34AA" w14:textId="77777777" w:rsidR="009D4D44" w:rsidRPr="00E509A4" w:rsidRDefault="009D4D44" w:rsidP="00DC2B2F">
            <w:pPr>
              <w:spacing w:after="0" w:line="240" w:lineRule="auto"/>
              <w:jc w:val="both"/>
              <w:rPr>
                <w:rFonts w:cs="Arial"/>
                <w:bCs/>
                <w:sz w:val="18"/>
                <w:szCs w:val="18"/>
                <w:lang w:val="en-US"/>
              </w:rPr>
            </w:pPr>
          </w:p>
        </w:tc>
        <w:tc>
          <w:tcPr>
            <w:tcW w:w="2693" w:type="dxa"/>
            <w:shd w:val="clear" w:color="auto" w:fill="auto"/>
            <w:hideMark/>
          </w:tcPr>
          <w:p w14:paraId="3C602610" w14:textId="77777777" w:rsidR="009D4D44" w:rsidRPr="00E509A4" w:rsidRDefault="009D4D44" w:rsidP="00DC2B2F">
            <w:pPr>
              <w:spacing w:after="0" w:line="240" w:lineRule="auto"/>
              <w:jc w:val="both"/>
              <w:rPr>
                <w:rFonts w:cs="Arial"/>
                <w:bCs/>
                <w:sz w:val="18"/>
                <w:szCs w:val="18"/>
                <w:lang w:val="en-US"/>
              </w:rPr>
            </w:pPr>
          </w:p>
        </w:tc>
        <w:tc>
          <w:tcPr>
            <w:tcW w:w="2299" w:type="dxa"/>
            <w:shd w:val="clear" w:color="auto" w:fill="auto"/>
            <w:hideMark/>
          </w:tcPr>
          <w:p w14:paraId="4FA11884" w14:textId="77777777" w:rsidR="009D4D44" w:rsidRPr="00E509A4" w:rsidRDefault="009D4D44" w:rsidP="00DC2B2F">
            <w:pPr>
              <w:spacing w:after="0" w:line="240" w:lineRule="auto"/>
              <w:jc w:val="both"/>
              <w:rPr>
                <w:rFonts w:cs="Arial"/>
                <w:bCs/>
                <w:sz w:val="18"/>
                <w:szCs w:val="18"/>
                <w:lang w:val="en-US"/>
              </w:rPr>
            </w:pPr>
          </w:p>
        </w:tc>
      </w:tr>
      <w:tr w:rsidR="009D4D44" w14:paraId="6876F5D3" w14:textId="77777777" w:rsidTr="00DC2B2F">
        <w:trPr>
          <w:jc w:val="center"/>
        </w:trPr>
        <w:tc>
          <w:tcPr>
            <w:tcW w:w="3828" w:type="dxa"/>
            <w:shd w:val="clear" w:color="auto" w:fill="auto"/>
            <w:hideMark/>
          </w:tcPr>
          <w:p w14:paraId="2AD78A25"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xml:space="preserve">/ Nick </w:t>
            </w:r>
            <w:proofErr w:type="spellStart"/>
            <w:r>
              <w:rPr>
                <w:rFonts w:cs="Arial"/>
                <w:bCs/>
                <w:sz w:val="18"/>
                <w:szCs w:val="18"/>
                <w:lang w:val="en-US"/>
              </w:rPr>
              <w:t>Hayns</w:t>
            </w:r>
            <w:proofErr w:type="spellEnd"/>
            <w:r>
              <w:rPr>
                <w:rFonts w:cs="Arial"/>
                <w:bCs/>
                <w:sz w:val="18"/>
                <w:szCs w:val="18"/>
                <w:lang w:val="en-US"/>
              </w:rPr>
              <w:t>/</w:t>
            </w:r>
            <w:r w:rsidRPr="00E509A4">
              <w:rPr>
                <w:rFonts w:cs="Arial"/>
                <w:bCs/>
                <w:sz w:val="18"/>
                <w:szCs w:val="18"/>
                <w:lang w:val="en-US"/>
              </w:rPr>
              <w:t xml:space="preserve"> Sam </w:t>
            </w:r>
            <w:proofErr w:type="spellStart"/>
            <w:r w:rsidRPr="00E509A4">
              <w:rPr>
                <w:rFonts w:cs="Arial"/>
                <w:bCs/>
                <w:sz w:val="18"/>
                <w:szCs w:val="18"/>
                <w:lang w:val="en-US"/>
              </w:rPr>
              <w:t>Austrums</w:t>
            </w:r>
            <w:proofErr w:type="spellEnd"/>
          </w:p>
        </w:tc>
        <w:tc>
          <w:tcPr>
            <w:tcW w:w="2693" w:type="dxa"/>
            <w:shd w:val="clear" w:color="auto" w:fill="auto"/>
            <w:hideMark/>
          </w:tcPr>
          <w:p w14:paraId="29DB656A"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60CE6148"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+44 (0) 20 7250 1446</w:t>
            </w:r>
          </w:p>
        </w:tc>
      </w:tr>
      <w:tr w:rsidR="009D4D44" w14:paraId="77F27876" w14:textId="77777777" w:rsidTr="00DC2B2F">
        <w:trPr>
          <w:jc w:val="center"/>
        </w:trPr>
        <w:tc>
          <w:tcPr>
            <w:tcW w:w="3828" w:type="dxa"/>
            <w:shd w:val="clear" w:color="auto" w:fill="auto"/>
            <w:hideMark/>
          </w:tcPr>
          <w:p w14:paraId="36C1845B" w14:textId="77777777" w:rsidR="009D4D44" w:rsidRPr="00C3586E" w:rsidRDefault="009D4D44" w:rsidP="00DC2B2F">
            <w:pPr>
              <w:spacing w:after="0" w:line="240" w:lineRule="auto"/>
              <w:jc w:val="both"/>
              <w:rPr>
                <w:rFonts w:cs="Arial"/>
                <w:bCs/>
                <w:sz w:val="18"/>
                <w:szCs w:val="18"/>
                <w:lang w:val="en-US"/>
              </w:rPr>
            </w:pPr>
            <w:r w:rsidRPr="00C3586E">
              <w:rPr>
                <w:rFonts w:cs="Arial"/>
                <w:bCs/>
                <w:sz w:val="18"/>
                <w:szCs w:val="18"/>
                <w:lang w:val="en-US"/>
              </w:rPr>
              <w:t>Billy Murphy/ Claire Rowley</w:t>
            </w:r>
            <w:r>
              <w:rPr>
                <w:rFonts w:cs="Arial"/>
                <w:bCs/>
                <w:sz w:val="18"/>
                <w:szCs w:val="18"/>
                <w:lang w:val="en-US"/>
              </w:rPr>
              <w:t>/ Cian Doherty</w:t>
            </w:r>
          </w:p>
        </w:tc>
        <w:tc>
          <w:tcPr>
            <w:tcW w:w="2693" w:type="dxa"/>
            <w:shd w:val="clear" w:color="auto" w:fill="auto"/>
            <w:hideMark/>
          </w:tcPr>
          <w:p w14:paraId="38FF75B2"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3B52F0F3" w14:textId="77777777" w:rsidR="009D4D44" w:rsidRPr="00E509A4" w:rsidRDefault="009D4D44" w:rsidP="00DC2B2F">
            <w:pPr>
              <w:spacing w:after="0" w:line="240" w:lineRule="auto"/>
              <w:jc w:val="both"/>
              <w:rPr>
                <w:rFonts w:cs="Arial"/>
                <w:bCs/>
                <w:sz w:val="18"/>
                <w:szCs w:val="18"/>
                <w:lang w:val="en-US"/>
              </w:rPr>
            </w:pPr>
            <w:r w:rsidRPr="00E509A4">
              <w:rPr>
                <w:rFonts w:cs="Arial"/>
                <w:bCs/>
                <w:sz w:val="18"/>
                <w:szCs w:val="18"/>
                <w:lang w:val="en-US"/>
              </w:rPr>
              <w:t>Tel: +353 (0) 1 260 5000</w:t>
            </w:r>
          </w:p>
        </w:tc>
      </w:tr>
    </w:tbl>
    <w:p w14:paraId="2C042D12" w14:textId="77777777" w:rsidR="009D4D44" w:rsidRDefault="009D4D44" w:rsidP="009D4D44">
      <w:pPr>
        <w:tabs>
          <w:tab w:val="left" w:pos="5018"/>
        </w:tabs>
        <w:spacing w:after="0" w:line="240" w:lineRule="auto"/>
        <w:ind w:left="-284" w:right="-330"/>
        <w:jc w:val="both"/>
        <w:rPr>
          <w:b/>
          <w:sz w:val="18"/>
          <w:szCs w:val="18"/>
        </w:rPr>
      </w:pPr>
    </w:p>
    <w:p w14:paraId="3741DC16" w14:textId="77777777" w:rsidR="009D4D44" w:rsidRPr="009D4D44" w:rsidRDefault="009D4D44" w:rsidP="009D4D44">
      <w:pPr>
        <w:adjustRightInd w:val="0"/>
        <w:jc w:val="both"/>
        <w:rPr>
          <w:b/>
          <w:bCs/>
          <w:color w:val="000000"/>
        </w:rPr>
      </w:pPr>
      <w:r w:rsidRPr="009D4D44">
        <w:rPr>
          <w:b/>
          <w:bCs/>
          <w:color w:val="000000"/>
        </w:rPr>
        <w:t xml:space="preserve">About Greencore </w:t>
      </w:r>
    </w:p>
    <w:p w14:paraId="74A51BF2" w14:textId="77777777" w:rsidR="009D4D44" w:rsidRPr="009D4D44" w:rsidRDefault="009D4D44" w:rsidP="009D4D44">
      <w:pPr>
        <w:jc w:val="both"/>
        <w:rPr>
          <w:color w:val="000000"/>
        </w:rPr>
      </w:pPr>
      <w:r w:rsidRPr="009D4D44">
        <w:rPr>
          <w:color w:val="000000"/>
        </w:rP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7D2DF897" w14:textId="77777777" w:rsidR="009D4D44" w:rsidRPr="009D4D44" w:rsidRDefault="009D4D44" w:rsidP="009D4D44">
      <w:pPr>
        <w:jc w:val="both"/>
        <w:rPr>
          <w:color w:val="000000"/>
        </w:rPr>
      </w:pPr>
      <w:bookmarkStart w:id="0" w:name="_Hlk87868870"/>
      <w:r w:rsidRPr="009D4D44">
        <w:rPr>
          <w:color w:val="000000"/>
        </w:rPr>
        <w:t>In FY21 we manufactured 645m sandwiches and other food to go products, 117m chilled prepared meals, and 256m bottles of cooking sauces, pickles and condiments. We carry out more than 10,500 direct to store deliveries each day. We have 21 world-class manufacturing units across 16 locations in the UK, with industry-leading technology and supply chain capabilities. We generated revenues of £1.3bn in FY21 and employ approximately 13,000 people. We are headquartered in Dublin, Ireland.</w:t>
      </w:r>
    </w:p>
    <w:bookmarkEnd w:id="0"/>
    <w:p w14:paraId="67A6A56D" w14:textId="77777777" w:rsidR="009D4D44" w:rsidRPr="009D4D44" w:rsidRDefault="009D4D44" w:rsidP="009D4D44">
      <w:pPr>
        <w:jc w:val="both"/>
        <w:rPr>
          <w:color w:val="000000"/>
        </w:rPr>
      </w:pPr>
      <w:r w:rsidRPr="009D4D44">
        <w:rPr>
          <w:color w:val="000000"/>
        </w:rPr>
        <w:t>For further information go to</w:t>
      </w:r>
      <w:r w:rsidRPr="009D4D44">
        <w:t xml:space="preserve"> </w:t>
      </w:r>
      <w:r w:rsidRPr="009D4D44">
        <w:rPr>
          <w:color w:val="000000"/>
        </w:rPr>
        <w:t>greencore.com or follow Greencore on social media.</w:t>
      </w:r>
    </w:p>
    <w:p w14:paraId="00CBCAA4" w14:textId="77777777" w:rsidR="009D4D44" w:rsidRDefault="009D4D44" w:rsidP="00F52596"/>
    <w:sectPr w:rsidR="009D4D44">
      <w:headerReference w:type="even"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9BDD" w14:textId="77777777" w:rsidR="007166E6" w:rsidRDefault="007166E6" w:rsidP="001279C8">
      <w:pPr>
        <w:spacing w:after="0" w:line="240" w:lineRule="auto"/>
      </w:pPr>
      <w:r>
        <w:separator/>
      </w:r>
    </w:p>
  </w:endnote>
  <w:endnote w:type="continuationSeparator" w:id="0">
    <w:p w14:paraId="6CA61AA9" w14:textId="77777777" w:rsidR="007166E6" w:rsidRDefault="007166E6" w:rsidP="0012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71AF" w14:textId="77777777" w:rsidR="007166E6" w:rsidRDefault="007166E6" w:rsidP="001279C8">
      <w:pPr>
        <w:spacing w:after="0" w:line="240" w:lineRule="auto"/>
      </w:pPr>
      <w:r>
        <w:separator/>
      </w:r>
    </w:p>
  </w:footnote>
  <w:footnote w:type="continuationSeparator" w:id="0">
    <w:p w14:paraId="374D8B21" w14:textId="77777777" w:rsidR="007166E6" w:rsidRDefault="007166E6" w:rsidP="0012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0349" w14:textId="20BE2B1C" w:rsidR="008F171A" w:rsidRDefault="00111497">
    <w:pPr>
      <w:pStyle w:val="Header"/>
    </w:pPr>
    <w:r>
      <w:rPr>
        <w:noProof/>
      </w:rPr>
      <w:pict w14:anchorId="3B009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23610" o:spid="_x0000_s2050"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2E5"/>
    <w:rsid w:val="00034A02"/>
    <w:rsid w:val="000A485D"/>
    <w:rsid w:val="000C2E35"/>
    <w:rsid w:val="000D70E2"/>
    <w:rsid w:val="0010677C"/>
    <w:rsid w:val="00111497"/>
    <w:rsid w:val="001279C8"/>
    <w:rsid w:val="00163983"/>
    <w:rsid w:val="00173178"/>
    <w:rsid w:val="00177B1D"/>
    <w:rsid w:val="001B582D"/>
    <w:rsid w:val="002A56BD"/>
    <w:rsid w:val="002F5711"/>
    <w:rsid w:val="002F581D"/>
    <w:rsid w:val="00325771"/>
    <w:rsid w:val="003432E5"/>
    <w:rsid w:val="00364979"/>
    <w:rsid w:val="003906A3"/>
    <w:rsid w:val="003F51E5"/>
    <w:rsid w:val="00400597"/>
    <w:rsid w:val="0041763C"/>
    <w:rsid w:val="004375EA"/>
    <w:rsid w:val="004520D5"/>
    <w:rsid w:val="004E0201"/>
    <w:rsid w:val="004E1043"/>
    <w:rsid w:val="004F3E04"/>
    <w:rsid w:val="00582872"/>
    <w:rsid w:val="005955D8"/>
    <w:rsid w:val="005B152C"/>
    <w:rsid w:val="005C3516"/>
    <w:rsid w:val="005D5701"/>
    <w:rsid w:val="005E20A5"/>
    <w:rsid w:val="00623B4A"/>
    <w:rsid w:val="00630C78"/>
    <w:rsid w:val="00647318"/>
    <w:rsid w:val="006503C8"/>
    <w:rsid w:val="00661862"/>
    <w:rsid w:val="00663D01"/>
    <w:rsid w:val="006B7E32"/>
    <w:rsid w:val="006F480E"/>
    <w:rsid w:val="006F48B3"/>
    <w:rsid w:val="007166E6"/>
    <w:rsid w:val="007373F0"/>
    <w:rsid w:val="00740C0F"/>
    <w:rsid w:val="0077034D"/>
    <w:rsid w:val="00774348"/>
    <w:rsid w:val="00775CA7"/>
    <w:rsid w:val="00787718"/>
    <w:rsid w:val="007942F5"/>
    <w:rsid w:val="007A4C52"/>
    <w:rsid w:val="007F357F"/>
    <w:rsid w:val="00802799"/>
    <w:rsid w:val="00834BA7"/>
    <w:rsid w:val="008C78FD"/>
    <w:rsid w:val="008F171A"/>
    <w:rsid w:val="009309B5"/>
    <w:rsid w:val="00935852"/>
    <w:rsid w:val="00936A05"/>
    <w:rsid w:val="0093712E"/>
    <w:rsid w:val="00950237"/>
    <w:rsid w:val="009C7D60"/>
    <w:rsid w:val="009D4D44"/>
    <w:rsid w:val="009E22C0"/>
    <w:rsid w:val="009E48FD"/>
    <w:rsid w:val="009F44FB"/>
    <w:rsid w:val="00A32114"/>
    <w:rsid w:val="00A56710"/>
    <w:rsid w:val="00A57B42"/>
    <w:rsid w:val="00A7105B"/>
    <w:rsid w:val="00AF2C0B"/>
    <w:rsid w:val="00AF2CD2"/>
    <w:rsid w:val="00B96CCB"/>
    <w:rsid w:val="00BE726E"/>
    <w:rsid w:val="00C2748B"/>
    <w:rsid w:val="00C539BA"/>
    <w:rsid w:val="00C87B9C"/>
    <w:rsid w:val="00C95656"/>
    <w:rsid w:val="00CA5CB0"/>
    <w:rsid w:val="00D040FD"/>
    <w:rsid w:val="00D33F1F"/>
    <w:rsid w:val="00D36BD4"/>
    <w:rsid w:val="00D45AE5"/>
    <w:rsid w:val="00DD322D"/>
    <w:rsid w:val="00DD66CB"/>
    <w:rsid w:val="00DF2AED"/>
    <w:rsid w:val="00E707FA"/>
    <w:rsid w:val="00E83BB2"/>
    <w:rsid w:val="00E854F1"/>
    <w:rsid w:val="00E93564"/>
    <w:rsid w:val="00ED396C"/>
    <w:rsid w:val="00F34FB2"/>
    <w:rsid w:val="00F52596"/>
    <w:rsid w:val="00FB7B5A"/>
    <w:rsid w:val="00FC59D7"/>
    <w:rsid w:val="00FE1B68"/>
    <w:rsid w:val="00FE4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F03D37"/>
  <w15:chartTrackingRefBased/>
  <w15:docId w15:val="{7BF9F60F-8F2A-4065-A56C-03CEF52A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52596"/>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7A4C52"/>
    <w:rPr>
      <w:sz w:val="16"/>
      <w:szCs w:val="16"/>
    </w:rPr>
  </w:style>
  <w:style w:type="paragraph" w:styleId="CommentText">
    <w:name w:val="annotation text"/>
    <w:basedOn w:val="Normal"/>
    <w:link w:val="CommentTextChar"/>
    <w:uiPriority w:val="99"/>
    <w:semiHidden/>
    <w:unhideWhenUsed/>
    <w:rsid w:val="007A4C52"/>
    <w:pPr>
      <w:spacing w:line="240" w:lineRule="auto"/>
    </w:pPr>
    <w:rPr>
      <w:sz w:val="20"/>
      <w:szCs w:val="20"/>
    </w:rPr>
  </w:style>
  <w:style w:type="character" w:customStyle="1" w:styleId="CommentTextChar">
    <w:name w:val="Comment Text Char"/>
    <w:basedOn w:val="DefaultParagraphFont"/>
    <w:link w:val="CommentText"/>
    <w:uiPriority w:val="99"/>
    <w:semiHidden/>
    <w:rsid w:val="007A4C52"/>
    <w:rPr>
      <w:sz w:val="20"/>
      <w:szCs w:val="20"/>
    </w:rPr>
  </w:style>
  <w:style w:type="paragraph" w:styleId="CommentSubject">
    <w:name w:val="annotation subject"/>
    <w:basedOn w:val="CommentText"/>
    <w:next w:val="CommentText"/>
    <w:link w:val="CommentSubjectChar"/>
    <w:uiPriority w:val="99"/>
    <w:semiHidden/>
    <w:unhideWhenUsed/>
    <w:rsid w:val="007A4C52"/>
    <w:rPr>
      <w:b/>
      <w:bCs/>
    </w:rPr>
  </w:style>
  <w:style w:type="character" w:customStyle="1" w:styleId="CommentSubjectChar">
    <w:name w:val="Comment Subject Char"/>
    <w:basedOn w:val="CommentTextChar"/>
    <w:link w:val="CommentSubject"/>
    <w:uiPriority w:val="99"/>
    <w:semiHidden/>
    <w:rsid w:val="007A4C52"/>
    <w:rPr>
      <w:b/>
      <w:bCs/>
      <w:sz w:val="20"/>
      <w:szCs w:val="20"/>
    </w:rPr>
  </w:style>
  <w:style w:type="paragraph" w:styleId="BalloonText">
    <w:name w:val="Balloon Text"/>
    <w:basedOn w:val="Normal"/>
    <w:link w:val="BalloonTextChar"/>
    <w:uiPriority w:val="99"/>
    <w:semiHidden/>
    <w:unhideWhenUsed/>
    <w:rsid w:val="00BE7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26E"/>
    <w:rPr>
      <w:rFonts w:ascii="Segoe UI" w:hAnsi="Segoe UI" w:cs="Segoe UI"/>
      <w:sz w:val="18"/>
      <w:szCs w:val="18"/>
    </w:rPr>
  </w:style>
  <w:style w:type="paragraph" w:styleId="FootnoteText">
    <w:name w:val="footnote text"/>
    <w:basedOn w:val="Normal"/>
    <w:link w:val="FootnoteTextChar"/>
    <w:uiPriority w:val="99"/>
    <w:semiHidden/>
    <w:unhideWhenUsed/>
    <w:rsid w:val="00127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9C8"/>
    <w:rPr>
      <w:sz w:val="20"/>
      <w:szCs w:val="20"/>
    </w:rPr>
  </w:style>
  <w:style w:type="character" w:styleId="FootnoteReference">
    <w:name w:val="footnote reference"/>
    <w:basedOn w:val="DefaultParagraphFont"/>
    <w:uiPriority w:val="99"/>
    <w:semiHidden/>
    <w:unhideWhenUsed/>
    <w:rsid w:val="001279C8"/>
    <w:rPr>
      <w:vertAlign w:val="superscript"/>
    </w:rPr>
  </w:style>
  <w:style w:type="paragraph" w:styleId="Header">
    <w:name w:val="header"/>
    <w:basedOn w:val="Normal"/>
    <w:link w:val="HeaderChar"/>
    <w:uiPriority w:val="99"/>
    <w:unhideWhenUsed/>
    <w:rsid w:val="00127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9C8"/>
  </w:style>
  <w:style w:type="paragraph" w:styleId="Footer">
    <w:name w:val="footer"/>
    <w:basedOn w:val="Normal"/>
    <w:link w:val="FooterChar"/>
    <w:uiPriority w:val="99"/>
    <w:unhideWhenUsed/>
    <w:rsid w:val="00127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9C8"/>
  </w:style>
  <w:style w:type="paragraph" w:styleId="Revision">
    <w:name w:val="Revision"/>
    <w:hidden/>
    <w:uiPriority w:val="99"/>
    <w:semiHidden/>
    <w:rsid w:val="009358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Jolene Gacquin</cp:lastModifiedBy>
  <cp:revision>2</cp:revision>
  <dcterms:created xsi:type="dcterms:W3CDTF">2022-07-25T16:27:00Z</dcterms:created>
  <dcterms:modified xsi:type="dcterms:W3CDTF">2022-07-25T16:27:00Z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AC#43059788.5</vt:lpwstr>
  </property>
  <property fmtid="{D5CDD505-2E9C-101B-9397-08002B2CF9AE}" pid="3" name="ACDocType">
    <vt:lpwstr>DOCUMENT</vt:lpwstr>
  </property>
  <property fmtid="{D5CDD505-2E9C-101B-9397-08002B2CF9AE}" pid="4" name="ACMatter">
    <vt:lpwstr>GR059/762/</vt:lpwstr>
  </property>
</Properties>
</file>